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FA7D50" w14:textId="05F25836" w:rsidR="00B44735" w:rsidRDefault="00B44735" w:rsidP="00A714B2">
      <w:pPr>
        <w:pStyle w:val="PartHeading-TOC"/>
      </w:pPr>
      <w:r w:rsidRPr="00A86D5D">
        <w:t>Australian Digital Health Agency</w:t>
      </w:r>
    </w:p>
    <w:p w14:paraId="3CA667B0" w14:textId="1308F1A6" w:rsidR="00913388" w:rsidRPr="00A86D5D" w:rsidRDefault="00913388" w:rsidP="00A714B2">
      <w:pPr>
        <w:pStyle w:val="PartHeading-TOC"/>
      </w:pPr>
      <w:r w:rsidRPr="00A86D5D">
        <w:t xml:space="preserve">Entity </w:t>
      </w:r>
      <w:r w:rsidR="000B0315">
        <w:t>r</w:t>
      </w:r>
      <w:r w:rsidRPr="00A86D5D">
        <w:t xml:space="preserve">esources and </w:t>
      </w:r>
      <w:r w:rsidR="000B0315">
        <w:t>p</w:t>
      </w:r>
      <w:r w:rsidRPr="00A86D5D">
        <w:t>lanned </w:t>
      </w:r>
      <w:r w:rsidR="000B0315">
        <w:t>p</w:t>
      </w:r>
      <w:r w:rsidRPr="00A86D5D">
        <w:t>erformance</w:t>
      </w:r>
    </w:p>
    <w:p w14:paraId="56E4AE11" w14:textId="77777777" w:rsidR="00913388" w:rsidRPr="00A86D5D" w:rsidRDefault="00913388" w:rsidP="00913388">
      <w:pPr>
        <w:rPr>
          <w:color w:val="auto"/>
        </w:rPr>
      </w:pPr>
      <w:r w:rsidRPr="00A86D5D">
        <w:rPr>
          <w:color w:val="auto"/>
        </w:rPr>
        <w:br w:type="page"/>
      </w:r>
    </w:p>
    <w:p w14:paraId="1DF6A7EE" w14:textId="77777777" w:rsidR="00913388" w:rsidRPr="00A86D5D" w:rsidRDefault="00913388" w:rsidP="00913388">
      <w:pPr>
        <w:rPr>
          <w:color w:val="auto"/>
        </w:rPr>
      </w:pPr>
    </w:p>
    <w:p w14:paraId="1A952291" w14:textId="77777777" w:rsidR="00913388" w:rsidRPr="00A86D5D" w:rsidRDefault="00913388">
      <w:pPr>
        <w:rPr>
          <w:color w:val="auto"/>
        </w:rPr>
        <w:sectPr w:rsidR="00913388" w:rsidRPr="00A86D5D" w:rsidSect="00CA0E4F">
          <w:headerReference w:type="default" r:id="rId8"/>
          <w:footerReference w:type="even" r:id="rId9"/>
          <w:footerReference w:type="default" r:id="rId10"/>
          <w:pgSz w:w="11906" w:h="16838"/>
          <w:pgMar w:top="7053" w:right="2268" w:bottom="2126" w:left="2268" w:header="1899" w:footer="1899" w:gutter="0"/>
          <w:pgNumType w:start="165"/>
          <w:cols w:space="708"/>
          <w:docGrid w:linePitch="360"/>
        </w:sectPr>
      </w:pPr>
    </w:p>
    <w:p w14:paraId="665BC4A1" w14:textId="2360E3B7" w:rsidR="005A5357" w:rsidRDefault="005A5357" w:rsidP="00863ED8">
      <w:pPr>
        <w:pStyle w:val="Heading1"/>
      </w:pPr>
      <w:r w:rsidRPr="00A86D5D">
        <w:lastRenderedPageBreak/>
        <w:t>Australian Digital Health Agency</w:t>
      </w:r>
    </w:p>
    <w:p w14:paraId="4C5A6B9A" w14:textId="244A1C6E" w:rsidR="003C3C6E" w:rsidRDefault="00913388">
      <w:pPr>
        <w:pStyle w:val="TOC1"/>
        <w:rPr>
          <w:rFonts w:asciiTheme="minorHAnsi" w:eastAsiaTheme="minorEastAsia" w:hAnsiTheme="minorHAnsi" w:cstheme="minorBidi"/>
          <w:b w:val="0"/>
          <w:color w:val="auto"/>
          <w:sz w:val="22"/>
          <w:szCs w:val="22"/>
        </w:rPr>
      </w:pPr>
      <w:r w:rsidRPr="00A86D5D">
        <w:rPr>
          <w:rFonts w:ascii="Arial" w:hAnsi="Arial" w:cs="Arial"/>
          <w:color w:val="auto"/>
        </w:rPr>
        <w:fldChar w:fldCharType="begin"/>
      </w:r>
      <w:r w:rsidRPr="00A86D5D">
        <w:rPr>
          <w:rFonts w:ascii="Arial" w:hAnsi="Arial" w:cs="Arial"/>
          <w:color w:val="auto"/>
        </w:rPr>
        <w:instrText xml:space="preserve"> TOC \h \z \t "Heading 2,1,Heading 3,2" </w:instrText>
      </w:r>
      <w:r w:rsidRPr="00A86D5D">
        <w:rPr>
          <w:rFonts w:ascii="Arial" w:hAnsi="Arial" w:cs="Arial"/>
          <w:color w:val="auto"/>
        </w:rPr>
        <w:fldChar w:fldCharType="separate"/>
      </w:r>
      <w:hyperlink w:anchor="_Toc117406459" w:history="1">
        <w:r w:rsidR="003C3C6E" w:rsidRPr="00444C9C">
          <w:rPr>
            <w:rStyle w:val="Hyperlink"/>
          </w:rPr>
          <w:t>Section 1: Entity overview and resources</w:t>
        </w:r>
        <w:r w:rsidR="003C3C6E">
          <w:rPr>
            <w:webHidden/>
          </w:rPr>
          <w:tab/>
        </w:r>
        <w:r w:rsidR="003C3C6E">
          <w:rPr>
            <w:webHidden/>
          </w:rPr>
          <w:fldChar w:fldCharType="begin"/>
        </w:r>
        <w:r w:rsidR="003C3C6E">
          <w:rPr>
            <w:webHidden/>
          </w:rPr>
          <w:instrText xml:space="preserve"> PAGEREF _Toc117406459 \h </w:instrText>
        </w:r>
        <w:r w:rsidR="003C3C6E">
          <w:rPr>
            <w:webHidden/>
          </w:rPr>
        </w:r>
        <w:r w:rsidR="003C3C6E">
          <w:rPr>
            <w:webHidden/>
          </w:rPr>
          <w:fldChar w:fldCharType="separate"/>
        </w:r>
        <w:r w:rsidR="003C3C6E">
          <w:rPr>
            <w:webHidden/>
          </w:rPr>
          <w:t>168</w:t>
        </w:r>
        <w:r w:rsidR="003C3C6E">
          <w:rPr>
            <w:webHidden/>
          </w:rPr>
          <w:fldChar w:fldCharType="end"/>
        </w:r>
      </w:hyperlink>
    </w:p>
    <w:p w14:paraId="43DED793" w14:textId="21D9E13C" w:rsidR="003C3C6E" w:rsidRDefault="00A90047">
      <w:pPr>
        <w:pStyle w:val="TOC2"/>
        <w:rPr>
          <w:rFonts w:asciiTheme="minorHAnsi" w:eastAsiaTheme="minorEastAsia" w:hAnsiTheme="minorHAnsi" w:cstheme="minorBidi"/>
          <w:noProof/>
          <w:color w:val="auto"/>
          <w:sz w:val="22"/>
          <w:szCs w:val="22"/>
        </w:rPr>
      </w:pPr>
      <w:hyperlink w:anchor="_Toc117406460" w:history="1">
        <w:r w:rsidR="003C3C6E" w:rsidRPr="00444C9C">
          <w:rPr>
            <w:rStyle w:val="Hyperlink"/>
            <w:noProof/>
          </w:rPr>
          <w:t>1.1</w:t>
        </w:r>
        <w:r w:rsidR="003C3C6E">
          <w:rPr>
            <w:rFonts w:asciiTheme="minorHAnsi" w:eastAsiaTheme="minorEastAsia" w:hAnsiTheme="minorHAnsi" w:cstheme="minorBidi"/>
            <w:noProof/>
            <w:color w:val="auto"/>
            <w:sz w:val="22"/>
            <w:szCs w:val="22"/>
          </w:rPr>
          <w:tab/>
        </w:r>
        <w:r w:rsidR="003C3C6E" w:rsidRPr="00444C9C">
          <w:rPr>
            <w:rStyle w:val="Hyperlink"/>
            <w:noProof/>
          </w:rPr>
          <w:t>Strategic direction statement</w:t>
        </w:r>
        <w:r w:rsidR="003C3C6E">
          <w:rPr>
            <w:noProof/>
            <w:webHidden/>
          </w:rPr>
          <w:tab/>
        </w:r>
        <w:r w:rsidR="003C3C6E">
          <w:rPr>
            <w:noProof/>
            <w:webHidden/>
          </w:rPr>
          <w:fldChar w:fldCharType="begin"/>
        </w:r>
        <w:r w:rsidR="003C3C6E">
          <w:rPr>
            <w:noProof/>
            <w:webHidden/>
          </w:rPr>
          <w:instrText xml:space="preserve"> PAGEREF _Toc117406460 \h </w:instrText>
        </w:r>
        <w:r w:rsidR="003C3C6E">
          <w:rPr>
            <w:noProof/>
            <w:webHidden/>
          </w:rPr>
        </w:r>
        <w:r w:rsidR="003C3C6E">
          <w:rPr>
            <w:noProof/>
            <w:webHidden/>
          </w:rPr>
          <w:fldChar w:fldCharType="separate"/>
        </w:r>
        <w:r w:rsidR="003C3C6E">
          <w:rPr>
            <w:noProof/>
            <w:webHidden/>
          </w:rPr>
          <w:t>168</w:t>
        </w:r>
        <w:r w:rsidR="003C3C6E">
          <w:rPr>
            <w:noProof/>
            <w:webHidden/>
          </w:rPr>
          <w:fldChar w:fldCharType="end"/>
        </w:r>
      </w:hyperlink>
    </w:p>
    <w:p w14:paraId="5700FA11" w14:textId="1C26EF9B" w:rsidR="003C3C6E" w:rsidRDefault="00A90047">
      <w:pPr>
        <w:pStyle w:val="TOC2"/>
        <w:rPr>
          <w:rFonts w:asciiTheme="minorHAnsi" w:eastAsiaTheme="minorEastAsia" w:hAnsiTheme="minorHAnsi" w:cstheme="minorBidi"/>
          <w:noProof/>
          <w:color w:val="auto"/>
          <w:sz w:val="22"/>
          <w:szCs w:val="22"/>
        </w:rPr>
      </w:pPr>
      <w:hyperlink w:anchor="_Toc117406461" w:history="1">
        <w:r w:rsidR="003C3C6E" w:rsidRPr="00444C9C">
          <w:rPr>
            <w:rStyle w:val="Hyperlink"/>
            <w:noProof/>
          </w:rPr>
          <w:t>1.2</w:t>
        </w:r>
        <w:r w:rsidR="003C3C6E">
          <w:rPr>
            <w:rFonts w:asciiTheme="minorHAnsi" w:eastAsiaTheme="minorEastAsia" w:hAnsiTheme="minorHAnsi" w:cstheme="minorBidi"/>
            <w:noProof/>
            <w:color w:val="auto"/>
            <w:sz w:val="22"/>
            <w:szCs w:val="22"/>
          </w:rPr>
          <w:tab/>
        </w:r>
        <w:r w:rsidR="003C3C6E" w:rsidRPr="00444C9C">
          <w:rPr>
            <w:rStyle w:val="Hyperlink"/>
            <w:noProof/>
          </w:rPr>
          <w:t>Entity resource statement</w:t>
        </w:r>
        <w:r w:rsidR="003C3C6E">
          <w:rPr>
            <w:noProof/>
            <w:webHidden/>
          </w:rPr>
          <w:tab/>
        </w:r>
        <w:r w:rsidR="003C3C6E">
          <w:rPr>
            <w:noProof/>
            <w:webHidden/>
          </w:rPr>
          <w:fldChar w:fldCharType="begin"/>
        </w:r>
        <w:r w:rsidR="003C3C6E">
          <w:rPr>
            <w:noProof/>
            <w:webHidden/>
          </w:rPr>
          <w:instrText xml:space="preserve"> PAGEREF _Toc117406461 \h </w:instrText>
        </w:r>
        <w:r w:rsidR="003C3C6E">
          <w:rPr>
            <w:noProof/>
            <w:webHidden/>
          </w:rPr>
        </w:r>
        <w:r w:rsidR="003C3C6E">
          <w:rPr>
            <w:noProof/>
            <w:webHidden/>
          </w:rPr>
          <w:fldChar w:fldCharType="separate"/>
        </w:r>
        <w:r w:rsidR="003C3C6E">
          <w:rPr>
            <w:noProof/>
            <w:webHidden/>
          </w:rPr>
          <w:t>169</w:t>
        </w:r>
        <w:r w:rsidR="003C3C6E">
          <w:rPr>
            <w:noProof/>
            <w:webHidden/>
          </w:rPr>
          <w:fldChar w:fldCharType="end"/>
        </w:r>
      </w:hyperlink>
    </w:p>
    <w:p w14:paraId="5B864BF2" w14:textId="5E7B08EE" w:rsidR="003C3C6E" w:rsidRDefault="00A90047">
      <w:pPr>
        <w:pStyle w:val="TOC2"/>
        <w:rPr>
          <w:rFonts w:asciiTheme="minorHAnsi" w:eastAsiaTheme="minorEastAsia" w:hAnsiTheme="minorHAnsi" w:cstheme="minorBidi"/>
          <w:noProof/>
          <w:color w:val="auto"/>
          <w:sz w:val="22"/>
          <w:szCs w:val="22"/>
        </w:rPr>
      </w:pPr>
      <w:hyperlink w:anchor="_Toc117406462" w:history="1">
        <w:r w:rsidR="003C3C6E" w:rsidRPr="00444C9C">
          <w:rPr>
            <w:rStyle w:val="Hyperlink"/>
            <w:noProof/>
          </w:rPr>
          <w:t>1.3</w:t>
        </w:r>
        <w:r w:rsidR="003C3C6E">
          <w:rPr>
            <w:rFonts w:asciiTheme="minorHAnsi" w:eastAsiaTheme="minorEastAsia" w:hAnsiTheme="minorHAnsi" w:cstheme="minorBidi"/>
            <w:noProof/>
            <w:color w:val="auto"/>
            <w:sz w:val="22"/>
            <w:szCs w:val="22"/>
          </w:rPr>
          <w:tab/>
        </w:r>
        <w:r w:rsidR="003C3C6E" w:rsidRPr="00444C9C">
          <w:rPr>
            <w:rStyle w:val="Hyperlink"/>
            <w:noProof/>
          </w:rPr>
          <w:t>Budget measures</w:t>
        </w:r>
        <w:r w:rsidR="003C3C6E">
          <w:rPr>
            <w:noProof/>
            <w:webHidden/>
          </w:rPr>
          <w:tab/>
        </w:r>
        <w:r w:rsidR="003C3C6E">
          <w:rPr>
            <w:noProof/>
            <w:webHidden/>
          </w:rPr>
          <w:fldChar w:fldCharType="begin"/>
        </w:r>
        <w:r w:rsidR="003C3C6E">
          <w:rPr>
            <w:noProof/>
            <w:webHidden/>
          </w:rPr>
          <w:instrText xml:space="preserve"> PAGEREF _Toc117406462 \h </w:instrText>
        </w:r>
        <w:r w:rsidR="003C3C6E">
          <w:rPr>
            <w:noProof/>
            <w:webHidden/>
          </w:rPr>
        </w:r>
        <w:r w:rsidR="003C3C6E">
          <w:rPr>
            <w:noProof/>
            <w:webHidden/>
          </w:rPr>
          <w:fldChar w:fldCharType="separate"/>
        </w:r>
        <w:r w:rsidR="003C3C6E">
          <w:rPr>
            <w:noProof/>
            <w:webHidden/>
          </w:rPr>
          <w:t>170</w:t>
        </w:r>
        <w:r w:rsidR="003C3C6E">
          <w:rPr>
            <w:noProof/>
            <w:webHidden/>
          </w:rPr>
          <w:fldChar w:fldCharType="end"/>
        </w:r>
      </w:hyperlink>
    </w:p>
    <w:p w14:paraId="4A1C60B9" w14:textId="59423054" w:rsidR="003C3C6E" w:rsidRDefault="00A90047">
      <w:pPr>
        <w:pStyle w:val="TOC1"/>
        <w:rPr>
          <w:rFonts w:asciiTheme="minorHAnsi" w:eastAsiaTheme="minorEastAsia" w:hAnsiTheme="minorHAnsi" w:cstheme="minorBidi"/>
          <w:b w:val="0"/>
          <w:color w:val="auto"/>
          <w:sz w:val="22"/>
          <w:szCs w:val="22"/>
        </w:rPr>
      </w:pPr>
      <w:hyperlink w:anchor="_Toc117406463" w:history="1">
        <w:r w:rsidR="003C3C6E" w:rsidRPr="00444C9C">
          <w:rPr>
            <w:rStyle w:val="Hyperlink"/>
          </w:rPr>
          <w:t>Section 2: Outcomes and planned performance</w:t>
        </w:r>
        <w:r w:rsidR="003C3C6E">
          <w:rPr>
            <w:webHidden/>
          </w:rPr>
          <w:tab/>
        </w:r>
        <w:r w:rsidR="003C3C6E">
          <w:rPr>
            <w:webHidden/>
          </w:rPr>
          <w:fldChar w:fldCharType="begin"/>
        </w:r>
        <w:r w:rsidR="003C3C6E">
          <w:rPr>
            <w:webHidden/>
          </w:rPr>
          <w:instrText xml:space="preserve"> PAGEREF _Toc117406463 \h </w:instrText>
        </w:r>
        <w:r w:rsidR="003C3C6E">
          <w:rPr>
            <w:webHidden/>
          </w:rPr>
        </w:r>
        <w:r w:rsidR="003C3C6E">
          <w:rPr>
            <w:webHidden/>
          </w:rPr>
          <w:fldChar w:fldCharType="separate"/>
        </w:r>
        <w:r w:rsidR="003C3C6E">
          <w:rPr>
            <w:webHidden/>
          </w:rPr>
          <w:t>171</w:t>
        </w:r>
        <w:r w:rsidR="003C3C6E">
          <w:rPr>
            <w:webHidden/>
          </w:rPr>
          <w:fldChar w:fldCharType="end"/>
        </w:r>
      </w:hyperlink>
    </w:p>
    <w:p w14:paraId="3DB782EE" w14:textId="055657EF" w:rsidR="003C3C6E" w:rsidRDefault="00A90047">
      <w:pPr>
        <w:pStyle w:val="TOC2"/>
        <w:rPr>
          <w:rFonts w:asciiTheme="minorHAnsi" w:eastAsiaTheme="minorEastAsia" w:hAnsiTheme="minorHAnsi" w:cstheme="minorBidi"/>
          <w:noProof/>
          <w:color w:val="auto"/>
          <w:sz w:val="22"/>
          <w:szCs w:val="22"/>
        </w:rPr>
      </w:pPr>
      <w:hyperlink w:anchor="_Toc117406464" w:history="1">
        <w:r w:rsidR="003C3C6E" w:rsidRPr="00444C9C">
          <w:rPr>
            <w:rStyle w:val="Hyperlink"/>
            <w:noProof/>
          </w:rPr>
          <w:t>2.1</w:t>
        </w:r>
        <w:r w:rsidR="003C3C6E">
          <w:rPr>
            <w:rFonts w:asciiTheme="minorHAnsi" w:eastAsiaTheme="minorEastAsia" w:hAnsiTheme="minorHAnsi" w:cstheme="minorBidi"/>
            <w:noProof/>
            <w:color w:val="auto"/>
            <w:sz w:val="22"/>
            <w:szCs w:val="22"/>
          </w:rPr>
          <w:tab/>
        </w:r>
        <w:r w:rsidR="003C3C6E" w:rsidRPr="00444C9C">
          <w:rPr>
            <w:rStyle w:val="Hyperlink"/>
            <w:noProof/>
          </w:rPr>
          <w:t>Budgeted expenses and performance</w:t>
        </w:r>
        <w:r w:rsidR="003C3C6E">
          <w:rPr>
            <w:noProof/>
            <w:webHidden/>
          </w:rPr>
          <w:tab/>
        </w:r>
        <w:r w:rsidR="003C3C6E">
          <w:rPr>
            <w:noProof/>
            <w:webHidden/>
          </w:rPr>
          <w:fldChar w:fldCharType="begin"/>
        </w:r>
        <w:r w:rsidR="003C3C6E">
          <w:rPr>
            <w:noProof/>
            <w:webHidden/>
          </w:rPr>
          <w:instrText xml:space="preserve"> PAGEREF _Toc117406464 \h </w:instrText>
        </w:r>
        <w:r w:rsidR="003C3C6E">
          <w:rPr>
            <w:noProof/>
            <w:webHidden/>
          </w:rPr>
        </w:r>
        <w:r w:rsidR="003C3C6E">
          <w:rPr>
            <w:noProof/>
            <w:webHidden/>
          </w:rPr>
          <w:fldChar w:fldCharType="separate"/>
        </w:r>
        <w:r w:rsidR="003C3C6E">
          <w:rPr>
            <w:noProof/>
            <w:webHidden/>
          </w:rPr>
          <w:t>171</w:t>
        </w:r>
        <w:r w:rsidR="003C3C6E">
          <w:rPr>
            <w:noProof/>
            <w:webHidden/>
          </w:rPr>
          <w:fldChar w:fldCharType="end"/>
        </w:r>
      </w:hyperlink>
    </w:p>
    <w:p w14:paraId="4426C99D" w14:textId="4AE055B1" w:rsidR="003C3C6E" w:rsidRDefault="00A90047">
      <w:pPr>
        <w:pStyle w:val="TOC1"/>
        <w:rPr>
          <w:rFonts w:asciiTheme="minorHAnsi" w:eastAsiaTheme="minorEastAsia" w:hAnsiTheme="minorHAnsi" w:cstheme="minorBidi"/>
          <w:b w:val="0"/>
          <w:color w:val="auto"/>
          <w:sz w:val="22"/>
          <w:szCs w:val="22"/>
        </w:rPr>
      </w:pPr>
      <w:hyperlink w:anchor="_Toc117406465" w:history="1">
        <w:r w:rsidR="003C3C6E" w:rsidRPr="00444C9C">
          <w:rPr>
            <w:rStyle w:val="Hyperlink"/>
          </w:rPr>
          <w:t>Section 3: Budgeted financial statements</w:t>
        </w:r>
        <w:r w:rsidR="003C3C6E">
          <w:rPr>
            <w:webHidden/>
          </w:rPr>
          <w:tab/>
        </w:r>
        <w:r w:rsidR="003C3C6E">
          <w:rPr>
            <w:webHidden/>
          </w:rPr>
          <w:fldChar w:fldCharType="begin"/>
        </w:r>
        <w:r w:rsidR="003C3C6E">
          <w:rPr>
            <w:webHidden/>
          </w:rPr>
          <w:instrText xml:space="preserve"> PAGEREF _Toc117406465 \h </w:instrText>
        </w:r>
        <w:r w:rsidR="003C3C6E">
          <w:rPr>
            <w:webHidden/>
          </w:rPr>
        </w:r>
        <w:r w:rsidR="003C3C6E">
          <w:rPr>
            <w:webHidden/>
          </w:rPr>
          <w:fldChar w:fldCharType="separate"/>
        </w:r>
        <w:r w:rsidR="003C3C6E">
          <w:rPr>
            <w:webHidden/>
          </w:rPr>
          <w:t>176</w:t>
        </w:r>
        <w:r w:rsidR="003C3C6E">
          <w:rPr>
            <w:webHidden/>
          </w:rPr>
          <w:fldChar w:fldCharType="end"/>
        </w:r>
      </w:hyperlink>
    </w:p>
    <w:p w14:paraId="1F116E1E" w14:textId="5C9E14C4" w:rsidR="003C3C6E" w:rsidRDefault="00A90047">
      <w:pPr>
        <w:pStyle w:val="TOC2"/>
        <w:rPr>
          <w:rFonts w:asciiTheme="minorHAnsi" w:eastAsiaTheme="minorEastAsia" w:hAnsiTheme="minorHAnsi" w:cstheme="minorBidi"/>
          <w:noProof/>
          <w:color w:val="auto"/>
          <w:sz w:val="22"/>
          <w:szCs w:val="22"/>
        </w:rPr>
      </w:pPr>
      <w:hyperlink w:anchor="_Toc117406466" w:history="1">
        <w:r w:rsidR="003C3C6E" w:rsidRPr="00444C9C">
          <w:rPr>
            <w:rStyle w:val="Hyperlink"/>
            <w:noProof/>
          </w:rPr>
          <w:t>3.1</w:t>
        </w:r>
        <w:r w:rsidR="003C3C6E">
          <w:rPr>
            <w:rFonts w:asciiTheme="minorHAnsi" w:eastAsiaTheme="minorEastAsia" w:hAnsiTheme="minorHAnsi" w:cstheme="minorBidi"/>
            <w:noProof/>
            <w:color w:val="auto"/>
            <w:sz w:val="22"/>
            <w:szCs w:val="22"/>
          </w:rPr>
          <w:tab/>
        </w:r>
        <w:r w:rsidR="003C3C6E" w:rsidRPr="00444C9C">
          <w:rPr>
            <w:rStyle w:val="Hyperlink"/>
            <w:noProof/>
          </w:rPr>
          <w:t>Budgeted financial statements</w:t>
        </w:r>
        <w:r w:rsidR="003C3C6E">
          <w:rPr>
            <w:noProof/>
            <w:webHidden/>
          </w:rPr>
          <w:tab/>
        </w:r>
        <w:r w:rsidR="003C3C6E">
          <w:rPr>
            <w:noProof/>
            <w:webHidden/>
          </w:rPr>
          <w:fldChar w:fldCharType="begin"/>
        </w:r>
        <w:r w:rsidR="003C3C6E">
          <w:rPr>
            <w:noProof/>
            <w:webHidden/>
          </w:rPr>
          <w:instrText xml:space="preserve"> PAGEREF _Toc117406466 \h </w:instrText>
        </w:r>
        <w:r w:rsidR="003C3C6E">
          <w:rPr>
            <w:noProof/>
            <w:webHidden/>
          </w:rPr>
        </w:r>
        <w:r w:rsidR="003C3C6E">
          <w:rPr>
            <w:noProof/>
            <w:webHidden/>
          </w:rPr>
          <w:fldChar w:fldCharType="separate"/>
        </w:r>
        <w:r w:rsidR="003C3C6E">
          <w:rPr>
            <w:noProof/>
            <w:webHidden/>
          </w:rPr>
          <w:t>176</w:t>
        </w:r>
        <w:r w:rsidR="003C3C6E">
          <w:rPr>
            <w:noProof/>
            <w:webHidden/>
          </w:rPr>
          <w:fldChar w:fldCharType="end"/>
        </w:r>
      </w:hyperlink>
    </w:p>
    <w:p w14:paraId="7ABA45D1" w14:textId="5D34835B" w:rsidR="003C3C6E" w:rsidRDefault="00A90047">
      <w:pPr>
        <w:pStyle w:val="TOC2"/>
        <w:rPr>
          <w:rFonts w:asciiTheme="minorHAnsi" w:eastAsiaTheme="minorEastAsia" w:hAnsiTheme="minorHAnsi" w:cstheme="minorBidi"/>
          <w:noProof/>
          <w:color w:val="auto"/>
          <w:sz w:val="22"/>
          <w:szCs w:val="22"/>
        </w:rPr>
      </w:pPr>
      <w:hyperlink w:anchor="_Toc117406467" w:history="1">
        <w:r w:rsidR="003C3C6E" w:rsidRPr="00444C9C">
          <w:rPr>
            <w:rStyle w:val="Hyperlink"/>
            <w:noProof/>
          </w:rPr>
          <w:t>3.2</w:t>
        </w:r>
        <w:r w:rsidR="003C3C6E">
          <w:rPr>
            <w:rFonts w:asciiTheme="minorHAnsi" w:eastAsiaTheme="minorEastAsia" w:hAnsiTheme="minorHAnsi" w:cstheme="minorBidi"/>
            <w:noProof/>
            <w:color w:val="auto"/>
            <w:sz w:val="22"/>
            <w:szCs w:val="22"/>
          </w:rPr>
          <w:tab/>
        </w:r>
        <w:r w:rsidR="003C3C6E" w:rsidRPr="00444C9C">
          <w:rPr>
            <w:rStyle w:val="Hyperlink"/>
            <w:noProof/>
          </w:rPr>
          <w:t>Budgeted financial statements tables</w:t>
        </w:r>
        <w:r w:rsidR="003C3C6E">
          <w:rPr>
            <w:noProof/>
            <w:webHidden/>
          </w:rPr>
          <w:tab/>
        </w:r>
        <w:r w:rsidR="003C3C6E">
          <w:rPr>
            <w:noProof/>
            <w:webHidden/>
          </w:rPr>
          <w:fldChar w:fldCharType="begin"/>
        </w:r>
        <w:r w:rsidR="003C3C6E">
          <w:rPr>
            <w:noProof/>
            <w:webHidden/>
          </w:rPr>
          <w:instrText xml:space="preserve"> PAGEREF _Toc117406467 \h </w:instrText>
        </w:r>
        <w:r w:rsidR="003C3C6E">
          <w:rPr>
            <w:noProof/>
            <w:webHidden/>
          </w:rPr>
        </w:r>
        <w:r w:rsidR="003C3C6E">
          <w:rPr>
            <w:noProof/>
            <w:webHidden/>
          </w:rPr>
          <w:fldChar w:fldCharType="separate"/>
        </w:r>
        <w:r w:rsidR="003C3C6E">
          <w:rPr>
            <w:noProof/>
            <w:webHidden/>
          </w:rPr>
          <w:t>177</w:t>
        </w:r>
        <w:r w:rsidR="003C3C6E">
          <w:rPr>
            <w:noProof/>
            <w:webHidden/>
          </w:rPr>
          <w:fldChar w:fldCharType="end"/>
        </w:r>
      </w:hyperlink>
    </w:p>
    <w:p w14:paraId="0687883B" w14:textId="3BE7F2CD" w:rsidR="0024539A" w:rsidRPr="00A86D5D" w:rsidRDefault="00913388" w:rsidP="00913388">
      <w:pPr>
        <w:rPr>
          <w:rFonts w:ascii="Arial" w:hAnsi="Arial" w:cs="Arial"/>
          <w:b/>
          <w:color w:val="auto"/>
        </w:rPr>
        <w:sectPr w:rsidR="0024539A" w:rsidRPr="00A86D5D" w:rsidSect="00357948">
          <w:headerReference w:type="even" r:id="rId11"/>
          <w:headerReference w:type="default" r:id="rId12"/>
          <w:footerReference w:type="default" r:id="rId13"/>
          <w:headerReference w:type="first" r:id="rId14"/>
          <w:pgSz w:w="11906" w:h="16838"/>
          <w:pgMar w:top="2466" w:right="2268" w:bottom="2126" w:left="2268" w:header="1899" w:footer="1899" w:gutter="0"/>
          <w:cols w:space="708"/>
          <w:docGrid w:linePitch="360"/>
        </w:sectPr>
      </w:pPr>
      <w:r w:rsidRPr="00A86D5D">
        <w:rPr>
          <w:rFonts w:ascii="Arial" w:hAnsi="Arial" w:cs="Arial"/>
          <w:b/>
          <w:color w:val="auto"/>
        </w:rPr>
        <w:fldChar w:fldCharType="end"/>
      </w:r>
    </w:p>
    <w:p w14:paraId="1881E9EC" w14:textId="2148E723" w:rsidR="0024539A" w:rsidRPr="00A86D5D" w:rsidRDefault="0024539A" w:rsidP="000C3248">
      <w:pPr>
        <w:pStyle w:val="Heading2"/>
      </w:pPr>
      <w:bookmarkStart w:id="0" w:name="_Toc117406459"/>
      <w:r w:rsidRPr="00A86D5D">
        <w:lastRenderedPageBreak/>
        <w:t xml:space="preserve">Section 1: Entity </w:t>
      </w:r>
      <w:r w:rsidR="000C3248">
        <w:t>o</w:t>
      </w:r>
      <w:r w:rsidRPr="00A86D5D">
        <w:t xml:space="preserve">verview and </w:t>
      </w:r>
      <w:r w:rsidR="000C3248">
        <w:t>r</w:t>
      </w:r>
      <w:r w:rsidRPr="00A86D5D">
        <w:t>esources</w:t>
      </w:r>
      <w:bookmarkEnd w:id="0"/>
    </w:p>
    <w:p w14:paraId="32693AE2" w14:textId="75C2AD3B" w:rsidR="00F519A7" w:rsidRPr="00C62CB6" w:rsidRDefault="0024539A" w:rsidP="000C3248">
      <w:pPr>
        <w:pStyle w:val="Heading3"/>
        <w:numPr>
          <w:ilvl w:val="1"/>
          <w:numId w:val="9"/>
        </w:numPr>
      </w:pPr>
      <w:bookmarkStart w:id="1" w:name="_Toc117406460"/>
      <w:r w:rsidRPr="00A86D5D">
        <w:t xml:space="preserve">Strategic </w:t>
      </w:r>
      <w:r w:rsidR="000C3248">
        <w:t>d</w:t>
      </w:r>
      <w:r w:rsidRPr="00A86D5D">
        <w:t xml:space="preserve">irection </w:t>
      </w:r>
      <w:r w:rsidR="000C3248">
        <w:t>s</w:t>
      </w:r>
      <w:r w:rsidRPr="00A86D5D">
        <w:t>tatement</w:t>
      </w:r>
      <w:r w:rsidRPr="00A86D5D">
        <w:rPr>
          <w:vertAlign w:val="superscript"/>
        </w:rPr>
        <w:footnoteReference w:id="1"/>
      </w:r>
      <w:bookmarkEnd w:id="1"/>
    </w:p>
    <w:p w14:paraId="2694AEA3" w14:textId="7A2E9B51" w:rsidR="009D71AC" w:rsidRDefault="009D71AC" w:rsidP="009D71AC">
      <w:pPr>
        <w:spacing w:before="40" w:after="40"/>
        <w:rPr>
          <w:lang w:eastAsia="en-US"/>
        </w:rPr>
      </w:pPr>
      <w:r w:rsidRPr="00A04759">
        <w:rPr>
          <w:lang w:eastAsia="en-US"/>
        </w:rPr>
        <w:t>The Australian Digital Health Agency (the Agency) takes a lead role in connecting healthcare consumers and providers to a modern healthcare system that ensures Australians can access the care they need, when and where they need it. The Agency is responsible for the delivery of a new National Digital Health Strategy, developed in consultation with stakeholders, to shape innovative and contemporary digital health solutions to drive transformation of healthcare delivery.</w:t>
      </w:r>
    </w:p>
    <w:p w14:paraId="30FC7856" w14:textId="77777777" w:rsidR="009D71AC" w:rsidRPr="00A04759" w:rsidRDefault="009D71AC" w:rsidP="009D71AC">
      <w:pPr>
        <w:spacing w:before="40"/>
        <w:rPr>
          <w:lang w:eastAsia="en-US"/>
        </w:rPr>
      </w:pPr>
      <w:r w:rsidRPr="00A04759">
        <w:rPr>
          <w:lang w:eastAsia="en-US"/>
        </w:rPr>
        <w:t>The Agency partners with healthcare professionals, industry and governments to develop trusted national health products and services that meet the expectations and needs of consumers and the growing demand for modern connected healthcare. Digital health information technology and data can help save lives, improve health and wellbeing, and support a sustainable health system that delivers safe, high quality health services. The Agency’s priorities include:</w:t>
      </w:r>
    </w:p>
    <w:p w14:paraId="60A13BE7" w14:textId="520F2570" w:rsidR="009D71AC" w:rsidRPr="00A04759" w:rsidRDefault="009D71AC" w:rsidP="0063406D">
      <w:pPr>
        <w:numPr>
          <w:ilvl w:val="0"/>
          <w:numId w:val="10"/>
        </w:numPr>
        <w:shd w:val="clear" w:color="auto" w:fill="FFFFFF"/>
        <w:spacing w:before="20" w:after="20"/>
        <w:ind w:left="284" w:hanging="284"/>
        <w:rPr>
          <w:lang w:eastAsia="en-US"/>
        </w:rPr>
      </w:pPr>
      <w:r w:rsidRPr="00A04759">
        <w:rPr>
          <w:lang w:eastAsia="en-US"/>
        </w:rPr>
        <w:t>Strengthening Medicare Taskforce – working with the Australian Government and health sector leaders to improve primary health care for all Australians.</w:t>
      </w:r>
    </w:p>
    <w:p w14:paraId="248403C2" w14:textId="2ED4ADC3" w:rsidR="009D71AC" w:rsidRPr="00A04759" w:rsidRDefault="009D71AC" w:rsidP="009D71AC">
      <w:pPr>
        <w:numPr>
          <w:ilvl w:val="0"/>
          <w:numId w:val="10"/>
        </w:numPr>
        <w:shd w:val="clear" w:color="auto" w:fill="FFFFFF"/>
        <w:spacing w:before="20" w:after="20"/>
        <w:ind w:left="284" w:hanging="284"/>
        <w:rPr>
          <w:lang w:eastAsia="en-US"/>
        </w:rPr>
      </w:pPr>
      <w:r w:rsidRPr="00A04759">
        <w:rPr>
          <w:lang w:eastAsia="en-US"/>
        </w:rPr>
        <w:t>Enabling consumers to take control of their health journey with convenient, coordinated and connected access to health information</w:t>
      </w:r>
      <w:r w:rsidR="006C6E52">
        <w:rPr>
          <w:lang w:eastAsia="en-US"/>
        </w:rPr>
        <w:t>.</w:t>
      </w:r>
    </w:p>
    <w:p w14:paraId="7790E019" w14:textId="77777777" w:rsidR="009D71AC" w:rsidRPr="00A04759" w:rsidRDefault="009D71AC" w:rsidP="009D71AC">
      <w:pPr>
        <w:numPr>
          <w:ilvl w:val="0"/>
          <w:numId w:val="10"/>
        </w:numPr>
        <w:shd w:val="clear" w:color="auto" w:fill="FFFFFF"/>
        <w:spacing w:before="20" w:after="20"/>
        <w:ind w:left="284" w:hanging="284"/>
        <w:rPr>
          <w:lang w:eastAsia="en-US"/>
        </w:rPr>
      </w:pPr>
      <w:r w:rsidRPr="00A04759">
        <w:rPr>
          <w:lang w:eastAsia="en-US"/>
        </w:rPr>
        <w:t>Support for COVID-19 Vaccination Dashboard – so Australians have a trusted and authoritative record of their COVID-19 vaccination status, notifications and pathology results, alongside other key health information.</w:t>
      </w:r>
    </w:p>
    <w:p w14:paraId="0BF208E2" w14:textId="77777777" w:rsidR="009D71AC" w:rsidRPr="00A04759" w:rsidRDefault="009D71AC" w:rsidP="009D71AC">
      <w:pPr>
        <w:numPr>
          <w:ilvl w:val="0"/>
          <w:numId w:val="10"/>
        </w:numPr>
        <w:shd w:val="clear" w:color="auto" w:fill="FFFFFF"/>
        <w:spacing w:before="20" w:after="20"/>
        <w:ind w:left="284" w:hanging="284"/>
        <w:rPr>
          <w:lang w:eastAsia="en-US"/>
        </w:rPr>
      </w:pPr>
      <w:r w:rsidRPr="00A04759">
        <w:rPr>
          <w:lang w:eastAsia="en-US"/>
        </w:rPr>
        <w:t>Respecting and caring for senior Australians – ensuring safe and effective transition of care for aged care recipients.</w:t>
      </w:r>
    </w:p>
    <w:p w14:paraId="5F4B8BDC" w14:textId="77777777" w:rsidR="009D71AC" w:rsidRPr="00A04759" w:rsidRDefault="009D71AC" w:rsidP="009D71AC">
      <w:pPr>
        <w:numPr>
          <w:ilvl w:val="0"/>
          <w:numId w:val="10"/>
        </w:numPr>
        <w:shd w:val="clear" w:color="auto" w:fill="FFFFFF"/>
        <w:spacing w:before="20" w:after="20"/>
        <w:ind w:left="284" w:hanging="284"/>
        <w:rPr>
          <w:lang w:eastAsia="en-US"/>
        </w:rPr>
      </w:pPr>
      <w:r w:rsidRPr="00A04759">
        <w:rPr>
          <w:lang w:eastAsia="en-US"/>
        </w:rPr>
        <w:t>Supporting rural, remote and First Nations communities to connect to their health information and make it available to their healthcare providers.</w:t>
      </w:r>
    </w:p>
    <w:p w14:paraId="704154E1" w14:textId="77777777" w:rsidR="009D71AC" w:rsidRPr="00A04759" w:rsidRDefault="009D71AC" w:rsidP="009D71AC">
      <w:pPr>
        <w:numPr>
          <w:ilvl w:val="0"/>
          <w:numId w:val="10"/>
        </w:numPr>
        <w:shd w:val="clear" w:color="auto" w:fill="FFFFFF"/>
        <w:spacing w:before="20" w:after="20"/>
        <w:ind w:left="284" w:hanging="284"/>
        <w:rPr>
          <w:lang w:eastAsia="en-US"/>
        </w:rPr>
      </w:pPr>
      <w:r w:rsidRPr="00A04759">
        <w:rPr>
          <w:lang w:eastAsia="en-US"/>
        </w:rPr>
        <w:t>National clinical terminology and interoperability – developing standards and specifications that enable different health systems to share accurate and comprehensive patient information to provide informed, safe care to patients.</w:t>
      </w:r>
    </w:p>
    <w:p w14:paraId="15623367" w14:textId="77777777" w:rsidR="009D71AC" w:rsidRPr="00A04759" w:rsidRDefault="009D71AC" w:rsidP="009D71AC">
      <w:pPr>
        <w:numPr>
          <w:ilvl w:val="0"/>
          <w:numId w:val="10"/>
        </w:numPr>
        <w:shd w:val="clear" w:color="auto" w:fill="FFFFFF"/>
        <w:spacing w:before="20" w:after="20"/>
        <w:ind w:left="284" w:hanging="284"/>
        <w:rPr>
          <w:lang w:eastAsia="en-US"/>
        </w:rPr>
      </w:pPr>
      <w:r w:rsidRPr="00A04759">
        <w:rPr>
          <w:lang w:eastAsia="en-US"/>
        </w:rPr>
        <w:t xml:space="preserve">Digitally-enabled primary care </w:t>
      </w:r>
      <w:r w:rsidRPr="00A04759">
        <w:rPr>
          <w:rFonts w:ascii="Cambria" w:hAnsi="Cambria"/>
          <w:lang w:eastAsia="en-US"/>
        </w:rPr>
        <w:t>–</w:t>
      </w:r>
      <w:r w:rsidRPr="00A04759">
        <w:rPr>
          <w:lang w:eastAsia="en-US"/>
        </w:rPr>
        <w:t xml:space="preserve"> supporting effective telehealth and virtual care with real time information exchange, such as electronic prescriptions and referrals for diagnostic imaging.</w:t>
      </w:r>
    </w:p>
    <w:p w14:paraId="78AD426E" w14:textId="77777777" w:rsidR="009D71AC" w:rsidRPr="00A04759" w:rsidRDefault="009D71AC" w:rsidP="009D71AC">
      <w:pPr>
        <w:numPr>
          <w:ilvl w:val="0"/>
          <w:numId w:val="10"/>
        </w:numPr>
        <w:spacing w:before="20" w:after="20"/>
        <w:ind w:left="284" w:hanging="284"/>
        <w:rPr>
          <w:lang w:eastAsia="en-US"/>
        </w:rPr>
      </w:pPr>
      <w:r w:rsidRPr="00A04759">
        <w:rPr>
          <w:lang w:eastAsia="en-US"/>
        </w:rPr>
        <w:t xml:space="preserve">Supporting connected care – working with healthcare providers across the continuum of care to increase the sharing and use of core clinical content in My Health Record. </w:t>
      </w:r>
    </w:p>
    <w:p w14:paraId="42B662AB" w14:textId="46E86BAA" w:rsidR="00C62CB6" w:rsidRPr="00066289" w:rsidRDefault="007378B4" w:rsidP="00DB1FD9">
      <w:pPr>
        <w:spacing w:before="120" w:after="0"/>
        <w:rPr>
          <w:rFonts w:ascii="Times New Roman" w:eastAsiaTheme="minorHAnsi" w:hAnsi="Times New Roman"/>
          <w:lang w:eastAsia="en-US"/>
        </w:rPr>
      </w:pPr>
      <w:r w:rsidRPr="007378B4">
        <w:rPr>
          <w:rFonts w:eastAsiaTheme="minorHAnsi"/>
          <w:lang w:eastAsia="en-US"/>
        </w:rPr>
        <w:t>The functions and governance of the Agency are set out in the</w:t>
      </w:r>
      <w:r w:rsidRPr="009716EC">
        <w:rPr>
          <w:rFonts w:eastAsiaTheme="minorHAnsi"/>
          <w:iCs/>
          <w:lang w:eastAsia="en-US"/>
        </w:rPr>
        <w:t xml:space="preserve"> Public Governance, Performance and Accountability (Establishing the Australian Digital Health Agency) Rule 2016</w:t>
      </w:r>
      <w:r w:rsidRPr="00750D51">
        <w:rPr>
          <w:rFonts w:eastAsiaTheme="minorHAnsi"/>
          <w:lang w:eastAsia="en-US"/>
        </w:rPr>
        <w:t xml:space="preserve">. </w:t>
      </w:r>
      <w:r w:rsidRPr="007378B4">
        <w:rPr>
          <w:rFonts w:eastAsiaTheme="minorHAnsi"/>
          <w:lang w:eastAsia="en-US"/>
        </w:rPr>
        <w:t>The Agency is a corporate Commonwealth entity under the</w:t>
      </w:r>
      <w:r w:rsidRPr="007378B4">
        <w:rPr>
          <w:rFonts w:eastAsiaTheme="minorHAnsi"/>
          <w:i/>
          <w:iCs/>
          <w:lang w:eastAsia="en-US"/>
        </w:rPr>
        <w:t xml:space="preserve"> Public Governance, Performance and Accountability Act 2013.</w:t>
      </w:r>
      <w:r w:rsidR="00C62CB6">
        <w:rPr>
          <w:i/>
          <w:color w:val="auto"/>
        </w:rPr>
        <w:br w:type="page"/>
      </w:r>
    </w:p>
    <w:p w14:paraId="18FCC0B1" w14:textId="3497EBC9" w:rsidR="0024539A" w:rsidRPr="00A86D5D" w:rsidRDefault="0024539A" w:rsidP="000C3248">
      <w:pPr>
        <w:pStyle w:val="Heading3"/>
      </w:pPr>
      <w:bookmarkStart w:id="2" w:name="_Toc117406461"/>
      <w:r w:rsidRPr="00A86D5D">
        <w:lastRenderedPageBreak/>
        <w:t>1.2</w:t>
      </w:r>
      <w:r w:rsidRPr="00A86D5D">
        <w:tab/>
        <w:t xml:space="preserve">Entity </w:t>
      </w:r>
      <w:r w:rsidR="009957CA">
        <w:t>r</w:t>
      </w:r>
      <w:r w:rsidRPr="00A86D5D">
        <w:t xml:space="preserve">esource </w:t>
      </w:r>
      <w:r w:rsidR="009957CA">
        <w:t>s</w:t>
      </w:r>
      <w:r w:rsidRPr="00A86D5D">
        <w:t>tatement</w:t>
      </w:r>
      <w:bookmarkEnd w:id="2"/>
    </w:p>
    <w:p w14:paraId="613A05C1" w14:textId="77777777" w:rsidR="009957CA" w:rsidRPr="009957CA" w:rsidRDefault="009957CA" w:rsidP="009957CA">
      <w:pPr>
        <w:rPr>
          <w:szCs w:val="19"/>
        </w:rPr>
      </w:pPr>
      <w:r w:rsidRPr="009957CA">
        <w:rPr>
          <w:szCs w:val="19"/>
        </w:rPr>
        <w:t>Table 1.1 shows the total funding from all sources available to the entity for its operations and to deliver programs and services on behalf of the Government.</w:t>
      </w:r>
    </w:p>
    <w:p w14:paraId="09FBB587" w14:textId="77777777" w:rsidR="009957CA" w:rsidRPr="009957CA" w:rsidRDefault="009957CA" w:rsidP="009957CA">
      <w:pPr>
        <w:rPr>
          <w:szCs w:val="19"/>
        </w:rPr>
      </w:pPr>
      <w:r w:rsidRPr="009957CA">
        <w:rPr>
          <w:szCs w:val="19"/>
        </w:rPr>
        <w:t>The table summarises how resources will be applied by outcome (government strategic policy objectives) and by administered (on behalf of the Government or the public) and departmental (for the entity’s operations) classification.</w:t>
      </w:r>
    </w:p>
    <w:p w14:paraId="186FAB8D" w14:textId="77777777" w:rsidR="009957CA" w:rsidRPr="009957CA" w:rsidRDefault="009957CA" w:rsidP="009957CA">
      <w:pPr>
        <w:rPr>
          <w:szCs w:val="19"/>
        </w:rPr>
      </w:pPr>
      <w:r w:rsidRPr="009957CA">
        <w:rPr>
          <w:szCs w:val="19"/>
        </w:rPr>
        <w:t xml:space="preserve">For more detailed information on special accounts and special appropriations, refer to </w:t>
      </w:r>
      <w:r w:rsidRPr="009957CA">
        <w:rPr>
          <w:i/>
          <w:szCs w:val="19"/>
        </w:rPr>
        <w:t>Budget Paper No. 4 – Agency Resourcing</w:t>
      </w:r>
      <w:r w:rsidRPr="009957CA">
        <w:rPr>
          <w:szCs w:val="19"/>
        </w:rPr>
        <w:t>.</w:t>
      </w:r>
    </w:p>
    <w:p w14:paraId="0F14F9D9" w14:textId="77777777" w:rsidR="009957CA" w:rsidRPr="009957CA" w:rsidRDefault="009957CA" w:rsidP="009957CA">
      <w:pPr>
        <w:rPr>
          <w:szCs w:val="19"/>
        </w:rPr>
      </w:pPr>
      <w:r w:rsidRPr="009957CA">
        <w:rPr>
          <w:szCs w:val="19"/>
        </w:rPr>
        <w:t>Information in this table is presented on a resourcing (that is, appropriations/cash available) basis, whilst the ‛Budgeted expenses by outcome’ tables in Section 2 and the financial statements in Section 3 are presented on an accrual basis.</w:t>
      </w:r>
    </w:p>
    <w:p w14:paraId="02E24212" w14:textId="4D9A4F31" w:rsidR="0024539A" w:rsidRDefault="0024539A" w:rsidP="0024539A">
      <w:pPr>
        <w:pStyle w:val="Tablenumberandreference"/>
        <w:rPr>
          <w:color w:val="auto"/>
        </w:rPr>
      </w:pPr>
      <w:r w:rsidRPr="00A86D5D">
        <w:rPr>
          <w:color w:val="auto"/>
        </w:rPr>
        <w:t xml:space="preserve">Table 1.1: </w:t>
      </w:r>
      <w:r w:rsidR="0019008C" w:rsidRPr="00A86D5D">
        <w:rPr>
          <w:color w:val="auto"/>
        </w:rPr>
        <w:t>Australian Digital Health Agency</w:t>
      </w:r>
      <w:r w:rsidRPr="00A86D5D">
        <w:rPr>
          <w:color w:val="auto"/>
        </w:rPr>
        <w:t xml:space="preserve"> </w:t>
      </w:r>
      <w:r w:rsidR="009957CA">
        <w:t>r</w:t>
      </w:r>
      <w:r w:rsidR="009957CA" w:rsidRPr="003322E9">
        <w:t xml:space="preserve">esource </w:t>
      </w:r>
      <w:r w:rsidR="009957CA">
        <w:t>s</w:t>
      </w:r>
      <w:r w:rsidR="009957CA" w:rsidRPr="003322E9">
        <w:t xml:space="preserve">tatement – Budget </w:t>
      </w:r>
      <w:r w:rsidR="009957CA">
        <w:t>e</w:t>
      </w:r>
      <w:r w:rsidR="009957CA" w:rsidRPr="003322E9">
        <w:t xml:space="preserve">stimates </w:t>
      </w:r>
      <w:r w:rsidR="009957CA" w:rsidRPr="00626350">
        <w:t>for 2022</w:t>
      </w:r>
      <w:r w:rsidR="009957CA">
        <w:t>–</w:t>
      </w:r>
      <w:r w:rsidR="009957CA" w:rsidRPr="00626350">
        <w:t xml:space="preserve">23 as at </w:t>
      </w:r>
      <w:r w:rsidR="009957CA">
        <w:t xml:space="preserve">October </w:t>
      </w:r>
      <w:r w:rsidR="009957CA" w:rsidRPr="00626350">
        <w:t>Budget 2022</w:t>
      </w:r>
    </w:p>
    <w:tbl>
      <w:tblPr>
        <w:tblW w:w="7340" w:type="dxa"/>
        <w:tblLayout w:type="fixed"/>
        <w:tblCellMar>
          <w:left w:w="0" w:type="dxa"/>
          <w:right w:w="0" w:type="dxa"/>
        </w:tblCellMar>
        <w:tblLook w:val="04A0" w:firstRow="1" w:lastRow="0" w:firstColumn="1" w:lastColumn="0" w:noHBand="0" w:noVBand="1"/>
      </w:tblPr>
      <w:tblGrid>
        <w:gridCol w:w="4660"/>
        <w:gridCol w:w="1340"/>
        <w:gridCol w:w="1340"/>
      </w:tblGrid>
      <w:tr w:rsidR="00DB1FD9" w14:paraId="2487BAEE" w14:textId="77777777" w:rsidTr="000E60A0">
        <w:trPr>
          <w:trHeight w:val="765"/>
        </w:trPr>
        <w:tc>
          <w:tcPr>
            <w:tcW w:w="4660" w:type="dxa"/>
            <w:tcBorders>
              <w:top w:val="single" w:sz="4" w:space="0" w:color="auto"/>
              <w:left w:val="nil"/>
              <w:bottom w:val="nil"/>
              <w:right w:val="nil"/>
            </w:tcBorders>
            <w:shd w:val="clear" w:color="auto" w:fill="auto"/>
            <w:tcMar>
              <w:top w:w="15" w:type="dxa"/>
              <w:left w:w="15" w:type="dxa"/>
              <w:bottom w:w="0" w:type="dxa"/>
              <w:right w:w="15" w:type="dxa"/>
            </w:tcMar>
            <w:hideMark/>
          </w:tcPr>
          <w:p w14:paraId="195B934C" w14:textId="77777777" w:rsidR="00DB1FD9" w:rsidRDefault="00DB1FD9" w:rsidP="00DB1FD9">
            <w:pPr>
              <w:spacing w:before="40" w:after="0"/>
              <w:jc w:val="right"/>
              <w:rPr>
                <w:rFonts w:ascii="Times New Roman" w:hAnsi="Times New Roman"/>
                <w:color w:val="auto"/>
                <w:sz w:val="20"/>
              </w:rPr>
            </w:pPr>
          </w:p>
        </w:tc>
        <w:tc>
          <w:tcPr>
            <w:tcW w:w="1340" w:type="dxa"/>
            <w:tcBorders>
              <w:top w:val="single" w:sz="4" w:space="0" w:color="auto"/>
              <w:left w:val="nil"/>
              <w:bottom w:val="single" w:sz="4" w:space="0" w:color="auto"/>
              <w:right w:val="nil"/>
            </w:tcBorders>
            <w:shd w:val="clear" w:color="auto" w:fill="auto"/>
            <w:tcMar>
              <w:top w:w="15" w:type="dxa"/>
              <w:left w:w="15" w:type="dxa"/>
              <w:bottom w:w="0" w:type="dxa"/>
              <w:right w:w="108" w:type="dxa"/>
            </w:tcMar>
            <w:hideMark/>
          </w:tcPr>
          <w:p w14:paraId="692E9A55" w14:textId="2F7C1000" w:rsidR="00DB1FD9" w:rsidRDefault="00DB1FD9" w:rsidP="00DB1FD9">
            <w:pPr>
              <w:spacing w:before="40" w:after="0"/>
              <w:jc w:val="right"/>
              <w:rPr>
                <w:rFonts w:ascii="Arial" w:hAnsi="Arial" w:cs="Arial"/>
                <w:b/>
                <w:bCs/>
                <w:sz w:val="16"/>
                <w:szCs w:val="16"/>
              </w:rPr>
            </w:pPr>
            <w:r>
              <w:rPr>
                <w:rFonts w:ascii="Arial" w:hAnsi="Arial" w:cs="Arial"/>
                <w:b/>
                <w:bCs/>
                <w:sz w:val="16"/>
                <w:szCs w:val="16"/>
              </w:rPr>
              <w:t>2021–22 Estimated</w:t>
            </w:r>
            <w:r>
              <w:rPr>
                <w:rFonts w:ascii="Arial" w:hAnsi="Arial" w:cs="Arial"/>
                <w:b/>
                <w:bCs/>
                <w:sz w:val="16"/>
                <w:szCs w:val="16"/>
              </w:rPr>
              <w:br/>
              <w:t>actual</w:t>
            </w:r>
            <w:r>
              <w:rPr>
                <w:rFonts w:ascii="Arial" w:hAnsi="Arial" w:cs="Arial"/>
                <w:b/>
                <w:bCs/>
                <w:sz w:val="16"/>
                <w:szCs w:val="16"/>
              </w:rPr>
              <w:br/>
            </w:r>
            <w:r>
              <w:rPr>
                <w:rFonts w:ascii="Arial" w:hAnsi="Arial" w:cs="Arial"/>
                <w:sz w:val="16"/>
                <w:szCs w:val="16"/>
              </w:rPr>
              <w:t>$'000</w:t>
            </w:r>
          </w:p>
        </w:tc>
        <w:tc>
          <w:tcPr>
            <w:tcW w:w="1340" w:type="dxa"/>
            <w:tcBorders>
              <w:top w:val="single" w:sz="4" w:space="0" w:color="auto"/>
              <w:left w:val="nil"/>
              <w:bottom w:val="single" w:sz="4" w:space="0" w:color="auto"/>
              <w:right w:val="nil"/>
            </w:tcBorders>
            <w:shd w:val="clear" w:color="000000" w:fill="D9D9D9"/>
            <w:tcMar>
              <w:top w:w="15" w:type="dxa"/>
              <w:left w:w="15" w:type="dxa"/>
              <w:bottom w:w="0" w:type="dxa"/>
              <w:right w:w="108" w:type="dxa"/>
            </w:tcMar>
            <w:hideMark/>
          </w:tcPr>
          <w:p w14:paraId="3BE392E9" w14:textId="77777777" w:rsidR="00DB1FD9" w:rsidRDefault="00DB1FD9" w:rsidP="00DB1FD9">
            <w:pPr>
              <w:spacing w:before="40" w:after="0"/>
              <w:jc w:val="right"/>
              <w:rPr>
                <w:rFonts w:ascii="Arial" w:hAnsi="Arial" w:cs="Arial"/>
                <w:b/>
                <w:bCs/>
                <w:sz w:val="16"/>
                <w:szCs w:val="16"/>
              </w:rPr>
            </w:pPr>
            <w:r>
              <w:rPr>
                <w:rFonts w:ascii="Arial" w:hAnsi="Arial" w:cs="Arial"/>
                <w:b/>
                <w:bCs/>
                <w:sz w:val="16"/>
                <w:szCs w:val="16"/>
              </w:rPr>
              <w:t>2022–23</w:t>
            </w:r>
            <w:r>
              <w:rPr>
                <w:rFonts w:ascii="Arial" w:hAnsi="Arial" w:cs="Arial"/>
                <w:b/>
                <w:bCs/>
                <w:sz w:val="16"/>
                <w:szCs w:val="16"/>
              </w:rPr>
              <w:br/>
              <w:t>Estimate</w:t>
            </w:r>
            <w:r>
              <w:rPr>
                <w:rFonts w:ascii="Arial" w:hAnsi="Arial" w:cs="Arial"/>
                <w:b/>
                <w:bCs/>
                <w:sz w:val="16"/>
                <w:szCs w:val="16"/>
              </w:rPr>
              <w:br/>
            </w:r>
            <w:r>
              <w:rPr>
                <w:rFonts w:ascii="Arial" w:hAnsi="Arial" w:cs="Arial"/>
                <w:b/>
                <w:bCs/>
                <w:sz w:val="16"/>
                <w:szCs w:val="16"/>
              </w:rPr>
              <w:br/>
            </w:r>
            <w:r>
              <w:rPr>
                <w:rFonts w:ascii="Arial" w:hAnsi="Arial" w:cs="Arial"/>
                <w:sz w:val="16"/>
                <w:szCs w:val="16"/>
              </w:rPr>
              <w:t>$'000</w:t>
            </w:r>
          </w:p>
        </w:tc>
      </w:tr>
      <w:tr w:rsidR="00DB1FD9" w14:paraId="02CC32A1" w14:textId="77777777" w:rsidTr="000E60A0">
        <w:trPr>
          <w:trHeight w:val="283"/>
        </w:trPr>
        <w:tc>
          <w:tcPr>
            <w:tcW w:w="4660" w:type="dxa"/>
            <w:tcBorders>
              <w:top w:val="nil"/>
              <w:left w:val="nil"/>
              <w:bottom w:val="nil"/>
              <w:right w:val="nil"/>
            </w:tcBorders>
            <w:shd w:val="clear" w:color="auto" w:fill="auto"/>
            <w:noWrap/>
            <w:tcMar>
              <w:top w:w="15" w:type="dxa"/>
              <w:left w:w="15" w:type="dxa"/>
              <w:bottom w:w="0" w:type="dxa"/>
              <w:right w:w="15" w:type="dxa"/>
            </w:tcMar>
            <w:vAlign w:val="bottom"/>
            <w:hideMark/>
          </w:tcPr>
          <w:p w14:paraId="061AFE7A" w14:textId="77777777" w:rsidR="00DB1FD9" w:rsidRDefault="00DB1FD9" w:rsidP="00DB1FD9">
            <w:pPr>
              <w:spacing w:after="0"/>
              <w:rPr>
                <w:rFonts w:ascii="Arial" w:hAnsi="Arial" w:cs="Arial"/>
                <w:b/>
                <w:bCs/>
                <w:sz w:val="16"/>
                <w:szCs w:val="16"/>
              </w:rPr>
            </w:pPr>
            <w:r>
              <w:rPr>
                <w:rFonts w:ascii="Arial" w:hAnsi="Arial" w:cs="Arial"/>
                <w:b/>
                <w:bCs/>
                <w:sz w:val="16"/>
                <w:szCs w:val="16"/>
              </w:rPr>
              <w:t>Opening balance/cash reserves at 1 July</w:t>
            </w:r>
          </w:p>
        </w:tc>
        <w:tc>
          <w:tcPr>
            <w:tcW w:w="1340" w:type="dxa"/>
            <w:tcBorders>
              <w:top w:val="nil"/>
              <w:left w:val="nil"/>
              <w:bottom w:val="nil"/>
              <w:right w:val="nil"/>
            </w:tcBorders>
            <w:shd w:val="clear" w:color="auto" w:fill="auto"/>
            <w:noWrap/>
            <w:tcMar>
              <w:top w:w="15" w:type="dxa"/>
              <w:left w:w="15" w:type="dxa"/>
              <w:bottom w:w="0" w:type="dxa"/>
              <w:right w:w="108" w:type="dxa"/>
            </w:tcMar>
            <w:vAlign w:val="bottom"/>
            <w:hideMark/>
          </w:tcPr>
          <w:p w14:paraId="54A142C5" w14:textId="77777777" w:rsidR="00DB1FD9" w:rsidRDefault="00DB1FD9" w:rsidP="00DB1FD9">
            <w:pPr>
              <w:spacing w:after="0"/>
              <w:jc w:val="right"/>
              <w:rPr>
                <w:rFonts w:ascii="Arial" w:hAnsi="Arial" w:cs="Arial"/>
                <w:sz w:val="16"/>
                <w:szCs w:val="16"/>
              </w:rPr>
            </w:pPr>
            <w:r>
              <w:rPr>
                <w:rFonts w:ascii="Arial" w:hAnsi="Arial" w:cs="Arial"/>
                <w:sz w:val="16"/>
                <w:szCs w:val="16"/>
              </w:rPr>
              <w:t>106,282</w:t>
            </w:r>
          </w:p>
        </w:tc>
        <w:tc>
          <w:tcPr>
            <w:tcW w:w="1340" w:type="dxa"/>
            <w:tcBorders>
              <w:top w:val="nil"/>
              <w:left w:val="nil"/>
              <w:bottom w:val="nil"/>
              <w:right w:val="nil"/>
            </w:tcBorders>
            <w:shd w:val="clear" w:color="000000" w:fill="D9D9D9"/>
            <w:noWrap/>
            <w:tcMar>
              <w:top w:w="15" w:type="dxa"/>
              <w:left w:w="15" w:type="dxa"/>
              <w:bottom w:w="0" w:type="dxa"/>
              <w:right w:w="108" w:type="dxa"/>
            </w:tcMar>
            <w:vAlign w:val="bottom"/>
            <w:hideMark/>
          </w:tcPr>
          <w:p w14:paraId="498B5F1A" w14:textId="77777777" w:rsidR="00DB1FD9" w:rsidRDefault="00DB1FD9" w:rsidP="00DB1FD9">
            <w:pPr>
              <w:spacing w:after="0"/>
              <w:jc w:val="right"/>
              <w:rPr>
                <w:rFonts w:ascii="Arial" w:hAnsi="Arial" w:cs="Arial"/>
                <w:color w:val="auto"/>
                <w:sz w:val="16"/>
                <w:szCs w:val="16"/>
              </w:rPr>
            </w:pPr>
            <w:r>
              <w:rPr>
                <w:rFonts w:ascii="Arial" w:hAnsi="Arial" w:cs="Arial"/>
                <w:sz w:val="16"/>
                <w:szCs w:val="16"/>
              </w:rPr>
              <w:t>103,253</w:t>
            </w:r>
          </w:p>
        </w:tc>
      </w:tr>
      <w:tr w:rsidR="00DB1FD9" w14:paraId="77874F57" w14:textId="77777777" w:rsidTr="000E60A0">
        <w:trPr>
          <w:trHeight w:val="283"/>
        </w:trPr>
        <w:tc>
          <w:tcPr>
            <w:tcW w:w="4660" w:type="dxa"/>
            <w:tcBorders>
              <w:top w:val="nil"/>
              <w:left w:val="nil"/>
              <w:bottom w:val="nil"/>
              <w:right w:val="nil"/>
            </w:tcBorders>
            <w:shd w:val="clear" w:color="000000" w:fill="FFFFFF"/>
            <w:tcMar>
              <w:top w:w="15" w:type="dxa"/>
              <w:left w:w="15" w:type="dxa"/>
              <w:bottom w:w="0" w:type="dxa"/>
              <w:right w:w="15" w:type="dxa"/>
            </w:tcMar>
            <w:vAlign w:val="bottom"/>
            <w:hideMark/>
          </w:tcPr>
          <w:p w14:paraId="6EBEF738" w14:textId="77777777" w:rsidR="00DB1FD9" w:rsidRDefault="00DB1FD9" w:rsidP="00DB1FD9">
            <w:pPr>
              <w:spacing w:after="0"/>
              <w:rPr>
                <w:rFonts w:ascii="Arial" w:hAnsi="Arial" w:cs="Arial"/>
                <w:b/>
                <w:bCs/>
                <w:sz w:val="16"/>
                <w:szCs w:val="16"/>
              </w:rPr>
            </w:pPr>
            <w:r>
              <w:rPr>
                <w:rFonts w:ascii="Arial" w:hAnsi="Arial" w:cs="Arial"/>
                <w:b/>
                <w:bCs/>
                <w:sz w:val="16"/>
                <w:szCs w:val="16"/>
              </w:rPr>
              <w:t>Funds from Government</w:t>
            </w:r>
          </w:p>
        </w:tc>
        <w:tc>
          <w:tcPr>
            <w:tcW w:w="1340" w:type="dxa"/>
            <w:tcBorders>
              <w:top w:val="nil"/>
              <w:left w:val="nil"/>
              <w:bottom w:val="nil"/>
              <w:right w:val="nil"/>
            </w:tcBorders>
            <w:shd w:val="clear" w:color="auto" w:fill="auto"/>
            <w:noWrap/>
            <w:tcMar>
              <w:top w:w="15" w:type="dxa"/>
              <w:left w:w="15" w:type="dxa"/>
              <w:bottom w:w="0" w:type="dxa"/>
              <w:right w:w="108" w:type="dxa"/>
            </w:tcMar>
            <w:vAlign w:val="bottom"/>
            <w:hideMark/>
          </w:tcPr>
          <w:p w14:paraId="2F1F0A0C" w14:textId="77777777" w:rsidR="00DB1FD9" w:rsidRDefault="00DB1FD9" w:rsidP="00DB1FD9">
            <w:pPr>
              <w:spacing w:after="0"/>
              <w:rPr>
                <w:rFonts w:ascii="Arial" w:hAnsi="Arial" w:cs="Arial"/>
                <w:b/>
                <w:bCs/>
                <w:sz w:val="16"/>
                <w:szCs w:val="16"/>
              </w:rPr>
            </w:pPr>
          </w:p>
        </w:tc>
        <w:tc>
          <w:tcPr>
            <w:tcW w:w="1340" w:type="dxa"/>
            <w:tcBorders>
              <w:top w:val="nil"/>
              <w:left w:val="nil"/>
              <w:bottom w:val="nil"/>
              <w:right w:val="nil"/>
            </w:tcBorders>
            <w:shd w:val="clear" w:color="000000" w:fill="D9D9D9"/>
            <w:noWrap/>
            <w:tcMar>
              <w:top w:w="15" w:type="dxa"/>
              <w:left w:w="15" w:type="dxa"/>
              <w:bottom w:w="0" w:type="dxa"/>
              <w:right w:w="108" w:type="dxa"/>
            </w:tcMar>
            <w:vAlign w:val="bottom"/>
            <w:hideMark/>
          </w:tcPr>
          <w:p w14:paraId="54D12BBA" w14:textId="77777777" w:rsidR="00DB1FD9" w:rsidRDefault="00DB1FD9" w:rsidP="00DB1FD9">
            <w:pPr>
              <w:spacing w:after="0"/>
              <w:jc w:val="right"/>
              <w:rPr>
                <w:rFonts w:ascii="Arial" w:hAnsi="Arial" w:cs="Arial"/>
                <w:sz w:val="16"/>
                <w:szCs w:val="16"/>
              </w:rPr>
            </w:pPr>
            <w:r>
              <w:rPr>
                <w:rFonts w:ascii="Arial" w:hAnsi="Arial" w:cs="Arial"/>
                <w:sz w:val="16"/>
                <w:szCs w:val="16"/>
              </w:rPr>
              <w:t> </w:t>
            </w:r>
          </w:p>
        </w:tc>
      </w:tr>
      <w:tr w:rsidR="00DB1FD9" w14:paraId="104659AA" w14:textId="77777777" w:rsidTr="000E60A0">
        <w:trPr>
          <w:trHeight w:val="283"/>
        </w:trPr>
        <w:tc>
          <w:tcPr>
            <w:tcW w:w="4660" w:type="dxa"/>
            <w:tcBorders>
              <w:top w:val="nil"/>
              <w:left w:val="nil"/>
              <w:bottom w:val="nil"/>
              <w:right w:val="nil"/>
            </w:tcBorders>
            <w:shd w:val="clear" w:color="auto" w:fill="auto"/>
            <w:noWrap/>
            <w:tcMar>
              <w:top w:w="15" w:type="dxa"/>
              <w:left w:w="135" w:type="dxa"/>
              <w:bottom w:w="0" w:type="dxa"/>
              <w:right w:w="15" w:type="dxa"/>
            </w:tcMar>
            <w:vAlign w:val="bottom"/>
            <w:hideMark/>
          </w:tcPr>
          <w:p w14:paraId="1CFBB578" w14:textId="77777777" w:rsidR="00DB1FD9" w:rsidRDefault="00DB1FD9" w:rsidP="00DB1FD9">
            <w:pPr>
              <w:spacing w:after="0"/>
              <w:ind w:firstLineChars="100" w:firstLine="160"/>
              <w:rPr>
                <w:rFonts w:ascii="Arial" w:hAnsi="Arial" w:cs="Arial"/>
                <w:b/>
                <w:bCs/>
                <w:sz w:val="16"/>
                <w:szCs w:val="16"/>
              </w:rPr>
            </w:pPr>
            <w:r>
              <w:rPr>
                <w:rFonts w:ascii="Arial" w:hAnsi="Arial" w:cs="Arial"/>
                <w:b/>
                <w:bCs/>
                <w:sz w:val="16"/>
                <w:szCs w:val="16"/>
              </w:rPr>
              <w:t>Annual appropriations</w:t>
            </w:r>
          </w:p>
        </w:tc>
        <w:tc>
          <w:tcPr>
            <w:tcW w:w="1340" w:type="dxa"/>
            <w:tcBorders>
              <w:top w:val="nil"/>
              <w:left w:val="nil"/>
              <w:bottom w:val="nil"/>
              <w:right w:val="nil"/>
            </w:tcBorders>
            <w:shd w:val="clear" w:color="auto" w:fill="auto"/>
            <w:noWrap/>
            <w:tcMar>
              <w:top w:w="15" w:type="dxa"/>
              <w:left w:w="15" w:type="dxa"/>
              <w:bottom w:w="0" w:type="dxa"/>
              <w:right w:w="108" w:type="dxa"/>
            </w:tcMar>
            <w:vAlign w:val="bottom"/>
            <w:hideMark/>
          </w:tcPr>
          <w:p w14:paraId="7F6D6F9E" w14:textId="77777777" w:rsidR="00DB1FD9" w:rsidRDefault="00DB1FD9" w:rsidP="00DB1FD9">
            <w:pPr>
              <w:spacing w:after="0"/>
              <w:ind w:firstLineChars="100" w:firstLine="160"/>
              <w:rPr>
                <w:rFonts w:ascii="Arial" w:hAnsi="Arial" w:cs="Arial"/>
                <w:b/>
                <w:bCs/>
                <w:sz w:val="16"/>
                <w:szCs w:val="16"/>
              </w:rPr>
            </w:pPr>
          </w:p>
        </w:tc>
        <w:tc>
          <w:tcPr>
            <w:tcW w:w="1340" w:type="dxa"/>
            <w:tcBorders>
              <w:top w:val="nil"/>
              <w:left w:val="nil"/>
              <w:bottom w:val="nil"/>
              <w:right w:val="nil"/>
            </w:tcBorders>
            <w:shd w:val="clear" w:color="000000" w:fill="D9D9D9"/>
            <w:noWrap/>
            <w:tcMar>
              <w:top w:w="15" w:type="dxa"/>
              <w:left w:w="15" w:type="dxa"/>
              <w:bottom w:w="0" w:type="dxa"/>
              <w:right w:w="108" w:type="dxa"/>
            </w:tcMar>
            <w:vAlign w:val="bottom"/>
            <w:hideMark/>
          </w:tcPr>
          <w:p w14:paraId="245FF4FD" w14:textId="77777777" w:rsidR="00DB1FD9" w:rsidRDefault="00DB1FD9" w:rsidP="00DB1FD9">
            <w:pPr>
              <w:spacing w:after="0"/>
              <w:jc w:val="right"/>
              <w:rPr>
                <w:rFonts w:ascii="Arial" w:hAnsi="Arial" w:cs="Arial"/>
                <w:sz w:val="16"/>
                <w:szCs w:val="16"/>
              </w:rPr>
            </w:pPr>
            <w:r>
              <w:rPr>
                <w:rFonts w:ascii="Arial" w:hAnsi="Arial" w:cs="Arial"/>
                <w:sz w:val="16"/>
                <w:szCs w:val="16"/>
              </w:rPr>
              <w:t> </w:t>
            </w:r>
          </w:p>
        </w:tc>
      </w:tr>
      <w:tr w:rsidR="00DB1FD9" w14:paraId="3771F8F3" w14:textId="77777777" w:rsidTr="000E60A0">
        <w:trPr>
          <w:trHeight w:val="225"/>
        </w:trPr>
        <w:tc>
          <w:tcPr>
            <w:tcW w:w="4660" w:type="dxa"/>
            <w:tcBorders>
              <w:top w:val="nil"/>
              <w:left w:val="nil"/>
              <w:bottom w:val="nil"/>
              <w:right w:val="nil"/>
            </w:tcBorders>
            <w:shd w:val="clear" w:color="auto" w:fill="auto"/>
            <w:noWrap/>
            <w:tcMar>
              <w:top w:w="15" w:type="dxa"/>
              <w:left w:w="270" w:type="dxa"/>
              <w:bottom w:w="0" w:type="dxa"/>
              <w:right w:w="15" w:type="dxa"/>
            </w:tcMar>
            <w:vAlign w:val="bottom"/>
            <w:hideMark/>
          </w:tcPr>
          <w:p w14:paraId="75EA9ABB" w14:textId="77777777" w:rsidR="00DB1FD9" w:rsidRDefault="00DB1FD9" w:rsidP="00DB1FD9">
            <w:pPr>
              <w:spacing w:after="0"/>
              <w:ind w:firstLineChars="200" w:firstLine="320"/>
              <w:rPr>
                <w:rFonts w:ascii="Arial" w:hAnsi="Arial" w:cs="Arial"/>
                <w:sz w:val="16"/>
                <w:szCs w:val="16"/>
              </w:rPr>
            </w:pPr>
            <w:r>
              <w:rPr>
                <w:rFonts w:ascii="Arial" w:hAnsi="Arial" w:cs="Arial"/>
                <w:sz w:val="16"/>
                <w:szCs w:val="16"/>
              </w:rPr>
              <w:t>Ordinary annual services</w:t>
            </w:r>
            <w:r>
              <w:rPr>
                <w:rFonts w:ascii="Arial" w:hAnsi="Arial" w:cs="Arial"/>
                <w:sz w:val="16"/>
                <w:szCs w:val="16"/>
                <w:vertAlign w:val="superscript"/>
              </w:rPr>
              <w:t xml:space="preserve"> (a)</w:t>
            </w:r>
          </w:p>
        </w:tc>
        <w:tc>
          <w:tcPr>
            <w:tcW w:w="1340" w:type="dxa"/>
            <w:tcBorders>
              <w:top w:val="nil"/>
              <w:left w:val="nil"/>
              <w:bottom w:val="nil"/>
              <w:right w:val="nil"/>
            </w:tcBorders>
            <w:shd w:val="clear" w:color="auto" w:fill="auto"/>
            <w:noWrap/>
            <w:tcMar>
              <w:top w:w="15" w:type="dxa"/>
              <w:left w:w="15" w:type="dxa"/>
              <w:bottom w:w="0" w:type="dxa"/>
              <w:right w:w="108" w:type="dxa"/>
            </w:tcMar>
            <w:vAlign w:val="bottom"/>
            <w:hideMark/>
          </w:tcPr>
          <w:p w14:paraId="443EFF2E" w14:textId="77777777" w:rsidR="00DB1FD9" w:rsidRDefault="00DB1FD9" w:rsidP="00DB1FD9">
            <w:pPr>
              <w:spacing w:after="0"/>
              <w:ind w:firstLineChars="200" w:firstLine="320"/>
              <w:rPr>
                <w:rFonts w:ascii="Arial" w:hAnsi="Arial" w:cs="Arial"/>
                <w:sz w:val="16"/>
                <w:szCs w:val="16"/>
              </w:rPr>
            </w:pPr>
          </w:p>
        </w:tc>
        <w:tc>
          <w:tcPr>
            <w:tcW w:w="1340" w:type="dxa"/>
            <w:tcBorders>
              <w:top w:val="nil"/>
              <w:left w:val="nil"/>
              <w:bottom w:val="nil"/>
              <w:right w:val="nil"/>
            </w:tcBorders>
            <w:shd w:val="clear" w:color="000000" w:fill="D9D9D9"/>
            <w:noWrap/>
            <w:tcMar>
              <w:top w:w="15" w:type="dxa"/>
              <w:left w:w="15" w:type="dxa"/>
              <w:bottom w:w="0" w:type="dxa"/>
              <w:right w:w="108" w:type="dxa"/>
            </w:tcMar>
            <w:vAlign w:val="bottom"/>
            <w:hideMark/>
          </w:tcPr>
          <w:p w14:paraId="3FD05C4E" w14:textId="77777777" w:rsidR="00DB1FD9" w:rsidRDefault="00DB1FD9" w:rsidP="00DB1FD9">
            <w:pPr>
              <w:spacing w:after="0"/>
              <w:jc w:val="right"/>
              <w:rPr>
                <w:rFonts w:ascii="Arial" w:hAnsi="Arial" w:cs="Arial"/>
                <w:sz w:val="16"/>
                <w:szCs w:val="16"/>
              </w:rPr>
            </w:pPr>
            <w:r>
              <w:rPr>
                <w:rFonts w:ascii="Arial" w:hAnsi="Arial" w:cs="Arial"/>
                <w:sz w:val="16"/>
                <w:szCs w:val="16"/>
              </w:rPr>
              <w:t> </w:t>
            </w:r>
          </w:p>
        </w:tc>
      </w:tr>
      <w:tr w:rsidR="00DB1FD9" w14:paraId="47C9852A" w14:textId="77777777" w:rsidTr="000E60A0">
        <w:trPr>
          <w:trHeight w:val="225"/>
        </w:trPr>
        <w:tc>
          <w:tcPr>
            <w:tcW w:w="4660" w:type="dxa"/>
            <w:tcBorders>
              <w:top w:val="nil"/>
              <w:left w:val="nil"/>
              <w:bottom w:val="nil"/>
              <w:right w:val="nil"/>
            </w:tcBorders>
            <w:shd w:val="clear" w:color="auto" w:fill="auto"/>
            <w:noWrap/>
            <w:tcMar>
              <w:top w:w="15" w:type="dxa"/>
              <w:left w:w="405" w:type="dxa"/>
              <w:bottom w:w="0" w:type="dxa"/>
              <w:right w:w="15" w:type="dxa"/>
            </w:tcMar>
            <w:vAlign w:val="bottom"/>
            <w:hideMark/>
          </w:tcPr>
          <w:p w14:paraId="2A68493C" w14:textId="77777777" w:rsidR="00DB1FD9" w:rsidRDefault="00DB1FD9" w:rsidP="00DB1FD9">
            <w:pPr>
              <w:spacing w:after="0"/>
              <w:ind w:firstLineChars="300" w:firstLine="480"/>
              <w:rPr>
                <w:rFonts w:ascii="Arial" w:hAnsi="Arial" w:cs="Arial"/>
                <w:sz w:val="16"/>
                <w:szCs w:val="16"/>
              </w:rPr>
            </w:pPr>
            <w:r>
              <w:rPr>
                <w:rFonts w:ascii="Arial" w:hAnsi="Arial" w:cs="Arial"/>
                <w:sz w:val="16"/>
                <w:szCs w:val="16"/>
              </w:rPr>
              <w:t>Outcome 1</w:t>
            </w:r>
          </w:p>
        </w:tc>
        <w:tc>
          <w:tcPr>
            <w:tcW w:w="1340" w:type="dxa"/>
            <w:tcBorders>
              <w:top w:val="nil"/>
              <w:left w:val="nil"/>
              <w:bottom w:val="nil"/>
              <w:right w:val="nil"/>
            </w:tcBorders>
            <w:shd w:val="clear" w:color="auto" w:fill="auto"/>
            <w:noWrap/>
            <w:tcMar>
              <w:top w:w="15" w:type="dxa"/>
              <w:left w:w="15" w:type="dxa"/>
              <w:bottom w:w="0" w:type="dxa"/>
              <w:right w:w="108" w:type="dxa"/>
            </w:tcMar>
            <w:vAlign w:val="bottom"/>
            <w:hideMark/>
          </w:tcPr>
          <w:p w14:paraId="7DCE5D28" w14:textId="77777777" w:rsidR="00DB1FD9" w:rsidRDefault="00DB1FD9" w:rsidP="00DB1FD9">
            <w:pPr>
              <w:spacing w:after="0"/>
              <w:jc w:val="right"/>
              <w:rPr>
                <w:rFonts w:ascii="Arial" w:hAnsi="Arial" w:cs="Arial"/>
                <w:sz w:val="16"/>
                <w:szCs w:val="16"/>
              </w:rPr>
            </w:pPr>
            <w:r>
              <w:rPr>
                <w:rFonts w:ascii="Arial" w:hAnsi="Arial" w:cs="Arial"/>
                <w:sz w:val="16"/>
                <w:szCs w:val="16"/>
              </w:rPr>
              <w:t>223,345</w:t>
            </w:r>
          </w:p>
        </w:tc>
        <w:tc>
          <w:tcPr>
            <w:tcW w:w="1340" w:type="dxa"/>
            <w:tcBorders>
              <w:top w:val="nil"/>
              <w:left w:val="nil"/>
              <w:bottom w:val="nil"/>
              <w:right w:val="nil"/>
            </w:tcBorders>
            <w:shd w:val="clear" w:color="000000" w:fill="D9D9D9"/>
            <w:noWrap/>
            <w:tcMar>
              <w:top w:w="15" w:type="dxa"/>
              <w:left w:w="15" w:type="dxa"/>
              <w:bottom w:w="0" w:type="dxa"/>
              <w:right w:w="108" w:type="dxa"/>
            </w:tcMar>
            <w:vAlign w:val="bottom"/>
            <w:hideMark/>
          </w:tcPr>
          <w:p w14:paraId="70D8C9FB" w14:textId="77777777" w:rsidR="00DB1FD9" w:rsidRDefault="00DB1FD9" w:rsidP="00DB1FD9">
            <w:pPr>
              <w:spacing w:after="0"/>
              <w:jc w:val="right"/>
              <w:rPr>
                <w:rFonts w:ascii="Arial" w:hAnsi="Arial" w:cs="Arial"/>
                <w:sz w:val="16"/>
                <w:szCs w:val="16"/>
              </w:rPr>
            </w:pPr>
            <w:r>
              <w:rPr>
                <w:rFonts w:ascii="Arial" w:hAnsi="Arial" w:cs="Arial"/>
                <w:sz w:val="16"/>
                <w:szCs w:val="16"/>
              </w:rPr>
              <w:t>208,259</w:t>
            </w:r>
          </w:p>
        </w:tc>
      </w:tr>
      <w:tr w:rsidR="00DB1FD9" w14:paraId="0C6BECD2" w14:textId="77777777" w:rsidTr="000E60A0">
        <w:trPr>
          <w:trHeight w:val="283"/>
        </w:trPr>
        <w:tc>
          <w:tcPr>
            <w:tcW w:w="4660" w:type="dxa"/>
            <w:tcBorders>
              <w:top w:val="nil"/>
              <w:left w:val="nil"/>
              <w:bottom w:val="nil"/>
              <w:right w:val="nil"/>
            </w:tcBorders>
            <w:shd w:val="clear" w:color="auto" w:fill="auto"/>
            <w:noWrap/>
            <w:tcMar>
              <w:top w:w="15" w:type="dxa"/>
              <w:left w:w="270" w:type="dxa"/>
              <w:bottom w:w="0" w:type="dxa"/>
              <w:right w:w="15" w:type="dxa"/>
            </w:tcMar>
            <w:vAlign w:val="bottom"/>
            <w:hideMark/>
          </w:tcPr>
          <w:p w14:paraId="19067427" w14:textId="77777777" w:rsidR="00DB1FD9" w:rsidRDefault="00DB1FD9" w:rsidP="00DB1FD9">
            <w:pPr>
              <w:spacing w:after="0"/>
              <w:ind w:firstLineChars="200" w:firstLine="320"/>
              <w:rPr>
                <w:rFonts w:ascii="Arial" w:hAnsi="Arial" w:cs="Arial"/>
                <w:sz w:val="16"/>
                <w:szCs w:val="16"/>
              </w:rPr>
            </w:pPr>
            <w:r>
              <w:rPr>
                <w:rFonts w:ascii="Arial" w:hAnsi="Arial" w:cs="Arial"/>
                <w:sz w:val="16"/>
                <w:szCs w:val="16"/>
              </w:rPr>
              <w:t>Other services</w:t>
            </w:r>
            <w:r>
              <w:rPr>
                <w:rFonts w:ascii="Arial" w:hAnsi="Arial" w:cs="Arial"/>
                <w:sz w:val="16"/>
                <w:szCs w:val="16"/>
                <w:vertAlign w:val="superscript"/>
              </w:rPr>
              <w:t xml:space="preserve"> (b)</w:t>
            </w:r>
          </w:p>
        </w:tc>
        <w:tc>
          <w:tcPr>
            <w:tcW w:w="1340" w:type="dxa"/>
            <w:tcBorders>
              <w:top w:val="nil"/>
              <w:left w:val="nil"/>
              <w:bottom w:val="nil"/>
              <w:right w:val="nil"/>
            </w:tcBorders>
            <w:shd w:val="clear" w:color="auto" w:fill="auto"/>
            <w:noWrap/>
            <w:tcMar>
              <w:top w:w="15" w:type="dxa"/>
              <w:left w:w="15" w:type="dxa"/>
              <w:bottom w:w="0" w:type="dxa"/>
              <w:right w:w="108" w:type="dxa"/>
            </w:tcMar>
            <w:vAlign w:val="bottom"/>
            <w:hideMark/>
          </w:tcPr>
          <w:p w14:paraId="27A2B21E" w14:textId="77777777" w:rsidR="00DB1FD9" w:rsidRDefault="00DB1FD9" w:rsidP="00DB1FD9">
            <w:pPr>
              <w:spacing w:after="0"/>
              <w:ind w:firstLineChars="200" w:firstLine="320"/>
              <w:rPr>
                <w:rFonts w:ascii="Arial" w:hAnsi="Arial" w:cs="Arial"/>
                <w:sz w:val="16"/>
                <w:szCs w:val="16"/>
              </w:rPr>
            </w:pPr>
          </w:p>
        </w:tc>
        <w:tc>
          <w:tcPr>
            <w:tcW w:w="1340" w:type="dxa"/>
            <w:tcBorders>
              <w:top w:val="nil"/>
              <w:left w:val="nil"/>
              <w:bottom w:val="nil"/>
              <w:right w:val="nil"/>
            </w:tcBorders>
            <w:shd w:val="clear" w:color="000000" w:fill="D9D9D9"/>
            <w:noWrap/>
            <w:tcMar>
              <w:top w:w="15" w:type="dxa"/>
              <w:left w:w="15" w:type="dxa"/>
              <w:bottom w:w="0" w:type="dxa"/>
              <w:right w:w="108" w:type="dxa"/>
            </w:tcMar>
            <w:vAlign w:val="bottom"/>
            <w:hideMark/>
          </w:tcPr>
          <w:p w14:paraId="2797FA59" w14:textId="77777777" w:rsidR="00DB1FD9" w:rsidRDefault="00DB1FD9" w:rsidP="00DB1FD9">
            <w:pPr>
              <w:spacing w:after="0"/>
              <w:jc w:val="right"/>
              <w:rPr>
                <w:rFonts w:ascii="Arial" w:hAnsi="Arial" w:cs="Arial"/>
                <w:sz w:val="16"/>
                <w:szCs w:val="16"/>
              </w:rPr>
            </w:pPr>
            <w:r>
              <w:rPr>
                <w:rFonts w:ascii="Arial" w:hAnsi="Arial" w:cs="Arial"/>
                <w:sz w:val="16"/>
                <w:szCs w:val="16"/>
              </w:rPr>
              <w:t> </w:t>
            </w:r>
          </w:p>
        </w:tc>
      </w:tr>
      <w:tr w:rsidR="00DB1FD9" w14:paraId="53D20474" w14:textId="77777777" w:rsidTr="000E60A0">
        <w:trPr>
          <w:trHeight w:val="225"/>
        </w:trPr>
        <w:tc>
          <w:tcPr>
            <w:tcW w:w="4660" w:type="dxa"/>
            <w:tcBorders>
              <w:top w:val="nil"/>
              <w:left w:val="nil"/>
              <w:bottom w:val="nil"/>
              <w:right w:val="nil"/>
            </w:tcBorders>
            <w:shd w:val="clear" w:color="auto" w:fill="auto"/>
            <w:noWrap/>
            <w:tcMar>
              <w:top w:w="15" w:type="dxa"/>
              <w:left w:w="405" w:type="dxa"/>
              <w:bottom w:w="0" w:type="dxa"/>
              <w:right w:w="15" w:type="dxa"/>
            </w:tcMar>
            <w:vAlign w:val="bottom"/>
            <w:hideMark/>
          </w:tcPr>
          <w:p w14:paraId="2368E884" w14:textId="77777777" w:rsidR="00DB1FD9" w:rsidRDefault="00DB1FD9" w:rsidP="00DB1FD9">
            <w:pPr>
              <w:spacing w:after="0"/>
              <w:ind w:firstLineChars="300" w:firstLine="480"/>
              <w:rPr>
                <w:rFonts w:ascii="Arial" w:hAnsi="Arial" w:cs="Arial"/>
                <w:sz w:val="16"/>
                <w:szCs w:val="16"/>
              </w:rPr>
            </w:pPr>
            <w:r>
              <w:rPr>
                <w:rFonts w:ascii="Arial" w:hAnsi="Arial" w:cs="Arial"/>
                <w:sz w:val="16"/>
                <w:szCs w:val="16"/>
              </w:rPr>
              <w:t>Equity injection</w:t>
            </w:r>
          </w:p>
        </w:tc>
        <w:tc>
          <w:tcPr>
            <w:tcW w:w="1340" w:type="dxa"/>
            <w:tcBorders>
              <w:top w:val="nil"/>
              <w:left w:val="nil"/>
              <w:bottom w:val="nil"/>
              <w:right w:val="nil"/>
            </w:tcBorders>
            <w:shd w:val="clear" w:color="auto" w:fill="auto"/>
            <w:noWrap/>
            <w:tcMar>
              <w:top w:w="15" w:type="dxa"/>
              <w:left w:w="15" w:type="dxa"/>
              <w:bottom w:w="0" w:type="dxa"/>
              <w:right w:w="108" w:type="dxa"/>
            </w:tcMar>
            <w:vAlign w:val="bottom"/>
            <w:hideMark/>
          </w:tcPr>
          <w:p w14:paraId="0AACDA96" w14:textId="77777777" w:rsidR="00DB1FD9" w:rsidRDefault="00DB1FD9" w:rsidP="00DB1FD9">
            <w:pPr>
              <w:spacing w:after="0"/>
              <w:jc w:val="right"/>
              <w:rPr>
                <w:rFonts w:ascii="Arial" w:hAnsi="Arial" w:cs="Arial"/>
                <w:sz w:val="16"/>
                <w:szCs w:val="16"/>
              </w:rPr>
            </w:pPr>
            <w:r>
              <w:rPr>
                <w:rFonts w:ascii="Arial" w:hAnsi="Arial" w:cs="Arial"/>
                <w:sz w:val="16"/>
                <w:szCs w:val="16"/>
              </w:rPr>
              <w:t>22,104</w:t>
            </w:r>
          </w:p>
        </w:tc>
        <w:tc>
          <w:tcPr>
            <w:tcW w:w="1340" w:type="dxa"/>
            <w:tcBorders>
              <w:top w:val="nil"/>
              <w:left w:val="nil"/>
              <w:bottom w:val="nil"/>
              <w:right w:val="nil"/>
            </w:tcBorders>
            <w:shd w:val="clear" w:color="000000" w:fill="D9D9D9"/>
            <w:noWrap/>
            <w:tcMar>
              <w:top w:w="15" w:type="dxa"/>
              <w:left w:w="15" w:type="dxa"/>
              <w:bottom w:w="0" w:type="dxa"/>
              <w:right w:w="108" w:type="dxa"/>
            </w:tcMar>
            <w:vAlign w:val="bottom"/>
            <w:hideMark/>
          </w:tcPr>
          <w:p w14:paraId="244A5CAC" w14:textId="77777777" w:rsidR="00DB1FD9" w:rsidRDefault="00DB1FD9" w:rsidP="00DB1FD9">
            <w:pPr>
              <w:spacing w:after="0"/>
              <w:jc w:val="right"/>
              <w:rPr>
                <w:rFonts w:ascii="Arial" w:hAnsi="Arial" w:cs="Arial"/>
                <w:sz w:val="16"/>
                <w:szCs w:val="16"/>
              </w:rPr>
            </w:pPr>
            <w:r>
              <w:rPr>
                <w:rFonts w:ascii="Arial" w:hAnsi="Arial" w:cs="Arial"/>
                <w:sz w:val="16"/>
                <w:szCs w:val="16"/>
              </w:rPr>
              <w:t>18,406</w:t>
            </w:r>
          </w:p>
        </w:tc>
      </w:tr>
      <w:tr w:rsidR="00DB1FD9" w14:paraId="55AD6DB7" w14:textId="77777777" w:rsidTr="000E60A0">
        <w:trPr>
          <w:trHeight w:val="283"/>
        </w:trPr>
        <w:tc>
          <w:tcPr>
            <w:tcW w:w="4660" w:type="dxa"/>
            <w:tcBorders>
              <w:top w:val="nil"/>
              <w:left w:val="nil"/>
              <w:bottom w:val="nil"/>
              <w:right w:val="nil"/>
            </w:tcBorders>
            <w:shd w:val="clear" w:color="auto" w:fill="auto"/>
            <w:noWrap/>
            <w:tcMar>
              <w:top w:w="15" w:type="dxa"/>
              <w:left w:w="270" w:type="dxa"/>
              <w:bottom w:w="0" w:type="dxa"/>
              <w:right w:w="15" w:type="dxa"/>
            </w:tcMar>
            <w:vAlign w:val="bottom"/>
            <w:hideMark/>
          </w:tcPr>
          <w:p w14:paraId="3B01CB67" w14:textId="77777777" w:rsidR="00DB1FD9" w:rsidRDefault="00DB1FD9" w:rsidP="00DB1FD9">
            <w:pPr>
              <w:spacing w:after="0"/>
              <w:ind w:firstLineChars="200" w:firstLine="320"/>
              <w:rPr>
                <w:rFonts w:ascii="Arial" w:hAnsi="Arial" w:cs="Arial"/>
                <w:b/>
                <w:bCs/>
                <w:sz w:val="16"/>
                <w:szCs w:val="16"/>
              </w:rPr>
            </w:pPr>
            <w:r>
              <w:rPr>
                <w:rFonts w:ascii="Arial" w:hAnsi="Arial" w:cs="Arial"/>
                <w:b/>
                <w:bCs/>
                <w:sz w:val="16"/>
                <w:szCs w:val="16"/>
              </w:rPr>
              <w:t>Total annual appropriations</w:t>
            </w:r>
          </w:p>
        </w:tc>
        <w:tc>
          <w:tcPr>
            <w:tcW w:w="1340" w:type="dxa"/>
            <w:tcBorders>
              <w:top w:val="nil"/>
              <w:left w:val="nil"/>
              <w:bottom w:val="single" w:sz="4" w:space="0" w:color="auto"/>
              <w:right w:val="nil"/>
            </w:tcBorders>
            <w:shd w:val="clear" w:color="auto" w:fill="auto"/>
            <w:noWrap/>
            <w:tcMar>
              <w:top w:w="15" w:type="dxa"/>
              <w:left w:w="15" w:type="dxa"/>
              <w:bottom w:w="0" w:type="dxa"/>
              <w:right w:w="108" w:type="dxa"/>
            </w:tcMar>
            <w:vAlign w:val="bottom"/>
            <w:hideMark/>
          </w:tcPr>
          <w:p w14:paraId="4EE51286" w14:textId="77777777" w:rsidR="00DB1FD9" w:rsidRDefault="00DB1FD9" w:rsidP="00DB1FD9">
            <w:pPr>
              <w:spacing w:after="0"/>
              <w:jc w:val="right"/>
              <w:rPr>
                <w:rFonts w:ascii="Arial" w:hAnsi="Arial" w:cs="Arial"/>
                <w:b/>
                <w:bCs/>
                <w:sz w:val="16"/>
                <w:szCs w:val="16"/>
              </w:rPr>
            </w:pPr>
            <w:r>
              <w:rPr>
                <w:rFonts w:ascii="Arial" w:hAnsi="Arial" w:cs="Arial"/>
                <w:b/>
                <w:bCs/>
                <w:sz w:val="16"/>
                <w:szCs w:val="16"/>
              </w:rPr>
              <w:t>245,449</w:t>
            </w:r>
          </w:p>
        </w:tc>
        <w:tc>
          <w:tcPr>
            <w:tcW w:w="1340" w:type="dxa"/>
            <w:tcBorders>
              <w:top w:val="nil"/>
              <w:left w:val="nil"/>
              <w:bottom w:val="single" w:sz="4" w:space="0" w:color="auto"/>
              <w:right w:val="nil"/>
            </w:tcBorders>
            <w:shd w:val="clear" w:color="000000" w:fill="D9D9D9"/>
            <w:noWrap/>
            <w:tcMar>
              <w:top w:w="15" w:type="dxa"/>
              <w:left w:w="15" w:type="dxa"/>
              <w:bottom w:w="0" w:type="dxa"/>
              <w:right w:w="108" w:type="dxa"/>
            </w:tcMar>
            <w:vAlign w:val="bottom"/>
            <w:hideMark/>
          </w:tcPr>
          <w:p w14:paraId="45046BEE" w14:textId="77777777" w:rsidR="00DB1FD9" w:rsidRDefault="00DB1FD9" w:rsidP="00DB1FD9">
            <w:pPr>
              <w:spacing w:after="0"/>
              <w:jc w:val="right"/>
              <w:rPr>
                <w:rFonts w:ascii="Arial" w:hAnsi="Arial" w:cs="Arial"/>
                <w:b/>
                <w:bCs/>
                <w:sz w:val="16"/>
                <w:szCs w:val="16"/>
              </w:rPr>
            </w:pPr>
            <w:r>
              <w:rPr>
                <w:rFonts w:ascii="Arial" w:hAnsi="Arial" w:cs="Arial"/>
                <w:b/>
                <w:bCs/>
                <w:sz w:val="16"/>
                <w:szCs w:val="16"/>
              </w:rPr>
              <w:t>226,665</w:t>
            </w:r>
          </w:p>
        </w:tc>
      </w:tr>
      <w:tr w:rsidR="00DB1FD9" w14:paraId="374B4BDA" w14:textId="77777777" w:rsidTr="000E60A0">
        <w:trPr>
          <w:trHeight w:val="283"/>
        </w:trPr>
        <w:tc>
          <w:tcPr>
            <w:tcW w:w="4660" w:type="dxa"/>
            <w:tcBorders>
              <w:top w:val="nil"/>
              <w:left w:val="nil"/>
              <w:bottom w:val="nil"/>
              <w:right w:val="nil"/>
            </w:tcBorders>
            <w:shd w:val="clear" w:color="auto" w:fill="auto"/>
            <w:noWrap/>
            <w:tcMar>
              <w:top w:w="15" w:type="dxa"/>
              <w:left w:w="135" w:type="dxa"/>
              <w:bottom w:w="0" w:type="dxa"/>
              <w:right w:w="15" w:type="dxa"/>
            </w:tcMar>
            <w:vAlign w:val="bottom"/>
            <w:hideMark/>
          </w:tcPr>
          <w:p w14:paraId="7956E0AA" w14:textId="77777777" w:rsidR="00DB1FD9" w:rsidRDefault="00DB1FD9" w:rsidP="00DB1FD9">
            <w:pPr>
              <w:spacing w:after="0"/>
              <w:ind w:firstLineChars="100" w:firstLine="160"/>
              <w:rPr>
                <w:rFonts w:ascii="Arial" w:hAnsi="Arial" w:cs="Arial"/>
                <w:b/>
                <w:bCs/>
                <w:sz w:val="16"/>
                <w:szCs w:val="16"/>
              </w:rPr>
            </w:pPr>
            <w:r>
              <w:rPr>
                <w:rFonts w:ascii="Arial" w:hAnsi="Arial" w:cs="Arial"/>
                <w:b/>
                <w:bCs/>
                <w:sz w:val="16"/>
                <w:szCs w:val="16"/>
              </w:rPr>
              <w:t>Amounts received from related entities</w:t>
            </w:r>
            <w:r>
              <w:rPr>
                <w:rFonts w:ascii="Arial" w:hAnsi="Arial" w:cs="Arial"/>
                <w:b/>
                <w:bCs/>
                <w:sz w:val="16"/>
                <w:szCs w:val="16"/>
                <w:vertAlign w:val="superscript"/>
              </w:rPr>
              <w:t xml:space="preserve"> (c)</w:t>
            </w:r>
          </w:p>
        </w:tc>
        <w:tc>
          <w:tcPr>
            <w:tcW w:w="1340" w:type="dxa"/>
            <w:tcBorders>
              <w:top w:val="nil"/>
              <w:left w:val="nil"/>
              <w:bottom w:val="nil"/>
              <w:right w:val="nil"/>
            </w:tcBorders>
            <w:shd w:val="clear" w:color="auto" w:fill="auto"/>
            <w:noWrap/>
            <w:tcMar>
              <w:top w:w="15" w:type="dxa"/>
              <w:left w:w="15" w:type="dxa"/>
              <w:bottom w:w="0" w:type="dxa"/>
              <w:right w:w="108" w:type="dxa"/>
            </w:tcMar>
            <w:vAlign w:val="bottom"/>
            <w:hideMark/>
          </w:tcPr>
          <w:p w14:paraId="14F5DC23" w14:textId="77777777" w:rsidR="00DB1FD9" w:rsidRDefault="00DB1FD9" w:rsidP="00DB1FD9">
            <w:pPr>
              <w:spacing w:after="0"/>
              <w:ind w:firstLineChars="100" w:firstLine="160"/>
              <w:rPr>
                <w:rFonts w:ascii="Arial" w:hAnsi="Arial" w:cs="Arial"/>
                <w:b/>
                <w:bCs/>
                <w:sz w:val="16"/>
                <w:szCs w:val="16"/>
              </w:rPr>
            </w:pPr>
          </w:p>
        </w:tc>
        <w:tc>
          <w:tcPr>
            <w:tcW w:w="1340" w:type="dxa"/>
            <w:tcBorders>
              <w:top w:val="nil"/>
              <w:left w:val="nil"/>
              <w:bottom w:val="nil"/>
              <w:right w:val="nil"/>
            </w:tcBorders>
            <w:shd w:val="clear" w:color="000000" w:fill="D9D9D9"/>
            <w:noWrap/>
            <w:tcMar>
              <w:top w:w="15" w:type="dxa"/>
              <w:left w:w="15" w:type="dxa"/>
              <w:bottom w:w="0" w:type="dxa"/>
              <w:right w:w="108" w:type="dxa"/>
            </w:tcMar>
            <w:vAlign w:val="bottom"/>
            <w:hideMark/>
          </w:tcPr>
          <w:p w14:paraId="370AE04A" w14:textId="77777777" w:rsidR="00DB1FD9" w:rsidRDefault="00DB1FD9" w:rsidP="00DB1FD9">
            <w:pPr>
              <w:spacing w:after="0"/>
              <w:jc w:val="right"/>
              <w:rPr>
                <w:rFonts w:ascii="Arial" w:hAnsi="Arial" w:cs="Arial"/>
                <w:sz w:val="16"/>
                <w:szCs w:val="16"/>
              </w:rPr>
            </w:pPr>
            <w:r>
              <w:rPr>
                <w:rFonts w:ascii="Arial" w:hAnsi="Arial" w:cs="Arial"/>
                <w:sz w:val="16"/>
                <w:szCs w:val="16"/>
              </w:rPr>
              <w:t> </w:t>
            </w:r>
          </w:p>
        </w:tc>
      </w:tr>
      <w:tr w:rsidR="00DB1FD9" w14:paraId="2F14F5C0" w14:textId="77777777" w:rsidTr="000E60A0">
        <w:trPr>
          <w:trHeight w:val="225"/>
        </w:trPr>
        <w:tc>
          <w:tcPr>
            <w:tcW w:w="4660" w:type="dxa"/>
            <w:tcBorders>
              <w:top w:val="nil"/>
              <w:left w:val="nil"/>
              <w:bottom w:val="nil"/>
              <w:right w:val="nil"/>
            </w:tcBorders>
            <w:shd w:val="clear" w:color="auto" w:fill="auto"/>
            <w:noWrap/>
            <w:tcMar>
              <w:top w:w="15" w:type="dxa"/>
              <w:left w:w="270" w:type="dxa"/>
              <w:bottom w:w="0" w:type="dxa"/>
              <w:right w:w="15" w:type="dxa"/>
            </w:tcMar>
            <w:vAlign w:val="bottom"/>
            <w:hideMark/>
          </w:tcPr>
          <w:p w14:paraId="5EA9C349" w14:textId="77777777" w:rsidR="00DB1FD9" w:rsidRDefault="00DB1FD9" w:rsidP="00DB1FD9">
            <w:pPr>
              <w:spacing w:after="0"/>
              <w:ind w:firstLineChars="200" w:firstLine="320"/>
              <w:rPr>
                <w:rFonts w:ascii="Arial" w:hAnsi="Arial" w:cs="Arial"/>
                <w:sz w:val="16"/>
                <w:szCs w:val="16"/>
              </w:rPr>
            </w:pPr>
            <w:r>
              <w:rPr>
                <w:rFonts w:ascii="Arial" w:hAnsi="Arial" w:cs="Arial"/>
                <w:sz w:val="16"/>
                <w:szCs w:val="16"/>
              </w:rPr>
              <w:t>Amounts from the Portfolio Department</w:t>
            </w:r>
          </w:p>
        </w:tc>
        <w:tc>
          <w:tcPr>
            <w:tcW w:w="1340" w:type="dxa"/>
            <w:tcBorders>
              <w:top w:val="nil"/>
              <w:left w:val="nil"/>
              <w:bottom w:val="nil"/>
              <w:right w:val="nil"/>
            </w:tcBorders>
            <w:shd w:val="clear" w:color="auto" w:fill="auto"/>
            <w:noWrap/>
            <w:tcMar>
              <w:top w:w="15" w:type="dxa"/>
              <w:left w:w="15" w:type="dxa"/>
              <w:bottom w:w="0" w:type="dxa"/>
              <w:right w:w="108" w:type="dxa"/>
            </w:tcMar>
            <w:vAlign w:val="bottom"/>
            <w:hideMark/>
          </w:tcPr>
          <w:p w14:paraId="31B5A03C" w14:textId="77777777" w:rsidR="00DB1FD9" w:rsidRDefault="00DB1FD9" w:rsidP="00DB1FD9">
            <w:pPr>
              <w:spacing w:after="0"/>
              <w:jc w:val="right"/>
              <w:rPr>
                <w:rFonts w:ascii="Arial" w:hAnsi="Arial" w:cs="Arial"/>
                <w:sz w:val="16"/>
                <w:szCs w:val="16"/>
              </w:rPr>
            </w:pPr>
            <w:r>
              <w:rPr>
                <w:rFonts w:ascii="Arial" w:hAnsi="Arial" w:cs="Arial"/>
                <w:sz w:val="16"/>
                <w:szCs w:val="16"/>
              </w:rPr>
              <w:t>-</w:t>
            </w:r>
          </w:p>
        </w:tc>
        <w:tc>
          <w:tcPr>
            <w:tcW w:w="1340" w:type="dxa"/>
            <w:tcBorders>
              <w:top w:val="nil"/>
              <w:left w:val="nil"/>
              <w:bottom w:val="nil"/>
              <w:right w:val="nil"/>
            </w:tcBorders>
            <w:shd w:val="clear" w:color="000000" w:fill="D9D9D9"/>
            <w:noWrap/>
            <w:tcMar>
              <w:top w:w="15" w:type="dxa"/>
              <w:left w:w="15" w:type="dxa"/>
              <w:bottom w:w="0" w:type="dxa"/>
              <w:right w:w="108" w:type="dxa"/>
            </w:tcMar>
            <w:vAlign w:val="bottom"/>
            <w:hideMark/>
          </w:tcPr>
          <w:p w14:paraId="1FD0FA09" w14:textId="77777777" w:rsidR="00DB1FD9" w:rsidRDefault="00DB1FD9" w:rsidP="00DB1FD9">
            <w:pPr>
              <w:spacing w:after="0"/>
              <w:jc w:val="right"/>
              <w:rPr>
                <w:rFonts w:ascii="Arial" w:hAnsi="Arial" w:cs="Arial"/>
                <w:sz w:val="16"/>
                <w:szCs w:val="16"/>
              </w:rPr>
            </w:pPr>
            <w:r>
              <w:rPr>
                <w:rFonts w:ascii="Arial" w:hAnsi="Arial" w:cs="Arial"/>
                <w:sz w:val="16"/>
                <w:szCs w:val="16"/>
              </w:rPr>
              <w:t>-</w:t>
            </w:r>
          </w:p>
        </w:tc>
      </w:tr>
      <w:tr w:rsidR="00DB1FD9" w14:paraId="083F47EB" w14:textId="77777777" w:rsidTr="000E60A0">
        <w:trPr>
          <w:trHeight w:val="225"/>
        </w:trPr>
        <w:tc>
          <w:tcPr>
            <w:tcW w:w="4660" w:type="dxa"/>
            <w:tcBorders>
              <w:top w:val="nil"/>
              <w:left w:val="nil"/>
              <w:bottom w:val="nil"/>
              <w:right w:val="nil"/>
            </w:tcBorders>
            <w:shd w:val="clear" w:color="auto" w:fill="auto"/>
            <w:noWrap/>
            <w:tcMar>
              <w:top w:w="15" w:type="dxa"/>
              <w:left w:w="270" w:type="dxa"/>
              <w:bottom w:w="0" w:type="dxa"/>
              <w:right w:w="15" w:type="dxa"/>
            </w:tcMar>
            <w:vAlign w:val="bottom"/>
            <w:hideMark/>
          </w:tcPr>
          <w:p w14:paraId="52248F5B" w14:textId="77777777" w:rsidR="00DB1FD9" w:rsidRDefault="00DB1FD9" w:rsidP="00DB1FD9">
            <w:pPr>
              <w:spacing w:after="0"/>
              <w:ind w:firstLineChars="200" w:firstLine="320"/>
              <w:rPr>
                <w:rFonts w:ascii="Arial" w:hAnsi="Arial" w:cs="Arial"/>
                <w:sz w:val="16"/>
                <w:szCs w:val="16"/>
              </w:rPr>
            </w:pPr>
            <w:r>
              <w:rPr>
                <w:rFonts w:ascii="Arial" w:hAnsi="Arial" w:cs="Arial"/>
                <w:sz w:val="16"/>
                <w:szCs w:val="16"/>
              </w:rPr>
              <w:t>Amounts from other entities</w:t>
            </w:r>
          </w:p>
        </w:tc>
        <w:tc>
          <w:tcPr>
            <w:tcW w:w="1340" w:type="dxa"/>
            <w:tcBorders>
              <w:top w:val="nil"/>
              <w:left w:val="nil"/>
              <w:bottom w:val="nil"/>
              <w:right w:val="nil"/>
            </w:tcBorders>
            <w:shd w:val="clear" w:color="auto" w:fill="auto"/>
            <w:noWrap/>
            <w:tcMar>
              <w:top w:w="15" w:type="dxa"/>
              <w:left w:w="15" w:type="dxa"/>
              <w:bottom w:w="0" w:type="dxa"/>
              <w:right w:w="108" w:type="dxa"/>
            </w:tcMar>
            <w:vAlign w:val="bottom"/>
            <w:hideMark/>
          </w:tcPr>
          <w:p w14:paraId="5F9C7045" w14:textId="77777777" w:rsidR="00DB1FD9" w:rsidRDefault="00DB1FD9" w:rsidP="00DB1FD9">
            <w:pPr>
              <w:spacing w:after="0"/>
              <w:jc w:val="right"/>
              <w:rPr>
                <w:rFonts w:ascii="Arial" w:hAnsi="Arial" w:cs="Arial"/>
                <w:sz w:val="16"/>
                <w:szCs w:val="16"/>
              </w:rPr>
            </w:pPr>
            <w:r>
              <w:rPr>
                <w:rFonts w:ascii="Arial" w:hAnsi="Arial" w:cs="Arial"/>
                <w:sz w:val="16"/>
                <w:szCs w:val="16"/>
              </w:rPr>
              <w:t>-</w:t>
            </w:r>
          </w:p>
        </w:tc>
        <w:tc>
          <w:tcPr>
            <w:tcW w:w="1340" w:type="dxa"/>
            <w:tcBorders>
              <w:top w:val="nil"/>
              <w:left w:val="nil"/>
              <w:bottom w:val="nil"/>
              <w:right w:val="nil"/>
            </w:tcBorders>
            <w:shd w:val="clear" w:color="000000" w:fill="D9D9D9"/>
            <w:noWrap/>
            <w:tcMar>
              <w:top w:w="15" w:type="dxa"/>
              <w:left w:w="15" w:type="dxa"/>
              <w:bottom w:w="0" w:type="dxa"/>
              <w:right w:w="108" w:type="dxa"/>
            </w:tcMar>
            <w:vAlign w:val="bottom"/>
            <w:hideMark/>
          </w:tcPr>
          <w:p w14:paraId="0F8BFB95" w14:textId="77777777" w:rsidR="00DB1FD9" w:rsidRDefault="00DB1FD9" w:rsidP="00DB1FD9">
            <w:pPr>
              <w:spacing w:after="0"/>
              <w:jc w:val="right"/>
              <w:rPr>
                <w:rFonts w:ascii="Arial" w:hAnsi="Arial" w:cs="Arial"/>
                <w:sz w:val="16"/>
                <w:szCs w:val="16"/>
              </w:rPr>
            </w:pPr>
            <w:r>
              <w:rPr>
                <w:rFonts w:ascii="Arial" w:hAnsi="Arial" w:cs="Arial"/>
                <w:sz w:val="16"/>
                <w:szCs w:val="16"/>
              </w:rPr>
              <w:t>-</w:t>
            </w:r>
          </w:p>
        </w:tc>
      </w:tr>
      <w:tr w:rsidR="00DB1FD9" w14:paraId="6EEA967A" w14:textId="77777777" w:rsidTr="000E60A0">
        <w:trPr>
          <w:trHeight w:val="225"/>
        </w:trPr>
        <w:tc>
          <w:tcPr>
            <w:tcW w:w="4660" w:type="dxa"/>
            <w:tcBorders>
              <w:top w:val="nil"/>
              <w:left w:val="nil"/>
              <w:bottom w:val="nil"/>
              <w:right w:val="nil"/>
            </w:tcBorders>
            <w:shd w:val="clear" w:color="auto" w:fill="auto"/>
            <w:noWrap/>
            <w:tcMar>
              <w:top w:w="15" w:type="dxa"/>
              <w:left w:w="270" w:type="dxa"/>
              <w:bottom w:w="0" w:type="dxa"/>
              <w:right w:w="15" w:type="dxa"/>
            </w:tcMar>
            <w:vAlign w:val="bottom"/>
            <w:hideMark/>
          </w:tcPr>
          <w:p w14:paraId="7EB6AC1A" w14:textId="77777777" w:rsidR="00DB1FD9" w:rsidRDefault="00DB1FD9" w:rsidP="00DB1FD9">
            <w:pPr>
              <w:spacing w:after="0"/>
              <w:ind w:firstLineChars="200" w:firstLine="320"/>
              <w:rPr>
                <w:rFonts w:ascii="Arial" w:hAnsi="Arial" w:cs="Arial"/>
                <w:b/>
                <w:bCs/>
                <w:sz w:val="16"/>
                <w:szCs w:val="16"/>
              </w:rPr>
            </w:pPr>
            <w:r>
              <w:rPr>
                <w:rFonts w:ascii="Arial" w:hAnsi="Arial" w:cs="Arial"/>
                <w:b/>
                <w:bCs/>
                <w:sz w:val="16"/>
                <w:szCs w:val="16"/>
              </w:rPr>
              <w:t>Total amounts received from related entities</w:t>
            </w:r>
          </w:p>
        </w:tc>
        <w:tc>
          <w:tcPr>
            <w:tcW w:w="1340" w:type="dxa"/>
            <w:tcBorders>
              <w:top w:val="nil"/>
              <w:left w:val="nil"/>
              <w:bottom w:val="single" w:sz="4" w:space="0" w:color="auto"/>
              <w:right w:val="nil"/>
            </w:tcBorders>
            <w:shd w:val="clear" w:color="auto" w:fill="auto"/>
            <w:noWrap/>
            <w:tcMar>
              <w:top w:w="15" w:type="dxa"/>
              <w:left w:w="15" w:type="dxa"/>
              <w:bottom w:w="0" w:type="dxa"/>
              <w:right w:w="108" w:type="dxa"/>
            </w:tcMar>
            <w:vAlign w:val="bottom"/>
            <w:hideMark/>
          </w:tcPr>
          <w:p w14:paraId="40F56851" w14:textId="77777777" w:rsidR="00DB1FD9" w:rsidRDefault="00DB1FD9" w:rsidP="00DB1FD9">
            <w:pPr>
              <w:spacing w:after="0"/>
              <w:jc w:val="right"/>
              <w:rPr>
                <w:rFonts w:ascii="Arial" w:hAnsi="Arial" w:cs="Arial"/>
                <w:b/>
                <w:bCs/>
                <w:sz w:val="16"/>
                <w:szCs w:val="16"/>
              </w:rPr>
            </w:pPr>
            <w:r>
              <w:rPr>
                <w:rFonts w:ascii="Arial" w:hAnsi="Arial" w:cs="Arial"/>
                <w:b/>
                <w:bCs/>
                <w:sz w:val="16"/>
                <w:szCs w:val="16"/>
              </w:rPr>
              <w:t>-</w:t>
            </w:r>
          </w:p>
        </w:tc>
        <w:tc>
          <w:tcPr>
            <w:tcW w:w="1340" w:type="dxa"/>
            <w:tcBorders>
              <w:top w:val="nil"/>
              <w:left w:val="nil"/>
              <w:bottom w:val="single" w:sz="4" w:space="0" w:color="auto"/>
              <w:right w:val="nil"/>
            </w:tcBorders>
            <w:shd w:val="clear" w:color="000000" w:fill="D9D9D9"/>
            <w:noWrap/>
            <w:tcMar>
              <w:top w:w="15" w:type="dxa"/>
              <w:left w:w="15" w:type="dxa"/>
              <w:bottom w:w="0" w:type="dxa"/>
              <w:right w:w="108" w:type="dxa"/>
            </w:tcMar>
            <w:vAlign w:val="bottom"/>
            <w:hideMark/>
          </w:tcPr>
          <w:p w14:paraId="21AFC378" w14:textId="77777777" w:rsidR="00DB1FD9" w:rsidRDefault="00DB1FD9" w:rsidP="00DB1FD9">
            <w:pPr>
              <w:spacing w:after="0"/>
              <w:jc w:val="right"/>
              <w:rPr>
                <w:rFonts w:ascii="Arial" w:hAnsi="Arial" w:cs="Arial"/>
                <w:b/>
                <w:bCs/>
                <w:sz w:val="16"/>
                <w:szCs w:val="16"/>
              </w:rPr>
            </w:pPr>
            <w:r>
              <w:rPr>
                <w:rFonts w:ascii="Arial" w:hAnsi="Arial" w:cs="Arial"/>
                <w:b/>
                <w:bCs/>
                <w:sz w:val="16"/>
                <w:szCs w:val="16"/>
              </w:rPr>
              <w:t>-</w:t>
            </w:r>
          </w:p>
        </w:tc>
      </w:tr>
      <w:tr w:rsidR="00DB1FD9" w14:paraId="1EDBA919" w14:textId="77777777" w:rsidTr="000E60A0">
        <w:trPr>
          <w:trHeight w:val="283"/>
        </w:trPr>
        <w:tc>
          <w:tcPr>
            <w:tcW w:w="4660" w:type="dxa"/>
            <w:tcBorders>
              <w:top w:val="nil"/>
              <w:left w:val="nil"/>
              <w:bottom w:val="nil"/>
              <w:right w:val="nil"/>
            </w:tcBorders>
            <w:shd w:val="clear" w:color="auto" w:fill="auto"/>
            <w:noWrap/>
            <w:tcMar>
              <w:top w:w="15" w:type="dxa"/>
              <w:left w:w="135" w:type="dxa"/>
              <w:bottom w:w="0" w:type="dxa"/>
              <w:right w:w="15" w:type="dxa"/>
            </w:tcMar>
            <w:vAlign w:val="bottom"/>
            <w:hideMark/>
          </w:tcPr>
          <w:p w14:paraId="389BB5E4" w14:textId="77777777" w:rsidR="00DB1FD9" w:rsidRDefault="00DB1FD9" w:rsidP="00DB1FD9">
            <w:pPr>
              <w:spacing w:after="0"/>
              <w:ind w:firstLineChars="100" w:firstLine="160"/>
              <w:rPr>
                <w:rFonts w:ascii="Arial" w:hAnsi="Arial" w:cs="Arial"/>
                <w:b/>
                <w:bCs/>
                <w:sz w:val="16"/>
                <w:szCs w:val="16"/>
              </w:rPr>
            </w:pPr>
            <w:r>
              <w:rPr>
                <w:rFonts w:ascii="Arial" w:hAnsi="Arial" w:cs="Arial"/>
                <w:b/>
                <w:bCs/>
                <w:sz w:val="16"/>
                <w:szCs w:val="16"/>
              </w:rPr>
              <w:t>Total funds from Government</w:t>
            </w:r>
          </w:p>
        </w:tc>
        <w:tc>
          <w:tcPr>
            <w:tcW w:w="1340" w:type="dxa"/>
            <w:tcBorders>
              <w:top w:val="nil"/>
              <w:left w:val="nil"/>
              <w:bottom w:val="single" w:sz="4" w:space="0" w:color="auto"/>
              <w:right w:val="nil"/>
            </w:tcBorders>
            <w:shd w:val="clear" w:color="auto" w:fill="auto"/>
            <w:noWrap/>
            <w:tcMar>
              <w:top w:w="15" w:type="dxa"/>
              <w:left w:w="15" w:type="dxa"/>
              <w:bottom w:w="0" w:type="dxa"/>
              <w:right w:w="108" w:type="dxa"/>
            </w:tcMar>
            <w:vAlign w:val="bottom"/>
            <w:hideMark/>
          </w:tcPr>
          <w:p w14:paraId="489DB123" w14:textId="77777777" w:rsidR="00DB1FD9" w:rsidRDefault="00DB1FD9" w:rsidP="00DB1FD9">
            <w:pPr>
              <w:spacing w:after="0"/>
              <w:jc w:val="right"/>
              <w:rPr>
                <w:rFonts w:ascii="Arial" w:hAnsi="Arial" w:cs="Arial"/>
                <w:b/>
                <w:bCs/>
                <w:sz w:val="16"/>
                <w:szCs w:val="16"/>
              </w:rPr>
            </w:pPr>
            <w:r>
              <w:rPr>
                <w:rFonts w:ascii="Arial" w:hAnsi="Arial" w:cs="Arial"/>
                <w:b/>
                <w:bCs/>
                <w:sz w:val="16"/>
                <w:szCs w:val="16"/>
              </w:rPr>
              <w:t>245,449</w:t>
            </w:r>
          </w:p>
        </w:tc>
        <w:tc>
          <w:tcPr>
            <w:tcW w:w="1340" w:type="dxa"/>
            <w:tcBorders>
              <w:top w:val="nil"/>
              <w:left w:val="nil"/>
              <w:bottom w:val="single" w:sz="4" w:space="0" w:color="auto"/>
              <w:right w:val="nil"/>
            </w:tcBorders>
            <w:shd w:val="clear" w:color="000000" w:fill="D9D9D9"/>
            <w:noWrap/>
            <w:tcMar>
              <w:top w:w="15" w:type="dxa"/>
              <w:left w:w="15" w:type="dxa"/>
              <w:bottom w:w="0" w:type="dxa"/>
              <w:right w:w="108" w:type="dxa"/>
            </w:tcMar>
            <w:vAlign w:val="bottom"/>
            <w:hideMark/>
          </w:tcPr>
          <w:p w14:paraId="64A1663A" w14:textId="77777777" w:rsidR="00DB1FD9" w:rsidRDefault="00DB1FD9" w:rsidP="00DB1FD9">
            <w:pPr>
              <w:spacing w:after="0"/>
              <w:jc w:val="right"/>
              <w:rPr>
                <w:rFonts w:ascii="Arial" w:hAnsi="Arial" w:cs="Arial"/>
                <w:b/>
                <w:bCs/>
                <w:sz w:val="16"/>
                <w:szCs w:val="16"/>
              </w:rPr>
            </w:pPr>
            <w:r>
              <w:rPr>
                <w:rFonts w:ascii="Arial" w:hAnsi="Arial" w:cs="Arial"/>
                <w:b/>
                <w:bCs/>
                <w:sz w:val="16"/>
                <w:szCs w:val="16"/>
              </w:rPr>
              <w:t>226,665</w:t>
            </w:r>
          </w:p>
        </w:tc>
      </w:tr>
      <w:tr w:rsidR="00DB1FD9" w14:paraId="2D7A7B7F" w14:textId="77777777" w:rsidTr="000E60A0">
        <w:trPr>
          <w:trHeight w:val="283"/>
        </w:trPr>
        <w:tc>
          <w:tcPr>
            <w:tcW w:w="4660" w:type="dxa"/>
            <w:tcBorders>
              <w:top w:val="nil"/>
              <w:left w:val="nil"/>
              <w:bottom w:val="nil"/>
              <w:right w:val="nil"/>
            </w:tcBorders>
            <w:shd w:val="clear" w:color="auto" w:fill="auto"/>
            <w:noWrap/>
            <w:tcMar>
              <w:top w:w="15" w:type="dxa"/>
              <w:left w:w="15" w:type="dxa"/>
              <w:bottom w:w="0" w:type="dxa"/>
              <w:right w:w="15" w:type="dxa"/>
            </w:tcMar>
            <w:vAlign w:val="bottom"/>
            <w:hideMark/>
          </w:tcPr>
          <w:p w14:paraId="6BF2D861" w14:textId="77777777" w:rsidR="00DB1FD9" w:rsidRDefault="00DB1FD9" w:rsidP="00DB1FD9">
            <w:pPr>
              <w:spacing w:after="0"/>
              <w:rPr>
                <w:rFonts w:ascii="Arial" w:hAnsi="Arial" w:cs="Arial"/>
                <w:b/>
                <w:bCs/>
                <w:sz w:val="16"/>
                <w:szCs w:val="16"/>
              </w:rPr>
            </w:pPr>
            <w:r>
              <w:rPr>
                <w:rFonts w:ascii="Arial" w:hAnsi="Arial" w:cs="Arial"/>
                <w:b/>
                <w:bCs/>
                <w:sz w:val="16"/>
                <w:szCs w:val="16"/>
              </w:rPr>
              <w:t>Funds from other sources</w:t>
            </w:r>
          </w:p>
        </w:tc>
        <w:tc>
          <w:tcPr>
            <w:tcW w:w="1340" w:type="dxa"/>
            <w:tcBorders>
              <w:top w:val="nil"/>
              <w:left w:val="nil"/>
              <w:bottom w:val="nil"/>
              <w:right w:val="nil"/>
            </w:tcBorders>
            <w:shd w:val="clear" w:color="auto" w:fill="auto"/>
            <w:noWrap/>
            <w:tcMar>
              <w:top w:w="15" w:type="dxa"/>
              <w:left w:w="15" w:type="dxa"/>
              <w:bottom w:w="0" w:type="dxa"/>
              <w:right w:w="108" w:type="dxa"/>
            </w:tcMar>
            <w:vAlign w:val="bottom"/>
            <w:hideMark/>
          </w:tcPr>
          <w:p w14:paraId="5E63F932" w14:textId="77777777" w:rsidR="00DB1FD9" w:rsidRDefault="00DB1FD9" w:rsidP="00DB1FD9">
            <w:pPr>
              <w:spacing w:after="0"/>
              <w:rPr>
                <w:rFonts w:ascii="Arial" w:hAnsi="Arial" w:cs="Arial"/>
                <w:b/>
                <w:bCs/>
                <w:sz w:val="16"/>
                <w:szCs w:val="16"/>
              </w:rPr>
            </w:pPr>
          </w:p>
        </w:tc>
        <w:tc>
          <w:tcPr>
            <w:tcW w:w="1340" w:type="dxa"/>
            <w:tcBorders>
              <w:top w:val="nil"/>
              <w:left w:val="nil"/>
              <w:bottom w:val="nil"/>
              <w:right w:val="nil"/>
            </w:tcBorders>
            <w:shd w:val="clear" w:color="000000" w:fill="D9D9D9"/>
            <w:noWrap/>
            <w:tcMar>
              <w:top w:w="15" w:type="dxa"/>
              <w:left w:w="15" w:type="dxa"/>
              <w:bottom w:w="0" w:type="dxa"/>
              <w:right w:w="108" w:type="dxa"/>
            </w:tcMar>
            <w:vAlign w:val="bottom"/>
            <w:hideMark/>
          </w:tcPr>
          <w:p w14:paraId="3C5BEC06" w14:textId="77777777" w:rsidR="00DB1FD9" w:rsidRDefault="00DB1FD9" w:rsidP="00DB1FD9">
            <w:pPr>
              <w:spacing w:after="0"/>
              <w:jc w:val="right"/>
              <w:rPr>
                <w:rFonts w:ascii="Arial" w:hAnsi="Arial" w:cs="Arial"/>
                <w:sz w:val="16"/>
                <w:szCs w:val="16"/>
              </w:rPr>
            </w:pPr>
            <w:r>
              <w:rPr>
                <w:rFonts w:ascii="Arial" w:hAnsi="Arial" w:cs="Arial"/>
                <w:sz w:val="16"/>
                <w:szCs w:val="16"/>
              </w:rPr>
              <w:t> </w:t>
            </w:r>
          </w:p>
        </w:tc>
      </w:tr>
      <w:tr w:rsidR="00DB1FD9" w14:paraId="55F3AE32" w14:textId="77777777" w:rsidTr="000E60A0">
        <w:trPr>
          <w:trHeight w:val="225"/>
        </w:trPr>
        <w:tc>
          <w:tcPr>
            <w:tcW w:w="4660" w:type="dxa"/>
            <w:tcBorders>
              <w:top w:val="nil"/>
              <w:left w:val="nil"/>
              <w:bottom w:val="nil"/>
              <w:right w:val="nil"/>
            </w:tcBorders>
            <w:shd w:val="clear" w:color="auto" w:fill="auto"/>
            <w:noWrap/>
            <w:tcMar>
              <w:top w:w="15" w:type="dxa"/>
              <w:left w:w="135" w:type="dxa"/>
              <w:bottom w:w="0" w:type="dxa"/>
              <w:right w:w="15" w:type="dxa"/>
            </w:tcMar>
            <w:vAlign w:val="bottom"/>
            <w:hideMark/>
          </w:tcPr>
          <w:p w14:paraId="4EE07E65" w14:textId="77777777" w:rsidR="00DB1FD9" w:rsidRDefault="00DB1FD9" w:rsidP="00DB1FD9">
            <w:pPr>
              <w:spacing w:after="0"/>
              <w:ind w:firstLineChars="100" w:firstLine="160"/>
              <w:rPr>
                <w:rFonts w:ascii="Arial" w:hAnsi="Arial" w:cs="Arial"/>
                <w:sz w:val="16"/>
                <w:szCs w:val="16"/>
              </w:rPr>
            </w:pPr>
            <w:r>
              <w:rPr>
                <w:rFonts w:ascii="Arial" w:hAnsi="Arial" w:cs="Arial"/>
                <w:sz w:val="16"/>
                <w:szCs w:val="16"/>
              </w:rPr>
              <w:t>Interest</w:t>
            </w:r>
          </w:p>
        </w:tc>
        <w:tc>
          <w:tcPr>
            <w:tcW w:w="1340" w:type="dxa"/>
            <w:tcBorders>
              <w:top w:val="nil"/>
              <w:left w:val="nil"/>
              <w:bottom w:val="nil"/>
              <w:right w:val="nil"/>
            </w:tcBorders>
            <w:shd w:val="clear" w:color="auto" w:fill="auto"/>
            <w:noWrap/>
            <w:tcMar>
              <w:top w:w="15" w:type="dxa"/>
              <w:left w:w="15" w:type="dxa"/>
              <w:bottom w:w="0" w:type="dxa"/>
              <w:right w:w="108" w:type="dxa"/>
            </w:tcMar>
            <w:vAlign w:val="bottom"/>
            <w:hideMark/>
          </w:tcPr>
          <w:p w14:paraId="155DB891" w14:textId="77777777" w:rsidR="00DB1FD9" w:rsidRDefault="00DB1FD9" w:rsidP="00DB1FD9">
            <w:pPr>
              <w:spacing w:after="0"/>
              <w:jc w:val="right"/>
              <w:rPr>
                <w:rFonts w:ascii="Arial" w:hAnsi="Arial" w:cs="Arial"/>
                <w:sz w:val="16"/>
                <w:szCs w:val="16"/>
              </w:rPr>
            </w:pPr>
            <w:r>
              <w:rPr>
                <w:rFonts w:ascii="Arial" w:hAnsi="Arial" w:cs="Arial"/>
                <w:sz w:val="16"/>
                <w:szCs w:val="16"/>
              </w:rPr>
              <w:t>16</w:t>
            </w:r>
          </w:p>
        </w:tc>
        <w:tc>
          <w:tcPr>
            <w:tcW w:w="1340" w:type="dxa"/>
            <w:tcBorders>
              <w:top w:val="nil"/>
              <w:left w:val="nil"/>
              <w:bottom w:val="nil"/>
              <w:right w:val="nil"/>
            </w:tcBorders>
            <w:shd w:val="clear" w:color="000000" w:fill="D9D9D9"/>
            <w:noWrap/>
            <w:tcMar>
              <w:top w:w="15" w:type="dxa"/>
              <w:left w:w="15" w:type="dxa"/>
              <w:bottom w:w="0" w:type="dxa"/>
              <w:right w:w="108" w:type="dxa"/>
            </w:tcMar>
            <w:vAlign w:val="bottom"/>
            <w:hideMark/>
          </w:tcPr>
          <w:p w14:paraId="477E5E47" w14:textId="77777777" w:rsidR="00DB1FD9" w:rsidRDefault="00DB1FD9" w:rsidP="00DB1FD9">
            <w:pPr>
              <w:spacing w:after="0"/>
              <w:jc w:val="right"/>
              <w:rPr>
                <w:rFonts w:ascii="Arial" w:hAnsi="Arial" w:cs="Arial"/>
                <w:sz w:val="16"/>
                <w:szCs w:val="16"/>
              </w:rPr>
            </w:pPr>
            <w:r>
              <w:rPr>
                <w:rFonts w:ascii="Arial" w:hAnsi="Arial" w:cs="Arial"/>
                <w:sz w:val="16"/>
                <w:szCs w:val="16"/>
              </w:rPr>
              <w:t>-</w:t>
            </w:r>
          </w:p>
        </w:tc>
      </w:tr>
      <w:tr w:rsidR="00DB1FD9" w14:paraId="6EE9BE7C" w14:textId="77777777" w:rsidTr="000E60A0">
        <w:trPr>
          <w:trHeight w:val="225"/>
        </w:trPr>
        <w:tc>
          <w:tcPr>
            <w:tcW w:w="4660" w:type="dxa"/>
            <w:tcBorders>
              <w:top w:val="nil"/>
              <w:left w:val="nil"/>
              <w:bottom w:val="nil"/>
              <w:right w:val="nil"/>
            </w:tcBorders>
            <w:shd w:val="clear" w:color="auto" w:fill="auto"/>
            <w:noWrap/>
            <w:tcMar>
              <w:top w:w="15" w:type="dxa"/>
              <w:left w:w="135" w:type="dxa"/>
              <w:bottom w:w="0" w:type="dxa"/>
              <w:right w:w="15" w:type="dxa"/>
            </w:tcMar>
            <w:vAlign w:val="bottom"/>
            <w:hideMark/>
          </w:tcPr>
          <w:p w14:paraId="006E9D4B" w14:textId="77777777" w:rsidR="00DB1FD9" w:rsidRDefault="00DB1FD9" w:rsidP="00DB1FD9">
            <w:pPr>
              <w:spacing w:after="0"/>
              <w:ind w:firstLineChars="100" w:firstLine="160"/>
              <w:rPr>
                <w:rFonts w:ascii="Arial" w:hAnsi="Arial" w:cs="Arial"/>
                <w:sz w:val="16"/>
                <w:szCs w:val="16"/>
              </w:rPr>
            </w:pPr>
            <w:r>
              <w:rPr>
                <w:rFonts w:ascii="Arial" w:hAnsi="Arial" w:cs="Arial"/>
                <w:sz w:val="16"/>
                <w:szCs w:val="16"/>
              </w:rPr>
              <w:t>Rental income</w:t>
            </w:r>
          </w:p>
        </w:tc>
        <w:tc>
          <w:tcPr>
            <w:tcW w:w="1340" w:type="dxa"/>
            <w:tcBorders>
              <w:top w:val="nil"/>
              <w:left w:val="nil"/>
              <w:bottom w:val="nil"/>
              <w:right w:val="nil"/>
            </w:tcBorders>
            <w:shd w:val="clear" w:color="auto" w:fill="auto"/>
            <w:noWrap/>
            <w:tcMar>
              <w:top w:w="15" w:type="dxa"/>
              <w:left w:w="15" w:type="dxa"/>
              <w:bottom w:w="0" w:type="dxa"/>
              <w:right w:w="108" w:type="dxa"/>
            </w:tcMar>
            <w:vAlign w:val="bottom"/>
            <w:hideMark/>
          </w:tcPr>
          <w:p w14:paraId="2E94F3A7" w14:textId="77777777" w:rsidR="00DB1FD9" w:rsidRDefault="00DB1FD9" w:rsidP="00DB1FD9">
            <w:pPr>
              <w:spacing w:after="0"/>
              <w:jc w:val="right"/>
              <w:rPr>
                <w:rFonts w:ascii="Arial" w:hAnsi="Arial" w:cs="Arial"/>
                <w:sz w:val="16"/>
                <w:szCs w:val="16"/>
              </w:rPr>
            </w:pPr>
            <w:r>
              <w:rPr>
                <w:rFonts w:ascii="Arial" w:hAnsi="Arial" w:cs="Arial"/>
                <w:sz w:val="16"/>
                <w:szCs w:val="16"/>
              </w:rPr>
              <w:t>-</w:t>
            </w:r>
          </w:p>
        </w:tc>
        <w:tc>
          <w:tcPr>
            <w:tcW w:w="1340" w:type="dxa"/>
            <w:tcBorders>
              <w:top w:val="nil"/>
              <w:left w:val="nil"/>
              <w:bottom w:val="nil"/>
              <w:right w:val="nil"/>
            </w:tcBorders>
            <w:shd w:val="clear" w:color="000000" w:fill="D9D9D9"/>
            <w:noWrap/>
            <w:tcMar>
              <w:top w:w="15" w:type="dxa"/>
              <w:left w:w="15" w:type="dxa"/>
              <w:bottom w:w="0" w:type="dxa"/>
              <w:right w:w="108" w:type="dxa"/>
            </w:tcMar>
            <w:vAlign w:val="bottom"/>
            <w:hideMark/>
          </w:tcPr>
          <w:p w14:paraId="23542A5C" w14:textId="77777777" w:rsidR="00DB1FD9" w:rsidRDefault="00DB1FD9" w:rsidP="00DB1FD9">
            <w:pPr>
              <w:spacing w:after="0"/>
              <w:jc w:val="right"/>
              <w:rPr>
                <w:rFonts w:ascii="Arial" w:hAnsi="Arial" w:cs="Arial"/>
                <w:sz w:val="16"/>
                <w:szCs w:val="16"/>
              </w:rPr>
            </w:pPr>
            <w:r>
              <w:rPr>
                <w:rFonts w:ascii="Arial" w:hAnsi="Arial" w:cs="Arial"/>
                <w:sz w:val="16"/>
                <w:szCs w:val="16"/>
              </w:rPr>
              <w:t>-</w:t>
            </w:r>
          </w:p>
        </w:tc>
      </w:tr>
      <w:tr w:rsidR="00DB1FD9" w14:paraId="19ACB0C8" w14:textId="77777777" w:rsidTr="000E60A0">
        <w:trPr>
          <w:trHeight w:val="225"/>
        </w:trPr>
        <w:tc>
          <w:tcPr>
            <w:tcW w:w="4660" w:type="dxa"/>
            <w:tcBorders>
              <w:top w:val="nil"/>
              <w:left w:val="nil"/>
              <w:bottom w:val="nil"/>
              <w:right w:val="nil"/>
            </w:tcBorders>
            <w:shd w:val="clear" w:color="auto" w:fill="auto"/>
            <w:noWrap/>
            <w:tcMar>
              <w:top w:w="15" w:type="dxa"/>
              <w:left w:w="135" w:type="dxa"/>
              <w:bottom w:w="0" w:type="dxa"/>
              <w:right w:w="15" w:type="dxa"/>
            </w:tcMar>
            <w:vAlign w:val="bottom"/>
            <w:hideMark/>
          </w:tcPr>
          <w:p w14:paraId="183D7FF1" w14:textId="77777777" w:rsidR="00DB1FD9" w:rsidRDefault="00DB1FD9" w:rsidP="00DB1FD9">
            <w:pPr>
              <w:spacing w:after="0"/>
              <w:ind w:firstLineChars="100" w:firstLine="160"/>
              <w:rPr>
                <w:rFonts w:ascii="Arial" w:hAnsi="Arial" w:cs="Arial"/>
                <w:sz w:val="16"/>
                <w:szCs w:val="16"/>
              </w:rPr>
            </w:pPr>
            <w:r>
              <w:rPr>
                <w:rFonts w:ascii="Arial" w:hAnsi="Arial" w:cs="Arial"/>
                <w:sz w:val="16"/>
                <w:szCs w:val="16"/>
              </w:rPr>
              <w:t>Sale of goods and services</w:t>
            </w:r>
          </w:p>
        </w:tc>
        <w:tc>
          <w:tcPr>
            <w:tcW w:w="1340" w:type="dxa"/>
            <w:tcBorders>
              <w:top w:val="nil"/>
              <w:left w:val="nil"/>
              <w:bottom w:val="nil"/>
              <w:right w:val="nil"/>
            </w:tcBorders>
            <w:shd w:val="clear" w:color="auto" w:fill="auto"/>
            <w:noWrap/>
            <w:tcMar>
              <w:top w:w="15" w:type="dxa"/>
              <w:left w:w="15" w:type="dxa"/>
              <w:bottom w:w="0" w:type="dxa"/>
              <w:right w:w="108" w:type="dxa"/>
            </w:tcMar>
            <w:vAlign w:val="bottom"/>
            <w:hideMark/>
          </w:tcPr>
          <w:p w14:paraId="0A61F72D" w14:textId="77777777" w:rsidR="00DB1FD9" w:rsidRDefault="00DB1FD9" w:rsidP="00DB1FD9">
            <w:pPr>
              <w:spacing w:after="0"/>
              <w:jc w:val="right"/>
              <w:rPr>
                <w:rFonts w:ascii="Arial" w:hAnsi="Arial" w:cs="Arial"/>
                <w:sz w:val="16"/>
                <w:szCs w:val="16"/>
              </w:rPr>
            </w:pPr>
            <w:r>
              <w:rPr>
                <w:rFonts w:ascii="Arial" w:hAnsi="Arial" w:cs="Arial"/>
                <w:sz w:val="16"/>
                <w:szCs w:val="16"/>
              </w:rPr>
              <w:t>-</w:t>
            </w:r>
          </w:p>
        </w:tc>
        <w:tc>
          <w:tcPr>
            <w:tcW w:w="1340" w:type="dxa"/>
            <w:tcBorders>
              <w:top w:val="nil"/>
              <w:left w:val="nil"/>
              <w:bottom w:val="nil"/>
              <w:right w:val="nil"/>
            </w:tcBorders>
            <w:shd w:val="clear" w:color="000000" w:fill="D9D9D9"/>
            <w:noWrap/>
            <w:tcMar>
              <w:top w:w="15" w:type="dxa"/>
              <w:left w:w="15" w:type="dxa"/>
              <w:bottom w:w="0" w:type="dxa"/>
              <w:right w:w="108" w:type="dxa"/>
            </w:tcMar>
            <w:vAlign w:val="bottom"/>
            <w:hideMark/>
          </w:tcPr>
          <w:p w14:paraId="6B543CC8" w14:textId="77777777" w:rsidR="00DB1FD9" w:rsidRDefault="00DB1FD9" w:rsidP="00DB1FD9">
            <w:pPr>
              <w:spacing w:after="0"/>
              <w:jc w:val="right"/>
              <w:rPr>
                <w:rFonts w:ascii="Arial" w:hAnsi="Arial" w:cs="Arial"/>
                <w:sz w:val="16"/>
                <w:szCs w:val="16"/>
              </w:rPr>
            </w:pPr>
            <w:r>
              <w:rPr>
                <w:rFonts w:ascii="Arial" w:hAnsi="Arial" w:cs="Arial"/>
                <w:sz w:val="16"/>
                <w:szCs w:val="16"/>
              </w:rPr>
              <w:t>-</w:t>
            </w:r>
          </w:p>
        </w:tc>
      </w:tr>
      <w:tr w:rsidR="00DB1FD9" w14:paraId="5600639E" w14:textId="77777777" w:rsidTr="000E60A0">
        <w:trPr>
          <w:trHeight w:val="225"/>
        </w:trPr>
        <w:tc>
          <w:tcPr>
            <w:tcW w:w="4660" w:type="dxa"/>
            <w:tcBorders>
              <w:top w:val="nil"/>
              <w:left w:val="nil"/>
              <w:bottom w:val="nil"/>
              <w:right w:val="nil"/>
            </w:tcBorders>
            <w:shd w:val="clear" w:color="auto" w:fill="auto"/>
            <w:noWrap/>
            <w:tcMar>
              <w:top w:w="15" w:type="dxa"/>
              <w:left w:w="135" w:type="dxa"/>
              <w:bottom w:w="0" w:type="dxa"/>
              <w:right w:w="15" w:type="dxa"/>
            </w:tcMar>
            <w:vAlign w:val="bottom"/>
            <w:hideMark/>
          </w:tcPr>
          <w:p w14:paraId="1106A055" w14:textId="77777777" w:rsidR="00DB1FD9" w:rsidRDefault="00DB1FD9" w:rsidP="00DB1FD9">
            <w:pPr>
              <w:spacing w:after="0"/>
              <w:ind w:firstLineChars="100" w:firstLine="160"/>
              <w:rPr>
                <w:rFonts w:ascii="Arial" w:hAnsi="Arial" w:cs="Arial"/>
                <w:sz w:val="16"/>
                <w:szCs w:val="16"/>
              </w:rPr>
            </w:pPr>
            <w:r>
              <w:rPr>
                <w:rFonts w:ascii="Arial" w:hAnsi="Arial" w:cs="Arial"/>
                <w:sz w:val="16"/>
                <w:szCs w:val="16"/>
              </w:rPr>
              <w:t>Other</w:t>
            </w:r>
          </w:p>
        </w:tc>
        <w:tc>
          <w:tcPr>
            <w:tcW w:w="1340" w:type="dxa"/>
            <w:tcBorders>
              <w:top w:val="nil"/>
              <w:left w:val="nil"/>
              <w:bottom w:val="nil"/>
              <w:right w:val="nil"/>
            </w:tcBorders>
            <w:shd w:val="clear" w:color="auto" w:fill="auto"/>
            <w:noWrap/>
            <w:tcMar>
              <w:top w:w="15" w:type="dxa"/>
              <w:left w:w="15" w:type="dxa"/>
              <w:bottom w:w="0" w:type="dxa"/>
              <w:right w:w="108" w:type="dxa"/>
            </w:tcMar>
            <w:vAlign w:val="bottom"/>
            <w:hideMark/>
          </w:tcPr>
          <w:p w14:paraId="46418EC8" w14:textId="77777777" w:rsidR="00DB1FD9" w:rsidRDefault="00DB1FD9" w:rsidP="00DB1FD9">
            <w:pPr>
              <w:spacing w:after="0"/>
              <w:jc w:val="right"/>
              <w:rPr>
                <w:rFonts w:ascii="Arial" w:hAnsi="Arial" w:cs="Arial"/>
                <w:sz w:val="16"/>
                <w:szCs w:val="16"/>
              </w:rPr>
            </w:pPr>
            <w:r>
              <w:rPr>
                <w:rFonts w:ascii="Arial" w:hAnsi="Arial" w:cs="Arial"/>
                <w:sz w:val="16"/>
                <w:szCs w:val="16"/>
              </w:rPr>
              <w:t>51,719</w:t>
            </w:r>
          </w:p>
        </w:tc>
        <w:tc>
          <w:tcPr>
            <w:tcW w:w="1340" w:type="dxa"/>
            <w:tcBorders>
              <w:top w:val="nil"/>
              <w:left w:val="nil"/>
              <w:bottom w:val="nil"/>
              <w:right w:val="nil"/>
            </w:tcBorders>
            <w:shd w:val="clear" w:color="000000" w:fill="D9D9D9"/>
            <w:noWrap/>
            <w:tcMar>
              <w:top w:w="15" w:type="dxa"/>
              <w:left w:w="15" w:type="dxa"/>
              <w:bottom w:w="0" w:type="dxa"/>
              <w:right w:w="108" w:type="dxa"/>
            </w:tcMar>
            <w:vAlign w:val="bottom"/>
            <w:hideMark/>
          </w:tcPr>
          <w:p w14:paraId="5C0F6772" w14:textId="77777777" w:rsidR="00DB1FD9" w:rsidRDefault="00DB1FD9" w:rsidP="00DB1FD9">
            <w:pPr>
              <w:spacing w:after="0"/>
              <w:jc w:val="right"/>
              <w:rPr>
                <w:rFonts w:ascii="Arial" w:hAnsi="Arial" w:cs="Arial"/>
                <w:sz w:val="16"/>
                <w:szCs w:val="16"/>
              </w:rPr>
            </w:pPr>
            <w:r>
              <w:rPr>
                <w:rFonts w:ascii="Arial" w:hAnsi="Arial" w:cs="Arial"/>
                <w:sz w:val="16"/>
                <w:szCs w:val="16"/>
              </w:rPr>
              <w:t>32,250</w:t>
            </w:r>
          </w:p>
        </w:tc>
      </w:tr>
      <w:tr w:rsidR="00DB1FD9" w14:paraId="38174DE4" w14:textId="77777777" w:rsidTr="000E60A0">
        <w:trPr>
          <w:trHeight w:val="225"/>
        </w:trPr>
        <w:tc>
          <w:tcPr>
            <w:tcW w:w="4660" w:type="dxa"/>
            <w:tcBorders>
              <w:top w:val="nil"/>
              <w:left w:val="nil"/>
              <w:bottom w:val="nil"/>
              <w:right w:val="nil"/>
            </w:tcBorders>
            <w:shd w:val="clear" w:color="auto" w:fill="auto"/>
            <w:noWrap/>
            <w:tcMar>
              <w:top w:w="15" w:type="dxa"/>
              <w:left w:w="135" w:type="dxa"/>
              <w:bottom w:w="0" w:type="dxa"/>
              <w:right w:w="15" w:type="dxa"/>
            </w:tcMar>
            <w:vAlign w:val="bottom"/>
            <w:hideMark/>
          </w:tcPr>
          <w:p w14:paraId="67FA911E" w14:textId="77777777" w:rsidR="00DB1FD9" w:rsidRDefault="00DB1FD9" w:rsidP="00DB1FD9">
            <w:pPr>
              <w:spacing w:after="0"/>
              <w:ind w:firstLineChars="100" w:firstLine="160"/>
              <w:rPr>
                <w:rFonts w:ascii="Arial" w:hAnsi="Arial" w:cs="Arial"/>
                <w:b/>
                <w:bCs/>
                <w:sz w:val="16"/>
                <w:szCs w:val="16"/>
              </w:rPr>
            </w:pPr>
            <w:r>
              <w:rPr>
                <w:rFonts w:ascii="Arial" w:hAnsi="Arial" w:cs="Arial"/>
                <w:b/>
                <w:bCs/>
                <w:sz w:val="16"/>
                <w:szCs w:val="16"/>
              </w:rPr>
              <w:t>Total funds from other sources</w:t>
            </w:r>
          </w:p>
        </w:tc>
        <w:tc>
          <w:tcPr>
            <w:tcW w:w="1340" w:type="dxa"/>
            <w:tcBorders>
              <w:top w:val="nil"/>
              <w:left w:val="nil"/>
              <w:bottom w:val="single" w:sz="4" w:space="0" w:color="auto"/>
              <w:right w:val="nil"/>
            </w:tcBorders>
            <w:shd w:val="clear" w:color="auto" w:fill="auto"/>
            <w:noWrap/>
            <w:tcMar>
              <w:top w:w="15" w:type="dxa"/>
              <w:left w:w="15" w:type="dxa"/>
              <w:bottom w:w="0" w:type="dxa"/>
              <w:right w:w="108" w:type="dxa"/>
            </w:tcMar>
            <w:vAlign w:val="bottom"/>
            <w:hideMark/>
          </w:tcPr>
          <w:p w14:paraId="129E1B3F" w14:textId="77777777" w:rsidR="00DB1FD9" w:rsidRDefault="00DB1FD9" w:rsidP="00DB1FD9">
            <w:pPr>
              <w:spacing w:after="0"/>
              <w:jc w:val="right"/>
              <w:rPr>
                <w:rFonts w:ascii="Arial" w:hAnsi="Arial" w:cs="Arial"/>
                <w:b/>
                <w:bCs/>
                <w:sz w:val="16"/>
                <w:szCs w:val="16"/>
              </w:rPr>
            </w:pPr>
            <w:r>
              <w:rPr>
                <w:rFonts w:ascii="Arial" w:hAnsi="Arial" w:cs="Arial"/>
                <w:b/>
                <w:bCs/>
                <w:sz w:val="16"/>
                <w:szCs w:val="16"/>
              </w:rPr>
              <w:t>51,735</w:t>
            </w:r>
          </w:p>
        </w:tc>
        <w:tc>
          <w:tcPr>
            <w:tcW w:w="1340" w:type="dxa"/>
            <w:tcBorders>
              <w:top w:val="nil"/>
              <w:left w:val="nil"/>
              <w:bottom w:val="single" w:sz="4" w:space="0" w:color="auto"/>
              <w:right w:val="nil"/>
            </w:tcBorders>
            <w:shd w:val="clear" w:color="000000" w:fill="D9D9D9"/>
            <w:noWrap/>
            <w:tcMar>
              <w:top w:w="15" w:type="dxa"/>
              <w:left w:w="15" w:type="dxa"/>
              <w:bottom w:w="0" w:type="dxa"/>
              <w:right w:w="108" w:type="dxa"/>
            </w:tcMar>
            <w:vAlign w:val="bottom"/>
            <w:hideMark/>
          </w:tcPr>
          <w:p w14:paraId="5687F037" w14:textId="77777777" w:rsidR="00DB1FD9" w:rsidRDefault="00DB1FD9" w:rsidP="00DB1FD9">
            <w:pPr>
              <w:spacing w:after="0"/>
              <w:jc w:val="right"/>
              <w:rPr>
                <w:rFonts w:ascii="Arial" w:hAnsi="Arial" w:cs="Arial"/>
                <w:b/>
                <w:bCs/>
                <w:sz w:val="16"/>
                <w:szCs w:val="16"/>
              </w:rPr>
            </w:pPr>
            <w:r>
              <w:rPr>
                <w:rFonts w:ascii="Arial" w:hAnsi="Arial" w:cs="Arial"/>
                <w:b/>
                <w:bCs/>
                <w:sz w:val="16"/>
                <w:szCs w:val="16"/>
              </w:rPr>
              <w:t>32,250</w:t>
            </w:r>
          </w:p>
        </w:tc>
      </w:tr>
      <w:tr w:rsidR="00DB1FD9" w14:paraId="756553C5" w14:textId="77777777" w:rsidTr="000E60A0">
        <w:trPr>
          <w:trHeight w:val="225"/>
        </w:trPr>
        <w:tc>
          <w:tcPr>
            <w:tcW w:w="4660"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7113EA7C" w14:textId="77777777" w:rsidR="00DB1FD9" w:rsidRDefault="00DB1FD9" w:rsidP="00DB1FD9">
            <w:pPr>
              <w:spacing w:after="0"/>
              <w:rPr>
                <w:rFonts w:ascii="Arial" w:hAnsi="Arial" w:cs="Arial"/>
                <w:b/>
                <w:bCs/>
                <w:sz w:val="16"/>
                <w:szCs w:val="16"/>
              </w:rPr>
            </w:pPr>
            <w:r>
              <w:rPr>
                <w:rFonts w:ascii="Arial" w:hAnsi="Arial" w:cs="Arial"/>
                <w:b/>
                <w:bCs/>
                <w:sz w:val="16"/>
                <w:szCs w:val="16"/>
              </w:rPr>
              <w:t>Total net resourcing for Australian Digital Health Agency</w:t>
            </w:r>
          </w:p>
        </w:tc>
        <w:tc>
          <w:tcPr>
            <w:tcW w:w="1340" w:type="dxa"/>
            <w:tcBorders>
              <w:top w:val="nil"/>
              <w:left w:val="nil"/>
              <w:bottom w:val="single" w:sz="4" w:space="0" w:color="auto"/>
              <w:right w:val="nil"/>
            </w:tcBorders>
            <w:shd w:val="clear" w:color="auto" w:fill="auto"/>
            <w:noWrap/>
            <w:tcMar>
              <w:top w:w="15" w:type="dxa"/>
              <w:left w:w="15" w:type="dxa"/>
              <w:bottom w:w="0" w:type="dxa"/>
              <w:right w:w="108" w:type="dxa"/>
            </w:tcMar>
            <w:vAlign w:val="bottom"/>
            <w:hideMark/>
          </w:tcPr>
          <w:p w14:paraId="24177BE7" w14:textId="77777777" w:rsidR="00DB1FD9" w:rsidRDefault="00DB1FD9" w:rsidP="00DB1FD9">
            <w:pPr>
              <w:spacing w:after="0"/>
              <w:jc w:val="right"/>
              <w:rPr>
                <w:rFonts w:ascii="Arial" w:hAnsi="Arial" w:cs="Arial"/>
                <w:b/>
                <w:bCs/>
                <w:sz w:val="16"/>
                <w:szCs w:val="16"/>
              </w:rPr>
            </w:pPr>
            <w:r>
              <w:rPr>
                <w:rFonts w:ascii="Arial" w:hAnsi="Arial" w:cs="Arial"/>
                <w:b/>
                <w:bCs/>
                <w:sz w:val="16"/>
                <w:szCs w:val="16"/>
              </w:rPr>
              <w:t>403,466</w:t>
            </w:r>
          </w:p>
        </w:tc>
        <w:tc>
          <w:tcPr>
            <w:tcW w:w="1340" w:type="dxa"/>
            <w:tcBorders>
              <w:top w:val="nil"/>
              <w:left w:val="nil"/>
              <w:bottom w:val="single" w:sz="4" w:space="0" w:color="auto"/>
              <w:right w:val="nil"/>
            </w:tcBorders>
            <w:shd w:val="clear" w:color="000000" w:fill="D9D9D9"/>
            <w:noWrap/>
            <w:tcMar>
              <w:top w:w="15" w:type="dxa"/>
              <w:left w:w="15" w:type="dxa"/>
              <w:bottom w:w="0" w:type="dxa"/>
              <w:right w:w="108" w:type="dxa"/>
            </w:tcMar>
            <w:vAlign w:val="bottom"/>
            <w:hideMark/>
          </w:tcPr>
          <w:p w14:paraId="33F91347" w14:textId="77777777" w:rsidR="00DB1FD9" w:rsidRDefault="00DB1FD9" w:rsidP="00DB1FD9">
            <w:pPr>
              <w:spacing w:after="0"/>
              <w:jc w:val="right"/>
              <w:rPr>
                <w:rFonts w:ascii="Arial" w:hAnsi="Arial" w:cs="Arial"/>
                <w:b/>
                <w:bCs/>
                <w:sz w:val="16"/>
                <w:szCs w:val="16"/>
              </w:rPr>
            </w:pPr>
            <w:r>
              <w:rPr>
                <w:rFonts w:ascii="Arial" w:hAnsi="Arial" w:cs="Arial"/>
                <w:b/>
                <w:bCs/>
                <w:sz w:val="16"/>
                <w:szCs w:val="16"/>
              </w:rPr>
              <w:t>362,168</w:t>
            </w:r>
          </w:p>
        </w:tc>
      </w:tr>
      <w:tr w:rsidR="00DB1FD9" w14:paraId="73C1C4D2" w14:textId="77777777" w:rsidTr="000E60A0">
        <w:trPr>
          <w:trHeight w:val="225"/>
        </w:trPr>
        <w:tc>
          <w:tcPr>
            <w:tcW w:w="4660"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4B4BA99F" w14:textId="77777777" w:rsidR="00DB1FD9" w:rsidRDefault="00DB1FD9" w:rsidP="00DB1FD9">
            <w:pPr>
              <w:spacing w:after="0"/>
              <w:jc w:val="right"/>
              <w:rPr>
                <w:rFonts w:ascii="Arial" w:hAnsi="Arial" w:cs="Arial"/>
                <w:b/>
                <w:bCs/>
                <w:sz w:val="16"/>
                <w:szCs w:val="16"/>
              </w:rPr>
            </w:pPr>
          </w:p>
        </w:tc>
        <w:tc>
          <w:tcPr>
            <w:tcW w:w="1340" w:type="dxa"/>
            <w:tcBorders>
              <w:top w:val="nil"/>
              <w:left w:val="nil"/>
              <w:bottom w:val="nil"/>
              <w:right w:val="nil"/>
            </w:tcBorders>
            <w:shd w:val="clear" w:color="auto" w:fill="auto"/>
            <w:noWrap/>
            <w:tcMar>
              <w:top w:w="15" w:type="dxa"/>
              <w:left w:w="15" w:type="dxa"/>
              <w:bottom w:w="0" w:type="dxa"/>
              <w:right w:w="108" w:type="dxa"/>
            </w:tcMar>
            <w:vAlign w:val="bottom"/>
            <w:hideMark/>
          </w:tcPr>
          <w:p w14:paraId="30B718BF" w14:textId="77777777" w:rsidR="00DB1FD9" w:rsidRDefault="00DB1FD9" w:rsidP="00DB1FD9">
            <w:pPr>
              <w:spacing w:after="0"/>
              <w:rPr>
                <w:sz w:val="20"/>
              </w:rPr>
            </w:pPr>
          </w:p>
        </w:tc>
        <w:tc>
          <w:tcPr>
            <w:tcW w:w="1340" w:type="dxa"/>
            <w:tcBorders>
              <w:top w:val="nil"/>
              <w:left w:val="nil"/>
              <w:bottom w:val="nil"/>
              <w:right w:val="nil"/>
            </w:tcBorders>
            <w:shd w:val="clear" w:color="auto" w:fill="auto"/>
            <w:noWrap/>
            <w:tcMar>
              <w:top w:w="15" w:type="dxa"/>
              <w:left w:w="15" w:type="dxa"/>
              <w:bottom w:w="0" w:type="dxa"/>
              <w:right w:w="108" w:type="dxa"/>
            </w:tcMar>
            <w:hideMark/>
          </w:tcPr>
          <w:p w14:paraId="7B3D2502" w14:textId="77777777" w:rsidR="00DB1FD9" w:rsidRDefault="00DB1FD9" w:rsidP="00DB1FD9">
            <w:pPr>
              <w:spacing w:after="0"/>
              <w:rPr>
                <w:sz w:val="20"/>
              </w:rPr>
            </w:pPr>
          </w:p>
        </w:tc>
      </w:tr>
      <w:tr w:rsidR="00DB1FD9" w14:paraId="6D0E1FE9" w14:textId="77777777" w:rsidTr="000E60A0">
        <w:trPr>
          <w:trHeight w:val="225"/>
        </w:trPr>
        <w:tc>
          <w:tcPr>
            <w:tcW w:w="4660" w:type="dxa"/>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6BA8994F" w14:textId="77777777" w:rsidR="00DB1FD9" w:rsidRDefault="00DB1FD9" w:rsidP="00DB1FD9">
            <w:pPr>
              <w:spacing w:after="0"/>
              <w:jc w:val="right"/>
              <w:rPr>
                <w:sz w:val="20"/>
              </w:rPr>
            </w:pPr>
          </w:p>
        </w:tc>
        <w:tc>
          <w:tcPr>
            <w:tcW w:w="1340" w:type="dxa"/>
            <w:tcBorders>
              <w:top w:val="single" w:sz="4" w:space="0" w:color="000000"/>
              <w:left w:val="nil"/>
              <w:bottom w:val="single" w:sz="4" w:space="0" w:color="000000"/>
              <w:right w:val="nil"/>
            </w:tcBorders>
            <w:shd w:val="clear" w:color="auto" w:fill="auto"/>
            <w:noWrap/>
            <w:tcMar>
              <w:top w:w="15" w:type="dxa"/>
              <w:left w:w="15" w:type="dxa"/>
              <w:bottom w:w="0" w:type="dxa"/>
              <w:right w:w="108" w:type="dxa"/>
            </w:tcMar>
            <w:vAlign w:val="bottom"/>
            <w:hideMark/>
          </w:tcPr>
          <w:p w14:paraId="3E0E50A1" w14:textId="77777777" w:rsidR="00DB1FD9" w:rsidRDefault="00DB1FD9" w:rsidP="00DB1FD9">
            <w:pPr>
              <w:spacing w:after="0"/>
              <w:jc w:val="right"/>
              <w:rPr>
                <w:rFonts w:ascii="Arial" w:hAnsi="Arial" w:cs="Arial"/>
                <w:b/>
                <w:bCs/>
                <w:sz w:val="16"/>
                <w:szCs w:val="16"/>
              </w:rPr>
            </w:pPr>
            <w:r>
              <w:rPr>
                <w:rFonts w:ascii="Arial" w:hAnsi="Arial" w:cs="Arial"/>
                <w:b/>
                <w:bCs/>
                <w:sz w:val="16"/>
                <w:szCs w:val="16"/>
              </w:rPr>
              <w:t>2021–22</w:t>
            </w:r>
          </w:p>
        </w:tc>
        <w:tc>
          <w:tcPr>
            <w:tcW w:w="1340" w:type="dxa"/>
            <w:tcBorders>
              <w:top w:val="single" w:sz="4" w:space="0" w:color="000000"/>
              <w:left w:val="nil"/>
              <w:bottom w:val="single" w:sz="4" w:space="0" w:color="000000"/>
              <w:right w:val="nil"/>
            </w:tcBorders>
            <w:shd w:val="clear" w:color="000000" w:fill="D9D9D9"/>
            <w:noWrap/>
            <w:tcMar>
              <w:top w:w="15" w:type="dxa"/>
              <w:left w:w="15" w:type="dxa"/>
              <w:bottom w:w="0" w:type="dxa"/>
              <w:right w:w="108" w:type="dxa"/>
            </w:tcMar>
            <w:vAlign w:val="bottom"/>
            <w:hideMark/>
          </w:tcPr>
          <w:p w14:paraId="4637FDBD" w14:textId="77777777" w:rsidR="00DB1FD9" w:rsidRDefault="00DB1FD9" w:rsidP="00DB1FD9">
            <w:pPr>
              <w:spacing w:after="0"/>
              <w:jc w:val="right"/>
              <w:rPr>
                <w:rFonts w:ascii="Arial" w:hAnsi="Arial" w:cs="Arial"/>
                <w:b/>
                <w:bCs/>
                <w:sz w:val="16"/>
                <w:szCs w:val="16"/>
              </w:rPr>
            </w:pPr>
            <w:r>
              <w:rPr>
                <w:rFonts w:ascii="Arial" w:hAnsi="Arial" w:cs="Arial"/>
                <w:b/>
                <w:bCs/>
                <w:sz w:val="16"/>
                <w:szCs w:val="16"/>
              </w:rPr>
              <w:t>2022–23</w:t>
            </w:r>
          </w:p>
        </w:tc>
      </w:tr>
      <w:tr w:rsidR="00DB1FD9" w14:paraId="4B15B661" w14:textId="77777777" w:rsidTr="000E60A0">
        <w:trPr>
          <w:trHeight w:val="225"/>
        </w:trPr>
        <w:tc>
          <w:tcPr>
            <w:tcW w:w="4660"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51EB2F32" w14:textId="77777777" w:rsidR="00DB1FD9" w:rsidRDefault="00DB1FD9" w:rsidP="00DB1FD9">
            <w:pPr>
              <w:spacing w:after="0"/>
              <w:rPr>
                <w:rFonts w:ascii="Arial" w:hAnsi="Arial" w:cs="Arial"/>
                <w:b/>
                <w:bCs/>
                <w:sz w:val="16"/>
                <w:szCs w:val="16"/>
              </w:rPr>
            </w:pPr>
            <w:r>
              <w:rPr>
                <w:rFonts w:ascii="Arial" w:hAnsi="Arial" w:cs="Arial"/>
                <w:b/>
                <w:bCs/>
                <w:sz w:val="16"/>
                <w:szCs w:val="16"/>
              </w:rPr>
              <w:t>Average staffing level (number)</w:t>
            </w:r>
          </w:p>
        </w:tc>
        <w:tc>
          <w:tcPr>
            <w:tcW w:w="1340" w:type="dxa"/>
            <w:tcBorders>
              <w:top w:val="nil"/>
              <w:left w:val="nil"/>
              <w:bottom w:val="single" w:sz="4" w:space="0" w:color="000000"/>
              <w:right w:val="nil"/>
            </w:tcBorders>
            <w:shd w:val="clear" w:color="auto" w:fill="auto"/>
            <w:noWrap/>
            <w:tcMar>
              <w:top w:w="15" w:type="dxa"/>
              <w:left w:w="15" w:type="dxa"/>
              <w:bottom w:w="0" w:type="dxa"/>
              <w:right w:w="108" w:type="dxa"/>
            </w:tcMar>
            <w:vAlign w:val="bottom"/>
            <w:hideMark/>
          </w:tcPr>
          <w:p w14:paraId="467E6D40" w14:textId="77777777" w:rsidR="00DB1FD9" w:rsidRDefault="00DB1FD9" w:rsidP="00DB1FD9">
            <w:pPr>
              <w:spacing w:after="0"/>
              <w:jc w:val="right"/>
              <w:rPr>
                <w:rFonts w:ascii="Arial" w:hAnsi="Arial" w:cs="Arial"/>
                <w:color w:val="auto"/>
                <w:sz w:val="16"/>
                <w:szCs w:val="16"/>
              </w:rPr>
            </w:pPr>
            <w:r>
              <w:rPr>
                <w:rFonts w:ascii="Arial" w:hAnsi="Arial" w:cs="Arial"/>
                <w:sz w:val="16"/>
                <w:szCs w:val="16"/>
              </w:rPr>
              <w:t>280</w:t>
            </w:r>
          </w:p>
        </w:tc>
        <w:tc>
          <w:tcPr>
            <w:tcW w:w="1340" w:type="dxa"/>
            <w:tcBorders>
              <w:top w:val="nil"/>
              <w:left w:val="nil"/>
              <w:bottom w:val="single" w:sz="4" w:space="0" w:color="000000"/>
              <w:right w:val="nil"/>
            </w:tcBorders>
            <w:shd w:val="clear" w:color="000000" w:fill="D9D9D9"/>
            <w:noWrap/>
            <w:tcMar>
              <w:top w:w="15" w:type="dxa"/>
              <w:left w:w="15" w:type="dxa"/>
              <w:bottom w:w="0" w:type="dxa"/>
              <w:right w:w="108" w:type="dxa"/>
            </w:tcMar>
            <w:vAlign w:val="bottom"/>
            <w:hideMark/>
          </w:tcPr>
          <w:p w14:paraId="7B321327" w14:textId="77777777" w:rsidR="00DB1FD9" w:rsidRDefault="00DB1FD9" w:rsidP="00DB1FD9">
            <w:pPr>
              <w:spacing w:after="0"/>
              <w:jc w:val="right"/>
              <w:rPr>
                <w:rFonts w:ascii="Arial" w:hAnsi="Arial" w:cs="Arial"/>
                <w:sz w:val="16"/>
                <w:szCs w:val="16"/>
              </w:rPr>
            </w:pPr>
            <w:r>
              <w:rPr>
                <w:rFonts w:ascii="Arial" w:hAnsi="Arial" w:cs="Arial"/>
                <w:sz w:val="16"/>
                <w:szCs w:val="16"/>
              </w:rPr>
              <w:t>410</w:t>
            </w:r>
          </w:p>
        </w:tc>
      </w:tr>
    </w:tbl>
    <w:p w14:paraId="17EC0004" w14:textId="1FAA3D58" w:rsidR="00DB1FD9" w:rsidRDefault="00DB1FD9" w:rsidP="00DB1FD9">
      <w:pPr>
        <w:pStyle w:val="FootnoteText"/>
        <w:spacing w:before="120"/>
      </w:pPr>
      <w:r>
        <w:t>All figures are GST exclusive.</w:t>
      </w:r>
    </w:p>
    <w:p w14:paraId="53C9691A" w14:textId="7D1093B1" w:rsidR="00DB1FD9" w:rsidRDefault="00DB1FD9" w:rsidP="00DB1FD9">
      <w:pPr>
        <w:pStyle w:val="FootnoteText"/>
      </w:pPr>
      <w:r w:rsidRPr="00DB1FD9">
        <w:rPr>
          <w:vertAlign w:val="superscript"/>
        </w:rPr>
        <w:t>(a)</w:t>
      </w:r>
      <w:r>
        <w:tab/>
        <w:t>Appropriation Bill (No. 1) 2022–23.</w:t>
      </w:r>
    </w:p>
    <w:p w14:paraId="70D1E781" w14:textId="33A137C7" w:rsidR="00DB1FD9" w:rsidRDefault="00DB1FD9" w:rsidP="00DB1FD9">
      <w:pPr>
        <w:pStyle w:val="FootnoteText"/>
      </w:pPr>
      <w:r w:rsidRPr="00DB1FD9">
        <w:rPr>
          <w:vertAlign w:val="superscript"/>
        </w:rPr>
        <w:t>(b)</w:t>
      </w:r>
      <w:r>
        <w:tab/>
        <w:t>Appropriation Bill (No. 2) 2022–23.</w:t>
      </w:r>
    </w:p>
    <w:p w14:paraId="5FC87B41" w14:textId="3D30EE00" w:rsidR="00DB1FD9" w:rsidRDefault="00DB1FD9" w:rsidP="00DB1FD9">
      <w:pPr>
        <w:pStyle w:val="FootnoteText"/>
        <w:rPr>
          <w:rFonts w:ascii="Arial Bold" w:hAnsi="Arial Bold"/>
          <w:b/>
          <w:color w:val="auto"/>
          <w:sz w:val="22"/>
        </w:rPr>
      </w:pPr>
      <w:r w:rsidRPr="00DB1FD9">
        <w:rPr>
          <w:vertAlign w:val="superscript"/>
        </w:rPr>
        <w:t>(c)</w:t>
      </w:r>
      <w:r>
        <w:tab/>
        <w:t>Funding provided by a Government entity that is not specified within the annual appropriation bills as a payment to the corporate entity.</w:t>
      </w:r>
      <w:r>
        <w:br w:type="page"/>
      </w:r>
    </w:p>
    <w:p w14:paraId="42F8C459" w14:textId="67631924" w:rsidR="0024539A" w:rsidRPr="00A86D5D" w:rsidRDefault="0024539A" w:rsidP="000C3248">
      <w:pPr>
        <w:pStyle w:val="Heading3"/>
      </w:pPr>
      <w:bookmarkStart w:id="3" w:name="_Toc117406462"/>
      <w:r w:rsidRPr="00A86D5D">
        <w:lastRenderedPageBreak/>
        <w:t>1.3</w:t>
      </w:r>
      <w:r w:rsidRPr="00A86D5D">
        <w:tab/>
        <w:t xml:space="preserve">Budget </w:t>
      </w:r>
      <w:r w:rsidR="009957CA">
        <w:t>m</w:t>
      </w:r>
      <w:r w:rsidRPr="00A86D5D">
        <w:t>easures</w:t>
      </w:r>
      <w:bookmarkEnd w:id="3"/>
    </w:p>
    <w:p w14:paraId="5C915256" w14:textId="3CC411A8" w:rsidR="0024539A" w:rsidRDefault="0024539A" w:rsidP="0024539A">
      <w:pPr>
        <w:rPr>
          <w:color w:val="auto"/>
        </w:rPr>
      </w:pPr>
      <w:r w:rsidRPr="00A86D5D">
        <w:rPr>
          <w:color w:val="auto"/>
        </w:rPr>
        <w:t xml:space="preserve">Budget measures in Part 1 relating to the </w:t>
      </w:r>
      <w:r w:rsidR="0019008C" w:rsidRPr="00A86D5D">
        <w:rPr>
          <w:color w:val="auto"/>
        </w:rPr>
        <w:t>Australian Digital Health Agency</w:t>
      </w:r>
      <w:r w:rsidR="005F7C48" w:rsidRPr="00A86D5D">
        <w:rPr>
          <w:color w:val="auto"/>
        </w:rPr>
        <w:t xml:space="preserve"> are detailed in </w:t>
      </w:r>
      <w:r w:rsidR="005F7C48" w:rsidRPr="00963B44">
        <w:rPr>
          <w:i/>
          <w:color w:val="auto"/>
        </w:rPr>
        <w:t xml:space="preserve">Budget Paper </w:t>
      </w:r>
      <w:r w:rsidRPr="00963B44">
        <w:rPr>
          <w:i/>
          <w:color w:val="auto"/>
        </w:rPr>
        <w:t>No. 2</w:t>
      </w:r>
      <w:r w:rsidRPr="00A86D5D">
        <w:rPr>
          <w:color w:val="auto"/>
        </w:rPr>
        <w:t xml:space="preserve"> and are summarised below.</w:t>
      </w:r>
    </w:p>
    <w:p w14:paraId="4E109C6F" w14:textId="58909EF3" w:rsidR="0024539A" w:rsidRDefault="0024539A" w:rsidP="0024539A">
      <w:pPr>
        <w:pStyle w:val="Tablenumberandreference"/>
        <w:rPr>
          <w:color w:val="auto"/>
        </w:rPr>
      </w:pPr>
      <w:r w:rsidRPr="00A86D5D">
        <w:rPr>
          <w:color w:val="auto"/>
        </w:rPr>
        <w:t xml:space="preserve">Table 1.2: </w:t>
      </w:r>
      <w:r w:rsidR="0019008C" w:rsidRPr="00A86D5D">
        <w:rPr>
          <w:color w:val="auto"/>
        </w:rPr>
        <w:t>Australian Digital Health Agency</w:t>
      </w:r>
      <w:r w:rsidRPr="00A86D5D">
        <w:rPr>
          <w:color w:val="auto"/>
        </w:rPr>
        <w:t xml:space="preserve"> </w:t>
      </w:r>
      <w:r w:rsidR="003B58A2">
        <w:rPr>
          <w:color w:val="auto"/>
        </w:rPr>
        <w:t xml:space="preserve">October </w:t>
      </w:r>
      <w:r w:rsidRPr="00A86D5D">
        <w:rPr>
          <w:color w:val="auto"/>
        </w:rPr>
        <w:t>202</w:t>
      </w:r>
      <w:r w:rsidR="0073716F">
        <w:rPr>
          <w:color w:val="auto"/>
        </w:rPr>
        <w:t>2</w:t>
      </w:r>
      <w:r w:rsidR="00643FDF">
        <w:rPr>
          <w:color w:val="auto"/>
        </w:rPr>
        <w:t>–</w:t>
      </w:r>
      <w:r w:rsidRPr="00A86D5D">
        <w:rPr>
          <w:color w:val="auto"/>
        </w:rPr>
        <w:t>2</w:t>
      </w:r>
      <w:r w:rsidR="0073716F">
        <w:rPr>
          <w:color w:val="auto"/>
        </w:rPr>
        <w:t>3</w:t>
      </w:r>
      <w:r w:rsidRPr="00A86D5D">
        <w:rPr>
          <w:color w:val="auto"/>
        </w:rPr>
        <w:t xml:space="preserve"> Budget </w:t>
      </w:r>
      <w:r w:rsidR="009957CA">
        <w:rPr>
          <w:color w:val="auto"/>
        </w:rPr>
        <w:t>m</w:t>
      </w:r>
      <w:r w:rsidRPr="00A86D5D">
        <w:rPr>
          <w:color w:val="auto"/>
        </w:rPr>
        <w:t>easures</w:t>
      </w:r>
    </w:p>
    <w:p w14:paraId="6AFFDB34" w14:textId="77777777" w:rsidR="0030654E" w:rsidRPr="0063406D" w:rsidRDefault="0063406D" w:rsidP="0024539A">
      <w:pPr>
        <w:pStyle w:val="Tablenumberandreference"/>
        <w:rPr>
          <w:color w:val="auto"/>
          <w:sz w:val="19"/>
          <w:szCs w:val="19"/>
        </w:rPr>
      </w:pPr>
      <w:r w:rsidRPr="0063406D">
        <w:rPr>
          <w:color w:val="auto"/>
          <w:sz w:val="19"/>
          <w:szCs w:val="19"/>
        </w:rPr>
        <w:t>Part 1: Measures announced since the March 2022–23 Budget</w:t>
      </w:r>
    </w:p>
    <w:tbl>
      <w:tblPr>
        <w:tblW w:w="7420" w:type="dxa"/>
        <w:jc w:val="center"/>
        <w:tblLayout w:type="fixed"/>
        <w:tblLook w:val="04A0" w:firstRow="1" w:lastRow="0" w:firstColumn="1" w:lastColumn="0" w:noHBand="0" w:noVBand="1"/>
      </w:tblPr>
      <w:tblGrid>
        <w:gridCol w:w="2140"/>
        <w:gridCol w:w="880"/>
        <w:gridCol w:w="880"/>
        <w:gridCol w:w="880"/>
        <w:gridCol w:w="880"/>
        <w:gridCol w:w="880"/>
        <w:gridCol w:w="880"/>
      </w:tblGrid>
      <w:tr w:rsidR="0030654E" w:rsidRPr="0030654E" w14:paraId="156FE3CD" w14:textId="77777777" w:rsidTr="0030654E">
        <w:trPr>
          <w:trHeight w:val="340"/>
          <w:jc w:val="center"/>
        </w:trPr>
        <w:tc>
          <w:tcPr>
            <w:tcW w:w="2140" w:type="dxa"/>
            <w:tcBorders>
              <w:top w:val="single" w:sz="4" w:space="0" w:color="auto"/>
              <w:left w:val="nil"/>
              <w:bottom w:val="nil"/>
              <w:right w:val="nil"/>
            </w:tcBorders>
            <w:shd w:val="clear" w:color="auto" w:fill="auto"/>
            <w:noWrap/>
            <w:vAlign w:val="bottom"/>
            <w:hideMark/>
          </w:tcPr>
          <w:p w14:paraId="7489390C" w14:textId="77777777" w:rsidR="0030654E" w:rsidRPr="0030654E" w:rsidRDefault="0030654E" w:rsidP="0030654E">
            <w:pPr>
              <w:spacing w:before="40" w:after="0"/>
              <w:jc w:val="right"/>
              <w:rPr>
                <w:rFonts w:ascii="Arial" w:hAnsi="Arial" w:cs="Arial"/>
                <w:color w:val="auto"/>
                <w:sz w:val="16"/>
                <w:szCs w:val="16"/>
              </w:rPr>
            </w:pPr>
            <w:r w:rsidRPr="0030654E">
              <w:rPr>
                <w:rFonts w:ascii="Arial" w:hAnsi="Arial" w:cs="Arial"/>
                <w:color w:val="auto"/>
                <w:sz w:val="16"/>
                <w:szCs w:val="16"/>
              </w:rPr>
              <w:t> </w:t>
            </w:r>
          </w:p>
        </w:tc>
        <w:tc>
          <w:tcPr>
            <w:tcW w:w="880" w:type="dxa"/>
            <w:tcBorders>
              <w:top w:val="single" w:sz="4" w:space="0" w:color="auto"/>
              <w:left w:val="nil"/>
              <w:bottom w:val="nil"/>
              <w:right w:val="nil"/>
            </w:tcBorders>
            <w:shd w:val="clear" w:color="auto" w:fill="auto"/>
            <w:noWrap/>
            <w:vAlign w:val="bottom"/>
            <w:hideMark/>
          </w:tcPr>
          <w:p w14:paraId="4F5E7593" w14:textId="77777777" w:rsidR="0030654E" w:rsidRPr="0030654E" w:rsidRDefault="0030654E" w:rsidP="0030654E">
            <w:pPr>
              <w:spacing w:before="40" w:after="0"/>
              <w:jc w:val="right"/>
              <w:rPr>
                <w:rFonts w:ascii="Arial" w:hAnsi="Arial" w:cs="Arial"/>
                <w:b/>
                <w:bCs/>
                <w:color w:val="auto"/>
                <w:sz w:val="16"/>
                <w:szCs w:val="16"/>
              </w:rPr>
            </w:pPr>
            <w:r w:rsidRPr="0030654E">
              <w:rPr>
                <w:rFonts w:ascii="Arial" w:hAnsi="Arial" w:cs="Arial"/>
                <w:b/>
                <w:bCs/>
                <w:color w:val="auto"/>
                <w:sz w:val="16"/>
                <w:szCs w:val="16"/>
              </w:rPr>
              <w:t>Program</w:t>
            </w:r>
          </w:p>
        </w:tc>
        <w:tc>
          <w:tcPr>
            <w:tcW w:w="880" w:type="dxa"/>
            <w:tcBorders>
              <w:top w:val="single" w:sz="4" w:space="0" w:color="000000"/>
              <w:left w:val="nil"/>
              <w:bottom w:val="single" w:sz="4" w:space="0" w:color="000000"/>
              <w:right w:val="nil"/>
            </w:tcBorders>
            <w:shd w:val="clear" w:color="auto" w:fill="auto"/>
            <w:vAlign w:val="bottom"/>
            <w:hideMark/>
          </w:tcPr>
          <w:p w14:paraId="75D157C0" w14:textId="77777777" w:rsidR="0030654E" w:rsidRPr="0030654E" w:rsidRDefault="0030654E" w:rsidP="0030654E">
            <w:pPr>
              <w:spacing w:before="40" w:after="0"/>
              <w:jc w:val="right"/>
              <w:rPr>
                <w:rFonts w:ascii="Arial" w:hAnsi="Arial" w:cs="Arial"/>
                <w:b/>
                <w:bCs/>
                <w:color w:val="auto"/>
                <w:sz w:val="16"/>
                <w:szCs w:val="16"/>
              </w:rPr>
            </w:pPr>
            <w:r w:rsidRPr="0030654E">
              <w:rPr>
                <w:rFonts w:ascii="Arial" w:hAnsi="Arial" w:cs="Arial"/>
                <w:b/>
                <w:bCs/>
                <w:color w:val="auto"/>
                <w:sz w:val="16"/>
                <w:szCs w:val="16"/>
              </w:rPr>
              <w:t>2021–22</w:t>
            </w:r>
            <w:r w:rsidRPr="0030654E">
              <w:rPr>
                <w:rFonts w:ascii="Arial" w:hAnsi="Arial" w:cs="Arial"/>
                <w:b/>
                <w:bCs/>
                <w:color w:val="auto"/>
                <w:sz w:val="16"/>
                <w:szCs w:val="16"/>
              </w:rPr>
              <w:br/>
            </w:r>
            <w:r w:rsidRPr="0030654E">
              <w:rPr>
                <w:rFonts w:ascii="Arial" w:hAnsi="Arial" w:cs="Arial"/>
                <w:color w:val="auto"/>
                <w:sz w:val="16"/>
                <w:szCs w:val="16"/>
              </w:rPr>
              <w:t>$'000</w:t>
            </w:r>
          </w:p>
        </w:tc>
        <w:tc>
          <w:tcPr>
            <w:tcW w:w="880" w:type="dxa"/>
            <w:tcBorders>
              <w:top w:val="single" w:sz="4" w:space="0" w:color="000000"/>
              <w:left w:val="nil"/>
              <w:bottom w:val="single" w:sz="4" w:space="0" w:color="000000"/>
              <w:right w:val="nil"/>
            </w:tcBorders>
            <w:shd w:val="clear" w:color="000000" w:fill="D9D9D9"/>
            <w:vAlign w:val="bottom"/>
            <w:hideMark/>
          </w:tcPr>
          <w:p w14:paraId="7B20484C" w14:textId="77777777" w:rsidR="0030654E" w:rsidRPr="0030654E" w:rsidRDefault="0030654E" w:rsidP="0030654E">
            <w:pPr>
              <w:spacing w:before="40" w:after="0"/>
              <w:jc w:val="right"/>
              <w:rPr>
                <w:rFonts w:ascii="Arial" w:hAnsi="Arial" w:cs="Arial"/>
                <w:b/>
                <w:bCs/>
                <w:color w:val="auto"/>
                <w:sz w:val="16"/>
                <w:szCs w:val="16"/>
              </w:rPr>
            </w:pPr>
            <w:r w:rsidRPr="0030654E">
              <w:rPr>
                <w:rFonts w:ascii="Arial" w:hAnsi="Arial" w:cs="Arial"/>
                <w:b/>
                <w:bCs/>
                <w:color w:val="auto"/>
                <w:sz w:val="16"/>
                <w:szCs w:val="16"/>
              </w:rPr>
              <w:t>2022–23</w:t>
            </w:r>
            <w:r w:rsidRPr="0030654E">
              <w:rPr>
                <w:rFonts w:ascii="Arial" w:hAnsi="Arial" w:cs="Arial"/>
                <w:b/>
                <w:bCs/>
                <w:color w:val="auto"/>
                <w:sz w:val="16"/>
                <w:szCs w:val="16"/>
              </w:rPr>
              <w:br/>
            </w:r>
            <w:r w:rsidRPr="0030654E">
              <w:rPr>
                <w:rFonts w:ascii="Arial" w:hAnsi="Arial" w:cs="Arial"/>
                <w:color w:val="auto"/>
                <w:sz w:val="16"/>
                <w:szCs w:val="16"/>
              </w:rPr>
              <w:t>$'000</w:t>
            </w:r>
          </w:p>
        </w:tc>
        <w:tc>
          <w:tcPr>
            <w:tcW w:w="880" w:type="dxa"/>
            <w:tcBorders>
              <w:top w:val="single" w:sz="4" w:space="0" w:color="000000"/>
              <w:left w:val="nil"/>
              <w:bottom w:val="single" w:sz="4" w:space="0" w:color="000000"/>
              <w:right w:val="nil"/>
            </w:tcBorders>
            <w:shd w:val="clear" w:color="auto" w:fill="auto"/>
            <w:vAlign w:val="bottom"/>
            <w:hideMark/>
          </w:tcPr>
          <w:p w14:paraId="20828D03" w14:textId="77777777" w:rsidR="0030654E" w:rsidRPr="0030654E" w:rsidRDefault="0030654E" w:rsidP="0030654E">
            <w:pPr>
              <w:spacing w:before="40" w:after="0"/>
              <w:jc w:val="right"/>
              <w:rPr>
                <w:rFonts w:ascii="Arial" w:hAnsi="Arial" w:cs="Arial"/>
                <w:b/>
                <w:bCs/>
                <w:color w:val="auto"/>
                <w:sz w:val="16"/>
                <w:szCs w:val="16"/>
              </w:rPr>
            </w:pPr>
            <w:r w:rsidRPr="0030654E">
              <w:rPr>
                <w:rFonts w:ascii="Arial" w:hAnsi="Arial" w:cs="Arial"/>
                <w:b/>
                <w:bCs/>
                <w:color w:val="auto"/>
                <w:sz w:val="16"/>
                <w:szCs w:val="16"/>
              </w:rPr>
              <w:t>2023–24</w:t>
            </w:r>
            <w:r w:rsidRPr="0030654E">
              <w:rPr>
                <w:rFonts w:ascii="Arial" w:hAnsi="Arial" w:cs="Arial"/>
                <w:b/>
                <w:bCs/>
                <w:color w:val="auto"/>
                <w:sz w:val="16"/>
                <w:szCs w:val="16"/>
              </w:rPr>
              <w:br/>
            </w:r>
            <w:r w:rsidRPr="0030654E">
              <w:rPr>
                <w:rFonts w:ascii="Arial" w:hAnsi="Arial" w:cs="Arial"/>
                <w:color w:val="auto"/>
                <w:sz w:val="16"/>
                <w:szCs w:val="16"/>
              </w:rPr>
              <w:t>$'000</w:t>
            </w:r>
          </w:p>
        </w:tc>
        <w:tc>
          <w:tcPr>
            <w:tcW w:w="880" w:type="dxa"/>
            <w:tcBorders>
              <w:top w:val="single" w:sz="4" w:space="0" w:color="000000"/>
              <w:left w:val="nil"/>
              <w:bottom w:val="single" w:sz="4" w:space="0" w:color="000000"/>
              <w:right w:val="nil"/>
            </w:tcBorders>
            <w:shd w:val="clear" w:color="auto" w:fill="auto"/>
            <w:vAlign w:val="bottom"/>
            <w:hideMark/>
          </w:tcPr>
          <w:p w14:paraId="4B687A3D" w14:textId="77777777" w:rsidR="0030654E" w:rsidRPr="0030654E" w:rsidRDefault="0030654E" w:rsidP="0030654E">
            <w:pPr>
              <w:spacing w:before="40" w:after="0"/>
              <w:jc w:val="right"/>
              <w:rPr>
                <w:rFonts w:ascii="Arial" w:hAnsi="Arial" w:cs="Arial"/>
                <w:b/>
                <w:bCs/>
                <w:color w:val="auto"/>
                <w:sz w:val="16"/>
                <w:szCs w:val="16"/>
              </w:rPr>
            </w:pPr>
            <w:r w:rsidRPr="0030654E">
              <w:rPr>
                <w:rFonts w:ascii="Arial" w:hAnsi="Arial" w:cs="Arial"/>
                <w:b/>
                <w:bCs/>
                <w:color w:val="auto"/>
                <w:sz w:val="16"/>
                <w:szCs w:val="16"/>
              </w:rPr>
              <w:t>2024–25</w:t>
            </w:r>
            <w:r w:rsidRPr="0030654E">
              <w:rPr>
                <w:rFonts w:ascii="Arial" w:hAnsi="Arial" w:cs="Arial"/>
                <w:b/>
                <w:bCs/>
                <w:color w:val="auto"/>
                <w:sz w:val="16"/>
                <w:szCs w:val="16"/>
              </w:rPr>
              <w:br/>
            </w:r>
            <w:r w:rsidRPr="0030654E">
              <w:rPr>
                <w:rFonts w:ascii="Arial" w:hAnsi="Arial" w:cs="Arial"/>
                <w:color w:val="auto"/>
                <w:sz w:val="16"/>
                <w:szCs w:val="16"/>
              </w:rPr>
              <w:t>$'000</w:t>
            </w:r>
          </w:p>
        </w:tc>
        <w:tc>
          <w:tcPr>
            <w:tcW w:w="880" w:type="dxa"/>
            <w:tcBorders>
              <w:top w:val="single" w:sz="4" w:space="0" w:color="000000"/>
              <w:left w:val="nil"/>
              <w:bottom w:val="single" w:sz="4" w:space="0" w:color="000000"/>
              <w:right w:val="nil"/>
            </w:tcBorders>
            <w:shd w:val="clear" w:color="auto" w:fill="auto"/>
            <w:vAlign w:val="bottom"/>
            <w:hideMark/>
          </w:tcPr>
          <w:p w14:paraId="02266150" w14:textId="77777777" w:rsidR="0030654E" w:rsidRPr="0030654E" w:rsidRDefault="0030654E" w:rsidP="0030654E">
            <w:pPr>
              <w:spacing w:before="40" w:after="0"/>
              <w:jc w:val="right"/>
              <w:rPr>
                <w:rFonts w:ascii="Arial" w:hAnsi="Arial" w:cs="Arial"/>
                <w:b/>
                <w:bCs/>
                <w:color w:val="auto"/>
                <w:sz w:val="16"/>
                <w:szCs w:val="16"/>
              </w:rPr>
            </w:pPr>
            <w:r w:rsidRPr="0030654E">
              <w:rPr>
                <w:rFonts w:ascii="Arial" w:hAnsi="Arial" w:cs="Arial"/>
                <w:b/>
                <w:bCs/>
                <w:color w:val="auto"/>
                <w:sz w:val="16"/>
                <w:szCs w:val="16"/>
              </w:rPr>
              <w:t>2025–26</w:t>
            </w:r>
            <w:r w:rsidRPr="0030654E">
              <w:rPr>
                <w:rFonts w:ascii="Arial" w:hAnsi="Arial" w:cs="Arial"/>
                <w:b/>
                <w:bCs/>
                <w:color w:val="auto"/>
                <w:sz w:val="16"/>
                <w:szCs w:val="16"/>
              </w:rPr>
              <w:br/>
            </w:r>
            <w:r w:rsidRPr="0030654E">
              <w:rPr>
                <w:rFonts w:ascii="Arial" w:hAnsi="Arial" w:cs="Arial"/>
                <w:color w:val="auto"/>
                <w:sz w:val="16"/>
                <w:szCs w:val="16"/>
              </w:rPr>
              <w:t>$'000</w:t>
            </w:r>
          </w:p>
        </w:tc>
      </w:tr>
      <w:tr w:rsidR="0030654E" w:rsidRPr="0030654E" w14:paraId="39494171" w14:textId="77777777" w:rsidTr="0030654E">
        <w:trPr>
          <w:trHeight w:val="300"/>
          <w:jc w:val="center"/>
        </w:trPr>
        <w:tc>
          <w:tcPr>
            <w:tcW w:w="7420" w:type="dxa"/>
            <w:gridSpan w:val="7"/>
            <w:tcBorders>
              <w:top w:val="nil"/>
              <w:left w:val="nil"/>
              <w:bottom w:val="nil"/>
              <w:right w:val="nil"/>
            </w:tcBorders>
            <w:shd w:val="clear" w:color="auto" w:fill="auto"/>
            <w:vAlign w:val="bottom"/>
            <w:hideMark/>
          </w:tcPr>
          <w:p w14:paraId="0082E9A0" w14:textId="77777777" w:rsidR="0030654E" w:rsidRPr="0030654E" w:rsidRDefault="0030654E" w:rsidP="0030654E">
            <w:pPr>
              <w:spacing w:after="0"/>
              <w:rPr>
                <w:rFonts w:ascii="Arial" w:hAnsi="Arial" w:cs="Arial"/>
                <w:b/>
                <w:bCs/>
                <w:sz w:val="16"/>
                <w:szCs w:val="16"/>
              </w:rPr>
            </w:pPr>
            <w:r w:rsidRPr="0030654E">
              <w:rPr>
                <w:rFonts w:ascii="Arial" w:hAnsi="Arial" w:cs="Arial"/>
                <w:b/>
                <w:bCs/>
                <w:sz w:val="16"/>
                <w:szCs w:val="16"/>
              </w:rPr>
              <w:t>An Ambitious and Enduring APS Reform Plan</w:t>
            </w:r>
            <w:r w:rsidRPr="0030654E">
              <w:rPr>
                <w:rFonts w:ascii="Arial" w:hAnsi="Arial" w:cs="Arial"/>
                <w:b/>
                <w:bCs/>
                <w:sz w:val="16"/>
                <w:szCs w:val="16"/>
                <w:vertAlign w:val="superscript"/>
              </w:rPr>
              <w:t xml:space="preserve"> (a)</w:t>
            </w:r>
          </w:p>
        </w:tc>
      </w:tr>
      <w:tr w:rsidR="0030654E" w:rsidRPr="0030654E" w14:paraId="448F8713" w14:textId="77777777" w:rsidTr="0030654E">
        <w:trPr>
          <w:trHeight w:val="225"/>
          <w:jc w:val="center"/>
        </w:trPr>
        <w:tc>
          <w:tcPr>
            <w:tcW w:w="3020" w:type="dxa"/>
            <w:gridSpan w:val="2"/>
            <w:tcBorders>
              <w:top w:val="nil"/>
              <w:left w:val="nil"/>
              <w:bottom w:val="nil"/>
              <w:right w:val="nil"/>
            </w:tcBorders>
            <w:shd w:val="clear" w:color="auto" w:fill="auto"/>
            <w:noWrap/>
            <w:vAlign w:val="bottom"/>
            <w:hideMark/>
          </w:tcPr>
          <w:p w14:paraId="4A606D3C" w14:textId="77777777" w:rsidR="0030654E" w:rsidRPr="0030654E" w:rsidRDefault="0030654E" w:rsidP="0030654E">
            <w:pPr>
              <w:spacing w:after="0"/>
              <w:rPr>
                <w:rFonts w:ascii="Arial" w:hAnsi="Arial" w:cs="Arial"/>
                <w:color w:val="auto"/>
                <w:sz w:val="16"/>
                <w:szCs w:val="16"/>
              </w:rPr>
            </w:pPr>
            <w:r w:rsidRPr="0030654E">
              <w:rPr>
                <w:rFonts w:ascii="Arial" w:hAnsi="Arial" w:cs="Arial"/>
                <w:color w:val="auto"/>
                <w:sz w:val="16"/>
                <w:szCs w:val="16"/>
              </w:rPr>
              <w:t>Australian Digital Health Agency</w:t>
            </w:r>
          </w:p>
        </w:tc>
        <w:tc>
          <w:tcPr>
            <w:tcW w:w="880" w:type="dxa"/>
            <w:tcBorders>
              <w:top w:val="nil"/>
              <w:left w:val="nil"/>
              <w:bottom w:val="nil"/>
              <w:right w:val="nil"/>
            </w:tcBorders>
            <w:shd w:val="clear" w:color="auto" w:fill="auto"/>
            <w:noWrap/>
            <w:vAlign w:val="bottom"/>
            <w:hideMark/>
          </w:tcPr>
          <w:p w14:paraId="704B6C4A" w14:textId="77777777" w:rsidR="0030654E" w:rsidRPr="0030654E" w:rsidRDefault="0030654E" w:rsidP="0030654E">
            <w:pPr>
              <w:spacing w:after="0"/>
              <w:rPr>
                <w:rFonts w:ascii="Arial" w:hAnsi="Arial" w:cs="Arial"/>
                <w:color w:val="auto"/>
                <w:sz w:val="16"/>
                <w:szCs w:val="16"/>
              </w:rPr>
            </w:pPr>
          </w:p>
        </w:tc>
        <w:tc>
          <w:tcPr>
            <w:tcW w:w="880" w:type="dxa"/>
            <w:tcBorders>
              <w:top w:val="nil"/>
              <w:left w:val="nil"/>
              <w:bottom w:val="nil"/>
              <w:right w:val="nil"/>
            </w:tcBorders>
            <w:shd w:val="clear" w:color="000000" w:fill="D9D9D9"/>
            <w:noWrap/>
            <w:vAlign w:val="bottom"/>
            <w:hideMark/>
          </w:tcPr>
          <w:p w14:paraId="18863664" w14:textId="77777777" w:rsidR="0030654E" w:rsidRPr="0030654E" w:rsidRDefault="0030654E" w:rsidP="0030654E">
            <w:pPr>
              <w:spacing w:after="0"/>
              <w:jc w:val="right"/>
              <w:rPr>
                <w:rFonts w:ascii="Arial" w:hAnsi="Arial" w:cs="Arial"/>
                <w:color w:val="auto"/>
                <w:sz w:val="16"/>
                <w:szCs w:val="16"/>
              </w:rPr>
            </w:pPr>
            <w:r w:rsidRPr="0030654E">
              <w:rPr>
                <w:rFonts w:ascii="Arial" w:hAnsi="Arial" w:cs="Arial"/>
                <w:color w:val="auto"/>
                <w:sz w:val="16"/>
                <w:szCs w:val="16"/>
              </w:rPr>
              <w:t> </w:t>
            </w:r>
          </w:p>
        </w:tc>
        <w:tc>
          <w:tcPr>
            <w:tcW w:w="880" w:type="dxa"/>
            <w:tcBorders>
              <w:top w:val="nil"/>
              <w:left w:val="nil"/>
              <w:bottom w:val="nil"/>
              <w:right w:val="nil"/>
            </w:tcBorders>
            <w:shd w:val="clear" w:color="auto" w:fill="auto"/>
            <w:noWrap/>
            <w:vAlign w:val="bottom"/>
            <w:hideMark/>
          </w:tcPr>
          <w:p w14:paraId="6FE15631" w14:textId="77777777" w:rsidR="0030654E" w:rsidRPr="0030654E" w:rsidRDefault="0030654E" w:rsidP="0030654E">
            <w:pPr>
              <w:spacing w:after="0"/>
              <w:jc w:val="right"/>
              <w:rPr>
                <w:rFonts w:ascii="Arial" w:hAnsi="Arial" w:cs="Arial"/>
                <w:color w:val="auto"/>
                <w:sz w:val="16"/>
                <w:szCs w:val="16"/>
              </w:rPr>
            </w:pPr>
          </w:p>
        </w:tc>
        <w:tc>
          <w:tcPr>
            <w:tcW w:w="880" w:type="dxa"/>
            <w:tcBorders>
              <w:top w:val="nil"/>
              <w:left w:val="nil"/>
              <w:bottom w:val="nil"/>
              <w:right w:val="nil"/>
            </w:tcBorders>
            <w:shd w:val="clear" w:color="auto" w:fill="auto"/>
            <w:noWrap/>
            <w:vAlign w:val="bottom"/>
            <w:hideMark/>
          </w:tcPr>
          <w:p w14:paraId="32B49B06" w14:textId="77777777" w:rsidR="0030654E" w:rsidRPr="0030654E" w:rsidRDefault="0030654E" w:rsidP="0030654E">
            <w:pPr>
              <w:spacing w:after="0"/>
              <w:rPr>
                <w:rFonts w:ascii="Times New Roman" w:hAnsi="Times New Roman"/>
                <w:color w:val="auto"/>
                <w:sz w:val="20"/>
              </w:rPr>
            </w:pPr>
          </w:p>
        </w:tc>
        <w:tc>
          <w:tcPr>
            <w:tcW w:w="880" w:type="dxa"/>
            <w:tcBorders>
              <w:top w:val="nil"/>
              <w:left w:val="nil"/>
              <w:bottom w:val="nil"/>
              <w:right w:val="nil"/>
            </w:tcBorders>
            <w:shd w:val="clear" w:color="auto" w:fill="auto"/>
            <w:noWrap/>
            <w:vAlign w:val="bottom"/>
            <w:hideMark/>
          </w:tcPr>
          <w:p w14:paraId="55AC0D85" w14:textId="77777777" w:rsidR="0030654E" w:rsidRPr="0030654E" w:rsidRDefault="0030654E" w:rsidP="0030654E">
            <w:pPr>
              <w:spacing w:after="0"/>
              <w:rPr>
                <w:rFonts w:ascii="Times New Roman" w:hAnsi="Times New Roman"/>
                <w:color w:val="auto"/>
                <w:sz w:val="20"/>
              </w:rPr>
            </w:pPr>
          </w:p>
        </w:tc>
      </w:tr>
      <w:tr w:rsidR="0030654E" w:rsidRPr="0030654E" w14:paraId="64D7BF9C" w14:textId="77777777" w:rsidTr="0030654E">
        <w:trPr>
          <w:trHeight w:val="225"/>
          <w:jc w:val="center"/>
        </w:trPr>
        <w:tc>
          <w:tcPr>
            <w:tcW w:w="2140" w:type="dxa"/>
            <w:tcBorders>
              <w:top w:val="nil"/>
              <w:left w:val="nil"/>
              <w:bottom w:val="nil"/>
              <w:right w:val="nil"/>
            </w:tcBorders>
            <w:shd w:val="clear" w:color="auto" w:fill="auto"/>
            <w:noWrap/>
            <w:vAlign w:val="bottom"/>
            <w:hideMark/>
          </w:tcPr>
          <w:p w14:paraId="513DC2FC" w14:textId="77777777" w:rsidR="0030654E" w:rsidRPr="0030654E" w:rsidRDefault="0030654E" w:rsidP="0030654E">
            <w:pPr>
              <w:spacing w:after="0"/>
              <w:ind w:firstLineChars="100" w:firstLine="160"/>
              <w:rPr>
                <w:rFonts w:ascii="Arial" w:hAnsi="Arial" w:cs="Arial"/>
                <w:color w:val="auto"/>
                <w:sz w:val="16"/>
                <w:szCs w:val="16"/>
              </w:rPr>
            </w:pPr>
            <w:r w:rsidRPr="0030654E">
              <w:rPr>
                <w:rFonts w:ascii="Arial" w:hAnsi="Arial" w:cs="Arial"/>
                <w:color w:val="auto"/>
                <w:sz w:val="16"/>
                <w:szCs w:val="16"/>
              </w:rPr>
              <w:t>Departmental payments</w:t>
            </w:r>
          </w:p>
        </w:tc>
        <w:tc>
          <w:tcPr>
            <w:tcW w:w="880" w:type="dxa"/>
            <w:tcBorders>
              <w:top w:val="nil"/>
              <w:left w:val="nil"/>
              <w:bottom w:val="nil"/>
              <w:right w:val="nil"/>
            </w:tcBorders>
            <w:shd w:val="clear" w:color="auto" w:fill="auto"/>
            <w:noWrap/>
            <w:vAlign w:val="bottom"/>
            <w:hideMark/>
          </w:tcPr>
          <w:p w14:paraId="496E2AA4" w14:textId="77777777" w:rsidR="0030654E" w:rsidRPr="0030654E" w:rsidRDefault="0030654E" w:rsidP="0030654E">
            <w:pPr>
              <w:spacing w:after="0"/>
              <w:jc w:val="right"/>
              <w:rPr>
                <w:rFonts w:ascii="Arial" w:hAnsi="Arial" w:cs="Arial"/>
                <w:color w:val="auto"/>
                <w:sz w:val="16"/>
                <w:szCs w:val="16"/>
              </w:rPr>
            </w:pPr>
            <w:r w:rsidRPr="0030654E">
              <w:rPr>
                <w:rFonts w:ascii="Arial" w:hAnsi="Arial" w:cs="Arial"/>
                <w:color w:val="auto"/>
                <w:sz w:val="16"/>
                <w:szCs w:val="16"/>
              </w:rPr>
              <w:t>1.1</w:t>
            </w:r>
          </w:p>
        </w:tc>
        <w:tc>
          <w:tcPr>
            <w:tcW w:w="880" w:type="dxa"/>
            <w:tcBorders>
              <w:top w:val="nil"/>
              <w:left w:val="nil"/>
              <w:bottom w:val="nil"/>
              <w:right w:val="nil"/>
            </w:tcBorders>
            <w:shd w:val="clear" w:color="auto" w:fill="auto"/>
            <w:noWrap/>
            <w:vAlign w:val="bottom"/>
            <w:hideMark/>
          </w:tcPr>
          <w:p w14:paraId="2266C167" w14:textId="77777777" w:rsidR="0030654E" w:rsidRPr="0030654E" w:rsidRDefault="0030654E" w:rsidP="0030654E">
            <w:pPr>
              <w:spacing w:after="0"/>
              <w:jc w:val="right"/>
              <w:rPr>
                <w:rFonts w:ascii="Arial" w:hAnsi="Arial" w:cs="Arial"/>
                <w:color w:val="auto"/>
                <w:sz w:val="16"/>
                <w:szCs w:val="16"/>
              </w:rPr>
            </w:pPr>
            <w:r w:rsidRPr="0030654E">
              <w:rPr>
                <w:rFonts w:ascii="Arial" w:hAnsi="Arial" w:cs="Arial"/>
                <w:color w:val="auto"/>
                <w:sz w:val="16"/>
                <w:szCs w:val="16"/>
              </w:rPr>
              <w:t>-</w:t>
            </w:r>
          </w:p>
        </w:tc>
        <w:tc>
          <w:tcPr>
            <w:tcW w:w="880" w:type="dxa"/>
            <w:tcBorders>
              <w:top w:val="nil"/>
              <w:left w:val="nil"/>
              <w:bottom w:val="nil"/>
              <w:right w:val="nil"/>
            </w:tcBorders>
            <w:shd w:val="clear" w:color="000000" w:fill="D9D9D9"/>
            <w:noWrap/>
            <w:vAlign w:val="bottom"/>
            <w:hideMark/>
          </w:tcPr>
          <w:p w14:paraId="5B164E81" w14:textId="77777777" w:rsidR="0030654E" w:rsidRPr="0030654E" w:rsidRDefault="0030654E" w:rsidP="0030654E">
            <w:pPr>
              <w:spacing w:after="0"/>
              <w:jc w:val="right"/>
              <w:rPr>
                <w:rFonts w:ascii="Arial" w:hAnsi="Arial" w:cs="Arial"/>
                <w:color w:val="auto"/>
                <w:sz w:val="16"/>
                <w:szCs w:val="16"/>
              </w:rPr>
            </w:pPr>
            <w:r w:rsidRPr="0030654E">
              <w:rPr>
                <w:rFonts w:ascii="Arial" w:hAnsi="Arial" w:cs="Arial"/>
                <w:color w:val="auto"/>
                <w:sz w:val="16"/>
                <w:szCs w:val="16"/>
              </w:rPr>
              <w:t>(75)</w:t>
            </w:r>
          </w:p>
        </w:tc>
        <w:tc>
          <w:tcPr>
            <w:tcW w:w="880" w:type="dxa"/>
            <w:tcBorders>
              <w:top w:val="nil"/>
              <w:left w:val="nil"/>
              <w:bottom w:val="nil"/>
              <w:right w:val="nil"/>
            </w:tcBorders>
            <w:shd w:val="clear" w:color="auto" w:fill="auto"/>
            <w:noWrap/>
            <w:vAlign w:val="bottom"/>
            <w:hideMark/>
          </w:tcPr>
          <w:p w14:paraId="01CE8CA6" w14:textId="77777777" w:rsidR="0030654E" w:rsidRPr="0030654E" w:rsidRDefault="0030654E" w:rsidP="0030654E">
            <w:pPr>
              <w:spacing w:after="0"/>
              <w:jc w:val="right"/>
              <w:rPr>
                <w:rFonts w:ascii="Arial" w:hAnsi="Arial" w:cs="Arial"/>
                <w:color w:val="auto"/>
                <w:sz w:val="16"/>
                <w:szCs w:val="16"/>
              </w:rPr>
            </w:pPr>
            <w:r w:rsidRPr="0030654E">
              <w:rPr>
                <w:rFonts w:ascii="Arial" w:hAnsi="Arial" w:cs="Arial"/>
                <w:color w:val="auto"/>
                <w:sz w:val="16"/>
                <w:szCs w:val="16"/>
              </w:rPr>
              <w:t>-</w:t>
            </w:r>
          </w:p>
        </w:tc>
        <w:tc>
          <w:tcPr>
            <w:tcW w:w="880" w:type="dxa"/>
            <w:tcBorders>
              <w:top w:val="nil"/>
              <w:left w:val="nil"/>
              <w:bottom w:val="nil"/>
              <w:right w:val="nil"/>
            </w:tcBorders>
            <w:shd w:val="clear" w:color="auto" w:fill="auto"/>
            <w:noWrap/>
            <w:vAlign w:val="bottom"/>
            <w:hideMark/>
          </w:tcPr>
          <w:p w14:paraId="6BF6715A" w14:textId="77777777" w:rsidR="0030654E" w:rsidRPr="0030654E" w:rsidRDefault="0030654E" w:rsidP="0030654E">
            <w:pPr>
              <w:spacing w:after="0"/>
              <w:jc w:val="right"/>
              <w:rPr>
                <w:rFonts w:ascii="Arial" w:hAnsi="Arial" w:cs="Arial"/>
                <w:color w:val="auto"/>
                <w:sz w:val="16"/>
                <w:szCs w:val="16"/>
              </w:rPr>
            </w:pPr>
            <w:r w:rsidRPr="0030654E">
              <w:rPr>
                <w:rFonts w:ascii="Arial" w:hAnsi="Arial" w:cs="Arial"/>
                <w:color w:val="auto"/>
                <w:sz w:val="16"/>
                <w:szCs w:val="16"/>
              </w:rPr>
              <w:t>-</w:t>
            </w:r>
          </w:p>
        </w:tc>
        <w:tc>
          <w:tcPr>
            <w:tcW w:w="880" w:type="dxa"/>
            <w:tcBorders>
              <w:top w:val="nil"/>
              <w:left w:val="nil"/>
              <w:bottom w:val="nil"/>
              <w:right w:val="nil"/>
            </w:tcBorders>
            <w:shd w:val="clear" w:color="auto" w:fill="auto"/>
            <w:noWrap/>
            <w:vAlign w:val="bottom"/>
            <w:hideMark/>
          </w:tcPr>
          <w:p w14:paraId="68677A9D" w14:textId="77777777" w:rsidR="0030654E" w:rsidRPr="0030654E" w:rsidRDefault="0030654E" w:rsidP="0030654E">
            <w:pPr>
              <w:spacing w:after="0"/>
              <w:jc w:val="right"/>
              <w:rPr>
                <w:rFonts w:ascii="Arial" w:hAnsi="Arial" w:cs="Arial"/>
                <w:color w:val="auto"/>
                <w:sz w:val="16"/>
                <w:szCs w:val="16"/>
              </w:rPr>
            </w:pPr>
            <w:r w:rsidRPr="0030654E">
              <w:rPr>
                <w:rFonts w:ascii="Arial" w:hAnsi="Arial" w:cs="Arial"/>
                <w:color w:val="auto"/>
                <w:sz w:val="16"/>
                <w:szCs w:val="16"/>
              </w:rPr>
              <w:t>-</w:t>
            </w:r>
          </w:p>
        </w:tc>
      </w:tr>
      <w:tr w:rsidR="0030654E" w:rsidRPr="0030654E" w14:paraId="47C29706" w14:textId="77777777" w:rsidTr="0030654E">
        <w:trPr>
          <w:trHeight w:val="225"/>
          <w:jc w:val="center"/>
        </w:trPr>
        <w:tc>
          <w:tcPr>
            <w:tcW w:w="2140" w:type="dxa"/>
            <w:tcBorders>
              <w:top w:val="nil"/>
              <w:left w:val="nil"/>
              <w:bottom w:val="nil"/>
              <w:right w:val="nil"/>
            </w:tcBorders>
            <w:shd w:val="clear" w:color="auto" w:fill="auto"/>
            <w:noWrap/>
            <w:vAlign w:val="bottom"/>
            <w:hideMark/>
          </w:tcPr>
          <w:p w14:paraId="43DEB710" w14:textId="77777777" w:rsidR="0030654E" w:rsidRPr="0030654E" w:rsidRDefault="0030654E" w:rsidP="0030654E">
            <w:pPr>
              <w:spacing w:after="0"/>
              <w:rPr>
                <w:rFonts w:ascii="Arial" w:hAnsi="Arial" w:cs="Arial"/>
                <w:b/>
                <w:bCs/>
                <w:color w:val="auto"/>
                <w:sz w:val="16"/>
                <w:szCs w:val="16"/>
              </w:rPr>
            </w:pPr>
            <w:r w:rsidRPr="0030654E">
              <w:rPr>
                <w:rFonts w:ascii="Arial" w:hAnsi="Arial" w:cs="Arial"/>
                <w:b/>
                <w:bCs/>
                <w:color w:val="auto"/>
                <w:sz w:val="16"/>
                <w:szCs w:val="16"/>
              </w:rPr>
              <w:t>Total payments</w:t>
            </w:r>
          </w:p>
        </w:tc>
        <w:tc>
          <w:tcPr>
            <w:tcW w:w="880" w:type="dxa"/>
            <w:tcBorders>
              <w:top w:val="nil"/>
              <w:left w:val="nil"/>
              <w:bottom w:val="nil"/>
              <w:right w:val="nil"/>
            </w:tcBorders>
            <w:shd w:val="clear" w:color="auto" w:fill="auto"/>
            <w:noWrap/>
            <w:vAlign w:val="bottom"/>
            <w:hideMark/>
          </w:tcPr>
          <w:p w14:paraId="5221B029" w14:textId="77777777" w:rsidR="0030654E" w:rsidRPr="0030654E" w:rsidRDefault="0030654E" w:rsidP="0030654E">
            <w:pPr>
              <w:spacing w:after="0"/>
              <w:rPr>
                <w:rFonts w:ascii="Arial" w:hAnsi="Arial" w:cs="Arial"/>
                <w:b/>
                <w:bCs/>
                <w:color w:val="auto"/>
                <w:sz w:val="16"/>
                <w:szCs w:val="16"/>
              </w:rPr>
            </w:pPr>
          </w:p>
        </w:tc>
        <w:tc>
          <w:tcPr>
            <w:tcW w:w="880" w:type="dxa"/>
            <w:tcBorders>
              <w:top w:val="single" w:sz="4" w:space="0" w:color="auto"/>
              <w:left w:val="nil"/>
              <w:bottom w:val="single" w:sz="4" w:space="0" w:color="auto"/>
              <w:right w:val="nil"/>
            </w:tcBorders>
            <w:shd w:val="clear" w:color="auto" w:fill="auto"/>
            <w:noWrap/>
            <w:vAlign w:val="bottom"/>
            <w:hideMark/>
          </w:tcPr>
          <w:p w14:paraId="716FFC71" w14:textId="77777777" w:rsidR="0030654E" w:rsidRPr="0030654E" w:rsidRDefault="0030654E" w:rsidP="0030654E">
            <w:pPr>
              <w:spacing w:after="0"/>
              <w:jc w:val="right"/>
              <w:rPr>
                <w:rFonts w:ascii="Arial" w:hAnsi="Arial" w:cs="Arial"/>
                <w:b/>
                <w:bCs/>
                <w:color w:val="auto"/>
                <w:sz w:val="16"/>
                <w:szCs w:val="16"/>
              </w:rPr>
            </w:pPr>
            <w:r w:rsidRPr="0030654E">
              <w:rPr>
                <w:rFonts w:ascii="Arial" w:hAnsi="Arial" w:cs="Arial"/>
                <w:b/>
                <w:bCs/>
                <w:color w:val="auto"/>
                <w:sz w:val="16"/>
                <w:szCs w:val="16"/>
              </w:rPr>
              <w:t>-</w:t>
            </w:r>
          </w:p>
        </w:tc>
        <w:tc>
          <w:tcPr>
            <w:tcW w:w="880" w:type="dxa"/>
            <w:tcBorders>
              <w:top w:val="single" w:sz="4" w:space="0" w:color="auto"/>
              <w:left w:val="nil"/>
              <w:bottom w:val="single" w:sz="4" w:space="0" w:color="auto"/>
              <w:right w:val="nil"/>
            </w:tcBorders>
            <w:shd w:val="clear" w:color="000000" w:fill="D9D9D9"/>
            <w:noWrap/>
            <w:vAlign w:val="bottom"/>
            <w:hideMark/>
          </w:tcPr>
          <w:p w14:paraId="70347C4D" w14:textId="77777777" w:rsidR="0030654E" w:rsidRPr="0030654E" w:rsidRDefault="0030654E" w:rsidP="0030654E">
            <w:pPr>
              <w:spacing w:after="0"/>
              <w:jc w:val="right"/>
              <w:rPr>
                <w:rFonts w:ascii="Arial" w:hAnsi="Arial" w:cs="Arial"/>
                <w:b/>
                <w:bCs/>
                <w:color w:val="auto"/>
                <w:sz w:val="16"/>
                <w:szCs w:val="16"/>
              </w:rPr>
            </w:pPr>
            <w:r w:rsidRPr="0030654E">
              <w:rPr>
                <w:rFonts w:ascii="Arial" w:hAnsi="Arial" w:cs="Arial"/>
                <w:b/>
                <w:bCs/>
                <w:color w:val="auto"/>
                <w:sz w:val="16"/>
                <w:szCs w:val="16"/>
              </w:rPr>
              <w:t>(75)</w:t>
            </w:r>
          </w:p>
        </w:tc>
        <w:tc>
          <w:tcPr>
            <w:tcW w:w="880" w:type="dxa"/>
            <w:tcBorders>
              <w:top w:val="single" w:sz="4" w:space="0" w:color="auto"/>
              <w:left w:val="nil"/>
              <w:bottom w:val="single" w:sz="4" w:space="0" w:color="auto"/>
              <w:right w:val="nil"/>
            </w:tcBorders>
            <w:shd w:val="clear" w:color="auto" w:fill="auto"/>
            <w:noWrap/>
            <w:vAlign w:val="bottom"/>
            <w:hideMark/>
          </w:tcPr>
          <w:p w14:paraId="28917C8D" w14:textId="77777777" w:rsidR="0030654E" w:rsidRPr="0030654E" w:rsidRDefault="0030654E" w:rsidP="0030654E">
            <w:pPr>
              <w:spacing w:after="0"/>
              <w:jc w:val="right"/>
              <w:rPr>
                <w:rFonts w:ascii="Arial" w:hAnsi="Arial" w:cs="Arial"/>
                <w:b/>
                <w:bCs/>
                <w:color w:val="auto"/>
                <w:sz w:val="16"/>
                <w:szCs w:val="16"/>
              </w:rPr>
            </w:pPr>
            <w:r w:rsidRPr="0030654E">
              <w:rPr>
                <w:rFonts w:ascii="Arial" w:hAnsi="Arial" w:cs="Arial"/>
                <w:b/>
                <w:bCs/>
                <w:color w:val="auto"/>
                <w:sz w:val="16"/>
                <w:szCs w:val="16"/>
              </w:rPr>
              <w:t>-</w:t>
            </w:r>
          </w:p>
        </w:tc>
        <w:tc>
          <w:tcPr>
            <w:tcW w:w="880" w:type="dxa"/>
            <w:tcBorders>
              <w:top w:val="single" w:sz="4" w:space="0" w:color="auto"/>
              <w:left w:val="nil"/>
              <w:bottom w:val="single" w:sz="4" w:space="0" w:color="auto"/>
              <w:right w:val="nil"/>
            </w:tcBorders>
            <w:shd w:val="clear" w:color="auto" w:fill="auto"/>
            <w:noWrap/>
            <w:vAlign w:val="bottom"/>
            <w:hideMark/>
          </w:tcPr>
          <w:p w14:paraId="7063FA52" w14:textId="77777777" w:rsidR="0030654E" w:rsidRPr="0030654E" w:rsidRDefault="0030654E" w:rsidP="0030654E">
            <w:pPr>
              <w:spacing w:after="0"/>
              <w:jc w:val="right"/>
              <w:rPr>
                <w:rFonts w:ascii="Arial" w:hAnsi="Arial" w:cs="Arial"/>
                <w:b/>
                <w:bCs/>
                <w:color w:val="auto"/>
                <w:sz w:val="16"/>
                <w:szCs w:val="16"/>
              </w:rPr>
            </w:pPr>
            <w:r w:rsidRPr="0030654E">
              <w:rPr>
                <w:rFonts w:ascii="Arial" w:hAnsi="Arial" w:cs="Arial"/>
                <w:b/>
                <w:bCs/>
                <w:color w:val="auto"/>
                <w:sz w:val="16"/>
                <w:szCs w:val="16"/>
              </w:rPr>
              <w:t>-</w:t>
            </w:r>
          </w:p>
        </w:tc>
        <w:tc>
          <w:tcPr>
            <w:tcW w:w="880" w:type="dxa"/>
            <w:tcBorders>
              <w:top w:val="single" w:sz="4" w:space="0" w:color="auto"/>
              <w:left w:val="nil"/>
              <w:bottom w:val="single" w:sz="4" w:space="0" w:color="auto"/>
              <w:right w:val="nil"/>
            </w:tcBorders>
            <w:shd w:val="clear" w:color="auto" w:fill="auto"/>
            <w:noWrap/>
            <w:vAlign w:val="bottom"/>
            <w:hideMark/>
          </w:tcPr>
          <w:p w14:paraId="46871878" w14:textId="77777777" w:rsidR="0030654E" w:rsidRPr="0030654E" w:rsidRDefault="0030654E" w:rsidP="0030654E">
            <w:pPr>
              <w:spacing w:after="0"/>
              <w:jc w:val="right"/>
              <w:rPr>
                <w:rFonts w:ascii="Arial" w:hAnsi="Arial" w:cs="Arial"/>
                <w:b/>
                <w:bCs/>
                <w:color w:val="auto"/>
                <w:sz w:val="16"/>
                <w:szCs w:val="16"/>
              </w:rPr>
            </w:pPr>
            <w:r w:rsidRPr="0030654E">
              <w:rPr>
                <w:rFonts w:ascii="Arial" w:hAnsi="Arial" w:cs="Arial"/>
                <w:b/>
                <w:bCs/>
                <w:color w:val="auto"/>
                <w:sz w:val="16"/>
                <w:szCs w:val="16"/>
              </w:rPr>
              <w:t>-</w:t>
            </w:r>
          </w:p>
        </w:tc>
      </w:tr>
      <w:tr w:rsidR="0030654E" w:rsidRPr="0030654E" w14:paraId="24067E08" w14:textId="77777777" w:rsidTr="0030654E">
        <w:trPr>
          <w:trHeight w:val="300"/>
          <w:jc w:val="center"/>
        </w:trPr>
        <w:tc>
          <w:tcPr>
            <w:tcW w:w="7420" w:type="dxa"/>
            <w:gridSpan w:val="7"/>
            <w:tcBorders>
              <w:top w:val="nil"/>
              <w:left w:val="nil"/>
              <w:bottom w:val="nil"/>
              <w:right w:val="nil"/>
            </w:tcBorders>
            <w:shd w:val="clear" w:color="auto" w:fill="auto"/>
            <w:vAlign w:val="bottom"/>
            <w:hideMark/>
          </w:tcPr>
          <w:p w14:paraId="0F289C72" w14:textId="77777777" w:rsidR="0030654E" w:rsidRPr="0030654E" w:rsidRDefault="0030654E" w:rsidP="0030654E">
            <w:pPr>
              <w:spacing w:after="0"/>
              <w:rPr>
                <w:rFonts w:ascii="Arial" w:hAnsi="Arial" w:cs="Arial"/>
                <w:b/>
                <w:bCs/>
                <w:sz w:val="16"/>
                <w:szCs w:val="16"/>
              </w:rPr>
            </w:pPr>
            <w:r w:rsidRPr="0030654E">
              <w:rPr>
                <w:rFonts w:ascii="Arial" w:hAnsi="Arial" w:cs="Arial"/>
                <w:b/>
                <w:bCs/>
                <w:sz w:val="16"/>
                <w:szCs w:val="16"/>
              </w:rPr>
              <w:t>Implementing Aged Care Reform</w:t>
            </w:r>
            <w:r w:rsidRPr="0030654E">
              <w:rPr>
                <w:rFonts w:ascii="Arial" w:hAnsi="Arial" w:cs="Arial"/>
                <w:b/>
                <w:bCs/>
                <w:sz w:val="16"/>
                <w:szCs w:val="16"/>
                <w:vertAlign w:val="superscript"/>
              </w:rPr>
              <w:t xml:space="preserve"> (b)</w:t>
            </w:r>
          </w:p>
        </w:tc>
      </w:tr>
      <w:tr w:rsidR="0030654E" w:rsidRPr="0030654E" w14:paraId="080288BB" w14:textId="77777777" w:rsidTr="0030654E">
        <w:trPr>
          <w:trHeight w:val="225"/>
          <w:jc w:val="center"/>
        </w:trPr>
        <w:tc>
          <w:tcPr>
            <w:tcW w:w="3020" w:type="dxa"/>
            <w:gridSpan w:val="2"/>
            <w:tcBorders>
              <w:top w:val="nil"/>
              <w:left w:val="nil"/>
              <w:bottom w:val="nil"/>
              <w:right w:val="nil"/>
            </w:tcBorders>
            <w:shd w:val="clear" w:color="auto" w:fill="auto"/>
            <w:noWrap/>
            <w:vAlign w:val="bottom"/>
            <w:hideMark/>
          </w:tcPr>
          <w:p w14:paraId="281DD0B9" w14:textId="77777777" w:rsidR="0030654E" w:rsidRPr="0030654E" w:rsidRDefault="0030654E" w:rsidP="0030654E">
            <w:pPr>
              <w:spacing w:after="0"/>
              <w:rPr>
                <w:rFonts w:ascii="Arial" w:hAnsi="Arial" w:cs="Arial"/>
                <w:color w:val="auto"/>
                <w:sz w:val="16"/>
                <w:szCs w:val="16"/>
              </w:rPr>
            </w:pPr>
            <w:r w:rsidRPr="0030654E">
              <w:rPr>
                <w:rFonts w:ascii="Arial" w:hAnsi="Arial" w:cs="Arial"/>
                <w:color w:val="auto"/>
                <w:sz w:val="16"/>
                <w:szCs w:val="16"/>
              </w:rPr>
              <w:t>Australian Digital Health Agency</w:t>
            </w:r>
          </w:p>
        </w:tc>
        <w:tc>
          <w:tcPr>
            <w:tcW w:w="880" w:type="dxa"/>
            <w:tcBorders>
              <w:top w:val="nil"/>
              <w:left w:val="nil"/>
              <w:bottom w:val="nil"/>
              <w:right w:val="nil"/>
            </w:tcBorders>
            <w:shd w:val="clear" w:color="auto" w:fill="auto"/>
            <w:noWrap/>
            <w:vAlign w:val="bottom"/>
            <w:hideMark/>
          </w:tcPr>
          <w:p w14:paraId="1ADD1E8E" w14:textId="77777777" w:rsidR="0030654E" w:rsidRPr="0030654E" w:rsidRDefault="0030654E" w:rsidP="0030654E">
            <w:pPr>
              <w:spacing w:after="0"/>
              <w:rPr>
                <w:rFonts w:ascii="Arial" w:hAnsi="Arial" w:cs="Arial"/>
                <w:color w:val="auto"/>
                <w:sz w:val="16"/>
                <w:szCs w:val="16"/>
              </w:rPr>
            </w:pPr>
          </w:p>
        </w:tc>
        <w:tc>
          <w:tcPr>
            <w:tcW w:w="880" w:type="dxa"/>
            <w:tcBorders>
              <w:top w:val="nil"/>
              <w:left w:val="nil"/>
              <w:bottom w:val="nil"/>
              <w:right w:val="nil"/>
            </w:tcBorders>
            <w:shd w:val="clear" w:color="000000" w:fill="D9D9D9"/>
            <w:noWrap/>
            <w:vAlign w:val="bottom"/>
            <w:hideMark/>
          </w:tcPr>
          <w:p w14:paraId="2FE9DCCB" w14:textId="77777777" w:rsidR="0030654E" w:rsidRPr="0030654E" w:rsidRDefault="0030654E" w:rsidP="0030654E">
            <w:pPr>
              <w:spacing w:after="0"/>
              <w:jc w:val="right"/>
              <w:rPr>
                <w:rFonts w:ascii="Arial" w:hAnsi="Arial" w:cs="Arial"/>
                <w:color w:val="auto"/>
                <w:sz w:val="16"/>
                <w:szCs w:val="16"/>
              </w:rPr>
            </w:pPr>
            <w:r w:rsidRPr="0030654E">
              <w:rPr>
                <w:rFonts w:ascii="Arial" w:hAnsi="Arial" w:cs="Arial"/>
                <w:color w:val="auto"/>
                <w:sz w:val="16"/>
                <w:szCs w:val="16"/>
              </w:rPr>
              <w:t> </w:t>
            </w:r>
          </w:p>
        </w:tc>
        <w:tc>
          <w:tcPr>
            <w:tcW w:w="880" w:type="dxa"/>
            <w:tcBorders>
              <w:top w:val="nil"/>
              <w:left w:val="nil"/>
              <w:bottom w:val="nil"/>
              <w:right w:val="nil"/>
            </w:tcBorders>
            <w:shd w:val="clear" w:color="auto" w:fill="auto"/>
            <w:noWrap/>
            <w:vAlign w:val="bottom"/>
            <w:hideMark/>
          </w:tcPr>
          <w:p w14:paraId="39C81BDB" w14:textId="77777777" w:rsidR="0030654E" w:rsidRPr="0030654E" w:rsidRDefault="0030654E" w:rsidP="0030654E">
            <w:pPr>
              <w:spacing w:after="0"/>
              <w:jc w:val="right"/>
              <w:rPr>
                <w:rFonts w:ascii="Arial" w:hAnsi="Arial" w:cs="Arial"/>
                <w:color w:val="auto"/>
                <w:sz w:val="16"/>
                <w:szCs w:val="16"/>
              </w:rPr>
            </w:pPr>
          </w:p>
        </w:tc>
        <w:tc>
          <w:tcPr>
            <w:tcW w:w="880" w:type="dxa"/>
            <w:tcBorders>
              <w:top w:val="nil"/>
              <w:left w:val="nil"/>
              <w:bottom w:val="nil"/>
              <w:right w:val="nil"/>
            </w:tcBorders>
            <w:shd w:val="clear" w:color="auto" w:fill="auto"/>
            <w:noWrap/>
            <w:vAlign w:val="bottom"/>
            <w:hideMark/>
          </w:tcPr>
          <w:p w14:paraId="4CE17EAB" w14:textId="77777777" w:rsidR="0030654E" w:rsidRPr="0030654E" w:rsidRDefault="0030654E" w:rsidP="0030654E">
            <w:pPr>
              <w:spacing w:after="0"/>
              <w:rPr>
                <w:rFonts w:ascii="Times New Roman" w:hAnsi="Times New Roman"/>
                <w:color w:val="auto"/>
                <w:sz w:val="20"/>
              </w:rPr>
            </w:pPr>
          </w:p>
        </w:tc>
        <w:tc>
          <w:tcPr>
            <w:tcW w:w="880" w:type="dxa"/>
            <w:tcBorders>
              <w:top w:val="nil"/>
              <w:left w:val="nil"/>
              <w:bottom w:val="nil"/>
              <w:right w:val="nil"/>
            </w:tcBorders>
            <w:shd w:val="clear" w:color="auto" w:fill="auto"/>
            <w:noWrap/>
            <w:vAlign w:val="bottom"/>
            <w:hideMark/>
          </w:tcPr>
          <w:p w14:paraId="01C5455C" w14:textId="77777777" w:rsidR="0030654E" w:rsidRPr="0030654E" w:rsidRDefault="0030654E" w:rsidP="0030654E">
            <w:pPr>
              <w:spacing w:after="0"/>
              <w:rPr>
                <w:rFonts w:ascii="Times New Roman" w:hAnsi="Times New Roman"/>
                <w:color w:val="auto"/>
                <w:sz w:val="20"/>
              </w:rPr>
            </w:pPr>
          </w:p>
        </w:tc>
      </w:tr>
      <w:tr w:rsidR="0030654E" w:rsidRPr="0030654E" w14:paraId="0CA88048" w14:textId="77777777" w:rsidTr="0030654E">
        <w:trPr>
          <w:trHeight w:val="225"/>
          <w:jc w:val="center"/>
        </w:trPr>
        <w:tc>
          <w:tcPr>
            <w:tcW w:w="2140" w:type="dxa"/>
            <w:tcBorders>
              <w:top w:val="nil"/>
              <w:left w:val="nil"/>
              <w:bottom w:val="nil"/>
              <w:right w:val="nil"/>
            </w:tcBorders>
            <w:shd w:val="clear" w:color="auto" w:fill="auto"/>
            <w:noWrap/>
            <w:vAlign w:val="bottom"/>
            <w:hideMark/>
          </w:tcPr>
          <w:p w14:paraId="64442B27" w14:textId="77777777" w:rsidR="0030654E" w:rsidRPr="0030654E" w:rsidRDefault="0030654E" w:rsidP="0030654E">
            <w:pPr>
              <w:spacing w:after="0"/>
              <w:ind w:firstLineChars="100" w:firstLine="160"/>
              <w:rPr>
                <w:rFonts w:ascii="Arial" w:hAnsi="Arial" w:cs="Arial"/>
                <w:color w:val="auto"/>
                <w:sz w:val="16"/>
                <w:szCs w:val="16"/>
              </w:rPr>
            </w:pPr>
            <w:r w:rsidRPr="0030654E">
              <w:rPr>
                <w:rFonts w:ascii="Arial" w:hAnsi="Arial" w:cs="Arial"/>
                <w:color w:val="auto"/>
                <w:sz w:val="16"/>
                <w:szCs w:val="16"/>
              </w:rPr>
              <w:t>Departmental payments</w:t>
            </w:r>
          </w:p>
        </w:tc>
        <w:tc>
          <w:tcPr>
            <w:tcW w:w="880" w:type="dxa"/>
            <w:tcBorders>
              <w:top w:val="nil"/>
              <w:left w:val="nil"/>
              <w:bottom w:val="nil"/>
              <w:right w:val="nil"/>
            </w:tcBorders>
            <w:shd w:val="clear" w:color="auto" w:fill="auto"/>
            <w:noWrap/>
            <w:vAlign w:val="bottom"/>
            <w:hideMark/>
          </w:tcPr>
          <w:p w14:paraId="26385100" w14:textId="77777777" w:rsidR="0030654E" w:rsidRPr="0030654E" w:rsidRDefault="0030654E" w:rsidP="0030654E">
            <w:pPr>
              <w:spacing w:after="0"/>
              <w:jc w:val="right"/>
              <w:rPr>
                <w:rFonts w:ascii="Arial" w:hAnsi="Arial" w:cs="Arial"/>
                <w:color w:val="auto"/>
                <w:sz w:val="16"/>
                <w:szCs w:val="16"/>
              </w:rPr>
            </w:pPr>
            <w:r w:rsidRPr="0030654E">
              <w:rPr>
                <w:rFonts w:ascii="Arial" w:hAnsi="Arial" w:cs="Arial"/>
                <w:color w:val="auto"/>
                <w:sz w:val="16"/>
                <w:szCs w:val="16"/>
              </w:rPr>
              <w:t>1.1</w:t>
            </w:r>
          </w:p>
        </w:tc>
        <w:tc>
          <w:tcPr>
            <w:tcW w:w="880" w:type="dxa"/>
            <w:tcBorders>
              <w:top w:val="nil"/>
              <w:left w:val="nil"/>
              <w:bottom w:val="nil"/>
              <w:right w:val="nil"/>
            </w:tcBorders>
            <w:shd w:val="clear" w:color="auto" w:fill="auto"/>
            <w:noWrap/>
            <w:vAlign w:val="bottom"/>
            <w:hideMark/>
          </w:tcPr>
          <w:p w14:paraId="59882F63" w14:textId="77777777" w:rsidR="0030654E" w:rsidRPr="0030654E" w:rsidRDefault="0030654E" w:rsidP="0030654E">
            <w:pPr>
              <w:spacing w:after="0"/>
              <w:jc w:val="right"/>
              <w:rPr>
                <w:rFonts w:ascii="Arial" w:hAnsi="Arial" w:cs="Arial"/>
                <w:color w:val="auto"/>
                <w:sz w:val="16"/>
                <w:szCs w:val="16"/>
              </w:rPr>
            </w:pPr>
            <w:r w:rsidRPr="0030654E">
              <w:rPr>
                <w:rFonts w:ascii="Arial" w:hAnsi="Arial" w:cs="Arial"/>
                <w:color w:val="auto"/>
                <w:sz w:val="16"/>
                <w:szCs w:val="16"/>
              </w:rPr>
              <w:t>-</w:t>
            </w:r>
          </w:p>
        </w:tc>
        <w:tc>
          <w:tcPr>
            <w:tcW w:w="880" w:type="dxa"/>
            <w:tcBorders>
              <w:top w:val="nil"/>
              <w:left w:val="nil"/>
              <w:bottom w:val="nil"/>
              <w:right w:val="nil"/>
            </w:tcBorders>
            <w:shd w:val="clear" w:color="000000" w:fill="D9D9D9"/>
            <w:noWrap/>
            <w:vAlign w:val="bottom"/>
            <w:hideMark/>
          </w:tcPr>
          <w:p w14:paraId="588EC041" w14:textId="77777777" w:rsidR="0030654E" w:rsidRPr="0030654E" w:rsidRDefault="0030654E" w:rsidP="0030654E">
            <w:pPr>
              <w:spacing w:after="0"/>
              <w:jc w:val="right"/>
              <w:rPr>
                <w:rFonts w:ascii="Arial" w:hAnsi="Arial" w:cs="Arial"/>
                <w:color w:val="auto"/>
                <w:sz w:val="16"/>
                <w:szCs w:val="16"/>
              </w:rPr>
            </w:pPr>
            <w:r w:rsidRPr="0030654E">
              <w:rPr>
                <w:rFonts w:ascii="Arial" w:hAnsi="Arial" w:cs="Arial"/>
                <w:color w:val="auto"/>
                <w:sz w:val="16"/>
                <w:szCs w:val="16"/>
              </w:rPr>
              <w:t>2,494</w:t>
            </w:r>
          </w:p>
        </w:tc>
        <w:tc>
          <w:tcPr>
            <w:tcW w:w="880" w:type="dxa"/>
            <w:tcBorders>
              <w:top w:val="nil"/>
              <w:left w:val="nil"/>
              <w:bottom w:val="nil"/>
              <w:right w:val="nil"/>
            </w:tcBorders>
            <w:shd w:val="clear" w:color="auto" w:fill="auto"/>
            <w:noWrap/>
            <w:vAlign w:val="bottom"/>
            <w:hideMark/>
          </w:tcPr>
          <w:p w14:paraId="77726EE7" w14:textId="77777777" w:rsidR="0030654E" w:rsidRPr="0030654E" w:rsidRDefault="0030654E" w:rsidP="0030654E">
            <w:pPr>
              <w:spacing w:after="0"/>
              <w:jc w:val="right"/>
              <w:rPr>
                <w:rFonts w:ascii="Arial" w:hAnsi="Arial" w:cs="Arial"/>
                <w:color w:val="auto"/>
                <w:sz w:val="16"/>
                <w:szCs w:val="16"/>
              </w:rPr>
            </w:pPr>
            <w:r w:rsidRPr="0030654E">
              <w:rPr>
                <w:rFonts w:ascii="Arial" w:hAnsi="Arial" w:cs="Arial"/>
                <w:color w:val="auto"/>
                <w:sz w:val="16"/>
                <w:szCs w:val="16"/>
              </w:rPr>
              <w:t>-</w:t>
            </w:r>
          </w:p>
        </w:tc>
        <w:tc>
          <w:tcPr>
            <w:tcW w:w="880" w:type="dxa"/>
            <w:tcBorders>
              <w:top w:val="nil"/>
              <w:left w:val="nil"/>
              <w:bottom w:val="nil"/>
              <w:right w:val="nil"/>
            </w:tcBorders>
            <w:shd w:val="clear" w:color="auto" w:fill="auto"/>
            <w:noWrap/>
            <w:vAlign w:val="bottom"/>
            <w:hideMark/>
          </w:tcPr>
          <w:p w14:paraId="7C158655" w14:textId="77777777" w:rsidR="0030654E" w:rsidRPr="0030654E" w:rsidRDefault="0030654E" w:rsidP="0030654E">
            <w:pPr>
              <w:spacing w:after="0"/>
              <w:jc w:val="right"/>
              <w:rPr>
                <w:rFonts w:ascii="Arial" w:hAnsi="Arial" w:cs="Arial"/>
                <w:color w:val="auto"/>
                <w:sz w:val="16"/>
                <w:szCs w:val="16"/>
              </w:rPr>
            </w:pPr>
            <w:r w:rsidRPr="0030654E">
              <w:rPr>
                <w:rFonts w:ascii="Arial" w:hAnsi="Arial" w:cs="Arial"/>
                <w:color w:val="auto"/>
                <w:sz w:val="16"/>
                <w:szCs w:val="16"/>
              </w:rPr>
              <w:t>-</w:t>
            </w:r>
          </w:p>
        </w:tc>
        <w:tc>
          <w:tcPr>
            <w:tcW w:w="880" w:type="dxa"/>
            <w:tcBorders>
              <w:top w:val="nil"/>
              <w:left w:val="nil"/>
              <w:bottom w:val="nil"/>
              <w:right w:val="nil"/>
            </w:tcBorders>
            <w:shd w:val="clear" w:color="auto" w:fill="auto"/>
            <w:noWrap/>
            <w:vAlign w:val="bottom"/>
            <w:hideMark/>
          </w:tcPr>
          <w:p w14:paraId="60CF52CE" w14:textId="77777777" w:rsidR="0030654E" w:rsidRPr="0030654E" w:rsidRDefault="0030654E" w:rsidP="0030654E">
            <w:pPr>
              <w:spacing w:after="0"/>
              <w:jc w:val="right"/>
              <w:rPr>
                <w:rFonts w:ascii="Arial" w:hAnsi="Arial" w:cs="Arial"/>
                <w:color w:val="auto"/>
                <w:sz w:val="16"/>
                <w:szCs w:val="16"/>
              </w:rPr>
            </w:pPr>
            <w:r w:rsidRPr="0030654E">
              <w:rPr>
                <w:rFonts w:ascii="Arial" w:hAnsi="Arial" w:cs="Arial"/>
                <w:color w:val="auto"/>
                <w:sz w:val="16"/>
                <w:szCs w:val="16"/>
              </w:rPr>
              <w:t>-</w:t>
            </w:r>
          </w:p>
        </w:tc>
      </w:tr>
      <w:tr w:rsidR="0030654E" w:rsidRPr="0030654E" w14:paraId="67CF31B1" w14:textId="77777777" w:rsidTr="0030654E">
        <w:trPr>
          <w:trHeight w:val="225"/>
          <w:jc w:val="center"/>
        </w:trPr>
        <w:tc>
          <w:tcPr>
            <w:tcW w:w="2140" w:type="dxa"/>
            <w:tcBorders>
              <w:top w:val="nil"/>
              <w:left w:val="nil"/>
              <w:bottom w:val="nil"/>
              <w:right w:val="nil"/>
            </w:tcBorders>
            <w:shd w:val="clear" w:color="auto" w:fill="auto"/>
            <w:noWrap/>
            <w:vAlign w:val="bottom"/>
            <w:hideMark/>
          </w:tcPr>
          <w:p w14:paraId="374DFCA9" w14:textId="77777777" w:rsidR="0030654E" w:rsidRPr="0030654E" w:rsidRDefault="0030654E" w:rsidP="0030654E">
            <w:pPr>
              <w:spacing w:after="0"/>
              <w:rPr>
                <w:rFonts w:ascii="Arial" w:hAnsi="Arial" w:cs="Arial"/>
                <w:b/>
                <w:bCs/>
                <w:color w:val="auto"/>
                <w:sz w:val="16"/>
                <w:szCs w:val="16"/>
              </w:rPr>
            </w:pPr>
            <w:r w:rsidRPr="0030654E">
              <w:rPr>
                <w:rFonts w:ascii="Arial" w:hAnsi="Arial" w:cs="Arial"/>
                <w:b/>
                <w:bCs/>
                <w:color w:val="auto"/>
                <w:sz w:val="16"/>
                <w:szCs w:val="16"/>
              </w:rPr>
              <w:t>Total payments</w:t>
            </w:r>
          </w:p>
        </w:tc>
        <w:tc>
          <w:tcPr>
            <w:tcW w:w="880" w:type="dxa"/>
            <w:tcBorders>
              <w:top w:val="nil"/>
              <w:left w:val="nil"/>
              <w:bottom w:val="nil"/>
              <w:right w:val="nil"/>
            </w:tcBorders>
            <w:shd w:val="clear" w:color="auto" w:fill="auto"/>
            <w:noWrap/>
            <w:vAlign w:val="bottom"/>
            <w:hideMark/>
          </w:tcPr>
          <w:p w14:paraId="45E2A334" w14:textId="77777777" w:rsidR="0030654E" w:rsidRPr="0030654E" w:rsidRDefault="0030654E" w:rsidP="0030654E">
            <w:pPr>
              <w:spacing w:after="0"/>
              <w:rPr>
                <w:rFonts w:ascii="Arial" w:hAnsi="Arial" w:cs="Arial"/>
                <w:b/>
                <w:bCs/>
                <w:color w:val="auto"/>
                <w:sz w:val="16"/>
                <w:szCs w:val="16"/>
              </w:rPr>
            </w:pPr>
          </w:p>
        </w:tc>
        <w:tc>
          <w:tcPr>
            <w:tcW w:w="880" w:type="dxa"/>
            <w:tcBorders>
              <w:top w:val="single" w:sz="4" w:space="0" w:color="auto"/>
              <w:left w:val="nil"/>
              <w:bottom w:val="single" w:sz="4" w:space="0" w:color="auto"/>
              <w:right w:val="nil"/>
            </w:tcBorders>
            <w:shd w:val="clear" w:color="auto" w:fill="auto"/>
            <w:noWrap/>
            <w:vAlign w:val="bottom"/>
            <w:hideMark/>
          </w:tcPr>
          <w:p w14:paraId="229BEA7E" w14:textId="77777777" w:rsidR="0030654E" w:rsidRPr="0030654E" w:rsidRDefault="0030654E" w:rsidP="0030654E">
            <w:pPr>
              <w:spacing w:after="0"/>
              <w:jc w:val="right"/>
              <w:rPr>
                <w:rFonts w:ascii="Arial" w:hAnsi="Arial" w:cs="Arial"/>
                <w:b/>
                <w:bCs/>
                <w:color w:val="auto"/>
                <w:sz w:val="16"/>
                <w:szCs w:val="16"/>
              </w:rPr>
            </w:pPr>
            <w:r w:rsidRPr="0030654E">
              <w:rPr>
                <w:rFonts w:ascii="Arial" w:hAnsi="Arial" w:cs="Arial"/>
                <w:b/>
                <w:bCs/>
                <w:color w:val="auto"/>
                <w:sz w:val="16"/>
                <w:szCs w:val="16"/>
              </w:rPr>
              <w:t>-</w:t>
            </w:r>
          </w:p>
        </w:tc>
        <w:tc>
          <w:tcPr>
            <w:tcW w:w="880" w:type="dxa"/>
            <w:tcBorders>
              <w:top w:val="single" w:sz="4" w:space="0" w:color="auto"/>
              <w:left w:val="nil"/>
              <w:bottom w:val="single" w:sz="4" w:space="0" w:color="auto"/>
              <w:right w:val="nil"/>
            </w:tcBorders>
            <w:shd w:val="clear" w:color="000000" w:fill="D9D9D9"/>
            <w:noWrap/>
            <w:vAlign w:val="bottom"/>
            <w:hideMark/>
          </w:tcPr>
          <w:p w14:paraId="527FAD21" w14:textId="77777777" w:rsidR="0030654E" w:rsidRPr="0030654E" w:rsidRDefault="0030654E" w:rsidP="0030654E">
            <w:pPr>
              <w:spacing w:after="0"/>
              <w:jc w:val="right"/>
              <w:rPr>
                <w:rFonts w:ascii="Arial" w:hAnsi="Arial" w:cs="Arial"/>
                <w:b/>
                <w:bCs/>
                <w:color w:val="auto"/>
                <w:sz w:val="16"/>
                <w:szCs w:val="16"/>
              </w:rPr>
            </w:pPr>
            <w:r w:rsidRPr="0030654E">
              <w:rPr>
                <w:rFonts w:ascii="Arial" w:hAnsi="Arial" w:cs="Arial"/>
                <w:b/>
                <w:bCs/>
                <w:color w:val="auto"/>
                <w:sz w:val="16"/>
                <w:szCs w:val="16"/>
              </w:rPr>
              <w:t>2,494</w:t>
            </w:r>
          </w:p>
        </w:tc>
        <w:tc>
          <w:tcPr>
            <w:tcW w:w="880" w:type="dxa"/>
            <w:tcBorders>
              <w:top w:val="single" w:sz="4" w:space="0" w:color="auto"/>
              <w:left w:val="nil"/>
              <w:bottom w:val="single" w:sz="4" w:space="0" w:color="auto"/>
              <w:right w:val="nil"/>
            </w:tcBorders>
            <w:shd w:val="clear" w:color="auto" w:fill="auto"/>
            <w:noWrap/>
            <w:vAlign w:val="bottom"/>
            <w:hideMark/>
          </w:tcPr>
          <w:p w14:paraId="07219E2A" w14:textId="77777777" w:rsidR="0030654E" w:rsidRPr="0030654E" w:rsidRDefault="0030654E" w:rsidP="0030654E">
            <w:pPr>
              <w:spacing w:after="0"/>
              <w:jc w:val="right"/>
              <w:rPr>
                <w:rFonts w:ascii="Arial" w:hAnsi="Arial" w:cs="Arial"/>
                <w:b/>
                <w:bCs/>
                <w:color w:val="auto"/>
                <w:sz w:val="16"/>
                <w:szCs w:val="16"/>
              </w:rPr>
            </w:pPr>
            <w:r w:rsidRPr="0030654E">
              <w:rPr>
                <w:rFonts w:ascii="Arial" w:hAnsi="Arial" w:cs="Arial"/>
                <w:b/>
                <w:bCs/>
                <w:color w:val="auto"/>
                <w:sz w:val="16"/>
                <w:szCs w:val="16"/>
              </w:rPr>
              <w:t>-</w:t>
            </w:r>
          </w:p>
        </w:tc>
        <w:tc>
          <w:tcPr>
            <w:tcW w:w="880" w:type="dxa"/>
            <w:tcBorders>
              <w:top w:val="single" w:sz="4" w:space="0" w:color="auto"/>
              <w:left w:val="nil"/>
              <w:bottom w:val="single" w:sz="4" w:space="0" w:color="auto"/>
              <w:right w:val="nil"/>
            </w:tcBorders>
            <w:shd w:val="clear" w:color="auto" w:fill="auto"/>
            <w:noWrap/>
            <w:vAlign w:val="bottom"/>
            <w:hideMark/>
          </w:tcPr>
          <w:p w14:paraId="2FBD5633" w14:textId="77777777" w:rsidR="0030654E" w:rsidRPr="0030654E" w:rsidRDefault="0030654E" w:rsidP="0030654E">
            <w:pPr>
              <w:spacing w:after="0"/>
              <w:jc w:val="right"/>
              <w:rPr>
                <w:rFonts w:ascii="Arial" w:hAnsi="Arial" w:cs="Arial"/>
                <w:b/>
                <w:bCs/>
                <w:color w:val="auto"/>
                <w:sz w:val="16"/>
                <w:szCs w:val="16"/>
              </w:rPr>
            </w:pPr>
            <w:r w:rsidRPr="0030654E">
              <w:rPr>
                <w:rFonts w:ascii="Arial" w:hAnsi="Arial" w:cs="Arial"/>
                <w:b/>
                <w:bCs/>
                <w:color w:val="auto"/>
                <w:sz w:val="16"/>
                <w:szCs w:val="16"/>
              </w:rPr>
              <w:t>-</w:t>
            </w:r>
          </w:p>
        </w:tc>
        <w:tc>
          <w:tcPr>
            <w:tcW w:w="880" w:type="dxa"/>
            <w:tcBorders>
              <w:top w:val="single" w:sz="4" w:space="0" w:color="auto"/>
              <w:left w:val="nil"/>
              <w:bottom w:val="single" w:sz="4" w:space="0" w:color="auto"/>
              <w:right w:val="nil"/>
            </w:tcBorders>
            <w:shd w:val="clear" w:color="auto" w:fill="auto"/>
            <w:noWrap/>
            <w:vAlign w:val="bottom"/>
            <w:hideMark/>
          </w:tcPr>
          <w:p w14:paraId="0DA0AB10" w14:textId="77777777" w:rsidR="0030654E" w:rsidRPr="0030654E" w:rsidRDefault="0030654E" w:rsidP="0030654E">
            <w:pPr>
              <w:spacing w:after="0"/>
              <w:jc w:val="right"/>
              <w:rPr>
                <w:rFonts w:ascii="Arial" w:hAnsi="Arial" w:cs="Arial"/>
                <w:b/>
                <w:bCs/>
                <w:color w:val="auto"/>
                <w:sz w:val="16"/>
                <w:szCs w:val="16"/>
              </w:rPr>
            </w:pPr>
            <w:r w:rsidRPr="0030654E">
              <w:rPr>
                <w:rFonts w:ascii="Arial" w:hAnsi="Arial" w:cs="Arial"/>
                <w:b/>
                <w:bCs/>
                <w:color w:val="auto"/>
                <w:sz w:val="16"/>
                <w:szCs w:val="16"/>
              </w:rPr>
              <w:t>-</w:t>
            </w:r>
          </w:p>
        </w:tc>
      </w:tr>
      <w:tr w:rsidR="0030654E" w:rsidRPr="0030654E" w14:paraId="5D17FA98" w14:textId="77777777" w:rsidTr="0030654E">
        <w:trPr>
          <w:trHeight w:val="529"/>
          <w:jc w:val="center"/>
        </w:trPr>
        <w:tc>
          <w:tcPr>
            <w:tcW w:w="7420" w:type="dxa"/>
            <w:gridSpan w:val="7"/>
            <w:tcBorders>
              <w:top w:val="nil"/>
              <w:left w:val="nil"/>
              <w:bottom w:val="nil"/>
              <w:right w:val="nil"/>
            </w:tcBorders>
            <w:shd w:val="clear" w:color="auto" w:fill="auto"/>
            <w:vAlign w:val="bottom"/>
            <w:hideMark/>
          </w:tcPr>
          <w:p w14:paraId="12B24BF0" w14:textId="77777777" w:rsidR="0030654E" w:rsidRPr="0030654E" w:rsidRDefault="0030654E" w:rsidP="0030654E">
            <w:pPr>
              <w:spacing w:after="0"/>
              <w:rPr>
                <w:rFonts w:ascii="Arial" w:hAnsi="Arial" w:cs="Arial"/>
                <w:b/>
                <w:bCs/>
                <w:sz w:val="16"/>
                <w:szCs w:val="16"/>
              </w:rPr>
            </w:pPr>
            <w:r w:rsidRPr="0030654E">
              <w:rPr>
                <w:rFonts w:ascii="Arial" w:hAnsi="Arial" w:cs="Arial"/>
                <w:b/>
                <w:bCs/>
                <w:sz w:val="16"/>
                <w:szCs w:val="16"/>
              </w:rPr>
              <w:t xml:space="preserve">Savings from External Labour, and Savings from Advertising, Travel and Legal </w:t>
            </w:r>
            <w:r w:rsidRPr="0030654E">
              <w:rPr>
                <w:rFonts w:ascii="Arial" w:hAnsi="Arial" w:cs="Arial"/>
                <w:b/>
                <w:bCs/>
                <w:sz w:val="16"/>
                <w:szCs w:val="16"/>
              </w:rPr>
              <w:br/>
              <w:t xml:space="preserve">Expenses </w:t>
            </w:r>
            <w:r w:rsidRPr="0030654E">
              <w:rPr>
                <w:rFonts w:ascii="Arial" w:hAnsi="Arial" w:cs="Arial"/>
                <w:b/>
                <w:bCs/>
                <w:sz w:val="16"/>
                <w:szCs w:val="16"/>
                <w:vertAlign w:val="superscript"/>
              </w:rPr>
              <w:t>(a)</w:t>
            </w:r>
          </w:p>
        </w:tc>
      </w:tr>
      <w:tr w:rsidR="0030654E" w:rsidRPr="0030654E" w14:paraId="37794E58" w14:textId="77777777" w:rsidTr="0030654E">
        <w:trPr>
          <w:trHeight w:val="225"/>
          <w:jc w:val="center"/>
        </w:trPr>
        <w:tc>
          <w:tcPr>
            <w:tcW w:w="3020" w:type="dxa"/>
            <w:gridSpan w:val="2"/>
            <w:tcBorders>
              <w:top w:val="nil"/>
              <w:left w:val="nil"/>
              <w:bottom w:val="nil"/>
              <w:right w:val="nil"/>
            </w:tcBorders>
            <w:shd w:val="clear" w:color="auto" w:fill="auto"/>
            <w:noWrap/>
            <w:vAlign w:val="bottom"/>
            <w:hideMark/>
          </w:tcPr>
          <w:p w14:paraId="7BF59333" w14:textId="77777777" w:rsidR="0030654E" w:rsidRPr="0030654E" w:rsidRDefault="0030654E" w:rsidP="0030654E">
            <w:pPr>
              <w:spacing w:after="0"/>
              <w:rPr>
                <w:rFonts w:ascii="Arial" w:hAnsi="Arial" w:cs="Arial"/>
                <w:color w:val="auto"/>
                <w:sz w:val="16"/>
                <w:szCs w:val="16"/>
              </w:rPr>
            </w:pPr>
            <w:r w:rsidRPr="0030654E">
              <w:rPr>
                <w:rFonts w:ascii="Arial" w:hAnsi="Arial" w:cs="Arial"/>
                <w:color w:val="auto"/>
                <w:sz w:val="16"/>
                <w:szCs w:val="16"/>
              </w:rPr>
              <w:t>Australian Digital Health Agency</w:t>
            </w:r>
          </w:p>
        </w:tc>
        <w:tc>
          <w:tcPr>
            <w:tcW w:w="880" w:type="dxa"/>
            <w:tcBorders>
              <w:top w:val="nil"/>
              <w:left w:val="nil"/>
              <w:bottom w:val="nil"/>
              <w:right w:val="nil"/>
            </w:tcBorders>
            <w:shd w:val="clear" w:color="auto" w:fill="auto"/>
            <w:noWrap/>
            <w:vAlign w:val="bottom"/>
            <w:hideMark/>
          </w:tcPr>
          <w:p w14:paraId="171D00A5" w14:textId="77777777" w:rsidR="0030654E" w:rsidRPr="0030654E" w:rsidRDefault="0030654E" w:rsidP="0030654E">
            <w:pPr>
              <w:spacing w:after="0"/>
              <w:rPr>
                <w:rFonts w:ascii="Arial" w:hAnsi="Arial" w:cs="Arial"/>
                <w:color w:val="auto"/>
                <w:sz w:val="16"/>
                <w:szCs w:val="16"/>
              </w:rPr>
            </w:pPr>
          </w:p>
        </w:tc>
        <w:tc>
          <w:tcPr>
            <w:tcW w:w="880" w:type="dxa"/>
            <w:tcBorders>
              <w:top w:val="nil"/>
              <w:left w:val="nil"/>
              <w:bottom w:val="nil"/>
              <w:right w:val="nil"/>
            </w:tcBorders>
            <w:shd w:val="clear" w:color="000000" w:fill="D9D9D9"/>
            <w:noWrap/>
            <w:vAlign w:val="bottom"/>
            <w:hideMark/>
          </w:tcPr>
          <w:p w14:paraId="4EAE69D2" w14:textId="77777777" w:rsidR="0030654E" w:rsidRPr="0030654E" w:rsidRDefault="0030654E" w:rsidP="0030654E">
            <w:pPr>
              <w:spacing w:after="0"/>
              <w:jc w:val="right"/>
              <w:rPr>
                <w:rFonts w:ascii="Arial" w:hAnsi="Arial" w:cs="Arial"/>
                <w:color w:val="auto"/>
                <w:sz w:val="16"/>
                <w:szCs w:val="16"/>
              </w:rPr>
            </w:pPr>
            <w:r w:rsidRPr="0030654E">
              <w:rPr>
                <w:rFonts w:ascii="Arial" w:hAnsi="Arial" w:cs="Arial"/>
                <w:color w:val="auto"/>
                <w:sz w:val="16"/>
                <w:szCs w:val="16"/>
              </w:rPr>
              <w:t> </w:t>
            </w:r>
          </w:p>
        </w:tc>
        <w:tc>
          <w:tcPr>
            <w:tcW w:w="880" w:type="dxa"/>
            <w:tcBorders>
              <w:top w:val="nil"/>
              <w:left w:val="nil"/>
              <w:bottom w:val="nil"/>
              <w:right w:val="nil"/>
            </w:tcBorders>
            <w:shd w:val="clear" w:color="auto" w:fill="auto"/>
            <w:noWrap/>
            <w:vAlign w:val="bottom"/>
            <w:hideMark/>
          </w:tcPr>
          <w:p w14:paraId="141E79C1" w14:textId="77777777" w:rsidR="0030654E" w:rsidRPr="0030654E" w:rsidRDefault="0030654E" w:rsidP="0030654E">
            <w:pPr>
              <w:spacing w:after="0"/>
              <w:jc w:val="right"/>
              <w:rPr>
                <w:rFonts w:ascii="Arial" w:hAnsi="Arial" w:cs="Arial"/>
                <w:color w:val="auto"/>
                <w:sz w:val="16"/>
                <w:szCs w:val="16"/>
              </w:rPr>
            </w:pPr>
          </w:p>
        </w:tc>
        <w:tc>
          <w:tcPr>
            <w:tcW w:w="880" w:type="dxa"/>
            <w:tcBorders>
              <w:top w:val="nil"/>
              <w:left w:val="nil"/>
              <w:bottom w:val="nil"/>
              <w:right w:val="nil"/>
            </w:tcBorders>
            <w:shd w:val="clear" w:color="auto" w:fill="auto"/>
            <w:noWrap/>
            <w:vAlign w:val="bottom"/>
            <w:hideMark/>
          </w:tcPr>
          <w:p w14:paraId="70319A22" w14:textId="77777777" w:rsidR="0030654E" w:rsidRPr="0030654E" w:rsidRDefault="0030654E" w:rsidP="0030654E">
            <w:pPr>
              <w:spacing w:after="0"/>
              <w:rPr>
                <w:rFonts w:ascii="Times New Roman" w:hAnsi="Times New Roman"/>
                <w:color w:val="auto"/>
                <w:sz w:val="20"/>
              </w:rPr>
            </w:pPr>
          </w:p>
        </w:tc>
        <w:tc>
          <w:tcPr>
            <w:tcW w:w="880" w:type="dxa"/>
            <w:tcBorders>
              <w:top w:val="nil"/>
              <w:left w:val="nil"/>
              <w:bottom w:val="nil"/>
              <w:right w:val="nil"/>
            </w:tcBorders>
            <w:shd w:val="clear" w:color="auto" w:fill="auto"/>
            <w:noWrap/>
            <w:vAlign w:val="bottom"/>
            <w:hideMark/>
          </w:tcPr>
          <w:p w14:paraId="39F2ECF5" w14:textId="77777777" w:rsidR="0030654E" w:rsidRPr="0030654E" w:rsidRDefault="0030654E" w:rsidP="0030654E">
            <w:pPr>
              <w:spacing w:after="0"/>
              <w:rPr>
                <w:rFonts w:ascii="Times New Roman" w:hAnsi="Times New Roman"/>
                <w:color w:val="auto"/>
                <w:sz w:val="20"/>
              </w:rPr>
            </w:pPr>
          </w:p>
        </w:tc>
      </w:tr>
      <w:tr w:rsidR="0030654E" w:rsidRPr="0030654E" w14:paraId="70844C39" w14:textId="77777777" w:rsidTr="0030654E">
        <w:trPr>
          <w:trHeight w:val="225"/>
          <w:jc w:val="center"/>
        </w:trPr>
        <w:tc>
          <w:tcPr>
            <w:tcW w:w="2140" w:type="dxa"/>
            <w:tcBorders>
              <w:top w:val="nil"/>
              <w:left w:val="nil"/>
              <w:bottom w:val="nil"/>
              <w:right w:val="nil"/>
            </w:tcBorders>
            <w:shd w:val="clear" w:color="auto" w:fill="auto"/>
            <w:noWrap/>
            <w:vAlign w:val="bottom"/>
            <w:hideMark/>
          </w:tcPr>
          <w:p w14:paraId="43BF498E" w14:textId="77777777" w:rsidR="0030654E" w:rsidRPr="0030654E" w:rsidRDefault="0030654E" w:rsidP="0030654E">
            <w:pPr>
              <w:spacing w:after="0"/>
              <w:ind w:firstLineChars="100" w:firstLine="160"/>
              <w:rPr>
                <w:rFonts w:ascii="Arial" w:hAnsi="Arial" w:cs="Arial"/>
                <w:color w:val="auto"/>
                <w:sz w:val="16"/>
                <w:szCs w:val="16"/>
              </w:rPr>
            </w:pPr>
            <w:r w:rsidRPr="0030654E">
              <w:rPr>
                <w:rFonts w:ascii="Arial" w:hAnsi="Arial" w:cs="Arial"/>
                <w:color w:val="auto"/>
                <w:sz w:val="16"/>
                <w:szCs w:val="16"/>
              </w:rPr>
              <w:t>Departmental payments</w:t>
            </w:r>
          </w:p>
        </w:tc>
        <w:tc>
          <w:tcPr>
            <w:tcW w:w="880" w:type="dxa"/>
            <w:tcBorders>
              <w:top w:val="nil"/>
              <w:left w:val="nil"/>
              <w:bottom w:val="nil"/>
              <w:right w:val="nil"/>
            </w:tcBorders>
            <w:shd w:val="clear" w:color="auto" w:fill="auto"/>
            <w:noWrap/>
            <w:vAlign w:val="bottom"/>
            <w:hideMark/>
          </w:tcPr>
          <w:p w14:paraId="1C75A049" w14:textId="77777777" w:rsidR="0030654E" w:rsidRPr="0030654E" w:rsidRDefault="0030654E" w:rsidP="0030654E">
            <w:pPr>
              <w:spacing w:after="0"/>
              <w:jc w:val="right"/>
              <w:rPr>
                <w:rFonts w:ascii="Arial" w:hAnsi="Arial" w:cs="Arial"/>
                <w:color w:val="auto"/>
                <w:sz w:val="16"/>
                <w:szCs w:val="16"/>
              </w:rPr>
            </w:pPr>
            <w:r w:rsidRPr="0030654E">
              <w:rPr>
                <w:rFonts w:ascii="Arial" w:hAnsi="Arial" w:cs="Arial"/>
                <w:color w:val="auto"/>
                <w:sz w:val="16"/>
                <w:szCs w:val="16"/>
              </w:rPr>
              <w:t>1.1</w:t>
            </w:r>
          </w:p>
        </w:tc>
        <w:tc>
          <w:tcPr>
            <w:tcW w:w="880" w:type="dxa"/>
            <w:tcBorders>
              <w:top w:val="nil"/>
              <w:left w:val="nil"/>
              <w:bottom w:val="nil"/>
              <w:right w:val="nil"/>
            </w:tcBorders>
            <w:shd w:val="clear" w:color="auto" w:fill="auto"/>
            <w:noWrap/>
            <w:vAlign w:val="bottom"/>
            <w:hideMark/>
          </w:tcPr>
          <w:p w14:paraId="6792BFDF" w14:textId="77777777" w:rsidR="0030654E" w:rsidRPr="0030654E" w:rsidRDefault="0030654E" w:rsidP="0030654E">
            <w:pPr>
              <w:spacing w:after="0"/>
              <w:jc w:val="right"/>
              <w:rPr>
                <w:rFonts w:ascii="Arial" w:hAnsi="Arial" w:cs="Arial"/>
                <w:color w:val="auto"/>
                <w:sz w:val="16"/>
                <w:szCs w:val="16"/>
              </w:rPr>
            </w:pPr>
            <w:r w:rsidRPr="0030654E">
              <w:rPr>
                <w:rFonts w:ascii="Arial" w:hAnsi="Arial" w:cs="Arial"/>
                <w:color w:val="auto"/>
                <w:sz w:val="16"/>
                <w:szCs w:val="16"/>
              </w:rPr>
              <w:t>-</w:t>
            </w:r>
          </w:p>
        </w:tc>
        <w:tc>
          <w:tcPr>
            <w:tcW w:w="880" w:type="dxa"/>
            <w:tcBorders>
              <w:top w:val="nil"/>
              <w:left w:val="nil"/>
              <w:bottom w:val="nil"/>
              <w:right w:val="nil"/>
            </w:tcBorders>
            <w:shd w:val="clear" w:color="000000" w:fill="D9D9D9"/>
            <w:noWrap/>
            <w:vAlign w:val="bottom"/>
            <w:hideMark/>
          </w:tcPr>
          <w:p w14:paraId="03D7C66D" w14:textId="77777777" w:rsidR="0030654E" w:rsidRPr="0030654E" w:rsidRDefault="0030654E" w:rsidP="0030654E">
            <w:pPr>
              <w:spacing w:after="0"/>
              <w:jc w:val="right"/>
              <w:rPr>
                <w:rFonts w:ascii="Arial" w:hAnsi="Arial" w:cs="Arial"/>
                <w:color w:val="auto"/>
                <w:sz w:val="16"/>
                <w:szCs w:val="16"/>
              </w:rPr>
            </w:pPr>
            <w:r w:rsidRPr="0030654E">
              <w:rPr>
                <w:rFonts w:ascii="Arial" w:hAnsi="Arial" w:cs="Arial"/>
                <w:color w:val="auto"/>
                <w:sz w:val="16"/>
                <w:szCs w:val="16"/>
              </w:rPr>
              <w:t>(7,444)</w:t>
            </w:r>
          </w:p>
        </w:tc>
        <w:tc>
          <w:tcPr>
            <w:tcW w:w="880" w:type="dxa"/>
            <w:tcBorders>
              <w:top w:val="nil"/>
              <w:left w:val="nil"/>
              <w:bottom w:val="nil"/>
              <w:right w:val="nil"/>
            </w:tcBorders>
            <w:shd w:val="clear" w:color="auto" w:fill="auto"/>
            <w:noWrap/>
            <w:vAlign w:val="bottom"/>
            <w:hideMark/>
          </w:tcPr>
          <w:p w14:paraId="07E3F31B" w14:textId="77777777" w:rsidR="0030654E" w:rsidRPr="0030654E" w:rsidRDefault="0030654E" w:rsidP="0030654E">
            <w:pPr>
              <w:spacing w:after="0"/>
              <w:jc w:val="right"/>
              <w:rPr>
                <w:rFonts w:ascii="Arial" w:hAnsi="Arial" w:cs="Arial"/>
                <w:color w:val="auto"/>
                <w:sz w:val="16"/>
                <w:szCs w:val="16"/>
              </w:rPr>
            </w:pPr>
            <w:r w:rsidRPr="0030654E">
              <w:rPr>
                <w:rFonts w:ascii="Arial" w:hAnsi="Arial" w:cs="Arial"/>
                <w:color w:val="auto"/>
                <w:sz w:val="16"/>
                <w:szCs w:val="16"/>
              </w:rPr>
              <w:t>-</w:t>
            </w:r>
          </w:p>
        </w:tc>
        <w:tc>
          <w:tcPr>
            <w:tcW w:w="880" w:type="dxa"/>
            <w:tcBorders>
              <w:top w:val="nil"/>
              <w:left w:val="nil"/>
              <w:bottom w:val="nil"/>
              <w:right w:val="nil"/>
            </w:tcBorders>
            <w:shd w:val="clear" w:color="auto" w:fill="auto"/>
            <w:noWrap/>
            <w:vAlign w:val="bottom"/>
            <w:hideMark/>
          </w:tcPr>
          <w:p w14:paraId="4EF20C6E" w14:textId="77777777" w:rsidR="0030654E" w:rsidRPr="0030654E" w:rsidRDefault="0030654E" w:rsidP="0030654E">
            <w:pPr>
              <w:spacing w:after="0"/>
              <w:jc w:val="right"/>
              <w:rPr>
                <w:rFonts w:ascii="Arial" w:hAnsi="Arial" w:cs="Arial"/>
                <w:color w:val="auto"/>
                <w:sz w:val="16"/>
                <w:szCs w:val="16"/>
              </w:rPr>
            </w:pPr>
            <w:r w:rsidRPr="0030654E">
              <w:rPr>
                <w:rFonts w:ascii="Arial" w:hAnsi="Arial" w:cs="Arial"/>
                <w:color w:val="auto"/>
                <w:sz w:val="16"/>
                <w:szCs w:val="16"/>
              </w:rPr>
              <w:t>-</w:t>
            </w:r>
          </w:p>
        </w:tc>
        <w:tc>
          <w:tcPr>
            <w:tcW w:w="880" w:type="dxa"/>
            <w:tcBorders>
              <w:top w:val="nil"/>
              <w:left w:val="nil"/>
              <w:bottom w:val="nil"/>
              <w:right w:val="nil"/>
            </w:tcBorders>
            <w:shd w:val="clear" w:color="auto" w:fill="auto"/>
            <w:noWrap/>
            <w:vAlign w:val="bottom"/>
            <w:hideMark/>
          </w:tcPr>
          <w:p w14:paraId="36D3A596" w14:textId="77777777" w:rsidR="0030654E" w:rsidRPr="0030654E" w:rsidRDefault="0030654E" w:rsidP="0030654E">
            <w:pPr>
              <w:spacing w:after="0"/>
              <w:jc w:val="right"/>
              <w:rPr>
                <w:rFonts w:ascii="Arial" w:hAnsi="Arial" w:cs="Arial"/>
                <w:color w:val="auto"/>
                <w:sz w:val="16"/>
                <w:szCs w:val="16"/>
              </w:rPr>
            </w:pPr>
            <w:r w:rsidRPr="0030654E">
              <w:rPr>
                <w:rFonts w:ascii="Arial" w:hAnsi="Arial" w:cs="Arial"/>
                <w:color w:val="auto"/>
                <w:sz w:val="16"/>
                <w:szCs w:val="16"/>
              </w:rPr>
              <w:t>-</w:t>
            </w:r>
          </w:p>
        </w:tc>
      </w:tr>
      <w:tr w:rsidR="0030654E" w:rsidRPr="0030654E" w14:paraId="68D60C75" w14:textId="77777777" w:rsidTr="0030654E">
        <w:trPr>
          <w:trHeight w:val="225"/>
          <w:jc w:val="center"/>
        </w:trPr>
        <w:tc>
          <w:tcPr>
            <w:tcW w:w="2140" w:type="dxa"/>
            <w:tcBorders>
              <w:top w:val="nil"/>
              <w:left w:val="nil"/>
              <w:bottom w:val="single" w:sz="4" w:space="0" w:color="auto"/>
              <w:right w:val="nil"/>
            </w:tcBorders>
            <w:shd w:val="clear" w:color="auto" w:fill="auto"/>
            <w:noWrap/>
            <w:vAlign w:val="bottom"/>
            <w:hideMark/>
          </w:tcPr>
          <w:p w14:paraId="1E6D13A8" w14:textId="77777777" w:rsidR="0030654E" w:rsidRPr="0030654E" w:rsidRDefault="0030654E" w:rsidP="0030654E">
            <w:pPr>
              <w:spacing w:after="0"/>
              <w:rPr>
                <w:rFonts w:ascii="Arial" w:hAnsi="Arial" w:cs="Arial"/>
                <w:b/>
                <w:bCs/>
                <w:color w:val="auto"/>
                <w:sz w:val="16"/>
                <w:szCs w:val="16"/>
              </w:rPr>
            </w:pPr>
            <w:r w:rsidRPr="0030654E">
              <w:rPr>
                <w:rFonts w:ascii="Arial" w:hAnsi="Arial" w:cs="Arial"/>
                <w:b/>
                <w:bCs/>
                <w:color w:val="auto"/>
                <w:sz w:val="16"/>
                <w:szCs w:val="16"/>
              </w:rPr>
              <w:t>Total payments</w:t>
            </w:r>
          </w:p>
        </w:tc>
        <w:tc>
          <w:tcPr>
            <w:tcW w:w="880" w:type="dxa"/>
            <w:tcBorders>
              <w:top w:val="nil"/>
              <w:left w:val="nil"/>
              <w:bottom w:val="single" w:sz="4" w:space="0" w:color="auto"/>
              <w:right w:val="nil"/>
            </w:tcBorders>
            <w:shd w:val="clear" w:color="auto" w:fill="auto"/>
            <w:noWrap/>
            <w:vAlign w:val="bottom"/>
            <w:hideMark/>
          </w:tcPr>
          <w:p w14:paraId="5997CBB4" w14:textId="77777777" w:rsidR="0030654E" w:rsidRPr="0030654E" w:rsidRDefault="0030654E" w:rsidP="0030654E">
            <w:pPr>
              <w:spacing w:after="0"/>
              <w:jc w:val="right"/>
              <w:rPr>
                <w:rFonts w:ascii="Arial" w:hAnsi="Arial" w:cs="Arial"/>
                <w:b/>
                <w:bCs/>
                <w:color w:val="auto"/>
                <w:sz w:val="16"/>
                <w:szCs w:val="16"/>
              </w:rPr>
            </w:pPr>
            <w:r w:rsidRPr="0030654E">
              <w:rPr>
                <w:rFonts w:ascii="Arial" w:hAnsi="Arial" w:cs="Arial"/>
                <w:b/>
                <w:bCs/>
                <w:color w:val="auto"/>
                <w:sz w:val="16"/>
                <w:szCs w:val="16"/>
              </w:rPr>
              <w:t> </w:t>
            </w:r>
          </w:p>
        </w:tc>
        <w:tc>
          <w:tcPr>
            <w:tcW w:w="880" w:type="dxa"/>
            <w:tcBorders>
              <w:top w:val="single" w:sz="4" w:space="0" w:color="auto"/>
              <w:left w:val="nil"/>
              <w:bottom w:val="single" w:sz="4" w:space="0" w:color="auto"/>
              <w:right w:val="nil"/>
            </w:tcBorders>
            <w:shd w:val="clear" w:color="auto" w:fill="auto"/>
            <w:noWrap/>
            <w:vAlign w:val="bottom"/>
            <w:hideMark/>
          </w:tcPr>
          <w:p w14:paraId="2F6E90A8" w14:textId="77777777" w:rsidR="0030654E" w:rsidRPr="0030654E" w:rsidRDefault="0030654E" w:rsidP="0030654E">
            <w:pPr>
              <w:spacing w:after="0"/>
              <w:jc w:val="right"/>
              <w:rPr>
                <w:rFonts w:ascii="Arial" w:hAnsi="Arial" w:cs="Arial"/>
                <w:b/>
                <w:bCs/>
                <w:color w:val="auto"/>
                <w:sz w:val="16"/>
                <w:szCs w:val="16"/>
              </w:rPr>
            </w:pPr>
            <w:r w:rsidRPr="0030654E">
              <w:rPr>
                <w:rFonts w:ascii="Arial" w:hAnsi="Arial" w:cs="Arial"/>
                <w:b/>
                <w:bCs/>
                <w:color w:val="auto"/>
                <w:sz w:val="16"/>
                <w:szCs w:val="16"/>
              </w:rPr>
              <w:t>-</w:t>
            </w:r>
          </w:p>
        </w:tc>
        <w:tc>
          <w:tcPr>
            <w:tcW w:w="880" w:type="dxa"/>
            <w:tcBorders>
              <w:top w:val="single" w:sz="4" w:space="0" w:color="auto"/>
              <w:left w:val="nil"/>
              <w:bottom w:val="single" w:sz="4" w:space="0" w:color="auto"/>
              <w:right w:val="nil"/>
            </w:tcBorders>
            <w:shd w:val="clear" w:color="000000" w:fill="D9D9D9"/>
            <w:noWrap/>
            <w:vAlign w:val="bottom"/>
            <w:hideMark/>
          </w:tcPr>
          <w:p w14:paraId="3FB055D2" w14:textId="77777777" w:rsidR="0030654E" w:rsidRPr="0030654E" w:rsidRDefault="0030654E" w:rsidP="0030654E">
            <w:pPr>
              <w:spacing w:after="0"/>
              <w:jc w:val="right"/>
              <w:rPr>
                <w:rFonts w:ascii="Arial" w:hAnsi="Arial" w:cs="Arial"/>
                <w:b/>
                <w:bCs/>
                <w:color w:val="auto"/>
                <w:sz w:val="16"/>
                <w:szCs w:val="16"/>
              </w:rPr>
            </w:pPr>
            <w:r w:rsidRPr="0030654E">
              <w:rPr>
                <w:rFonts w:ascii="Arial" w:hAnsi="Arial" w:cs="Arial"/>
                <w:b/>
                <w:bCs/>
                <w:color w:val="auto"/>
                <w:sz w:val="16"/>
                <w:szCs w:val="16"/>
              </w:rPr>
              <w:t>(7,444)</w:t>
            </w:r>
          </w:p>
        </w:tc>
        <w:tc>
          <w:tcPr>
            <w:tcW w:w="880" w:type="dxa"/>
            <w:tcBorders>
              <w:top w:val="single" w:sz="4" w:space="0" w:color="auto"/>
              <w:left w:val="nil"/>
              <w:bottom w:val="single" w:sz="4" w:space="0" w:color="auto"/>
              <w:right w:val="nil"/>
            </w:tcBorders>
            <w:shd w:val="clear" w:color="auto" w:fill="auto"/>
            <w:noWrap/>
            <w:vAlign w:val="bottom"/>
            <w:hideMark/>
          </w:tcPr>
          <w:p w14:paraId="6AD93C7E" w14:textId="77777777" w:rsidR="0030654E" w:rsidRPr="0030654E" w:rsidRDefault="0030654E" w:rsidP="0030654E">
            <w:pPr>
              <w:spacing w:after="0"/>
              <w:jc w:val="right"/>
              <w:rPr>
                <w:rFonts w:ascii="Arial" w:hAnsi="Arial" w:cs="Arial"/>
                <w:b/>
                <w:bCs/>
                <w:color w:val="auto"/>
                <w:sz w:val="16"/>
                <w:szCs w:val="16"/>
              </w:rPr>
            </w:pPr>
            <w:r w:rsidRPr="0030654E">
              <w:rPr>
                <w:rFonts w:ascii="Arial" w:hAnsi="Arial" w:cs="Arial"/>
                <w:b/>
                <w:bCs/>
                <w:color w:val="auto"/>
                <w:sz w:val="16"/>
                <w:szCs w:val="16"/>
              </w:rPr>
              <w:t>-</w:t>
            </w:r>
          </w:p>
        </w:tc>
        <w:tc>
          <w:tcPr>
            <w:tcW w:w="880" w:type="dxa"/>
            <w:tcBorders>
              <w:top w:val="single" w:sz="4" w:space="0" w:color="auto"/>
              <w:left w:val="nil"/>
              <w:bottom w:val="single" w:sz="4" w:space="0" w:color="auto"/>
              <w:right w:val="nil"/>
            </w:tcBorders>
            <w:shd w:val="clear" w:color="auto" w:fill="auto"/>
            <w:noWrap/>
            <w:vAlign w:val="bottom"/>
            <w:hideMark/>
          </w:tcPr>
          <w:p w14:paraId="2AF29A7F" w14:textId="77777777" w:rsidR="0030654E" w:rsidRPr="0030654E" w:rsidRDefault="0030654E" w:rsidP="0030654E">
            <w:pPr>
              <w:spacing w:after="0"/>
              <w:jc w:val="right"/>
              <w:rPr>
                <w:rFonts w:ascii="Arial" w:hAnsi="Arial" w:cs="Arial"/>
                <w:b/>
                <w:bCs/>
                <w:color w:val="auto"/>
                <w:sz w:val="16"/>
                <w:szCs w:val="16"/>
              </w:rPr>
            </w:pPr>
            <w:r w:rsidRPr="0030654E">
              <w:rPr>
                <w:rFonts w:ascii="Arial" w:hAnsi="Arial" w:cs="Arial"/>
                <w:b/>
                <w:bCs/>
                <w:color w:val="auto"/>
                <w:sz w:val="16"/>
                <w:szCs w:val="16"/>
              </w:rPr>
              <w:t>-</w:t>
            </w:r>
          </w:p>
        </w:tc>
        <w:tc>
          <w:tcPr>
            <w:tcW w:w="880" w:type="dxa"/>
            <w:tcBorders>
              <w:top w:val="single" w:sz="4" w:space="0" w:color="auto"/>
              <w:left w:val="nil"/>
              <w:bottom w:val="single" w:sz="4" w:space="0" w:color="auto"/>
              <w:right w:val="nil"/>
            </w:tcBorders>
            <w:shd w:val="clear" w:color="auto" w:fill="auto"/>
            <w:noWrap/>
            <w:vAlign w:val="bottom"/>
            <w:hideMark/>
          </w:tcPr>
          <w:p w14:paraId="381DC331" w14:textId="77777777" w:rsidR="0030654E" w:rsidRPr="0030654E" w:rsidRDefault="0030654E" w:rsidP="0030654E">
            <w:pPr>
              <w:spacing w:after="0"/>
              <w:jc w:val="right"/>
              <w:rPr>
                <w:rFonts w:ascii="Arial" w:hAnsi="Arial" w:cs="Arial"/>
                <w:b/>
                <w:bCs/>
                <w:color w:val="auto"/>
                <w:sz w:val="16"/>
                <w:szCs w:val="16"/>
              </w:rPr>
            </w:pPr>
            <w:r w:rsidRPr="0030654E">
              <w:rPr>
                <w:rFonts w:ascii="Arial" w:hAnsi="Arial" w:cs="Arial"/>
                <w:b/>
                <w:bCs/>
                <w:color w:val="auto"/>
                <w:sz w:val="16"/>
                <w:szCs w:val="16"/>
              </w:rPr>
              <w:t>-</w:t>
            </w:r>
          </w:p>
        </w:tc>
      </w:tr>
    </w:tbl>
    <w:p w14:paraId="5BC284A9" w14:textId="414C8A8F" w:rsidR="0030654E" w:rsidRPr="0030654E" w:rsidRDefault="0030654E" w:rsidP="0030654E">
      <w:pPr>
        <w:pStyle w:val="FootnoteText"/>
        <w:spacing w:before="120"/>
      </w:pPr>
      <w:r w:rsidRPr="0030654E">
        <w:rPr>
          <w:vertAlign w:val="superscript"/>
        </w:rPr>
        <w:t>(a)</w:t>
      </w:r>
      <w:r>
        <w:tab/>
      </w:r>
      <w:r w:rsidRPr="0030654E">
        <w:t>The Australian Digital Health Agency is not the lead entity for this measure. The Australian Digital Health Agency impacts only are shown in this table.</w:t>
      </w:r>
    </w:p>
    <w:p w14:paraId="03E68A3F" w14:textId="48506AF8" w:rsidR="0063406D" w:rsidRPr="0030654E" w:rsidRDefault="0030654E" w:rsidP="0030654E">
      <w:pPr>
        <w:pStyle w:val="FootnoteText"/>
      </w:pPr>
      <w:r w:rsidRPr="0030654E">
        <w:rPr>
          <w:vertAlign w:val="superscript"/>
        </w:rPr>
        <w:t>(b)</w:t>
      </w:r>
      <w:r>
        <w:tab/>
      </w:r>
      <w:r w:rsidRPr="0030654E">
        <w:t>The Australian Digital Health Agency is not the lead entity for this measure. Full details of this measure are published under Table 1.2: Department of Health and Aged Care Octobe</w:t>
      </w:r>
      <w:r w:rsidR="001477D3">
        <w:t>r 2022–</w:t>
      </w:r>
      <w:r>
        <w:t>23 Budget Measures.</w:t>
      </w:r>
    </w:p>
    <w:p w14:paraId="70FFDCC2" w14:textId="77777777" w:rsidR="00D01706" w:rsidRPr="00A86D5D" w:rsidRDefault="00D01706" w:rsidP="00393EAE">
      <w:pPr>
        <w:pStyle w:val="FootnoteText"/>
        <w:sectPr w:rsidR="00D01706" w:rsidRPr="00A86D5D" w:rsidSect="00357948">
          <w:headerReference w:type="even" r:id="rId15"/>
          <w:headerReference w:type="default" r:id="rId16"/>
          <w:headerReference w:type="first" r:id="rId17"/>
          <w:pgSz w:w="11906" w:h="16838"/>
          <w:pgMar w:top="2466" w:right="2268" w:bottom="2126" w:left="2268" w:header="1899" w:footer="1899" w:gutter="0"/>
          <w:cols w:space="708"/>
          <w:docGrid w:linePitch="360"/>
        </w:sectPr>
      </w:pPr>
    </w:p>
    <w:p w14:paraId="48618DBF" w14:textId="2B9E5C34" w:rsidR="0024539A" w:rsidRPr="00A86D5D" w:rsidRDefault="0024539A" w:rsidP="000C3248">
      <w:pPr>
        <w:pStyle w:val="Heading2"/>
      </w:pPr>
      <w:bookmarkStart w:id="4" w:name="_Toc117406463"/>
      <w:r w:rsidRPr="00A86D5D">
        <w:lastRenderedPageBreak/>
        <w:t xml:space="preserve">Section 2: Outcomes and </w:t>
      </w:r>
      <w:r w:rsidR="00E47983">
        <w:t>p</w:t>
      </w:r>
      <w:r w:rsidRPr="00A86D5D">
        <w:t xml:space="preserve">lanned </w:t>
      </w:r>
      <w:r w:rsidR="00E47983">
        <w:t>p</w:t>
      </w:r>
      <w:r w:rsidRPr="00A86D5D">
        <w:t>erformance</w:t>
      </w:r>
      <w:bookmarkEnd w:id="4"/>
    </w:p>
    <w:p w14:paraId="1868AB01" w14:textId="77777777" w:rsidR="00E47983" w:rsidRPr="00E47983" w:rsidRDefault="00E47983" w:rsidP="00E47983">
      <w:pPr>
        <w:spacing w:before="240" w:after="240" w:line="240" w:lineRule="exact"/>
        <w:rPr>
          <w:color w:val="auto"/>
        </w:rPr>
      </w:pPr>
      <w:r w:rsidRPr="00E47983">
        <w:rPr>
          <w:color w:val="auto"/>
        </w:rPr>
        <w:t>Government outcomes are the intended results, impacts or consequences of actions by the Government on the Australian community. Commonwealth programs are the primary vehicle by which government entities achieve the intended results of their outcome statements. Entities are required to identify the programs which contribute to government outcomes over the Budget and forward years.</w:t>
      </w:r>
    </w:p>
    <w:p w14:paraId="02750236" w14:textId="77777777" w:rsidR="00E47983" w:rsidRPr="00E47983" w:rsidRDefault="00E47983" w:rsidP="00E47983">
      <w:pPr>
        <w:rPr>
          <w:sz w:val="20"/>
        </w:rPr>
      </w:pPr>
      <w:r w:rsidRPr="00E47983">
        <w:rPr>
          <w:color w:val="auto"/>
        </w:rPr>
        <w:t>Each outcome is described below together with its related programs. The following provides detailed information on expenses for each outcome and program, further broken down by funding source.</w:t>
      </w:r>
    </w:p>
    <w:p w14:paraId="22DEC0C5" w14:textId="77777777" w:rsidR="00E47983" w:rsidRPr="00E47983" w:rsidRDefault="00E47983" w:rsidP="00E47983">
      <w:pPr>
        <w:pBdr>
          <w:top w:val="single" w:sz="4" w:space="2" w:color="auto"/>
          <w:left w:val="single" w:sz="4" w:space="4" w:color="auto"/>
          <w:bottom w:val="single" w:sz="4" w:space="2" w:color="auto"/>
          <w:right w:val="single" w:sz="4" w:space="4" w:color="auto"/>
        </w:pBdr>
        <w:rPr>
          <w:rFonts w:cs="Arial"/>
          <w:b/>
          <w:szCs w:val="19"/>
        </w:rPr>
      </w:pPr>
      <w:r w:rsidRPr="00E47983">
        <w:rPr>
          <w:rFonts w:cs="Arial"/>
          <w:b/>
          <w:szCs w:val="19"/>
        </w:rPr>
        <w:t>Note:</w:t>
      </w:r>
    </w:p>
    <w:p w14:paraId="56961584" w14:textId="77777777" w:rsidR="00E47983" w:rsidRPr="00E47983" w:rsidRDefault="00E47983" w:rsidP="00E47983">
      <w:pPr>
        <w:pBdr>
          <w:top w:val="single" w:sz="4" w:space="2" w:color="auto"/>
          <w:left w:val="single" w:sz="4" w:space="4" w:color="auto"/>
          <w:bottom w:val="single" w:sz="4" w:space="2" w:color="auto"/>
          <w:right w:val="single" w:sz="4" w:space="4" w:color="auto"/>
        </w:pBdr>
        <w:rPr>
          <w:szCs w:val="19"/>
        </w:rPr>
      </w:pPr>
      <w:r w:rsidRPr="00E47983">
        <w:rPr>
          <w:szCs w:val="19"/>
        </w:rPr>
        <w:t xml:space="preserve">Performance reporting requirements in the Portfolio Budget Statements are part of the Commonwealth Performance Framework established by </w:t>
      </w:r>
      <w:r w:rsidRPr="00E47983">
        <w:rPr>
          <w:i/>
          <w:szCs w:val="19"/>
        </w:rPr>
        <w:t>the Public Governance, Performance and Accountability Act 2013</w:t>
      </w:r>
      <w:r w:rsidRPr="00E47983">
        <w:rPr>
          <w:szCs w:val="19"/>
        </w:rPr>
        <w:t>. It is anticipated that the performance measures described in Portfolio Budget Statements will be read with broader information provided in an entity’s Corporate Plan and Annual Performance Statement – included in Annual Reports – to provide an entity’s complete performance story.</w:t>
      </w:r>
    </w:p>
    <w:p w14:paraId="48E7E5BB" w14:textId="77777777" w:rsidR="00313509" w:rsidRPr="00A86D5D" w:rsidRDefault="00313509" w:rsidP="00831C56">
      <w:pPr>
        <w:pBdr>
          <w:top w:val="single" w:sz="4" w:space="2" w:color="auto"/>
          <w:left w:val="single" w:sz="4" w:space="4" w:color="auto"/>
          <w:bottom w:val="single" w:sz="4" w:space="2" w:color="auto"/>
          <w:right w:val="single" w:sz="4" w:space="4" w:color="auto"/>
        </w:pBdr>
        <w:rPr>
          <w:color w:val="auto"/>
        </w:rPr>
      </w:pPr>
      <w:r w:rsidRPr="00A86D5D">
        <w:rPr>
          <w:color w:val="auto"/>
        </w:rPr>
        <w:t>The Australian Digital Health Agency’s most recent Corporate Plan is available at: www.digitalhealth.gov.au/about-the-agency/corporate-plan</w:t>
      </w:r>
    </w:p>
    <w:p w14:paraId="0365120D" w14:textId="466683C4" w:rsidR="00313509" w:rsidRDefault="00313509" w:rsidP="00831C56">
      <w:pPr>
        <w:pBdr>
          <w:top w:val="single" w:sz="4" w:space="2" w:color="auto"/>
          <w:left w:val="single" w:sz="4" w:space="4" w:color="auto"/>
          <w:bottom w:val="single" w:sz="4" w:space="2" w:color="auto"/>
          <w:right w:val="single" w:sz="4" w:space="4" w:color="auto"/>
        </w:pBdr>
        <w:rPr>
          <w:color w:val="auto"/>
        </w:rPr>
      </w:pPr>
      <w:r w:rsidRPr="00A86D5D">
        <w:rPr>
          <w:color w:val="auto"/>
        </w:rPr>
        <w:t xml:space="preserve">The Australian Digital Health Agency’s most recent Annual Performance Statement is available at: </w:t>
      </w:r>
      <w:r w:rsidR="00CE4DC2" w:rsidRPr="00A86D5D">
        <w:rPr>
          <w:color w:val="auto"/>
        </w:rPr>
        <w:br/>
      </w:r>
      <w:r w:rsidR="00EB495F" w:rsidRPr="0073716F">
        <w:t>www.digitalhealth.gov.au/about-the-agency/publications/reports/annual-report</w:t>
      </w:r>
    </w:p>
    <w:p w14:paraId="57722B67" w14:textId="5813CDB4" w:rsidR="00BC0659" w:rsidRPr="00A86D5D" w:rsidRDefault="00BC0659" w:rsidP="000C3248">
      <w:pPr>
        <w:pStyle w:val="Heading3"/>
      </w:pPr>
      <w:bookmarkStart w:id="5" w:name="_Toc117406464"/>
      <w:r w:rsidRPr="00A86D5D">
        <w:t>2.1</w:t>
      </w:r>
      <w:r w:rsidRPr="00A86D5D">
        <w:tab/>
        <w:t xml:space="preserve">Budgeted </w:t>
      </w:r>
      <w:r w:rsidR="00672C7F">
        <w:t>e</w:t>
      </w:r>
      <w:r w:rsidRPr="00A86D5D">
        <w:t xml:space="preserve">xpenses and </w:t>
      </w:r>
      <w:r w:rsidR="00672C7F">
        <w:t>p</w:t>
      </w:r>
      <w:r w:rsidRPr="00A86D5D">
        <w:t>erformance</w:t>
      </w:r>
      <w:bookmarkEnd w:id="5"/>
    </w:p>
    <w:p w14:paraId="51F7EE7A" w14:textId="77777777" w:rsidR="00BC0659" w:rsidRPr="00D1154C" w:rsidRDefault="00BC0659" w:rsidP="00BC0659">
      <w:pPr>
        <w:pStyle w:val="OutcomeStatement"/>
        <w:spacing w:before="120" w:after="120"/>
        <w:rPr>
          <w:b/>
          <w:color w:val="auto"/>
          <w:szCs w:val="20"/>
        </w:rPr>
      </w:pPr>
      <w:r w:rsidRPr="00D1154C">
        <w:rPr>
          <w:b/>
          <w:color w:val="auto"/>
          <w:szCs w:val="20"/>
        </w:rPr>
        <w:t>Outcome 1</w:t>
      </w:r>
    </w:p>
    <w:p w14:paraId="5966BB5E" w14:textId="11793AC4" w:rsidR="00D01706" w:rsidRPr="00D1154C" w:rsidRDefault="007F06A4" w:rsidP="00D47DD8">
      <w:pPr>
        <w:pStyle w:val="OutcomeStatement"/>
        <w:rPr>
          <w:rFonts w:cs="Arial"/>
          <w:color w:val="auto"/>
          <w:szCs w:val="20"/>
        </w:rPr>
      </w:pPr>
      <w:r w:rsidRPr="00D1154C">
        <w:rPr>
          <w:color w:val="auto"/>
          <w:szCs w:val="20"/>
        </w:rPr>
        <w:t>To deliver national digital healthcare systems to enable and support improvement in health outcomes for Australians</w:t>
      </w:r>
      <w:r w:rsidR="006E2E84">
        <w:rPr>
          <w:color w:val="auto"/>
          <w:szCs w:val="20"/>
        </w:rPr>
        <w:t>.</w:t>
      </w:r>
    </w:p>
    <w:p w14:paraId="0C04F79F" w14:textId="5B60CA6D" w:rsidR="00BC0659" w:rsidRPr="00A86D5D" w:rsidRDefault="00BC0659" w:rsidP="00BC0659">
      <w:pPr>
        <w:pStyle w:val="Heading4"/>
        <w:rPr>
          <w:color w:val="auto"/>
        </w:rPr>
      </w:pPr>
      <w:r w:rsidRPr="00A86D5D">
        <w:rPr>
          <w:color w:val="auto"/>
        </w:rPr>
        <w:t xml:space="preserve">Program </w:t>
      </w:r>
      <w:r w:rsidR="00FE19C1">
        <w:rPr>
          <w:color w:val="auto"/>
        </w:rPr>
        <w:t>c</w:t>
      </w:r>
      <w:r w:rsidRPr="00A86D5D">
        <w:rPr>
          <w:color w:val="auto"/>
        </w:rPr>
        <w:t>ontributing to Outcome 1</w:t>
      </w:r>
    </w:p>
    <w:p w14:paraId="6AF88DE9" w14:textId="042C40C3" w:rsidR="00D01706" w:rsidRDefault="00BC0659" w:rsidP="00D47DD8">
      <w:pPr>
        <w:widowControl w:val="0"/>
        <w:pBdr>
          <w:top w:val="single" w:sz="4" w:space="2" w:color="auto"/>
          <w:left w:val="single" w:sz="4" w:space="4" w:color="auto"/>
          <w:bottom w:val="single" w:sz="4" w:space="2" w:color="auto"/>
          <w:right w:val="single" w:sz="4" w:space="4" w:color="auto"/>
        </w:pBdr>
        <w:tabs>
          <w:tab w:val="left" w:pos="0"/>
        </w:tabs>
        <w:spacing w:before="40" w:after="40"/>
        <w:rPr>
          <w:rFonts w:ascii="Arial" w:hAnsi="Arial" w:cs="Arial"/>
          <w:b/>
          <w:color w:val="auto"/>
          <w:sz w:val="18"/>
          <w:szCs w:val="18"/>
        </w:rPr>
      </w:pPr>
      <w:r w:rsidRPr="00A86D5D">
        <w:rPr>
          <w:rFonts w:ascii="Arial" w:hAnsi="Arial" w:cs="Arial"/>
          <w:b/>
          <w:color w:val="auto"/>
          <w:sz w:val="18"/>
          <w:szCs w:val="18"/>
        </w:rPr>
        <w:t>Program 1.1:</w:t>
      </w:r>
      <w:r w:rsidRPr="00A86D5D">
        <w:rPr>
          <w:rFonts w:ascii="Arial" w:hAnsi="Arial" w:cs="Arial"/>
          <w:b/>
          <w:color w:val="auto"/>
          <w:sz w:val="18"/>
          <w:szCs w:val="18"/>
        </w:rPr>
        <w:tab/>
      </w:r>
      <w:r w:rsidR="0019008C" w:rsidRPr="00A86D5D">
        <w:rPr>
          <w:rFonts w:ascii="Arial" w:hAnsi="Arial" w:cs="Arial"/>
          <w:b/>
          <w:color w:val="auto"/>
          <w:sz w:val="18"/>
          <w:szCs w:val="18"/>
        </w:rPr>
        <w:t>Digital Health</w:t>
      </w:r>
    </w:p>
    <w:p w14:paraId="601F507C" w14:textId="05C9DA5F" w:rsidR="00EB495F" w:rsidRPr="00D1154C" w:rsidRDefault="00BC0659" w:rsidP="00C62CB6">
      <w:pPr>
        <w:pStyle w:val="Heading4"/>
        <w:pageBreakBefore/>
        <w:rPr>
          <w:color w:val="auto"/>
          <w:sz w:val="22"/>
        </w:rPr>
      </w:pPr>
      <w:r w:rsidRPr="00D1154C">
        <w:rPr>
          <w:color w:val="auto"/>
          <w:sz w:val="22"/>
        </w:rPr>
        <w:lastRenderedPageBreak/>
        <w:t xml:space="preserve">Linked </w:t>
      </w:r>
      <w:r w:rsidR="00BE5E11" w:rsidRPr="00D1154C">
        <w:rPr>
          <w:color w:val="auto"/>
          <w:sz w:val="22"/>
        </w:rPr>
        <w:t>p</w:t>
      </w:r>
      <w:r w:rsidRPr="00D1154C">
        <w:rPr>
          <w:color w:val="auto"/>
          <w:sz w:val="22"/>
        </w:rPr>
        <w:t>rograms</w:t>
      </w:r>
    </w:p>
    <w:tbl>
      <w:tblPr>
        <w:tblStyle w:val="TableGrid"/>
        <w:tblW w:w="5198" w:type="pct"/>
        <w:jc w:val="center"/>
        <w:tblLook w:val="04A0" w:firstRow="1" w:lastRow="0" w:firstColumn="1" w:lastColumn="0" w:noHBand="0" w:noVBand="1"/>
        <w:tblCaption w:val="Linked programs: Australian Digital Heath Agency"/>
        <w:tblDescription w:val="This table outlines the linked programs for the Agency's Outcome 1, and how other Commonwealth entities contribute to Outcome 1&#10;"/>
      </w:tblPr>
      <w:tblGrid>
        <w:gridCol w:w="7651"/>
      </w:tblGrid>
      <w:tr w:rsidR="00A86D5D" w:rsidRPr="00A86D5D" w14:paraId="43C2A383" w14:textId="77777777" w:rsidTr="00BD1814">
        <w:trPr>
          <w:tblHeader/>
          <w:jc w:val="center"/>
        </w:trPr>
        <w:tc>
          <w:tcPr>
            <w:tcW w:w="5000" w:type="pct"/>
            <w:shd w:val="clear" w:color="auto" w:fill="D9D9D9" w:themeFill="background1" w:themeFillShade="D9"/>
          </w:tcPr>
          <w:p w14:paraId="66722357" w14:textId="77777777" w:rsidR="00BC0659" w:rsidRPr="008958BD" w:rsidRDefault="00BC0659" w:rsidP="00BD1814">
            <w:pPr>
              <w:pStyle w:val="Tableheadingrow9pt"/>
              <w:rPr>
                <w:color w:val="auto"/>
                <w:sz w:val="20"/>
                <w:szCs w:val="20"/>
              </w:rPr>
            </w:pPr>
            <w:r w:rsidRPr="008958BD">
              <w:rPr>
                <w:color w:val="auto"/>
                <w:sz w:val="20"/>
                <w:szCs w:val="20"/>
              </w:rPr>
              <w:t>Other Commonwealth entities that contribute to Outcome 1</w:t>
            </w:r>
          </w:p>
        </w:tc>
      </w:tr>
      <w:tr w:rsidR="00D70BA5" w:rsidRPr="00A86D5D" w14:paraId="55D988AA" w14:textId="77777777" w:rsidTr="00BD1814">
        <w:trPr>
          <w:jc w:val="center"/>
        </w:trPr>
        <w:tc>
          <w:tcPr>
            <w:tcW w:w="5000" w:type="pct"/>
          </w:tcPr>
          <w:p w14:paraId="53D60DBA" w14:textId="3B66A425" w:rsidR="00D70BA5" w:rsidRPr="00D1154C" w:rsidRDefault="00D70BA5" w:rsidP="00D70BA5">
            <w:pPr>
              <w:pStyle w:val="Tableheadingrow9pt"/>
              <w:rPr>
                <w:color w:val="auto"/>
                <w:sz w:val="19"/>
                <w:szCs w:val="19"/>
              </w:rPr>
            </w:pPr>
            <w:r w:rsidRPr="00D1154C">
              <w:rPr>
                <w:color w:val="auto"/>
                <w:sz w:val="19"/>
                <w:szCs w:val="19"/>
              </w:rPr>
              <w:t>Department of Health and Aged Care</w:t>
            </w:r>
          </w:p>
        </w:tc>
      </w:tr>
      <w:tr w:rsidR="00A86D5D" w:rsidRPr="00A86D5D" w14:paraId="179E0F6B" w14:textId="77777777" w:rsidTr="00BD1814">
        <w:trPr>
          <w:jc w:val="center"/>
        </w:trPr>
        <w:tc>
          <w:tcPr>
            <w:tcW w:w="5000" w:type="pct"/>
          </w:tcPr>
          <w:p w14:paraId="49FC0727" w14:textId="63EAA5A5" w:rsidR="0019008C" w:rsidRPr="00D1154C" w:rsidRDefault="008E0329" w:rsidP="0019008C">
            <w:pPr>
              <w:pStyle w:val="Tableheadingrow9pt"/>
              <w:rPr>
                <w:rFonts w:ascii="Book Antiqua" w:hAnsi="Book Antiqua"/>
                <w:color w:val="auto"/>
                <w:sz w:val="19"/>
                <w:szCs w:val="19"/>
              </w:rPr>
            </w:pPr>
            <w:r w:rsidRPr="00D1154C">
              <w:rPr>
                <w:rFonts w:ascii="Book Antiqua" w:hAnsi="Book Antiqua"/>
                <w:color w:val="auto"/>
                <w:sz w:val="19"/>
                <w:szCs w:val="19"/>
              </w:rPr>
              <w:t>Program 1.1</w:t>
            </w:r>
            <w:r w:rsidR="0019008C" w:rsidRPr="00D1154C">
              <w:rPr>
                <w:rFonts w:ascii="Book Antiqua" w:hAnsi="Book Antiqua"/>
                <w:color w:val="auto"/>
                <w:sz w:val="19"/>
                <w:szCs w:val="19"/>
              </w:rPr>
              <w:t xml:space="preserve">: </w:t>
            </w:r>
            <w:r w:rsidRPr="00D1154C">
              <w:rPr>
                <w:rFonts w:ascii="Book Antiqua" w:hAnsi="Book Antiqua"/>
                <w:color w:val="auto"/>
                <w:sz w:val="19"/>
                <w:szCs w:val="19"/>
              </w:rPr>
              <w:t>Health Research, Coordination and Access</w:t>
            </w:r>
          </w:p>
          <w:p w14:paraId="64AB385C" w14:textId="71AACC7C" w:rsidR="00055118" w:rsidRPr="00D1154C" w:rsidRDefault="00D01706" w:rsidP="0019008C">
            <w:pPr>
              <w:pStyle w:val="Tabletextnormal9pt"/>
              <w:rPr>
                <w:color w:val="auto"/>
                <w:sz w:val="19"/>
                <w:szCs w:val="19"/>
              </w:rPr>
            </w:pPr>
            <w:r w:rsidRPr="00D1154C">
              <w:rPr>
                <w:rFonts w:ascii="Book Antiqua" w:hAnsi="Book Antiqua"/>
                <w:color w:val="auto"/>
                <w:sz w:val="19"/>
                <w:szCs w:val="19"/>
              </w:rPr>
              <w:t xml:space="preserve">The Department of </w:t>
            </w:r>
            <w:r w:rsidR="0019008C" w:rsidRPr="00D1154C">
              <w:rPr>
                <w:rFonts w:ascii="Book Antiqua" w:hAnsi="Book Antiqua"/>
                <w:color w:val="auto"/>
                <w:sz w:val="19"/>
                <w:szCs w:val="19"/>
              </w:rPr>
              <w:t xml:space="preserve">Health </w:t>
            </w:r>
            <w:r w:rsidRPr="00D1154C">
              <w:rPr>
                <w:rFonts w:ascii="Book Antiqua" w:hAnsi="Book Antiqua"/>
                <w:color w:val="auto"/>
                <w:sz w:val="19"/>
                <w:szCs w:val="19"/>
              </w:rPr>
              <w:t xml:space="preserve">and Aged Care </w:t>
            </w:r>
            <w:r w:rsidR="0019008C" w:rsidRPr="00D1154C">
              <w:rPr>
                <w:rFonts w:ascii="Book Antiqua" w:hAnsi="Book Antiqua"/>
                <w:color w:val="auto"/>
                <w:sz w:val="19"/>
                <w:szCs w:val="19"/>
              </w:rPr>
              <w:t>has policy responsibility for improving health outcomes for Australians through digital health systems.</w:t>
            </w:r>
          </w:p>
        </w:tc>
      </w:tr>
      <w:tr w:rsidR="00D70BA5" w:rsidRPr="00A86D5D" w14:paraId="1C009211" w14:textId="77777777" w:rsidTr="00BD1814">
        <w:trPr>
          <w:jc w:val="center"/>
        </w:trPr>
        <w:tc>
          <w:tcPr>
            <w:tcW w:w="5000" w:type="pct"/>
          </w:tcPr>
          <w:p w14:paraId="398770D6" w14:textId="26B027A8" w:rsidR="00D70BA5" w:rsidRPr="00D1154C" w:rsidRDefault="00D70BA5" w:rsidP="00D70BA5">
            <w:pPr>
              <w:pStyle w:val="Tableheadingrow9pt"/>
              <w:rPr>
                <w:color w:val="auto"/>
                <w:sz w:val="19"/>
                <w:szCs w:val="19"/>
              </w:rPr>
            </w:pPr>
            <w:r w:rsidRPr="00D1154C">
              <w:rPr>
                <w:color w:val="auto"/>
                <w:sz w:val="19"/>
                <w:szCs w:val="19"/>
              </w:rPr>
              <w:t>Services Australia</w:t>
            </w:r>
          </w:p>
        </w:tc>
      </w:tr>
      <w:tr w:rsidR="00A86D5D" w:rsidRPr="00A86D5D" w14:paraId="4148B3A8" w14:textId="77777777" w:rsidTr="00BD1814">
        <w:trPr>
          <w:jc w:val="center"/>
        </w:trPr>
        <w:tc>
          <w:tcPr>
            <w:tcW w:w="5000" w:type="pct"/>
          </w:tcPr>
          <w:p w14:paraId="29599012" w14:textId="77777777" w:rsidR="0019008C" w:rsidRPr="00D1154C" w:rsidRDefault="0019008C" w:rsidP="0019008C">
            <w:pPr>
              <w:pStyle w:val="Tableheadingrow9pt"/>
              <w:rPr>
                <w:rFonts w:ascii="Book Antiqua" w:hAnsi="Book Antiqua"/>
                <w:color w:val="auto"/>
                <w:sz w:val="19"/>
                <w:szCs w:val="19"/>
              </w:rPr>
            </w:pPr>
            <w:r w:rsidRPr="00D1154C">
              <w:rPr>
                <w:rFonts w:ascii="Book Antiqua" w:hAnsi="Book Antiqua"/>
                <w:color w:val="auto"/>
                <w:sz w:val="19"/>
                <w:szCs w:val="19"/>
              </w:rPr>
              <w:t>Program 1.2: Services to the Community – Health</w:t>
            </w:r>
          </w:p>
          <w:p w14:paraId="6BF8C273" w14:textId="77777777" w:rsidR="0019008C" w:rsidRPr="00D1154C" w:rsidRDefault="0019008C" w:rsidP="0019008C">
            <w:pPr>
              <w:pStyle w:val="Tableheadingrow9pt"/>
              <w:rPr>
                <w:b w:val="0"/>
                <w:color w:val="auto"/>
                <w:sz w:val="19"/>
                <w:szCs w:val="19"/>
              </w:rPr>
            </w:pPr>
            <w:r w:rsidRPr="00D1154C">
              <w:rPr>
                <w:rFonts w:ascii="Book Antiqua" w:hAnsi="Book Antiqua"/>
                <w:b w:val="0"/>
                <w:color w:val="auto"/>
                <w:sz w:val="19"/>
                <w:szCs w:val="19"/>
              </w:rPr>
              <w:t>Services Australia supports the operation of the My Health Record system.</w:t>
            </w:r>
          </w:p>
        </w:tc>
      </w:tr>
    </w:tbl>
    <w:p w14:paraId="1A8BA118" w14:textId="77777777" w:rsidR="00132BD2" w:rsidRPr="00132BD2" w:rsidRDefault="00132BD2" w:rsidP="00132BD2">
      <w:pPr>
        <w:keepNext/>
        <w:spacing w:before="240"/>
        <w:outlineLvl w:val="4"/>
        <w:rPr>
          <w:rFonts w:ascii="Arial" w:hAnsi="Arial"/>
          <w:bCs/>
          <w:i/>
          <w:iCs/>
          <w:color w:val="auto"/>
          <w:sz w:val="20"/>
          <w:szCs w:val="26"/>
        </w:rPr>
      </w:pPr>
      <w:r w:rsidRPr="00132BD2">
        <w:rPr>
          <w:rFonts w:ascii="Arial" w:hAnsi="Arial"/>
          <w:bCs/>
          <w:i/>
          <w:iCs/>
          <w:color w:val="auto"/>
          <w:sz w:val="20"/>
          <w:szCs w:val="26"/>
        </w:rPr>
        <w:t>Budgeted expenses for Outcome 1</w:t>
      </w:r>
    </w:p>
    <w:p w14:paraId="79AFCA8A" w14:textId="77777777" w:rsidR="00132BD2" w:rsidRPr="00132BD2" w:rsidRDefault="00132BD2" w:rsidP="00132BD2">
      <w:pPr>
        <w:spacing w:before="240" w:after="240" w:line="240" w:lineRule="exact"/>
        <w:rPr>
          <w:color w:val="auto"/>
        </w:rPr>
      </w:pPr>
      <w:r w:rsidRPr="00132BD2">
        <w:rPr>
          <w:color w:val="auto"/>
        </w:rPr>
        <w:t>This table shows how much the entity intends to spend (on an accrual basis) on achieving the outcome, broken down by program, as well as by Administered and Departmental funding sources.</w:t>
      </w:r>
    </w:p>
    <w:p w14:paraId="46682B37" w14:textId="4EE81E63" w:rsidR="00BC0659" w:rsidRDefault="00BC0659" w:rsidP="00BC0659">
      <w:pPr>
        <w:pStyle w:val="Tablenumberandreference"/>
        <w:rPr>
          <w:color w:val="auto"/>
        </w:rPr>
      </w:pPr>
      <w:r w:rsidRPr="00A86D5D">
        <w:rPr>
          <w:color w:val="auto"/>
        </w:rPr>
        <w:t xml:space="preserve">Table 2.1.1: Budgeted </w:t>
      </w:r>
      <w:r w:rsidR="00132BD2">
        <w:rPr>
          <w:color w:val="auto"/>
        </w:rPr>
        <w:t>e</w:t>
      </w:r>
      <w:r w:rsidRPr="00A86D5D">
        <w:rPr>
          <w:color w:val="auto"/>
        </w:rPr>
        <w:t xml:space="preserve">xpenses for </w:t>
      </w:r>
      <w:r w:rsidR="00132BD2">
        <w:rPr>
          <w:color w:val="auto"/>
        </w:rPr>
        <w:t>Outcome 1</w:t>
      </w:r>
    </w:p>
    <w:tbl>
      <w:tblPr>
        <w:tblW w:w="7360" w:type="dxa"/>
        <w:tblLayout w:type="fixed"/>
        <w:tblLook w:val="04A0" w:firstRow="1" w:lastRow="0" w:firstColumn="1" w:lastColumn="0" w:noHBand="0" w:noVBand="1"/>
      </w:tblPr>
      <w:tblGrid>
        <w:gridCol w:w="2860"/>
        <w:gridCol w:w="900"/>
        <w:gridCol w:w="900"/>
        <w:gridCol w:w="900"/>
        <w:gridCol w:w="900"/>
        <w:gridCol w:w="900"/>
      </w:tblGrid>
      <w:tr w:rsidR="0063406D" w:rsidRPr="0063406D" w14:paraId="288B32B6" w14:textId="77777777" w:rsidTr="008437C8">
        <w:trPr>
          <w:trHeight w:val="765"/>
        </w:trPr>
        <w:tc>
          <w:tcPr>
            <w:tcW w:w="2860" w:type="dxa"/>
            <w:tcBorders>
              <w:top w:val="single" w:sz="4" w:space="0" w:color="auto"/>
              <w:left w:val="nil"/>
              <w:bottom w:val="nil"/>
              <w:right w:val="nil"/>
            </w:tcBorders>
            <w:shd w:val="clear" w:color="auto" w:fill="auto"/>
            <w:tcMar>
              <w:left w:w="0" w:type="dxa"/>
            </w:tcMar>
            <w:hideMark/>
          </w:tcPr>
          <w:p w14:paraId="4D24F938" w14:textId="77777777" w:rsidR="0063406D" w:rsidRPr="0063406D" w:rsidRDefault="0063406D" w:rsidP="00E63790">
            <w:pPr>
              <w:spacing w:after="0"/>
              <w:jc w:val="right"/>
              <w:rPr>
                <w:rFonts w:ascii="Times New Roman" w:hAnsi="Times New Roman"/>
                <w:color w:val="auto"/>
                <w:sz w:val="20"/>
                <w:szCs w:val="24"/>
              </w:rPr>
            </w:pPr>
          </w:p>
        </w:tc>
        <w:tc>
          <w:tcPr>
            <w:tcW w:w="900" w:type="dxa"/>
            <w:tcBorders>
              <w:top w:val="single" w:sz="4" w:space="0" w:color="auto"/>
              <w:left w:val="nil"/>
              <w:bottom w:val="single" w:sz="4" w:space="0" w:color="auto"/>
              <w:right w:val="nil"/>
            </w:tcBorders>
            <w:shd w:val="clear" w:color="auto" w:fill="auto"/>
            <w:tcMar>
              <w:left w:w="0" w:type="dxa"/>
            </w:tcMar>
            <w:hideMark/>
          </w:tcPr>
          <w:p w14:paraId="1E79B56F" w14:textId="77777777" w:rsidR="0063406D" w:rsidRPr="0063406D" w:rsidRDefault="0063406D" w:rsidP="001477D3">
            <w:pPr>
              <w:spacing w:before="40" w:after="0"/>
              <w:jc w:val="right"/>
              <w:rPr>
                <w:rFonts w:ascii="Arial" w:hAnsi="Arial" w:cs="Arial"/>
                <w:b/>
                <w:bCs/>
                <w:color w:val="auto"/>
                <w:sz w:val="16"/>
                <w:szCs w:val="16"/>
              </w:rPr>
            </w:pPr>
            <w:r w:rsidRPr="0063406D">
              <w:rPr>
                <w:rFonts w:ascii="Arial" w:hAnsi="Arial" w:cs="Arial"/>
                <w:b/>
                <w:bCs/>
                <w:color w:val="auto"/>
                <w:sz w:val="16"/>
                <w:szCs w:val="16"/>
              </w:rPr>
              <w:t>2021–22 Estimated actual</w:t>
            </w:r>
            <w:r w:rsidRPr="0063406D">
              <w:rPr>
                <w:rFonts w:ascii="Arial" w:hAnsi="Arial" w:cs="Arial"/>
                <w:b/>
                <w:bCs/>
                <w:color w:val="auto"/>
                <w:sz w:val="16"/>
                <w:szCs w:val="16"/>
              </w:rPr>
              <w:br/>
            </w:r>
            <w:r w:rsidRPr="0063406D">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000000" w:fill="D9D9D9"/>
            <w:tcMar>
              <w:left w:w="0" w:type="dxa"/>
            </w:tcMar>
            <w:hideMark/>
          </w:tcPr>
          <w:p w14:paraId="3E321FDE" w14:textId="77777777" w:rsidR="0063406D" w:rsidRPr="0063406D" w:rsidRDefault="0063406D" w:rsidP="001477D3">
            <w:pPr>
              <w:spacing w:before="40" w:after="0"/>
              <w:jc w:val="right"/>
              <w:rPr>
                <w:rFonts w:ascii="Arial" w:hAnsi="Arial" w:cs="Arial"/>
                <w:b/>
                <w:bCs/>
                <w:color w:val="auto"/>
                <w:sz w:val="16"/>
                <w:szCs w:val="16"/>
              </w:rPr>
            </w:pPr>
            <w:r w:rsidRPr="0063406D">
              <w:rPr>
                <w:rFonts w:ascii="Arial" w:hAnsi="Arial" w:cs="Arial"/>
                <w:b/>
                <w:bCs/>
                <w:color w:val="auto"/>
                <w:sz w:val="16"/>
                <w:szCs w:val="16"/>
              </w:rPr>
              <w:t>2022–23</w:t>
            </w:r>
            <w:r w:rsidRPr="0063406D">
              <w:rPr>
                <w:rFonts w:ascii="Arial" w:hAnsi="Arial" w:cs="Arial"/>
                <w:b/>
                <w:bCs/>
                <w:color w:val="auto"/>
                <w:sz w:val="16"/>
                <w:szCs w:val="16"/>
              </w:rPr>
              <w:br/>
              <w:t>Budget</w:t>
            </w:r>
            <w:r w:rsidRPr="0063406D">
              <w:rPr>
                <w:rFonts w:ascii="Arial" w:hAnsi="Arial" w:cs="Arial"/>
                <w:b/>
                <w:bCs/>
                <w:color w:val="auto"/>
                <w:sz w:val="16"/>
                <w:szCs w:val="16"/>
              </w:rPr>
              <w:br/>
            </w:r>
            <w:r w:rsidRPr="0063406D">
              <w:rPr>
                <w:rFonts w:ascii="Arial" w:hAnsi="Arial" w:cs="Arial"/>
                <w:b/>
                <w:bCs/>
                <w:color w:val="auto"/>
                <w:sz w:val="16"/>
                <w:szCs w:val="16"/>
              </w:rPr>
              <w:br/>
            </w:r>
            <w:r w:rsidRPr="0063406D">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auto" w:fill="auto"/>
            <w:tcMar>
              <w:left w:w="0" w:type="dxa"/>
            </w:tcMar>
            <w:hideMark/>
          </w:tcPr>
          <w:p w14:paraId="23FD5880" w14:textId="77777777" w:rsidR="0063406D" w:rsidRPr="0063406D" w:rsidRDefault="0063406D" w:rsidP="001477D3">
            <w:pPr>
              <w:spacing w:before="40" w:after="0"/>
              <w:jc w:val="right"/>
              <w:rPr>
                <w:rFonts w:ascii="Arial" w:hAnsi="Arial" w:cs="Arial"/>
                <w:b/>
                <w:bCs/>
                <w:color w:val="auto"/>
                <w:sz w:val="16"/>
                <w:szCs w:val="16"/>
              </w:rPr>
            </w:pPr>
            <w:r w:rsidRPr="0063406D">
              <w:rPr>
                <w:rFonts w:ascii="Arial" w:hAnsi="Arial" w:cs="Arial"/>
                <w:b/>
                <w:bCs/>
                <w:color w:val="auto"/>
                <w:sz w:val="16"/>
                <w:szCs w:val="16"/>
              </w:rPr>
              <w:t>2023–24 Forward estimate</w:t>
            </w:r>
            <w:r w:rsidRPr="0063406D">
              <w:rPr>
                <w:rFonts w:ascii="Arial" w:hAnsi="Arial" w:cs="Arial"/>
                <w:b/>
                <w:bCs/>
                <w:color w:val="auto"/>
                <w:sz w:val="16"/>
                <w:szCs w:val="16"/>
              </w:rPr>
              <w:br/>
            </w:r>
            <w:r w:rsidRPr="0063406D">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auto" w:fill="auto"/>
            <w:tcMar>
              <w:left w:w="0" w:type="dxa"/>
            </w:tcMar>
            <w:hideMark/>
          </w:tcPr>
          <w:p w14:paraId="4938D99A" w14:textId="77777777" w:rsidR="0063406D" w:rsidRPr="0063406D" w:rsidRDefault="0063406D" w:rsidP="001477D3">
            <w:pPr>
              <w:spacing w:before="40" w:after="0"/>
              <w:jc w:val="right"/>
              <w:rPr>
                <w:rFonts w:ascii="Arial" w:hAnsi="Arial" w:cs="Arial"/>
                <w:b/>
                <w:bCs/>
                <w:color w:val="auto"/>
                <w:sz w:val="16"/>
                <w:szCs w:val="16"/>
              </w:rPr>
            </w:pPr>
            <w:r w:rsidRPr="0063406D">
              <w:rPr>
                <w:rFonts w:ascii="Arial" w:hAnsi="Arial" w:cs="Arial"/>
                <w:b/>
                <w:bCs/>
                <w:color w:val="auto"/>
                <w:sz w:val="16"/>
                <w:szCs w:val="16"/>
              </w:rPr>
              <w:t>2024–25</w:t>
            </w:r>
            <w:r w:rsidRPr="0063406D">
              <w:rPr>
                <w:rFonts w:ascii="Arial" w:hAnsi="Arial" w:cs="Arial"/>
                <w:b/>
                <w:bCs/>
                <w:color w:val="auto"/>
                <w:sz w:val="16"/>
                <w:szCs w:val="16"/>
              </w:rPr>
              <w:br/>
              <w:t>Forward estimate</w:t>
            </w:r>
            <w:r w:rsidRPr="0063406D">
              <w:rPr>
                <w:rFonts w:ascii="Arial" w:hAnsi="Arial" w:cs="Arial"/>
                <w:b/>
                <w:bCs/>
                <w:color w:val="auto"/>
                <w:sz w:val="16"/>
                <w:szCs w:val="16"/>
              </w:rPr>
              <w:br/>
            </w:r>
            <w:r w:rsidRPr="0063406D">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auto" w:fill="auto"/>
            <w:tcMar>
              <w:left w:w="0" w:type="dxa"/>
            </w:tcMar>
            <w:hideMark/>
          </w:tcPr>
          <w:p w14:paraId="2500BE24" w14:textId="77777777" w:rsidR="0063406D" w:rsidRPr="0063406D" w:rsidRDefault="0063406D" w:rsidP="001477D3">
            <w:pPr>
              <w:spacing w:before="40" w:after="0"/>
              <w:jc w:val="right"/>
              <w:rPr>
                <w:rFonts w:ascii="Arial" w:hAnsi="Arial" w:cs="Arial"/>
                <w:b/>
                <w:bCs/>
                <w:color w:val="auto"/>
                <w:sz w:val="16"/>
                <w:szCs w:val="16"/>
              </w:rPr>
            </w:pPr>
            <w:r w:rsidRPr="0063406D">
              <w:rPr>
                <w:rFonts w:ascii="Arial" w:hAnsi="Arial" w:cs="Arial"/>
                <w:b/>
                <w:bCs/>
                <w:color w:val="auto"/>
                <w:sz w:val="16"/>
                <w:szCs w:val="16"/>
              </w:rPr>
              <w:t>2025–26</w:t>
            </w:r>
            <w:r w:rsidRPr="0063406D">
              <w:rPr>
                <w:rFonts w:ascii="Arial" w:hAnsi="Arial" w:cs="Arial"/>
                <w:b/>
                <w:bCs/>
                <w:color w:val="auto"/>
                <w:sz w:val="16"/>
                <w:szCs w:val="16"/>
              </w:rPr>
              <w:br/>
              <w:t>Forward estimate</w:t>
            </w:r>
            <w:r w:rsidRPr="0063406D">
              <w:rPr>
                <w:rFonts w:ascii="Arial" w:hAnsi="Arial" w:cs="Arial"/>
                <w:b/>
                <w:bCs/>
                <w:color w:val="auto"/>
                <w:sz w:val="16"/>
                <w:szCs w:val="16"/>
              </w:rPr>
              <w:br/>
            </w:r>
            <w:r w:rsidRPr="0063406D">
              <w:rPr>
                <w:rFonts w:ascii="Arial" w:hAnsi="Arial" w:cs="Arial"/>
                <w:color w:val="auto"/>
                <w:sz w:val="16"/>
                <w:szCs w:val="16"/>
              </w:rPr>
              <w:t>$'000</w:t>
            </w:r>
          </w:p>
        </w:tc>
      </w:tr>
      <w:tr w:rsidR="0063406D" w:rsidRPr="0063406D" w14:paraId="0D81E41C" w14:textId="77777777" w:rsidTr="000E60A0">
        <w:trPr>
          <w:trHeight w:val="283"/>
        </w:trPr>
        <w:tc>
          <w:tcPr>
            <w:tcW w:w="2860" w:type="dxa"/>
            <w:tcBorders>
              <w:top w:val="nil"/>
              <w:left w:val="nil"/>
              <w:bottom w:val="nil"/>
              <w:right w:val="nil"/>
            </w:tcBorders>
            <w:shd w:val="clear" w:color="auto" w:fill="auto"/>
            <w:noWrap/>
            <w:vAlign w:val="bottom"/>
            <w:hideMark/>
          </w:tcPr>
          <w:p w14:paraId="7F253C77" w14:textId="77777777" w:rsidR="0063406D" w:rsidRPr="0063406D" w:rsidRDefault="0063406D" w:rsidP="0063406D">
            <w:pPr>
              <w:spacing w:after="0"/>
              <w:rPr>
                <w:rFonts w:ascii="Arial" w:hAnsi="Arial" w:cs="Arial"/>
                <w:b/>
                <w:bCs/>
                <w:color w:val="auto"/>
                <w:sz w:val="16"/>
                <w:szCs w:val="16"/>
              </w:rPr>
            </w:pPr>
            <w:r w:rsidRPr="0063406D">
              <w:rPr>
                <w:rFonts w:ascii="Arial" w:hAnsi="Arial" w:cs="Arial"/>
                <w:b/>
                <w:bCs/>
                <w:color w:val="auto"/>
                <w:sz w:val="16"/>
                <w:szCs w:val="16"/>
              </w:rPr>
              <w:t>Program 1.1: Digital Health</w:t>
            </w:r>
          </w:p>
        </w:tc>
        <w:tc>
          <w:tcPr>
            <w:tcW w:w="900" w:type="dxa"/>
            <w:tcBorders>
              <w:top w:val="nil"/>
              <w:left w:val="nil"/>
              <w:bottom w:val="nil"/>
              <w:right w:val="nil"/>
            </w:tcBorders>
            <w:shd w:val="clear" w:color="auto" w:fill="auto"/>
            <w:vAlign w:val="bottom"/>
            <w:hideMark/>
          </w:tcPr>
          <w:p w14:paraId="528DA4F4" w14:textId="77777777" w:rsidR="0063406D" w:rsidRPr="0063406D" w:rsidRDefault="0063406D" w:rsidP="0063406D">
            <w:pPr>
              <w:spacing w:after="0"/>
              <w:rPr>
                <w:rFonts w:ascii="Arial" w:hAnsi="Arial" w:cs="Arial"/>
                <w:b/>
                <w:bCs/>
                <w:color w:val="auto"/>
                <w:sz w:val="16"/>
                <w:szCs w:val="16"/>
              </w:rPr>
            </w:pPr>
          </w:p>
        </w:tc>
        <w:tc>
          <w:tcPr>
            <w:tcW w:w="900" w:type="dxa"/>
            <w:tcBorders>
              <w:top w:val="nil"/>
              <w:left w:val="nil"/>
              <w:bottom w:val="nil"/>
              <w:right w:val="nil"/>
            </w:tcBorders>
            <w:shd w:val="clear" w:color="auto" w:fill="auto"/>
            <w:noWrap/>
            <w:vAlign w:val="bottom"/>
            <w:hideMark/>
          </w:tcPr>
          <w:p w14:paraId="1EFE0B12" w14:textId="77777777" w:rsidR="0063406D" w:rsidRPr="0063406D" w:rsidRDefault="0063406D" w:rsidP="0063406D">
            <w:pPr>
              <w:spacing w:after="0"/>
              <w:jc w:val="right"/>
              <w:rPr>
                <w:rFonts w:ascii="Times New Roman" w:hAnsi="Times New Roman"/>
                <w:color w:val="auto"/>
                <w:sz w:val="20"/>
              </w:rPr>
            </w:pPr>
          </w:p>
        </w:tc>
        <w:tc>
          <w:tcPr>
            <w:tcW w:w="900" w:type="dxa"/>
            <w:tcBorders>
              <w:top w:val="nil"/>
              <w:left w:val="nil"/>
              <w:bottom w:val="nil"/>
              <w:right w:val="nil"/>
            </w:tcBorders>
            <w:shd w:val="clear" w:color="auto" w:fill="auto"/>
            <w:vAlign w:val="bottom"/>
            <w:hideMark/>
          </w:tcPr>
          <w:p w14:paraId="12FB70A2" w14:textId="77777777" w:rsidR="0063406D" w:rsidRPr="0063406D" w:rsidRDefault="0063406D" w:rsidP="0063406D">
            <w:pPr>
              <w:spacing w:after="0"/>
              <w:jc w:val="right"/>
              <w:rPr>
                <w:rFonts w:ascii="Times New Roman" w:hAnsi="Times New Roman"/>
                <w:color w:val="auto"/>
                <w:sz w:val="20"/>
              </w:rPr>
            </w:pPr>
          </w:p>
        </w:tc>
        <w:tc>
          <w:tcPr>
            <w:tcW w:w="900" w:type="dxa"/>
            <w:tcBorders>
              <w:top w:val="nil"/>
              <w:left w:val="nil"/>
              <w:bottom w:val="nil"/>
              <w:right w:val="nil"/>
            </w:tcBorders>
            <w:shd w:val="clear" w:color="auto" w:fill="auto"/>
            <w:vAlign w:val="bottom"/>
            <w:hideMark/>
          </w:tcPr>
          <w:p w14:paraId="531CA814" w14:textId="77777777" w:rsidR="0063406D" w:rsidRPr="0063406D" w:rsidRDefault="0063406D" w:rsidP="0063406D">
            <w:pPr>
              <w:spacing w:after="0"/>
              <w:jc w:val="right"/>
              <w:rPr>
                <w:rFonts w:ascii="Times New Roman" w:hAnsi="Times New Roman"/>
                <w:color w:val="auto"/>
                <w:sz w:val="20"/>
              </w:rPr>
            </w:pPr>
          </w:p>
        </w:tc>
        <w:tc>
          <w:tcPr>
            <w:tcW w:w="900" w:type="dxa"/>
            <w:tcBorders>
              <w:top w:val="nil"/>
              <w:left w:val="nil"/>
              <w:bottom w:val="nil"/>
              <w:right w:val="nil"/>
            </w:tcBorders>
            <w:shd w:val="clear" w:color="auto" w:fill="auto"/>
            <w:vAlign w:val="bottom"/>
            <w:hideMark/>
          </w:tcPr>
          <w:p w14:paraId="0D68EE12" w14:textId="77777777" w:rsidR="0063406D" w:rsidRPr="0063406D" w:rsidRDefault="0063406D" w:rsidP="0063406D">
            <w:pPr>
              <w:spacing w:after="0"/>
              <w:jc w:val="right"/>
              <w:rPr>
                <w:rFonts w:ascii="Times New Roman" w:hAnsi="Times New Roman"/>
                <w:color w:val="auto"/>
                <w:sz w:val="20"/>
              </w:rPr>
            </w:pPr>
          </w:p>
        </w:tc>
      </w:tr>
      <w:tr w:rsidR="0063406D" w:rsidRPr="0063406D" w14:paraId="475FD352" w14:textId="77777777" w:rsidTr="000E60A0">
        <w:trPr>
          <w:trHeight w:val="283"/>
        </w:trPr>
        <w:tc>
          <w:tcPr>
            <w:tcW w:w="2860" w:type="dxa"/>
            <w:tcBorders>
              <w:top w:val="nil"/>
              <w:left w:val="nil"/>
              <w:bottom w:val="nil"/>
              <w:right w:val="nil"/>
            </w:tcBorders>
            <w:shd w:val="clear" w:color="auto" w:fill="auto"/>
            <w:noWrap/>
            <w:vAlign w:val="bottom"/>
            <w:hideMark/>
          </w:tcPr>
          <w:p w14:paraId="4B18C928" w14:textId="77777777" w:rsidR="0063406D" w:rsidRPr="0063406D" w:rsidRDefault="0063406D" w:rsidP="00E63790">
            <w:pPr>
              <w:spacing w:after="0"/>
              <w:ind w:leftChars="75" w:left="143"/>
              <w:rPr>
                <w:rFonts w:ascii="Arial" w:hAnsi="Arial" w:cs="Arial"/>
                <w:color w:val="auto"/>
                <w:sz w:val="16"/>
                <w:szCs w:val="16"/>
              </w:rPr>
            </w:pPr>
            <w:r w:rsidRPr="0063406D">
              <w:rPr>
                <w:rFonts w:ascii="Arial" w:hAnsi="Arial" w:cs="Arial"/>
                <w:color w:val="auto"/>
                <w:sz w:val="16"/>
                <w:szCs w:val="16"/>
              </w:rPr>
              <w:t>Revenue from Government</w:t>
            </w:r>
          </w:p>
        </w:tc>
        <w:tc>
          <w:tcPr>
            <w:tcW w:w="900" w:type="dxa"/>
            <w:tcBorders>
              <w:top w:val="nil"/>
              <w:left w:val="nil"/>
              <w:bottom w:val="nil"/>
              <w:right w:val="nil"/>
            </w:tcBorders>
            <w:shd w:val="clear" w:color="auto" w:fill="auto"/>
            <w:noWrap/>
            <w:vAlign w:val="bottom"/>
            <w:hideMark/>
          </w:tcPr>
          <w:p w14:paraId="10E9EC36" w14:textId="77777777" w:rsidR="0063406D" w:rsidRPr="0063406D" w:rsidRDefault="0063406D" w:rsidP="0063406D">
            <w:pPr>
              <w:spacing w:after="0"/>
              <w:ind w:firstLineChars="100" w:firstLine="160"/>
              <w:rPr>
                <w:rFonts w:ascii="Arial" w:hAnsi="Arial" w:cs="Arial"/>
                <w:color w:val="auto"/>
                <w:sz w:val="16"/>
                <w:szCs w:val="16"/>
              </w:rPr>
            </w:pPr>
          </w:p>
        </w:tc>
        <w:tc>
          <w:tcPr>
            <w:tcW w:w="900" w:type="dxa"/>
            <w:tcBorders>
              <w:top w:val="nil"/>
              <w:left w:val="nil"/>
              <w:bottom w:val="nil"/>
              <w:right w:val="nil"/>
            </w:tcBorders>
            <w:shd w:val="clear" w:color="000000" w:fill="D9D9D9"/>
            <w:noWrap/>
            <w:vAlign w:val="bottom"/>
            <w:hideMark/>
          </w:tcPr>
          <w:p w14:paraId="79177D93" w14:textId="77777777" w:rsidR="0063406D" w:rsidRPr="0063406D" w:rsidRDefault="0063406D" w:rsidP="0063406D">
            <w:pPr>
              <w:spacing w:after="0"/>
              <w:jc w:val="right"/>
              <w:rPr>
                <w:rFonts w:ascii="Arial" w:hAnsi="Arial" w:cs="Arial"/>
                <w:color w:val="auto"/>
                <w:sz w:val="16"/>
                <w:szCs w:val="16"/>
              </w:rPr>
            </w:pPr>
            <w:r w:rsidRPr="0063406D">
              <w:rPr>
                <w:rFonts w:ascii="Arial" w:hAnsi="Arial" w:cs="Arial"/>
                <w:color w:val="auto"/>
                <w:sz w:val="16"/>
                <w:szCs w:val="16"/>
              </w:rPr>
              <w:t> </w:t>
            </w:r>
          </w:p>
        </w:tc>
        <w:tc>
          <w:tcPr>
            <w:tcW w:w="900" w:type="dxa"/>
            <w:tcBorders>
              <w:top w:val="nil"/>
              <w:left w:val="nil"/>
              <w:bottom w:val="nil"/>
              <w:right w:val="nil"/>
            </w:tcBorders>
            <w:shd w:val="clear" w:color="auto" w:fill="auto"/>
            <w:noWrap/>
            <w:vAlign w:val="bottom"/>
            <w:hideMark/>
          </w:tcPr>
          <w:p w14:paraId="153965D1" w14:textId="77777777" w:rsidR="0063406D" w:rsidRPr="0063406D" w:rsidRDefault="0063406D" w:rsidP="0063406D">
            <w:pPr>
              <w:spacing w:after="0"/>
              <w:jc w:val="right"/>
              <w:rPr>
                <w:rFonts w:ascii="Arial" w:hAnsi="Arial" w:cs="Arial"/>
                <w:color w:val="auto"/>
                <w:sz w:val="16"/>
                <w:szCs w:val="16"/>
              </w:rPr>
            </w:pPr>
          </w:p>
        </w:tc>
        <w:tc>
          <w:tcPr>
            <w:tcW w:w="900" w:type="dxa"/>
            <w:tcBorders>
              <w:top w:val="nil"/>
              <w:left w:val="nil"/>
              <w:bottom w:val="nil"/>
              <w:right w:val="nil"/>
            </w:tcBorders>
            <w:shd w:val="clear" w:color="auto" w:fill="auto"/>
            <w:noWrap/>
            <w:vAlign w:val="bottom"/>
            <w:hideMark/>
          </w:tcPr>
          <w:p w14:paraId="5603CEAD" w14:textId="77777777" w:rsidR="0063406D" w:rsidRPr="0063406D" w:rsidRDefault="0063406D" w:rsidP="0063406D">
            <w:pPr>
              <w:spacing w:after="0"/>
              <w:jc w:val="right"/>
              <w:rPr>
                <w:rFonts w:ascii="Times New Roman" w:hAnsi="Times New Roman"/>
                <w:color w:val="auto"/>
                <w:sz w:val="20"/>
              </w:rPr>
            </w:pPr>
          </w:p>
        </w:tc>
        <w:tc>
          <w:tcPr>
            <w:tcW w:w="900" w:type="dxa"/>
            <w:tcBorders>
              <w:top w:val="nil"/>
              <w:left w:val="nil"/>
              <w:bottom w:val="nil"/>
              <w:right w:val="nil"/>
            </w:tcBorders>
            <w:shd w:val="clear" w:color="auto" w:fill="auto"/>
            <w:noWrap/>
            <w:vAlign w:val="bottom"/>
            <w:hideMark/>
          </w:tcPr>
          <w:p w14:paraId="6B1CB530" w14:textId="77777777" w:rsidR="0063406D" w:rsidRPr="0063406D" w:rsidRDefault="0063406D" w:rsidP="0063406D">
            <w:pPr>
              <w:spacing w:after="0"/>
              <w:jc w:val="right"/>
              <w:rPr>
                <w:rFonts w:ascii="Times New Roman" w:hAnsi="Times New Roman"/>
                <w:color w:val="auto"/>
                <w:sz w:val="20"/>
              </w:rPr>
            </w:pPr>
          </w:p>
        </w:tc>
      </w:tr>
      <w:tr w:rsidR="0063406D" w:rsidRPr="0063406D" w14:paraId="522C1728" w14:textId="77777777" w:rsidTr="0063406D">
        <w:trPr>
          <w:trHeight w:val="225"/>
        </w:trPr>
        <w:tc>
          <w:tcPr>
            <w:tcW w:w="2860" w:type="dxa"/>
            <w:tcBorders>
              <w:top w:val="nil"/>
              <w:left w:val="nil"/>
              <w:bottom w:val="nil"/>
              <w:right w:val="nil"/>
            </w:tcBorders>
            <w:shd w:val="clear" w:color="auto" w:fill="auto"/>
            <w:noWrap/>
            <w:vAlign w:val="bottom"/>
            <w:hideMark/>
          </w:tcPr>
          <w:p w14:paraId="423AC562" w14:textId="77777777" w:rsidR="0063406D" w:rsidRPr="0063406D" w:rsidRDefault="0063406D" w:rsidP="0063406D">
            <w:pPr>
              <w:spacing w:after="0"/>
              <w:ind w:firstLineChars="200" w:firstLine="320"/>
              <w:rPr>
                <w:rFonts w:ascii="Arial" w:hAnsi="Arial" w:cs="Arial"/>
                <w:color w:val="auto"/>
                <w:sz w:val="16"/>
                <w:szCs w:val="16"/>
              </w:rPr>
            </w:pPr>
            <w:r w:rsidRPr="0063406D">
              <w:rPr>
                <w:rFonts w:ascii="Arial" w:hAnsi="Arial" w:cs="Arial"/>
                <w:color w:val="auto"/>
                <w:sz w:val="16"/>
                <w:szCs w:val="16"/>
              </w:rPr>
              <w:t>Ordinary annual services</w:t>
            </w:r>
          </w:p>
        </w:tc>
        <w:tc>
          <w:tcPr>
            <w:tcW w:w="900" w:type="dxa"/>
            <w:tcBorders>
              <w:top w:val="nil"/>
              <w:left w:val="nil"/>
              <w:bottom w:val="nil"/>
              <w:right w:val="nil"/>
            </w:tcBorders>
            <w:shd w:val="clear" w:color="auto" w:fill="auto"/>
            <w:noWrap/>
            <w:vAlign w:val="bottom"/>
            <w:hideMark/>
          </w:tcPr>
          <w:p w14:paraId="63B31D36" w14:textId="77777777" w:rsidR="0063406D" w:rsidRPr="0063406D" w:rsidRDefault="0063406D" w:rsidP="0063406D">
            <w:pPr>
              <w:spacing w:after="0"/>
              <w:jc w:val="right"/>
              <w:rPr>
                <w:rFonts w:ascii="Arial" w:hAnsi="Arial" w:cs="Arial"/>
                <w:color w:val="auto"/>
                <w:sz w:val="16"/>
                <w:szCs w:val="16"/>
              </w:rPr>
            </w:pPr>
            <w:r w:rsidRPr="0063406D">
              <w:rPr>
                <w:rFonts w:ascii="Arial" w:hAnsi="Arial" w:cs="Arial"/>
                <w:color w:val="auto"/>
                <w:sz w:val="16"/>
                <w:szCs w:val="16"/>
              </w:rPr>
              <w:t>223,039</w:t>
            </w:r>
          </w:p>
        </w:tc>
        <w:tc>
          <w:tcPr>
            <w:tcW w:w="900" w:type="dxa"/>
            <w:tcBorders>
              <w:top w:val="nil"/>
              <w:left w:val="nil"/>
              <w:bottom w:val="nil"/>
              <w:right w:val="nil"/>
            </w:tcBorders>
            <w:shd w:val="clear" w:color="000000" w:fill="D9D9D9"/>
            <w:noWrap/>
            <w:vAlign w:val="bottom"/>
            <w:hideMark/>
          </w:tcPr>
          <w:p w14:paraId="69748DEF" w14:textId="77777777" w:rsidR="0063406D" w:rsidRPr="0063406D" w:rsidRDefault="0063406D" w:rsidP="0063406D">
            <w:pPr>
              <w:spacing w:after="0"/>
              <w:jc w:val="right"/>
              <w:rPr>
                <w:rFonts w:ascii="Arial" w:hAnsi="Arial" w:cs="Arial"/>
                <w:color w:val="auto"/>
                <w:sz w:val="16"/>
                <w:szCs w:val="16"/>
              </w:rPr>
            </w:pPr>
            <w:r w:rsidRPr="0063406D">
              <w:rPr>
                <w:rFonts w:ascii="Arial" w:hAnsi="Arial" w:cs="Arial"/>
                <w:color w:val="auto"/>
                <w:sz w:val="16"/>
                <w:szCs w:val="16"/>
              </w:rPr>
              <w:t>207,424</w:t>
            </w:r>
          </w:p>
        </w:tc>
        <w:tc>
          <w:tcPr>
            <w:tcW w:w="900" w:type="dxa"/>
            <w:tcBorders>
              <w:top w:val="nil"/>
              <w:left w:val="nil"/>
              <w:bottom w:val="nil"/>
              <w:right w:val="nil"/>
            </w:tcBorders>
            <w:shd w:val="clear" w:color="auto" w:fill="auto"/>
            <w:noWrap/>
            <w:vAlign w:val="bottom"/>
            <w:hideMark/>
          </w:tcPr>
          <w:p w14:paraId="37760A8D" w14:textId="77777777" w:rsidR="0063406D" w:rsidRPr="0063406D" w:rsidRDefault="0063406D" w:rsidP="0063406D">
            <w:pPr>
              <w:spacing w:after="0"/>
              <w:jc w:val="right"/>
              <w:rPr>
                <w:rFonts w:ascii="Arial" w:hAnsi="Arial" w:cs="Arial"/>
                <w:color w:val="auto"/>
                <w:sz w:val="16"/>
                <w:szCs w:val="16"/>
              </w:rPr>
            </w:pPr>
            <w:r w:rsidRPr="0063406D">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467F9F4F" w14:textId="77777777" w:rsidR="0063406D" w:rsidRPr="0063406D" w:rsidRDefault="0063406D" w:rsidP="0063406D">
            <w:pPr>
              <w:spacing w:after="0"/>
              <w:jc w:val="right"/>
              <w:rPr>
                <w:rFonts w:ascii="Arial" w:hAnsi="Arial" w:cs="Arial"/>
                <w:color w:val="auto"/>
                <w:sz w:val="16"/>
                <w:szCs w:val="16"/>
              </w:rPr>
            </w:pPr>
            <w:r w:rsidRPr="0063406D">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290F7C9B" w14:textId="77777777" w:rsidR="0063406D" w:rsidRPr="0063406D" w:rsidRDefault="0063406D" w:rsidP="0063406D">
            <w:pPr>
              <w:spacing w:after="0"/>
              <w:jc w:val="right"/>
              <w:rPr>
                <w:rFonts w:ascii="Arial" w:hAnsi="Arial" w:cs="Arial"/>
                <w:color w:val="auto"/>
                <w:sz w:val="16"/>
                <w:szCs w:val="16"/>
              </w:rPr>
            </w:pPr>
            <w:r w:rsidRPr="0063406D">
              <w:rPr>
                <w:rFonts w:ascii="Arial" w:hAnsi="Arial" w:cs="Arial"/>
                <w:color w:val="auto"/>
                <w:sz w:val="16"/>
                <w:szCs w:val="16"/>
              </w:rPr>
              <w:t>-</w:t>
            </w:r>
          </w:p>
        </w:tc>
      </w:tr>
      <w:tr w:rsidR="0063406D" w:rsidRPr="0063406D" w14:paraId="2B09BAFA" w14:textId="77777777" w:rsidTr="0063406D">
        <w:trPr>
          <w:trHeight w:val="225"/>
        </w:trPr>
        <w:tc>
          <w:tcPr>
            <w:tcW w:w="2860" w:type="dxa"/>
            <w:tcBorders>
              <w:top w:val="nil"/>
              <w:left w:val="nil"/>
              <w:bottom w:val="nil"/>
              <w:right w:val="nil"/>
            </w:tcBorders>
            <w:shd w:val="clear" w:color="auto" w:fill="auto"/>
            <w:noWrap/>
            <w:vAlign w:val="bottom"/>
            <w:hideMark/>
          </w:tcPr>
          <w:p w14:paraId="00813300" w14:textId="77777777" w:rsidR="0063406D" w:rsidRPr="0063406D" w:rsidRDefault="0063406D" w:rsidP="0063406D">
            <w:pPr>
              <w:spacing w:after="0"/>
              <w:ind w:firstLineChars="200" w:firstLine="320"/>
              <w:rPr>
                <w:rFonts w:ascii="Arial" w:hAnsi="Arial" w:cs="Arial"/>
                <w:color w:val="auto"/>
                <w:sz w:val="16"/>
                <w:szCs w:val="16"/>
              </w:rPr>
            </w:pPr>
            <w:r w:rsidRPr="0063406D">
              <w:rPr>
                <w:rFonts w:ascii="Arial" w:hAnsi="Arial" w:cs="Arial"/>
                <w:color w:val="auto"/>
                <w:sz w:val="16"/>
                <w:szCs w:val="16"/>
              </w:rPr>
              <w:t>Amounts from related entities</w:t>
            </w:r>
          </w:p>
        </w:tc>
        <w:tc>
          <w:tcPr>
            <w:tcW w:w="900" w:type="dxa"/>
            <w:tcBorders>
              <w:top w:val="nil"/>
              <w:left w:val="nil"/>
              <w:bottom w:val="nil"/>
              <w:right w:val="nil"/>
            </w:tcBorders>
            <w:shd w:val="clear" w:color="auto" w:fill="auto"/>
            <w:noWrap/>
            <w:vAlign w:val="bottom"/>
            <w:hideMark/>
          </w:tcPr>
          <w:p w14:paraId="778E35D4" w14:textId="77777777" w:rsidR="0063406D" w:rsidRPr="0063406D" w:rsidRDefault="0063406D" w:rsidP="0063406D">
            <w:pPr>
              <w:spacing w:after="0"/>
              <w:jc w:val="right"/>
              <w:rPr>
                <w:rFonts w:ascii="Arial" w:hAnsi="Arial" w:cs="Arial"/>
                <w:color w:val="auto"/>
                <w:sz w:val="16"/>
                <w:szCs w:val="16"/>
              </w:rPr>
            </w:pPr>
            <w:r w:rsidRPr="0063406D">
              <w:rPr>
                <w:rFonts w:ascii="Arial" w:hAnsi="Arial" w:cs="Arial"/>
                <w:color w:val="auto"/>
                <w:sz w:val="16"/>
                <w:szCs w:val="16"/>
              </w:rPr>
              <w:t>-</w:t>
            </w:r>
          </w:p>
        </w:tc>
        <w:tc>
          <w:tcPr>
            <w:tcW w:w="900" w:type="dxa"/>
            <w:tcBorders>
              <w:top w:val="nil"/>
              <w:left w:val="nil"/>
              <w:bottom w:val="nil"/>
              <w:right w:val="nil"/>
            </w:tcBorders>
            <w:shd w:val="clear" w:color="000000" w:fill="D9D9D9"/>
            <w:noWrap/>
            <w:vAlign w:val="bottom"/>
            <w:hideMark/>
          </w:tcPr>
          <w:p w14:paraId="25B3F403" w14:textId="77777777" w:rsidR="0063406D" w:rsidRPr="0063406D" w:rsidRDefault="0063406D" w:rsidP="0063406D">
            <w:pPr>
              <w:spacing w:after="0"/>
              <w:jc w:val="right"/>
              <w:rPr>
                <w:rFonts w:ascii="Arial" w:hAnsi="Arial" w:cs="Arial"/>
                <w:color w:val="auto"/>
                <w:sz w:val="16"/>
                <w:szCs w:val="16"/>
              </w:rPr>
            </w:pPr>
            <w:r w:rsidRPr="0063406D">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03A4EEFC" w14:textId="77777777" w:rsidR="0063406D" w:rsidRPr="0063406D" w:rsidRDefault="0063406D" w:rsidP="0063406D">
            <w:pPr>
              <w:spacing w:after="0"/>
              <w:jc w:val="right"/>
              <w:rPr>
                <w:rFonts w:ascii="Arial" w:hAnsi="Arial" w:cs="Arial"/>
                <w:color w:val="auto"/>
                <w:sz w:val="16"/>
                <w:szCs w:val="16"/>
              </w:rPr>
            </w:pPr>
            <w:r w:rsidRPr="0063406D">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6970EF7E" w14:textId="77777777" w:rsidR="0063406D" w:rsidRPr="0063406D" w:rsidRDefault="0063406D" w:rsidP="0063406D">
            <w:pPr>
              <w:spacing w:after="0"/>
              <w:jc w:val="right"/>
              <w:rPr>
                <w:rFonts w:ascii="Arial" w:hAnsi="Arial" w:cs="Arial"/>
                <w:color w:val="auto"/>
                <w:sz w:val="16"/>
                <w:szCs w:val="16"/>
              </w:rPr>
            </w:pPr>
            <w:r w:rsidRPr="0063406D">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2CA0AC96" w14:textId="77777777" w:rsidR="0063406D" w:rsidRPr="0063406D" w:rsidRDefault="0063406D" w:rsidP="0063406D">
            <w:pPr>
              <w:spacing w:after="0"/>
              <w:jc w:val="right"/>
              <w:rPr>
                <w:rFonts w:ascii="Arial" w:hAnsi="Arial" w:cs="Arial"/>
                <w:color w:val="auto"/>
                <w:sz w:val="16"/>
                <w:szCs w:val="16"/>
              </w:rPr>
            </w:pPr>
            <w:r w:rsidRPr="0063406D">
              <w:rPr>
                <w:rFonts w:ascii="Arial" w:hAnsi="Arial" w:cs="Arial"/>
                <w:color w:val="auto"/>
                <w:sz w:val="16"/>
                <w:szCs w:val="16"/>
              </w:rPr>
              <w:t>-</w:t>
            </w:r>
          </w:p>
        </w:tc>
      </w:tr>
      <w:tr w:rsidR="0063406D" w:rsidRPr="0063406D" w14:paraId="20151360" w14:textId="77777777" w:rsidTr="000E60A0">
        <w:trPr>
          <w:trHeight w:val="397"/>
        </w:trPr>
        <w:tc>
          <w:tcPr>
            <w:tcW w:w="2860" w:type="dxa"/>
            <w:tcBorders>
              <w:top w:val="nil"/>
              <w:left w:val="nil"/>
              <w:bottom w:val="nil"/>
              <w:right w:val="nil"/>
            </w:tcBorders>
            <w:shd w:val="clear" w:color="auto" w:fill="auto"/>
            <w:vAlign w:val="bottom"/>
            <w:hideMark/>
          </w:tcPr>
          <w:p w14:paraId="2F56E369" w14:textId="77777777" w:rsidR="0063406D" w:rsidRPr="0063406D" w:rsidRDefault="0063406D" w:rsidP="00E63790">
            <w:pPr>
              <w:spacing w:after="0"/>
              <w:ind w:leftChars="75" w:left="143"/>
              <w:rPr>
                <w:rFonts w:ascii="Arial" w:hAnsi="Arial" w:cs="Arial"/>
                <w:color w:val="auto"/>
                <w:sz w:val="16"/>
                <w:szCs w:val="16"/>
              </w:rPr>
            </w:pPr>
            <w:r w:rsidRPr="0063406D">
              <w:rPr>
                <w:rFonts w:ascii="Arial" w:hAnsi="Arial" w:cs="Arial"/>
                <w:color w:val="auto"/>
                <w:sz w:val="16"/>
                <w:szCs w:val="16"/>
              </w:rPr>
              <w:t>Revenues from independent sources</w:t>
            </w:r>
          </w:p>
        </w:tc>
        <w:tc>
          <w:tcPr>
            <w:tcW w:w="900" w:type="dxa"/>
            <w:tcBorders>
              <w:top w:val="nil"/>
              <w:left w:val="nil"/>
              <w:bottom w:val="nil"/>
              <w:right w:val="nil"/>
            </w:tcBorders>
            <w:shd w:val="clear" w:color="auto" w:fill="auto"/>
            <w:noWrap/>
            <w:vAlign w:val="bottom"/>
            <w:hideMark/>
          </w:tcPr>
          <w:p w14:paraId="335EFDC6" w14:textId="77777777" w:rsidR="0063406D" w:rsidRPr="0063406D" w:rsidRDefault="0063406D" w:rsidP="0063406D">
            <w:pPr>
              <w:spacing w:after="0"/>
              <w:jc w:val="right"/>
              <w:rPr>
                <w:rFonts w:ascii="Arial" w:hAnsi="Arial" w:cs="Arial"/>
                <w:color w:val="auto"/>
                <w:sz w:val="16"/>
                <w:szCs w:val="16"/>
              </w:rPr>
            </w:pPr>
            <w:r w:rsidRPr="0063406D">
              <w:rPr>
                <w:rFonts w:ascii="Arial" w:hAnsi="Arial" w:cs="Arial"/>
                <w:color w:val="auto"/>
                <w:sz w:val="16"/>
                <w:szCs w:val="16"/>
              </w:rPr>
              <w:t>54,932</w:t>
            </w:r>
          </w:p>
        </w:tc>
        <w:tc>
          <w:tcPr>
            <w:tcW w:w="900" w:type="dxa"/>
            <w:tcBorders>
              <w:top w:val="nil"/>
              <w:left w:val="nil"/>
              <w:bottom w:val="nil"/>
              <w:right w:val="nil"/>
            </w:tcBorders>
            <w:shd w:val="clear" w:color="000000" w:fill="D9D9D9"/>
            <w:noWrap/>
            <w:vAlign w:val="bottom"/>
            <w:hideMark/>
          </w:tcPr>
          <w:p w14:paraId="5E3A6B78" w14:textId="77777777" w:rsidR="0063406D" w:rsidRPr="0063406D" w:rsidRDefault="0063406D" w:rsidP="0063406D">
            <w:pPr>
              <w:spacing w:after="0"/>
              <w:jc w:val="right"/>
              <w:rPr>
                <w:rFonts w:ascii="Arial" w:hAnsi="Arial" w:cs="Arial"/>
                <w:color w:val="auto"/>
                <w:sz w:val="16"/>
                <w:szCs w:val="16"/>
              </w:rPr>
            </w:pPr>
            <w:r w:rsidRPr="0063406D">
              <w:rPr>
                <w:rFonts w:ascii="Arial" w:hAnsi="Arial" w:cs="Arial"/>
                <w:color w:val="auto"/>
                <w:sz w:val="16"/>
                <w:szCs w:val="16"/>
              </w:rPr>
              <w:t>32,250</w:t>
            </w:r>
          </w:p>
        </w:tc>
        <w:tc>
          <w:tcPr>
            <w:tcW w:w="900" w:type="dxa"/>
            <w:tcBorders>
              <w:top w:val="nil"/>
              <w:left w:val="nil"/>
              <w:bottom w:val="nil"/>
              <w:right w:val="nil"/>
            </w:tcBorders>
            <w:shd w:val="clear" w:color="auto" w:fill="auto"/>
            <w:noWrap/>
            <w:vAlign w:val="bottom"/>
            <w:hideMark/>
          </w:tcPr>
          <w:p w14:paraId="0239D2EF" w14:textId="77777777" w:rsidR="0063406D" w:rsidRPr="0063406D" w:rsidRDefault="0063406D" w:rsidP="0063406D">
            <w:pPr>
              <w:spacing w:after="0"/>
              <w:jc w:val="right"/>
              <w:rPr>
                <w:rFonts w:ascii="Arial" w:hAnsi="Arial" w:cs="Arial"/>
                <w:color w:val="auto"/>
                <w:sz w:val="16"/>
                <w:szCs w:val="16"/>
              </w:rPr>
            </w:pPr>
            <w:r w:rsidRPr="0063406D">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7F5DC35B" w14:textId="77777777" w:rsidR="0063406D" w:rsidRPr="0063406D" w:rsidRDefault="0063406D" w:rsidP="0063406D">
            <w:pPr>
              <w:spacing w:after="0"/>
              <w:jc w:val="right"/>
              <w:rPr>
                <w:rFonts w:ascii="Arial" w:hAnsi="Arial" w:cs="Arial"/>
                <w:color w:val="auto"/>
                <w:sz w:val="16"/>
                <w:szCs w:val="16"/>
              </w:rPr>
            </w:pPr>
            <w:r w:rsidRPr="0063406D">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4B1C8487" w14:textId="77777777" w:rsidR="0063406D" w:rsidRPr="0063406D" w:rsidRDefault="0063406D" w:rsidP="0063406D">
            <w:pPr>
              <w:spacing w:after="0"/>
              <w:jc w:val="right"/>
              <w:rPr>
                <w:rFonts w:ascii="Arial" w:hAnsi="Arial" w:cs="Arial"/>
                <w:color w:val="auto"/>
                <w:sz w:val="16"/>
                <w:szCs w:val="16"/>
              </w:rPr>
            </w:pPr>
            <w:r w:rsidRPr="0063406D">
              <w:rPr>
                <w:rFonts w:ascii="Arial" w:hAnsi="Arial" w:cs="Arial"/>
                <w:color w:val="auto"/>
                <w:sz w:val="16"/>
                <w:szCs w:val="16"/>
              </w:rPr>
              <w:t>-</w:t>
            </w:r>
          </w:p>
        </w:tc>
      </w:tr>
      <w:tr w:rsidR="0063406D" w:rsidRPr="0063406D" w14:paraId="28FA372E" w14:textId="77777777" w:rsidTr="000E60A0">
        <w:trPr>
          <w:trHeight w:val="397"/>
        </w:trPr>
        <w:tc>
          <w:tcPr>
            <w:tcW w:w="2860" w:type="dxa"/>
            <w:tcBorders>
              <w:top w:val="nil"/>
              <w:left w:val="nil"/>
              <w:bottom w:val="nil"/>
              <w:right w:val="nil"/>
            </w:tcBorders>
            <w:shd w:val="clear" w:color="auto" w:fill="auto"/>
            <w:vAlign w:val="bottom"/>
            <w:hideMark/>
          </w:tcPr>
          <w:p w14:paraId="639505AA" w14:textId="77777777" w:rsidR="0063406D" w:rsidRPr="0063406D" w:rsidRDefault="0063406D" w:rsidP="00E63790">
            <w:pPr>
              <w:spacing w:after="0"/>
              <w:ind w:leftChars="75" w:left="143"/>
              <w:rPr>
                <w:rFonts w:ascii="Arial" w:hAnsi="Arial" w:cs="Arial"/>
                <w:color w:val="auto"/>
                <w:sz w:val="16"/>
                <w:szCs w:val="16"/>
              </w:rPr>
            </w:pPr>
            <w:r w:rsidRPr="0063406D">
              <w:rPr>
                <w:rFonts w:ascii="Arial" w:hAnsi="Arial" w:cs="Arial"/>
                <w:color w:val="auto"/>
                <w:sz w:val="16"/>
                <w:szCs w:val="16"/>
              </w:rPr>
              <w:t>Expenses not requiring appropriation in the Budget year</w:t>
            </w:r>
            <w:r w:rsidRPr="0063406D">
              <w:rPr>
                <w:rFonts w:ascii="Arial" w:hAnsi="Arial" w:cs="Arial"/>
                <w:color w:val="auto"/>
                <w:sz w:val="16"/>
                <w:szCs w:val="16"/>
                <w:vertAlign w:val="superscript"/>
              </w:rPr>
              <w:t xml:space="preserve"> (a)</w:t>
            </w:r>
          </w:p>
        </w:tc>
        <w:tc>
          <w:tcPr>
            <w:tcW w:w="900" w:type="dxa"/>
            <w:tcBorders>
              <w:top w:val="nil"/>
              <w:left w:val="nil"/>
              <w:bottom w:val="nil"/>
              <w:right w:val="nil"/>
            </w:tcBorders>
            <w:shd w:val="clear" w:color="auto" w:fill="auto"/>
            <w:noWrap/>
            <w:vAlign w:val="bottom"/>
            <w:hideMark/>
          </w:tcPr>
          <w:p w14:paraId="67074903" w14:textId="77777777" w:rsidR="0063406D" w:rsidRPr="0063406D" w:rsidRDefault="0063406D" w:rsidP="0063406D">
            <w:pPr>
              <w:spacing w:after="0"/>
              <w:jc w:val="right"/>
              <w:rPr>
                <w:rFonts w:ascii="Arial" w:hAnsi="Arial" w:cs="Arial"/>
                <w:color w:val="auto"/>
                <w:sz w:val="16"/>
                <w:szCs w:val="16"/>
              </w:rPr>
            </w:pPr>
            <w:r w:rsidRPr="0063406D">
              <w:rPr>
                <w:rFonts w:ascii="Arial" w:hAnsi="Arial" w:cs="Arial"/>
                <w:color w:val="auto"/>
                <w:sz w:val="16"/>
                <w:szCs w:val="16"/>
              </w:rPr>
              <w:t>90</w:t>
            </w:r>
          </w:p>
        </w:tc>
        <w:tc>
          <w:tcPr>
            <w:tcW w:w="900" w:type="dxa"/>
            <w:tcBorders>
              <w:top w:val="nil"/>
              <w:left w:val="nil"/>
              <w:bottom w:val="nil"/>
              <w:right w:val="nil"/>
            </w:tcBorders>
            <w:shd w:val="clear" w:color="000000" w:fill="D9D9D9"/>
            <w:noWrap/>
            <w:vAlign w:val="bottom"/>
            <w:hideMark/>
          </w:tcPr>
          <w:p w14:paraId="1D88D467" w14:textId="77777777" w:rsidR="0063406D" w:rsidRPr="0063406D" w:rsidRDefault="0063406D" w:rsidP="0063406D">
            <w:pPr>
              <w:spacing w:after="0"/>
              <w:jc w:val="right"/>
              <w:rPr>
                <w:rFonts w:ascii="Arial" w:hAnsi="Arial" w:cs="Arial"/>
                <w:color w:val="auto"/>
                <w:sz w:val="16"/>
                <w:szCs w:val="16"/>
              </w:rPr>
            </w:pPr>
            <w:r w:rsidRPr="0063406D">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254944DE" w14:textId="77777777" w:rsidR="0063406D" w:rsidRPr="0063406D" w:rsidRDefault="0063406D" w:rsidP="0063406D">
            <w:pPr>
              <w:spacing w:after="0"/>
              <w:jc w:val="right"/>
              <w:rPr>
                <w:rFonts w:ascii="Arial" w:hAnsi="Arial" w:cs="Arial"/>
                <w:color w:val="auto"/>
                <w:sz w:val="16"/>
                <w:szCs w:val="16"/>
              </w:rPr>
            </w:pPr>
            <w:r w:rsidRPr="0063406D">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06E3BD23" w14:textId="77777777" w:rsidR="0063406D" w:rsidRPr="0063406D" w:rsidRDefault="0063406D" w:rsidP="0063406D">
            <w:pPr>
              <w:spacing w:after="0"/>
              <w:jc w:val="right"/>
              <w:rPr>
                <w:rFonts w:ascii="Arial" w:hAnsi="Arial" w:cs="Arial"/>
                <w:color w:val="auto"/>
                <w:sz w:val="16"/>
                <w:szCs w:val="16"/>
              </w:rPr>
            </w:pPr>
            <w:r w:rsidRPr="0063406D">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69DB9BF0" w14:textId="77777777" w:rsidR="0063406D" w:rsidRPr="0063406D" w:rsidRDefault="0063406D" w:rsidP="0063406D">
            <w:pPr>
              <w:spacing w:after="0"/>
              <w:jc w:val="right"/>
              <w:rPr>
                <w:rFonts w:ascii="Arial" w:hAnsi="Arial" w:cs="Arial"/>
                <w:color w:val="auto"/>
                <w:sz w:val="16"/>
                <w:szCs w:val="16"/>
              </w:rPr>
            </w:pPr>
            <w:r w:rsidRPr="0063406D">
              <w:rPr>
                <w:rFonts w:ascii="Arial" w:hAnsi="Arial" w:cs="Arial"/>
                <w:color w:val="auto"/>
                <w:sz w:val="16"/>
                <w:szCs w:val="16"/>
              </w:rPr>
              <w:t>-</w:t>
            </w:r>
          </w:p>
        </w:tc>
      </w:tr>
      <w:tr w:rsidR="0063406D" w:rsidRPr="0063406D" w14:paraId="22C2B05F" w14:textId="77777777" w:rsidTr="000E60A0">
        <w:trPr>
          <w:trHeight w:val="283"/>
        </w:trPr>
        <w:tc>
          <w:tcPr>
            <w:tcW w:w="2860" w:type="dxa"/>
            <w:tcBorders>
              <w:top w:val="nil"/>
              <w:left w:val="nil"/>
              <w:bottom w:val="nil"/>
              <w:right w:val="nil"/>
            </w:tcBorders>
            <w:shd w:val="clear" w:color="auto" w:fill="auto"/>
            <w:noWrap/>
            <w:vAlign w:val="bottom"/>
            <w:hideMark/>
          </w:tcPr>
          <w:p w14:paraId="2223B641" w14:textId="77777777" w:rsidR="0063406D" w:rsidRPr="0063406D" w:rsidRDefault="0063406D" w:rsidP="00E63790">
            <w:pPr>
              <w:spacing w:after="0"/>
              <w:ind w:leftChars="75" w:left="143"/>
              <w:rPr>
                <w:rFonts w:ascii="Arial" w:hAnsi="Arial" w:cs="Arial"/>
                <w:color w:val="auto"/>
                <w:sz w:val="16"/>
                <w:szCs w:val="16"/>
              </w:rPr>
            </w:pPr>
            <w:r w:rsidRPr="0063406D">
              <w:rPr>
                <w:rFonts w:ascii="Arial" w:hAnsi="Arial" w:cs="Arial"/>
                <w:color w:val="auto"/>
                <w:sz w:val="16"/>
                <w:szCs w:val="16"/>
              </w:rPr>
              <w:t xml:space="preserve">Operating deficit (surplus) </w:t>
            </w:r>
            <w:r w:rsidRPr="0063406D">
              <w:rPr>
                <w:rFonts w:ascii="Arial" w:hAnsi="Arial" w:cs="Arial"/>
                <w:color w:val="auto"/>
                <w:sz w:val="16"/>
                <w:szCs w:val="16"/>
                <w:vertAlign w:val="superscript"/>
              </w:rPr>
              <w:t>(b)</w:t>
            </w:r>
          </w:p>
        </w:tc>
        <w:tc>
          <w:tcPr>
            <w:tcW w:w="900" w:type="dxa"/>
            <w:tcBorders>
              <w:top w:val="nil"/>
              <w:left w:val="nil"/>
              <w:bottom w:val="single" w:sz="4" w:space="0" w:color="auto"/>
              <w:right w:val="nil"/>
            </w:tcBorders>
            <w:shd w:val="clear" w:color="auto" w:fill="auto"/>
            <w:noWrap/>
            <w:vAlign w:val="bottom"/>
            <w:hideMark/>
          </w:tcPr>
          <w:p w14:paraId="4F13AD96" w14:textId="77777777" w:rsidR="0063406D" w:rsidRPr="0063406D" w:rsidRDefault="0063406D" w:rsidP="0063406D">
            <w:pPr>
              <w:spacing w:after="0"/>
              <w:jc w:val="right"/>
              <w:rPr>
                <w:rFonts w:ascii="Arial" w:hAnsi="Arial" w:cs="Arial"/>
                <w:color w:val="auto"/>
                <w:sz w:val="16"/>
                <w:szCs w:val="16"/>
              </w:rPr>
            </w:pPr>
            <w:r w:rsidRPr="0063406D">
              <w:rPr>
                <w:rFonts w:ascii="Arial" w:hAnsi="Arial" w:cs="Arial"/>
                <w:color w:val="auto"/>
                <w:sz w:val="16"/>
                <w:szCs w:val="16"/>
              </w:rPr>
              <w:t>45,208</w:t>
            </w:r>
          </w:p>
        </w:tc>
        <w:tc>
          <w:tcPr>
            <w:tcW w:w="900" w:type="dxa"/>
            <w:tcBorders>
              <w:top w:val="nil"/>
              <w:left w:val="nil"/>
              <w:bottom w:val="single" w:sz="4" w:space="0" w:color="auto"/>
              <w:right w:val="nil"/>
            </w:tcBorders>
            <w:shd w:val="clear" w:color="000000" w:fill="D9D9D9"/>
            <w:noWrap/>
            <w:vAlign w:val="bottom"/>
            <w:hideMark/>
          </w:tcPr>
          <w:p w14:paraId="40F72264" w14:textId="77777777" w:rsidR="0063406D" w:rsidRPr="0063406D" w:rsidRDefault="0063406D" w:rsidP="0063406D">
            <w:pPr>
              <w:spacing w:after="0"/>
              <w:jc w:val="right"/>
              <w:rPr>
                <w:rFonts w:ascii="Arial" w:hAnsi="Arial" w:cs="Arial"/>
                <w:color w:val="auto"/>
                <w:sz w:val="16"/>
                <w:szCs w:val="16"/>
              </w:rPr>
            </w:pPr>
            <w:r w:rsidRPr="0063406D">
              <w:rPr>
                <w:rFonts w:ascii="Arial" w:hAnsi="Arial" w:cs="Arial"/>
                <w:color w:val="auto"/>
                <w:sz w:val="16"/>
                <w:szCs w:val="16"/>
              </w:rPr>
              <w:t>36,713</w:t>
            </w:r>
          </w:p>
        </w:tc>
        <w:tc>
          <w:tcPr>
            <w:tcW w:w="900" w:type="dxa"/>
            <w:tcBorders>
              <w:top w:val="nil"/>
              <w:left w:val="nil"/>
              <w:bottom w:val="single" w:sz="4" w:space="0" w:color="auto"/>
              <w:right w:val="nil"/>
            </w:tcBorders>
            <w:shd w:val="clear" w:color="auto" w:fill="auto"/>
            <w:noWrap/>
            <w:vAlign w:val="bottom"/>
            <w:hideMark/>
          </w:tcPr>
          <w:p w14:paraId="63EF3A6E" w14:textId="77777777" w:rsidR="0063406D" w:rsidRPr="0063406D" w:rsidRDefault="0063406D" w:rsidP="0063406D">
            <w:pPr>
              <w:spacing w:after="0"/>
              <w:jc w:val="right"/>
              <w:rPr>
                <w:rFonts w:ascii="Arial" w:hAnsi="Arial" w:cs="Arial"/>
                <w:color w:val="auto"/>
                <w:sz w:val="16"/>
                <w:szCs w:val="16"/>
              </w:rPr>
            </w:pPr>
            <w:r w:rsidRPr="0063406D">
              <w:rPr>
                <w:rFonts w:ascii="Arial" w:hAnsi="Arial" w:cs="Arial"/>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14:paraId="6BA18193" w14:textId="77777777" w:rsidR="0063406D" w:rsidRPr="0063406D" w:rsidRDefault="0063406D" w:rsidP="0063406D">
            <w:pPr>
              <w:spacing w:after="0"/>
              <w:jc w:val="right"/>
              <w:rPr>
                <w:rFonts w:ascii="Arial" w:hAnsi="Arial" w:cs="Arial"/>
                <w:color w:val="auto"/>
                <w:sz w:val="16"/>
                <w:szCs w:val="16"/>
              </w:rPr>
            </w:pPr>
            <w:r w:rsidRPr="0063406D">
              <w:rPr>
                <w:rFonts w:ascii="Arial" w:hAnsi="Arial" w:cs="Arial"/>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14:paraId="2DF4C8A8" w14:textId="77777777" w:rsidR="0063406D" w:rsidRPr="0063406D" w:rsidRDefault="0063406D" w:rsidP="0063406D">
            <w:pPr>
              <w:spacing w:after="0"/>
              <w:jc w:val="right"/>
              <w:rPr>
                <w:rFonts w:ascii="Arial" w:hAnsi="Arial" w:cs="Arial"/>
                <w:color w:val="auto"/>
                <w:sz w:val="16"/>
                <w:szCs w:val="16"/>
              </w:rPr>
            </w:pPr>
            <w:r w:rsidRPr="0063406D">
              <w:rPr>
                <w:rFonts w:ascii="Arial" w:hAnsi="Arial" w:cs="Arial"/>
                <w:color w:val="auto"/>
                <w:sz w:val="16"/>
                <w:szCs w:val="16"/>
              </w:rPr>
              <w:t>-</w:t>
            </w:r>
          </w:p>
        </w:tc>
      </w:tr>
      <w:tr w:rsidR="0063406D" w:rsidRPr="0063406D" w14:paraId="39DF430D" w14:textId="77777777" w:rsidTr="000E60A0">
        <w:trPr>
          <w:trHeight w:val="283"/>
        </w:trPr>
        <w:tc>
          <w:tcPr>
            <w:tcW w:w="2860" w:type="dxa"/>
            <w:tcBorders>
              <w:top w:val="nil"/>
              <w:left w:val="nil"/>
              <w:bottom w:val="nil"/>
              <w:right w:val="nil"/>
            </w:tcBorders>
            <w:shd w:val="clear" w:color="auto" w:fill="auto"/>
            <w:noWrap/>
            <w:vAlign w:val="bottom"/>
            <w:hideMark/>
          </w:tcPr>
          <w:p w14:paraId="21F4F019" w14:textId="77777777" w:rsidR="0063406D" w:rsidRPr="0063406D" w:rsidRDefault="0063406D" w:rsidP="00E63790">
            <w:pPr>
              <w:spacing w:after="0"/>
              <w:ind w:leftChars="75" w:left="143"/>
              <w:rPr>
                <w:rFonts w:ascii="Arial" w:hAnsi="Arial" w:cs="Arial"/>
                <w:b/>
                <w:bCs/>
                <w:color w:val="auto"/>
                <w:sz w:val="16"/>
                <w:szCs w:val="16"/>
              </w:rPr>
            </w:pPr>
            <w:r w:rsidRPr="0063406D">
              <w:rPr>
                <w:rFonts w:ascii="Arial" w:hAnsi="Arial" w:cs="Arial"/>
                <w:b/>
                <w:bCs/>
                <w:color w:val="auto"/>
                <w:sz w:val="16"/>
                <w:szCs w:val="16"/>
              </w:rPr>
              <w:t>Total for Program 1.1</w:t>
            </w:r>
          </w:p>
        </w:tc>
        <w:tc>
          <w:tcPr>
            <w:tcW w:w="900" w:type="dxa"/>
            <w:tcBorders>
              <w:top w:val="nil"/>
              <w:left w:val="nil"/>
              <w:bottom w:val="single" w:sz="4" w:space="0" w:color="auto"/>
              <w:right w:val="nil"/>
            </w:tcBorders>
            <w:shd w:val="clear" w:color="auto" w:fill="auto"/>
            <w:noWrap/>
            <w:vAlign w:val="bottom"/>
            <w:hideMark/>
          </w:tcPr>
          <w:p w14:paraId="4CABC2C7" w14:textId="77777777" w:rsidR="0063406D" w:rsidRPr="0063406D" w:rsidRDefault="0063406D" w:rsidP="0063406D">
            <w:pPr>
              <w:spacing w:after="0"/>
              <w:jc w:val="right"/>
              <w:rPr>
                <w:rFonts w:ascii="Arial" w:hAnsi="Arial" w:cs="Arial"/>
                <w:b/>
                <w:bCs/>
                <w:color w:val="auto"/>
                <w:sz w:val="16"/>
                <w:szCs w:val="16"/>
              </w:rPr>
            </w:pPr>
            <w:r w:rsidRPr="0063406D">
              <w:rPr>
                <w:rFonts w:ascii="Arial" w:hAnsi="Arial" w:cs="Arial"/>
                <w:b/>
                <w:bCs/>
                <w:color w:val="auto"/>
                <w:sz w:val="16"/>
                <w:szCs w:val="16"/>
              </w:rPr>
              <w:t>323,269</w:t>
            </w:r>
          </w:p>
        </w:tc>
        <w:tc>
          <w:tcPr>
            <w:tcW w:w="900" w:type="dxa"/>
            <w:tcBorders>
              <w:top w:val="nil"/>
              <w:left w:val="nil"/>
              <w:bottom w:val="single" w:sz="4" w:space="0" w:color="auto"/>
              <w:right w:val="nil"/>
            </w:tcBorders>
            <w:shd w:val="clear" w:color="000000" w:fill="D9D9D9"/>
            <w:noWrap/>
            <w:vAlign w:val="bottom"/>
            <w:hideMark/>
          </w:tcPr>
          <w:p w14:paraId="745C2202" w14:textId="77777777" w:rsidR="0063406D" w:rsidRPr="0063406D" w:rsidRDefault="0063406D" w:rsidP="0063406D">
            <w:pPr>
              <w:spacing w:after="0"/>
              <w:jc w:val="right"/>
              <w:rPr>
                <w:rFonts w:ascii="Arial" w:hAnsi="Arial" w:cs="Arial"/>
                <w:b/>
                <w:bCs/>
                <w:color w:val="auto"/>
                <w:sz w:val="16"/>
                <w:szCs w:val="16"/>
              </w:rPr>
            </w:pPr>
            <w:r w:rsidRPr="0063406D">
              <w:rPr>
                <w:rFonts w:ascii="Arial" w:hAnsi="Arial" w:cs="Arial"/>
                <w:b/>
                <w:bCs/>
                <w:color w:val="auto"/>
                <w:sz w:val="16"/>
                <w:szCs w:val="16"/>
              </w:rPr>
              <w:t>276,387</w:t>
            </w:r>
          </w:p>
        </w:tc>
        <w:tc>
          <w:tcPr>
            <w:tcW w:w="900" w:type="dxa"/>
            <w:tcBorders>
              <w:top w:val="nil"/>
              <w:left w:val="nil"/>
              <w:bottom w:val="single" w:sz="4" w:space="0" w:color="auto"/>
              <w:right w:val="nil"/>
            </w:tcBorders>
            <w:shd w:val="clear" w:color="auto" w:fill="auto"/>
            <w:noWrap/>
            <w:vAlign w:val="bottom"/>
            <w:hideMark/>
          </w:tcPr>
          <w:p w14:paraId="0D919F24" w14:textId="77777777" w:rsidR="0063406D" w:rsidRPr="0063406D" w:rsidRDefault="0063406D" w:rsidP="0063406D">
            <w:pPr>
              <w:spacing w:after="0"/>
              <w:jc w:val="right"/>
              <w:rPr>
                <w:rFonts w:ascii="Arial" w:hAnsi="Arial" w:cs="Arial"/>
                <w:b/>
                <w:bCs/>
                <w:color w:val="auto"/>
                <w:sz w:val="16"/>
                <w:szCs w:val="16"/>
              </w:rPr>
            </w:pPr>
            <w:r w:rsidRPr="0063406D">
              <w:rPr>
                <w:rFonts w:ascii="Arial" w:hAnsi="Arial" w:cs="Arial"/>
                <w:b/>
                <w:bCs/>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14:paraId="2692D7A9" w14:textId="77777777" w:rsidR="0063406D" w:rsidRPr="0063406D" w:rsidRDefault="0063406D" w:rsidP="0063406D">
            <w:pPr>
              <w:spacing w:after="0"/>
              <w:jc w:val="right"/>
              <w:rPr>
                <w:rFonts w:ascii="Arial" w:hAnsi="Arial" w:cs="Arial"/>
                <w:b/>
                <w:bCs/>
                <w:color w:val="auto"/>
                <w:sz w:val="16"/>
                <w:szCs w:val="16"/>
              </w:rPr>
            </w:pPr>
            <w:r w:rsidRPr="0063406D">
              <w:rPr>
                <w:rFonts w:ascii="Arial" w:hAnsi="Arial" w:cs="Arial"/>
                <w:b/>
                <w:bCs/>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14:paraId="6A682EFB" w14:textId="77777777" w:rsidR="0063406D" w:rsidRPr="0063406D" w:rsidRDefault="0063406D" w:rsidP="0063406D">
            <w:pPr>
              <w:spacing w:after="0"/>
              <w:jc w:val="right"/>
              <w:rPr>
                <w:rFonts w:ascii="Arial" w:hAnsi="Arial" w:cs="Arial"/>
                <w:b/>
                <w:bCs/>
                <w:color w:val="auto"/>
                <w:sz w:val="16"/>
                <w:szCs w:val="16"/>
              </w:rPr>
            </w:pPr>
            <w:r w:rsidRPr="0063406D">
              <w:rPr>
                <w:rFonts w:ascii="Arial" w:hAnsi="Arial" w:cs="Arial"/>
                <w:b/>
                <w:bCs/>
                <w:color w:val="auto"/>
                <w:sz w:val="16"/>
                <w:szCs w:val="16"/>
              </w:rPr>
              <w:t>-</w:t>
            </w:r>
          </w:p>
        </w:tc>
      </w:tr>
      <w:tr w:rsidR="0063406D" w:rsidRPr="0063406D" w14:paraId="274C3776" w14:textId="77777777" w:rsidTr="000E60A0">
        <w:trPr>
          <w:trHeight w:val="283"/>
        </w:trPr>
        <w:tc>
          <w:tcPr>
            <w:tcW w:w="2860" w:type="dxa"/>
            <w:tcBorders>
              <w:top w:val="nil"/>
              <w:left w:val="nil"/>
              <w:bottom w:val="single" w:sz="4" w:space="0" w:color="auto"/>
              <w:right w:val="nil"/>
            </w:tcBorders>
            <w:shd w:val="clear" w:color="auto" w:fill="auto"/>
            <w:noWrap/>
            <w:vAlign w:val="bottom"/>
            <w:hideMark/>
          </w:tcPr>
          <w:p w14:paraId="451C2AD4" w14:textId="77777777" w:rsidR="0063406D" w:rsidRPr="0063406D" w:rsidRDefault="0063406D" w:rsidP="0063406D">
            <w:pPr>
              <w:spacing w:after="0"/>
              <w:rPr>
                <w:rFonts w:ascii="Arial" w:hAnsi="Arial" w:cs="Arial"/>
                <w:b/>
                <w:bCs/>
                <w:sz w:val="16"/>
                <w:szCs w:val="16"/>
              </w:rPr>
            </w:pPr>
            <w:r w:rsidRPr="0063406D">
              <w:rPr>
                <w:rFonts w:ascii="Arial" w:hAnsi="Arial" w:cs="Arial"/>
                <w:b/>
                <w:bCs/>
                <w:sz w:val="16"/>
                <w:szCs w:val="16"/>
              </w:rPr>
              <w:t>Total expenses for Outcome 1</w:t>
            </w:r>
          </w:p>
        </w:tc>
        <w:tc>
          <w:tcPr>
            <w:tcW w:w="900" w:type="dxa"/>
            <w:tcBorders>
              <w:top w:val="nil"/>
              <w:left w:val="nil"/>
              <w:bottom w:val="single" w:sz="4" w:space="0" w:color="auto"/>
              <w:right w:val="nil"/>
            </w:tcBorders>
            <w:shd w:val="clear" w:color="auto" w:fill="auto"/>
            <w:noWrap/>
            <w:vAlign w:val="bottom"/>
            <w:hideMark/>
          </w:tcPr>
          <w:p w14:paraId="64A3F070" w14:textId="77777777" w:rsidR="0063406D" w:rsidRPr="0063406D" w:rsidRDefault="0063406D" w:rsidP="0063406D">
            <w:pPr>
              <w:spacing w:after="0"/>
              <w:jc w:val="right"/>
              <w:rPr>
                <w:rFonts w:ascii="Arial" w:hAnsi="Arial" w:cs="Arial"/>
                <w:b/>
                <w:bCs/>
                <w:color w:val="auto"/>
                <w:sz w:val="16"/>
                <w:szCs w:val="16"/>
              </w:rPr>
            </w:pPr>
            <w:r w:rsidRPr="0063406D">
              <w:rPr>
                <w:rFonts w:ascii="Arial" w:hAnsi="Arial" w:cs="Arial"/>
                <w:b/>
                <w:bCs/>
                <w:color w:val="auto"/>
                <w:sz w:val="16"/>
                <w:szCs w:val="16"/>
              </w:rPr>
              <w:t>323,269</w:t>
            </w:r>
          </w:p>
        </w:tc>
        <w:tc>
          <w:tcPr>
            <w:tcW w:w="900" w:type="dxa"/>
            <w:tcBorders>
              <w:top w:val="nil"/>
              <w:left w:val="nil"/>
              <w:bottom w:val="single" w:sz="4" w:space="0" w:color="auto"/>
              <w:right w:val="nil"/>
            </w:tcBorders>
            <w:shd w:val="clear" w:color="000000" w:fill="D9D9D9"/>
            <w:noWrap/>
            <w:vAlign w:val="bottom"/>
            <w:hideMark/>
          </w:tcPr>
          <w:p w14:paraId="004BE856" w14:textId="77777777" w:rsidR="0063406D" w:rsidRPr="0063406D" w:rsidRDefault="0063406D" w:rsidP="0063406D">
            <w:pPr>
              <w:spacing w:after="0"/>
              <w:jc w:val="right"/>
              <w:rPr>
                <w:rFonts w:ascii="Arial" w:hAnsi="Arial" w:cs="Arial"/>
                <w:b/>
                <w:bCs/>
                <w:color w:val="auto"/>
                <w:sz w:val="16"/>
                <w:szCs w:val="16"/>
              </w:rPr>
            </w:pPr>
            <w:r w:rsidRPr="0063406D">
              <w:rPr>
                <w:rFonts w:ascii="Arial" w:hAnsi="Arial" w:cs="Arial"/>
                <w:b/>
                <w:bCs/>
                <w:color w:val="auto"/>
                <w:sz w:val="16"/>
                <w:szCs w:val="16"/>
              </w:rPr>
              <w:t>276,387</w:t>
            </w:r>
          </w:p>
        </w:tc>
        <w:tc>
          <w:tcPr>
            <w:tcW w:w="900" w:type="dxa"/>
            <w:tcBorders>
              <w:top w:val="nil"/>
              <w:left w:val="nil"/>
              <w:bottom w:val="single" w:sz="4" w:space="0" w:color="auto"/>
              <w:right w:val="nil"/>
            </w:tcBorders>
            <w:shd w:val="clear" w:color="auto" w:fill="auto"/>
            <w:noWrap/>
            <w:vAlign w:val="bottom"/>
            <w:hideMark/>
          </w:tcPr>
          <w:p w14:paraId="7B1CD114" w14:textId="77777777" w:rsidR="0063406D" w:rsidRPr="0063406D" w:rsidRDefault="0063406D" w:rsidP="0063406D">
            <w:pPr>
              <w:spacing w:after="0"/>
              <w:jc w:val="right"/>
              <w:rPr>
                <w:rFonts w:ascii="Arial" w:hAnsi="Arial" w:cs="Arial"/>
                <w:b/>
                <w:bCs/>
                <w:color w:val="auto"/>
                <w:sz w:val="16"/>
                <w:szCs w:val="16"/>
              </w:rPr>
            </w:pPr>
            <w:r w:rsidRPr="0063406D">
              <w:rPr>
                <w:rFonts w:ascii="Arial" w:hAnsi="Arial" w:cs="Arial"/>
                <w:b/>
                <w:bCs/>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14:paraId="1B8DE20F" w14:textId="77777777" w:rsidR="0063406D" w:rsidRPr="0063406D" w:rsidRDefault="0063406D" w:rsidP="0063406D">
            <w:pPr>
              <w:spacing w:after="0"/>
              <w:jc w:val="right"/>
              <w:rPr>
                <w:rFonts w:ascii="Arial" w:hAnsi="Arial" w:cs="Arial"/>
                <w:b/>
                <w:bCs/>
                <w:color w:val="auto"/>
                <w:sz w:val="16"/>
                <w:szCs w:val="16"/>
              </w:rPr>
            </w:pPr>
            <w:r w:rsidRPr="0063406D">
              <w:rPr>
                <w:rFonts w:ascii="Arial" w:hAnsi="Arial" w:cs="Arial"/>
                <w:b/>
                <w:bCs/>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14:paraId="2D2609A1" w14:textId="77777777" w:rsidR="0063406D" w:rsidRPr="0063406D" w:rsidRDefault="0063406D" w:rsidP="0063406D">
            <w:pPr>
              <w:spacing w:after="0"/>
              <w:jc w:val="right"/>
              <w:rPr>
                <w:rFonts w:ascii="Arial" w:hAnsi="Arial" w:cs="Arial"/>
                <w:b/>
                <w:bCs/>
                <w:color w:val="auto"/>
                <w:sz w:val="16"/>
                <w:szCs w:val="16"/>
              </w:rPr>
            </w:pPr>
            <w:r w:rsidRPr="0063406D">
              <w:rPr>
                <w:rFonts w:ascii="Arial" w:hAnsi="Arial" w:cs="Arial"/>
                <w:b/>
                <w:bCs/>
                <w:color w:val="auto"/>
                <w:sz w:val="16"/>
                <w:szCs w:val="16"/>
              </w:rPr>
              <w:t>-</w:t>
            </w:r>
          </w:p>
        </w:tc>
      </w:tr>
      <w:tr w:rsidR="0063406D" w:rsidRPr="0063406D" w14:paraId="4BDB3227" w14:textId="77777777" w:rsidTr="0063406D">
        <w:trPr>
          <w:trHeight w:val="225"/>
        </w:trPr>
        <w:tc>
          <w:tcPr>
            <w:tcW w:w="2860" w:type="dxa"/>
            <w:tcBorders>
              <w:top w:val="nil"/>
              <w:left w:val="nil"/>
              <w:bottom w:val="single" w:sz="4" w:space="0" w:color="auto"/>
              <w:right w:val="nil"/>
            </w:tcBorders>
            <w:shd w:val="clear" w:color="auto" w:fill="auto"/>
            <w:noWrap/>
            <w:vAlign w:val="bottom"/>
            <w:hideMark/>
          </w:tcPr>
          <w:p w14:paraId="31F878C5" w14:textId="77777777" w:rsidR="0063406D" w:rsidRPr="0063406D" w:rsidRDefault="0063406D" w:rsidP="0063406D">
            <w:pPr>
              <w:spacing w:after="0"/>
              <w:ind w:firstLineChars="100" w:firstLine="160"/>
              <w:rPr>
                <w:rFonts w:ascii="Arial" w:hAnsi="Arial" w:cs="Arial"/>
                <w:color w:val="auto"/>
                <w:sz w:val="16"/>
                <w:szCs w:val="16"/>
              </w:rPr>
            </w:pPr>
            <w:r w:rsidRPr="0063406D">
              <w:rPr>
                <w:rFonts w:ascii="Arial" w:hAnsi="Arial" w:cs="Arial"/>
                <w:color w:val="auto"/>
                <w:sz w:val="16"/>
                <w:szCs w:val="16"/>
              </w:rPr>
              <w:t> </w:t>
            </w:r>
          </w:p>
        </w:tc>
        <w:tc>
          <w:tcPr>
            <w:tcW w:w="900" w:type="dxa"/>
            <w:tcBorders>
              <w:top w:val="nil"/>
              <w:left w:val="nil"/>
              <w:bottom w:val="single" w:sz="4" w:space="0" w:color="auto"/>
              <w:right w:val="nil"/>
            </w:tcBorders>
            <w:shd w:val="clear" w:color="auto" w:fill="auto"/>
            <w:noWrap/>
            <w:vAlign w:val="bottom"/>
            <w:hideMark/>
          </w:tcPr>
          <w:p w14:paraId="243DDB4F" w14:textId="77777777" w:rsidR="0063406D" w:rsidRPr="0063406D" w:rsidRDefault="0063406D" w:rsidP="0063406D">
            <w:pPr>
              <w:spacing w:after="0"/>
              <w:jc w:val="right"/>
              <w:rPr>
                <w:rFonts w:ascii="Arial" w:hAnsi="Arial" w:cs="Arial"/>
                <w:sz w:val="16"/>
                <w:szCs w:val="16"/>
              </w:rPr>
            </w:pPr>
            <w:r w:rsidRPr="0063406D">
              <w:rPr>
                <w:rFonts w:ascii="Arial" w:hAnsi="Arial" w:cs="Arial"/>
                <w:sz w:val="16"/>
                <w:szCs w:val="16"/>
              </w:rPr>
              <w:t> </w:t>
            </w:r>
          </w:p>
        </w:tc>
        <w:tc>
          <w:tcPr>
            <w:tcW w:w="900" w:type="dxa"/>
            <w:tcBorders>
              <w:top w:val="nil"/>
              <w:left w:val="nil"/>
              <w:bottom w:val="single" w:sz="4" w:space="0" w:color="auto"/>
              <w:right w:val="nil"/>
            </w:tcBorders>
            <w:shd w:val="clear" w:color="auto" w:fill="auto"/>
            <w:noWrap/>
            <w:vAlign w:val="bottom"/>
            <w:hideMark/>
          </w:tcPr>
          <w:p w14:paraId="741332F3" w14:textId="77777777" w:rsidR="0063406D" w:rsidRPr="0063406D" w:rsidRDefault="0063406D" w:rsidP="0063406D">
            <w:pPr>
              <w:spacing w:after="0"/>
              <w:jc w:val="right"/>
              <w:rPr>
                <w:rFonts w:ascii="Arial" w:hAnsi="Arial" w:cs="Arial"/>
                <w:color w:val="auto"/>
                <w:sz w:val="16"/>
                <w:szCs w:val="16"/>
              </w:rPr>
            </w:pPr>
            <w:r w:rsidRPr="0063406D">
              <w:rPr>
                <w:rFonts w:ascii="Arial" w:hAnsi="Arial" w:cs="Arial"/>
                <w:color w:val="auto"/>
                <w:sz w:val="16"/>
                <w:szCs w:val="16"/>
              </w:rPr>
              <w:t> </w:t>
            </w:r>
          </w:p>
        </w:tc>
        <w:tc>
          <w:tcPr>
            <w:tcW w:w="900" w:type="dxa"/>
            <w:tcBorders>
              <w:top w:val="nil"/>
              <w:left w:val="nil"/>
              <w:bottom w:val="nil"/>
              <w:right w:val="nil"/>
            </w:tcBorders>
            <w:shd w:val="clear" w:color="auto" w:fill="auto"/>
            <w:noWrap/>
            <w:vAlign w:val="center"/>
            <w:hideMark/>
          </w:tcPr>
          <w:p w14:paraId="1F967889" w14:textId="77777777" w:rsidR="0063406D" w:rsidRPr="0063406D" w:rsidRDefault="0063406D" w:rsidP="0063406D">
            <w:pPr>
              <w:spacing w:after="0"/>
              <w:jc w:val="right"/>
              <w:rPr>
                <w:rFonts w:ascii="Arial" w:hAnsi="Arial" w:cs="Arial"/>
                <w:color w:val="auto"/>
                <w:sz w:val="16"/>
                <w:szCs w:val="16"/>
              </w:rPr>
            </w:pPr>
          </w:p>
        </w:tc>
        <w:tc>
          <w:tcPr>
            <w:tcW w:w="900" w:type="dxa"/>
            <w:tcBorders>
              <w:top w:val="nil"/>
              <w:left w:val="nil"/>
              <w:bottom w:val="nil"/>
              <w:right w:val="nil"/>
            </w:tcBorders>
            <w:shd w:val="clear" w:color="auto" w:fill="auto"/>
            <w:noWrap/>
            <w:vAlign w:val="center"/>
            <w:hideMark/>
          </w:tcPr>
          <w:p w14:paraId="6A9AD4BE" w14:textId="77777777" w:rsidR="0063406D" w:rsidRPr="0063406D" w:rsidRDefault="0063406D" w:rsidP="0063406D">
            <w:pPr>
              <w:spacing w:after="0"/>
              <w:rPr>
                <w:rFonts w:ascii="Times New Roman" w:hAnsi="Times New Roman"/>
                <w:color w:val="auto"/>
                <w:sz w:val="20"/>
              </w:rPr>
            </w:pPr>
          </w:p>
        </w:tc>
        <w:tc>
          <w:tcPr>
            <w:tcW w:w="900" w:type="dxa"/>
            <w:tcBorders>
              <w:top w:val="nil"/>
              <w:left w:val="nil"/>
              <w:bottom w:val="nil"/>
              <w:right w:val="nil"/>
            </w:tcBorders>
            <w:shd w:val="clear" w:color="auto" w:fill="auto"/>
            <w:noWrap/>
            <w:vAlign w:val="center"/>
            <w:hideMark/>
          </w:tcPr>
          <w:p w14:paraId="50E066F9" w14:textId="77777777" w:rsidR="0063406D" w:rsidRPr="0063406D" w:rsidRDefault="0063406D" w:rsidP="0063406D">
            <w:pPr>
              <w:spacing w:after="0"/>
              <w:rPr>
                <w:rFonts w:ascii="Times New Roman" w:hAnsi="Times New Roman"/>
                <w:color w:val="auto"/>
                <w:sz w:val="20"/>
              </w:rPr>
            </w:pPr>
          </w:p>
        </w:tc>
      </w:tr>
      <w:tr w:rsidR="0063406D" w:rsidRPr="0063406D" w14:paraId="6E8F25C8" w14:textId="77777777" w:rsidTr="0063406D">
        <w:trPr>
          <w:trHeight w:val="225"/>
        </w:trPr>
        <w:tc>
          <w:tcPr>
            <w:tcW w:w="2860" w:type="dxa"/>
            <w:tcBorders>
              <w:top w:val="nil"/>
              <w:left w:val="nil"/>
              <w:bottom w:val="nil"/>
              <w:right w:val="nil"/>
            </w:tcBorders>
            <w:shd w:val="clear" w:color="auto" w:fill="auto"/>
            <w:noWrap/>
            <w:vAlign w:val="bottom"/>
            <w:hideMark/>
          </w:tcPr>
          <w:p w14:paraId="331FD7E3" w14:textId="77777777" w:rsidR="0063406D" w:rsidRPr="0063406D" w:rsidRDefault="0063406D" w:rsidP="0063406D">
            <w:pPr>
              <w:spacing w:after="0"/>
              <w:rPr>
                <w:rFonts w:ascii="Times New Roman" w:hAnsi="Times New Roman"/>
                <w:color w:val="auto"/>
                <w:sz w:val="20"/>
              </w:rPr>
            </w:pPr>
          </w:p>
        </w:tc>
        <w:tc>
          <w:tcPr>
            <w:tcW w:w="900" w:type="dxa"/>
            <w:tcBorders>
              <w:top w:val="nil"/>
              <w:left w:val="nil"/>
              <w:bottom w:val="single" w:sz="4" w:space="0" w:color="000000"/>
              <w:right w:val="nil"/>
            </w:tcBorders>
            <w:shd w:val="clear" w:color="auto" w:fill="auto"/>
            <w:noWrap/>
            <w:vAlign w:val="bottom"/>
            <w:hideMark/>
          </w:tcPr>
          <w:p w14:paraId="67A9F182" w14:textId="1F519E89" w:rsidR="0063406D" w:rsidRPr="0063406D" w:rsidRDefault="001477D3" w:rsidP="0063406D">
            <w:pPr>
              <w:spacing w:after="0"/>
              <w:jc w:val="right"/>
              <w:rPr>
                <w:rFonts w:ascii="Arial" w:hAnsi="Arial" w:cs="Arial"/>
                <w:b/>
                <w:bCs/>
                <w:color w:val="auto"/>
                <w:sz w:val="16"/>
                <w:szCs w:val="16"/>
              </w:rPr>
            </w:pPr>
            <w:r>
              <w:rPr>
                <w:rFonts w:ascii="Arial" w:hAnsi="Arial" w:cs="Arial"/>
                <w:b/>
                <w:bCs/>
                <w:color w:val="auto"/>
                <w:sz w:val="16"/>
                <w:szCs w:val="16"/>
              </w:rPr>
              <w:t>2021–</w:t>
            </w:r>
            <w:r w:rsidR="0063406D" w:rsidRPr="0063406D">
              <w:rPr>
                <w:rFonts w:ascii="Arial" w:hAnsi="Arial" w:cs="Arial"/>
                <w:b/>
                <w:bCs/>
                <w:color w:val="auto"/>
                <w:sz w:val="16"/>
                <w:szCs w:val="16"/>
              </w:rPr>
              <w:t>22</w:t>
            </w:r>
          </w:p>
        </w:tc>
        <w:tc>
          <w:tcPr>
            <w:tcW w:w="900" w:type="dxa"/>
            <w:tcBorders>
              <w:top w:val="nil"/>
              <w:left w:val="nil"/>
              <w:bottom w:val="single" w:sz="4" w:space="0" w:color="000000"/>
              <w:right w:val="nil"/>
            </w:tcBorders>
            <w:shd w:val="clear" w:color="000000" w:fill="D9D9D9"/>
            <w:noWrap/>
            <w:vAlign w:val="bottom"/>
            <w:hideMark/>
          </w:tcPr>
          <w:p w14:paraId="7DA30474" w14:textId="27CB3A67" w:rsidR="0063406D" w:rsidRPr="0063406D" w:rsidRDefault="001477D3" w:rsidP="0063406D">
            <w:pPr>
              <w:spacing w:after="0"/>
              <w:jc w:val="right"/>
              <w:rPr>
                <w:rFonts w:ascii="Arial" w:hAnsi="Arial" w:cs="Arial"/>
                <w:b/>
                <w:bCs/>
                <w:color w:val="auto"/>
                <w:sz w:val="16"/>
                <w:szCs w:val="16"/>
              </w:rPr>
            </w:pPr>
            <w:r>
              <w:rPr>
                <w:rFonts w:ascii="Arial" w:hAnsi="Arial" w:cs="Arial"/>
                <w:b/>
                <w:bCs/>
                <w:color w:val="auto"/>
                <w:sz w:val="16"/>
                <w:szCs w:val="16"/>
              </w:rPr>
              <w:t>2022–</w:t>
            </w:r>
            <w:r w:rsidR="0063406D" w:rsidRPr="0063406D">
              <w:rPr>
                <w:rFonts w:ascii="Arial" w:hAnsi="Arial" w:cs="Arial"/>
                <w:b/>
                <w:bCs/>
                <w:color w:val="auto"/>
                <w:sz w:val="16"/>
                <w:szCs w:val="16"/>
              </w:rPr>
              <w:t>23</w:t>
            </w:r>
          </w:p>
        </w:tc>
        <w:tc>
          <w:tcPr>
            <w:tcW w:w="900" w:type="dxa"/>
            <w:tcBorders>
              <w:top w:val="nil"/>
              <w:left w:val="nil"/>
              <w:bottom w:val="nil"/>
              <w:right w:val="nil"/>
            </w:tcBorders>
            <w:shd w:val="clear" w:color="auto" w:fill="auto"/>
            <w:noWrap/>
            <w:vAlign w:val="center"/>
            <w:hideMark/>
          </w:tcPr>
          <w:p w14:paraId="71EEDC7C" w14:textId="77777777" w:rsidR="0063406D" w:rsidRPr="0063406D" w:rsidRDefault="0063406D" w:rsidP="0063406D">
            <w:pPr>
              <w:spacing w:after="0"/>
              <w:jc w:val="right"/>
              <w:rPr>
                <w:rFonts w:ascii="Arial" w:hAnsi="Arial" w:cs="Arial"/>
                <w:b/>
                <w:bCs/>
                <w:color w:val="auto"/>
                <w:sz w:val="16"/>
                <w:szCs w:val="16"/>
              </w:rPr>
            </w:pPr>
          </w:p>
        </w:tc>
        <w:tc>
          <w:tcPr>
            <w:tcW w:w="900" w:type="dxa"/>
            <w:tcBorders>
              <w:top w:val="nil"/>
              <w:left w:val="nil"/>
              <w:bottom w:val="nil"/>
              <w:right w:val="nil"/>
            </w:tcBorders>
            <w:shd w:val="clear" w:color="auto" w:fill="auto"/>
            <w:noWrap/>
            <w:vAlign w:val="center"/>
            <w:hideMark/>
          </w:tcPr>
          <w:p w14:paraId="738D751C" w14:textId="77777777" w:rsidR="0063406D" w:rsidRPr="0063406D" w:rsidRDefault="0063406D" w:rsidP="0063406D">
            <w:pPr>
              <w:spacing w:after="0"/>
              <w:rPr>
                <w:rFonts w:ascii="Times New Roman" w:hAnsi="Times New Roman"/>
                <w:color w:val="auto"/>
                <w:sz w:val="20"/>
              </w:rPr>
            </w:pPr>
          </w:p>
        </w:tc>
        <w:tc>
          <w:tcPr>
            <w:tcW w:w="900" w:type="dxa"/>
            <w:tcBorders>
              <w:top w:val="nil"/>
              <w:left w:val="nil"/>
              <w:bottom w:val="nil"/>
              <w:right w:val="nil"/>
            </w:tcBorders>
            <w:shd w:val="clear" w:color="auto" w:fill="auto"/>
            <w:noWrap/>
            <w:vAlign w:val="center"/>
            <w:hideMark/>
          </w:tcPr>
          <w:p w14:paraId="14D29AF3" w14:textId="77777777" w:rsidR="0063406D" w:rsidRPr="0063406D" w:rsidRDefault="0063406D" w:rsidP="0063406D">
            <w:pPr>
              <w:spacing w:after="0"/>
              <w:rPr>
                <w:rFonts w:ascii="Times New Roman" w:hAnsi="Times New Roman"/>
                <w:color w:val="auto"/>
                <w:sz w:val="20"/>
              </w:rPr>
            </w:pPr>
          </w:p>
        </w:tc>
      </w:tr>
      <w:tr w:rsidR="0063406D" w:rsidRPr="0063406D" w14:paraId="15A7FEC8" w14:textId="77777777" w:rsidTr="0063406D">
        <w:trPr>
          <w:trHeight w:val="225"/>
        </w:trPr>
        <w:tc>
          <w:tcPr>
            <w:tcW w:w="2860" w:type="dxa"/>
            <w:tcBorders>
              <w:top w:val="nil"/>
              <w:left w:val="nil"/>
              <w:bottom w:val="single" w:sz="4" w:space="0" w:color="auto"/>
              <w:right w:val="nil"/>
            </w:tcBorders>
            <w:shd w:val="clear" w:color="auto" w:fill="auto"/>
            <w:noWrap/>
            <w:vAlign w:val="bottom"/>
            <w:hideMark/>
          </w:tcPr>
          <w:p w14:paraId="04A94AC4" w14:textId="77777777" w:rsidR="0063406D" w:rsidRPr="0063406D" w:rsidRDefault="0063406D" w:rsidP="0063406D">
            <w:pPr>
              <w:spacing w:after="0"/>
              <w:rPr>
                <w:rFonts w:ascii="Arial" w:hAnsi="Arial" w:cs="Arial"/>
                <w:b/>
                <w:bCs/>
                <w:sz w:val="16"/>
                <w:szCs w:val="16"/>
              </w:rPr>
            </w:pPr>
            <w:r w:rsidRPr="0063406D">
              <w:rPr>
                <w:rFonts w:ascii="Arial" w:hAnsi="Arial" w:cs="Arial"/>
                <w:b/>
                <w:bCs/>
                <w:sz w:val="16"/>
                <w:szCs w:val="16"/>
              </w:rPr>
              <w:t xml:space="preserve">Average </w:t>
            </w:r>
            <w:r w:rsidRPr="0063406D">
              <w:rPr>
                <w:rFonts w:ascii="Arial" w:hAnsi="Arial" w:cs="Arial"/>
                <w:b/>
                <w:bCs/>
                <w:color w:val="auto"/>
                <w:sz w:val="16"/>
                <w:szCs w:val="16"/>
              </w:rPr>
              <w:t>s</w:t>
            </w:r>
            <w:r w:rsidRPr="0063406D">
              <w:rPr>
                <w:rFonts w:ascii="Arial" w:hAnsi="Arial" w:cs="Arial"/>
                <w:b/>
                <w:bCs/>
                <w:sz w:val="16"/>
                <w:szCs w:val="16"/>
              </w:rPr>
              <w:t xml:space="preserve">taffing </w:t>
            </w:r>
            <w:r w:rsidRPr="0063406D">
              <w:rPr>
                <w:rFonts w:ascii="Arial" w:hAnsi="Arial" w:cs="Arial"/>
                <w:b/>
                <w:bCs/>
                <w:color w:val="auto"/>
                <w:sz w:val="16"/>
                <w:szCs w:val="16"/>
              </w:rPr>
              <w:t>l</w:t>
            </w:r>
            <w:r w:rsidRPr="0063406D">
              <w:rPr>
                <w:rFonts w:ascii="Arial" w:hAnsi="Arial" w:cs="Arial"/>
                <w:b/>
                <w:bCs/>
                <w:sz w:val="16"/>
                <w:szCs w:val="16"/>
              </w:rPr>
              <w:t>evel (number)</w:t>
            </w:r>
          </w:p>
        </w:tc>
        <w:tc>
          <w:tcPr>
            <w:tcW w:w="900" w:type="dxa"/>
            <w:tcBorders>
              <w:top w:val="nil"/>
              <w:left w:val="nil"/>
              <w:bottom w:val="single" w:sz="4" w:space="0" w:color="000000"/>
              <w:right w:val="nil"/>
            </w:tcBorders>
            <w:shd w:val="clear" w:color="auto" w:fill="auto"/>
            <w:noWrap/>
            <w:vAlign w:val="bottom"/>
            <w:hideMark/>
          </w:tcPr>
          <w:p w14:paraId="6DA60443" w14:textId="77777777" w:rsidR="0063406D" w:rsidRPr="0063406D" w:rsidRDefault="0063406D" w:rsidP="0063406D">
            <w:pPr>
              <w:spacing w:after="0"/>
              <w:jc w:val="right"/>
              <w:rPr>
                <w:rFonts w:ascii="Arial" w:hAnsi="Arial" w:cs="Arial"/>
                <w:color w:val="auto"/>
                <w:sz w:val="16"/>
                <w:szCs w:val="16"/>
              </w:rPr>
            </w:pPr>
            <w:r w:rsidRPr="0063406D">
              <w:rPr>
                <w:rFonts w:ascii="Arial" w:hAnsi="Arial" w:cs="Arial"/>
                <w:color w:val="auto"/>
                <w:sz w:val="16"/>
                <w:szCs w:val="16"/>
              </w:rPr>
              <w:t>280</w:t>
            </w:r>
          </w:p>
        </w:tc>
        <w:tc>
          <w:tcPr>
            <w:tcW w:w="900" w:type="dxa"/>
            <w:tcBorders>
              <w:top w:val="nil"/>
              <w:left w:val="nil"/>
              <w:bottom w:val="single" w:sz="4" w:space="0" w:color="000000"/>
              <w:right w:val="nil"/>
            </w:tcBorders>
            <w:shd w:val="clear" w:color="000000" w:fill="D9D9D9"/>
            <w:noWrap/>
            <w:vAlign w:val="bottom"/>
            <w:hideMark/>
          </w:tcPr>
          <w:p w14:paraId="14FE6DFC" w14:textId="77777777" w:rsidR="0063406D" w:rsidRPr="0063406D" w:rsidRDefault="0063406D" w:rsidP="0063406D">
            <w:pPr>
              <w:spacing w:after="0"/>
              <w:jc w:val="right"/>
              <w:rPr>
                <w:rFonts w:ascii="Arial" w:hAnsi="Arial" w:cs="Arial"/>
                <w:color w:val="auto"/>
                <w:sz w:val="16"/>
                <w:szCs w:val="16"/>
              </w:rPr>
            </w:pPr>
            <w:r w:rsidRPr="0063406D">
              <w:rPr>
                <w:rFonts w:ascii="Arial" w:hAnsi="Arial" w:cs="Arial"/>
                <w:color w:val="auto"/>
                <w:sz w:val="16"/>
                <w:szCs w:val="16"/>
              </w:rPr>
              <w:t>410</w:t>
            </w:r>
          </w:p>
        </w:tc>
        <w:tc>
          <w:tcPr>
            <w:tcW w:w="900" w:type="dxa"/>
            <w:tcBorders>
              <w:top w:val="nil"/>
              <w:left w:val="nil"/>
              <w:bottom w:val="nil"/>
              <w:right w:val="nil"/>
            </w:tcBorders>
            <w:shd w:val="clear" w:color="auto" w:fill="auto"/>
            <w:noWrap/>
            <w:vAlign w:val="center"/>
            <w:hideMark/>
          </w:tcPr>
          <w:p w14:paraId="7FCE28E5" w14:textId="77777777" w:rsidR="0063406D" w:rsidRPr="0063406D" w:rsidRDefault="0063406D" w:rsidP="0063406D">
            <w:pPr>
              <w:spacing w:after="0"/>
              <w:jc w:val="right"/>
              <w:rPr>
                <w:rFonts w:ascii="Arial" w:hAnsi="Arial" w:cs="Arial"/>
                <w:color w:val="auto"/>
                <w:sz w:val="16"/>
                <w:szCs w:val="16"/>
              </w:rPr>
            </w:pPr>
          </w:p>
        </w:tc>
        <w:tc>
          <w:tcPr>
            <w:tcW w:w="900" w:type="dxa"/>
            <w:tcBorders>
              <w:top w:val="nil"/>
              <w:left w:val="nil"/>
              <w:bottom w:val="nil"/>
              <w:right w:val="nil"/>
            </w:tcBorders>
            <w:shd w:val="clear" w:color="auto" w:fill="auto"/>
            <w:noWrap/>
            <w:vAlign w:val="center"/>
            <w:hideMark/>
          </w:tcPr>
          <w:p w14:paraId="2303DCEB" w14:textId="77777777" w:rsidR="0063406D" w:rsidRPr="0063406D" w:rsidRDefault="0063406D" w:rsidP="0063406D">
            <w:pPr>
              <w:spacing w:after="0"/>
              <w:rPr>
                <w:rFonts w:ascii="Times New Roman" w:hAnsi="Times New Roman"/>
                <w:color w:val="auto"/>
                <w:sz w:val="20"/>
              </w:rPr>
            </w:pPr>
          </w:p>
        </w:tc>
        <w:tc>
          <w:tcPr>
            <w:tcW w:w="900" w:type="dxa"/>
            <w:tcBorders>
              <w:top w:val="nil"/>
              <w:left w:val="nil"/>
              <w:bottom w:val="nil"/>
              <w:right w:val="nil"/>
            </w:tcBorders>
            <w:shd w:val="clear" w:color="auto" w:fill="auto"/>
            <w:noWrap/>
            <w:vAlign w:val="center"/>
            <w:hideMark/>
          </w:tcPr>
          <w:p w14:paraId="663EE36F" w14:textId="77777777" w:rsidR="0063406D" w:rsidRPr="0063406D" w:rsidRDefault="0063406D" w:rsidP="0063406D">
            <w:pPr>
              <w:spacing w:after="0"/>
              <w:rPr>
                <w:rFonts w:ascii="Times New Roman" w:hAnsi="Times New Roman"/>
                <w:color w:val="auto"/>
                <w:sz w:val="20"/>
              </w:rPr>
            </w:pPr>
          </w:p>
        </w:tc>
      </w:tr>
    </w:tbl>
    <w:p w14:paraId="6888C2D7" w14:textId="430AD9B2" w:rsidR="00E63790" w:rsidRPr="00E63790" w:rsidRDefault="00E63790" w:rsidP="00E63790">
      <w:pPr>
        <w:pStyle w:val="FootnoteText"/>
        <w:spacing w:before="120"/>
      </w:pPr>
      <w:r w:rsidRPr="00E63790">
        <w:rPr>
          <w:vertAlign w:val="superscript"/>
        </w:rPr>
        <w:t>(a)</w:t>
      </w:r>
      <w:r>
        <w:tab/>
        <w:t>Expenses not requiring appropriation in the Budget year are made up of net assets received free of charge.</w:t>
      </w:r>
    </w:p>
    <w:p w14:paraId="67925999" w14:textId="2CA7B307" w:rsidR="00E63790" w:rsidRDefault="00E63790" w:rsidP="000C4E2F">
      <w:pPr>
        <w:pStyle w:val="FootnoteText"/>
      </w:pPr>
      <w:r w:rsidRPr="00E63790">
        <w:rPr>
          <w:vertAlign w:val="superscript"/>
        </w:rPr>
        <w:t>(b)</w:t>
      </w:r>
      <w:r>
        <w:tab/>
      </w:r>
      <w:r w:rsidRPr="00E63790">
        <w:t>Deficits in 2021–22 and 2022–23 relate to depreciation and amortisation. Depreciation and amortisation has no impact on underlying cash.</w:t>
      </w:r>
    </w:p>
    <w:p w14:paraId="4890F6DA" w14:textId="33F560E1" w:rsidR="00EB495F" w:rsidRPr="000C4E2F" w:rsidRDefault="00EB495F" w:rsidP="000C4E2F">
      <w:pPr>
        <w:pStyle w:val="FootnoteText"/>
        <w:rPr>
          <w:rFonts w:ascii="Book Antiqua" w:hAnsi="Book Antiqua"/>
          <w:sz w:val="20"/>
        </w:rPr>
      </w:pPr>
      <w:r>
        <w:br w:type="page"/>
      </w:r>
    </w:p>
    <w:p w14:paraId="3EA99F61" w14:textId="2880CD1E" w:rsidR="00BC0659" w:rsidRPr="00D1154C" w:rsidRDefault="00BC0659" w:rsidP="00BC0659">
      <w:pPr>
        <w:pStyle w:val="Heading4"/>
        <w:rPr>
          <w:color w:val="auto"/>
          <w:sz w:val="22"/>
        </w:rPr>
      </w:pPr>
      <w:r w:rsidRPr="00D1154C">
        <w:rPr>
          <w:color w:val="auto"/>
          <w:sz w:val="22"/>
        </w:rPr>
        <w:lastRenderedPageBreak/>
        <w:t xml:space="preserve">Performance </w:t>
      </w:r>
      <w:r w:rsidR="00506BFD" w:rsidRPr="00D1154C">
        <w:rPr>
          <w:color w:val="auto"/>
          <w:sz w:val="22"/>
        </w:rPr>
        <w:t xml:space="preserve">measures </w:t>
      </w:r>
      <w:r w:rsidRPr="00D1154C">
        <w:rPr>
          <w:color w:val="auto"/>
          <w:sz w:val="22"/>
        </w:rPr>
        <w:t xml:space="preserve">for </w:t>
      </w:r>
      <w:r w:rsidR="00506BFD" w:rsidRPr="00D1154C">
        <w:rPr>
          <w:color w:val="auto"/>
          <w:sz w:val="22"/>
        </w:rPr>
        <w:t>Outcome 1</w:t>
      </w:r>
    </w:p>
    <w:p w14:paraId="00AA1F0F" w14:textId="3F279866" w:rsidR="00A20D36" w:rsidRPr="00A20D36" w:rsidRDefault="00A20D36" w:rsidP="00A20D36">
      <w:pPr>
        <w:rPr>
          <w:color w:val="auto"/>
          <w:szCs w:val="19"/>
        </w:rPr>
      </w:pPr>
      <w:r w:rsidRPr="00A20D36">
        <w:rPr>
          <w:szCs w:val="19"/>
        </w:rPr>
        <w:t>Table 2.1.2 details the performance measures for each program associated with Outcome 1. It also provides the related key activities as expressed in the current corporate plan where further detail is provided about the delivery of the activities related to the program, the context in which these activities are delivered and how the performance of these activities will be measured. Where releva</w:t>
      </w:r>
      <w:r w:rsidR="001477D3">
        <w:rPr>
          <w:szCs w:val="19"/>
        </w:rPr>
        <w:t>nt, details of the October 2022–</w:t>
      </w:r>
      <w:r w:rsidRPr="00A20D36">
        <w:rPr>
          <w:szCs w:val="19"/>
        </w:rPr>
        <w:t>23 Budget measures that have created new programs or materially changed existing programs are provided.</w:t>
      </w:r>
    </w:p>
    <w:p w14:paraId="14177580" w14:textId="703D3D18" w:rsidR="00BC0659" w:rsidRPr="00A86D5D" w:rsidRDefault="00BC0659" w:rsidP="00BC0659">
      <w:pPr>
        <w:pStyle w:val="Tablenumberandreference"/>
        <w:rPr>
          <w:color w:val="auto"/>
        </w:rPr>
      </w:pPr>
      <w:r w:rsidRPr="00A86D5D">
        <w:rPr>
          <w:color w:val="auto"/>
        </w:rPr>
        <w:t xml:space="preserve">Table 2.1.2: Performance </w:t>
      </w:r>
      <w:r w:rsidR="00434171">
        <w:rPr>
          <w:color w:val="auto"/>
        </w:rPr>
        <w:t>m</w:t>
      </w:r>
      <w:r w:rsidR="00B44735" w:rsidRPr="00A86D5D">
        <w:rPr>
          <w:color w:val="auto"/>
        </w:rPr>
        <w:t>easures</w:t>
      </w:r>
      <w:r w:rsidRPr="00A86D5D">
        <w:rPr>
          <w:color w:val="auto"/>
        </w:rPr>
        <w:t xml:space="preserve"> for the </w:t>
      </w:r>
      <w:r w:rsidR="00325459" w:rsidRPr="00A86D5D">
        <w:rPr>
          <w:color w:val="auto"/>
        </w:rPr>
        <w:t>Australian Digital Health Agency</w:t>
      </w:r>
    </w:p>
    <w:tbl>
      <w:tblPr>
        <w:tblStyle w:val="TableGrid"/>
        <w:tblW w:w="5034" w:type="pct"/>
        <w:jc w:val="center"/>
        <w:tblLayout w:type="fixed"/>
        <w:tblCellMar>
          <w:top w:w="28" w:type="dxa"/>
          <w:left w:w="85" w:type="dxa"/>
          <w:bottom w:w="28" w:type="dxa"/>
          <w:right w:w="85" w:type="dxa"/>
        </w:tblCellMar>
        <w:tblLook w:val="04A0" w:firstRow="1" w:lastRow="0" w:firstColumn="1" w:lastColumn="0" w:noHBand="0" w:noVBand="1"/>
        <w:tblCaption w:val="Table 2.1.2: Performance Measures for the Australian Digital Health Agency"/>
        <w:tblDescription w:val="This table outlines the Agency's Outcome 1 outcome statement, Program 1.1's objective and the key activities for Program 1.1&#10;"/>
      </w:tblPr>
      <w:tblGrid>
        <w:gridCol w:w="7410"/>
      </w:tblGrid>
      <w:tr w:rsidR="00A86D5D" w:rsidRPr="00A86D5D" w14:paraId="14D078CC" w14:textId="77777777" w:rsidTr="00711386">
        <w:trPr>
          <w:jc w:val="center"/>
        </w:trPr>
        <w:tc>
          <w:tcPr>
            <w:tcW w:w="5000" w:type="pct"/>
            <w:shd w:val="clear" w:color="auto" w:fill="D9D9D9" w:themeFill="background1" w:themeFillShade="D9"/>
            <w:tcMar>
              <w:left w:w="85" w:type="dxa"/>
            </w:tcMar>
            <w:vAlign w:val="center"/>
          </w:tcPr>
          <w:p w14:paraId="63036898" w14:textId="045C81AB" w:rsidR="00D01706" w:rsidRPr="00A86D5D" w:rsidRDefault="00BC0659" w:rsidP="00D47DD8">
            <w:pPr>
              <w:pStyle w:val="Tableheadingrow9pt"/>
              <w:rPr>
                <w:bCs/>
                <w:iCs/>
                <w:color w:val="auto"/>
              </w:rPr>
            </w:pPr>
            <w:r w:rsidRPr="00A86D5D">
              <w:rPr>
                <w:color w:val="auto"/>
              </w:rPr>
              <w:t>Outcome 1</w:t>
            </w:r>
          </w:p>
        </w:tc>
      </w:tr>
      <w:tr w:rsidR="00A86D5D" w:rsidRPr="00A86D5D" w14:paraId="2DFAF9B1" w14:textId="77777777" w:rsidTr="00BD1814">
        <w:trPr>
          <w:jc w:val="center"/>
        </w:trPr>
        <w:tc>
          <w:tcPr>
            <w:tcW w:w="5000" w:type="pct"/>
            <w:shd w:val="clear" w:color="auto" w:fill="auto"/>
            <w:tcMar>
              <w:left w:w="85" w:type="dxa"/>
            </w:tcMar>
          </w:tcPr>
          <w:p w14:paraId="1CB6DAF7" w14:textId="192944EB" w:rsidR="00BC0659" w:rsidRPr="00A86D5D" w:rsidRDefault="00325459" w:rsidP="0073716F">
            <w:pPr>
              <w:pStyle w:val="Tabletextnormal9pt"/>
              <w:rPr>
                <w:rFonts w:eastAsiaTheme="minorEastAsia"/>
                <w:color w:val="auto"/>
              </w:rPr>
            </w:pPr>
            <w:r w:rsidRPr="00A86D5D">
              <w:rPr>
                <w:rFonts w:eastAsiaTheme="minorEastAsia"/>
                <w:color w:val="auto"/>
              </w:rPr>
              <w:t xml:space="preserve">To deliver national digital healthcare systems to enable and support improvement in </w:t>
            </w:r>
            <w:r w:rsidR="000E60A0">
              <w:rPr>
                <w:rFonts w:eastAsiaTheme="minorEastAsia"/>
                <w:color w:val="auto"/>
              </w:rPr>
              <w:t>health outcomes for Australians</w:t>
            </w:r>
            <w:r w:rsidR="006E2E84">
              <w:rPr>
                <w:rFonts w:eastAsiaTheme="minorEastAsia"/>
                <w:color w:val="auto"/>
              </w:rPr>
              <w:t>.</w:t>
            </w:r>
          </w:p>
        </w:tc>
      </w:tr>
      <w:tr w:rsidR="00A86D5D" w:rsidRPr="00A86D5D" w14:paraId="7A0FC86E" w14:textId="77777777" w:rsidTr="00BD1814">
        <w:trPr>
          <w:jc w:val="center"/>
        </w:trPr>
        <w:tc>
          <w:tcPr>
            <w:tcW w:w="5000" w:type="pct"/>
            <w:shd w:val="clear" w:color="auto" w:fill="D9D9D9" w:themeFill="background1" w:themeFillShade="D9"/>
            <w:tcMar>
              <w:left w:w="85" w:type="dxa"/>
            </w:tcMar>
          </w:tcPr>
          <w:p w14:paraId="1049CB7A" w14:textId="6D6CAB66" w:rsidR="00D01706" w:rsidRPr="00A86D5D" w:rsidRDefault="00BC0659" w:rsidP="00744D1F">
            <w:pPr>
              <w:pStyle w:val="Tabletextnormal9pt"/>
              <w:rPr>
                <w:color w:val="auto"/>
              </w:rPr>
            </w:pPr>
            <w:r w:rsidRPr="006033D9">
              <w:rPr>
                <w:b/>
                <w:color w:val="auto"/>
              </w:rPr>
              <w:t xml:space="preserve">Program Objective </w:t>
            </w:r>
            <w:r w:rsidR="0073716F" w:rsidRPr="006033D9">
              <w:rPr>
                <w:b/>
                <w:color w:val="auto"/>
              </w:rPr>
              <w:t>-</w:t>
            </w:r>
            <w:r w:rsidRPr="006033D9">
              <w:rPr>
                <w:b/>
                <w:color w:val="auto"/>
              </w:rPr>
              <w:t xml:space="preserve"> Program 1.1: </w:t>
            </w:r>
            <w:r w:rsidR="00325459" w:rsidRPr="006033D9">
              <w:rPr>
                <w:b/>
                <w:color w:val="auto"/>
              </w:rPr>
              <w:t>Digital Health</w:t>
            </w:r>
          </w:p>
        </w:tc>
      </w:tr>
      <w:tr w:rsidR="00A86D5D" w:rsidRPr="00A86D5D" w14:paraId="095A1B26" w14:textId="77777777" w:rsidTr="00BD1814">
        <w:trPr>
          <w:jc w:val="center"/>
        </w:trPr>
        <w:tc>
          <w:tcPr>
            <w:tcW w:w="5000" w:type="pct"/>
            <w:shd w:val="clear" w:color="auto" w:fill="auto"/>
            <w:tcMar>
              <w:left w:w="85" w:type="dxa"/>
            </w:tcMar>
          </w:tcPr>
          <w:p w14:paraId="4A891E3E" w14:textId="77777777" w:rsidR="00BC0659" w:rsidRPr="00A86D5D" w:rsidRDefault="00325459" w:rsidP="00BD1814">
            <w:pPr>
              <w:pStyle w:val="Tabletextnormal9pt"/>
              <w:rPr>
                <w:rFonts w:eastAsiaTheme="minorEastAsia"/>
                <w:color w:val="auto"/>
              </w:rPr>
            </w:pPr>
            <w:r w:rsidRPr="00A86D5D">
              <w:rPr>
                <w:rFonts w:eastAsiaTheme="minorEastAsia"/>
                <w:color w:val="auto"/>
              </w:rPr>
              <w:t>In collaboration with consumers, healthcare providers and the health industry,</w:t>
            </w:r>
            <w:r w:rsidRPr="00A86D5D">
              <w:rPr>
                <w:rFonts w:eastAsiaTheme="minorEastAsia"/>
                <w:color w:val="auto"/>
                <w:vertAlign w:val="superscript"/>
              </w:rPr>
              <w:t xml:space="preserve"> </w:t>
            </w:r>
            <w:r w:rsidRPr="00A86D5D">
              <w:rPr>
                <w:rFonts w:eastAsiaTheme="minorEastAsia"/>
                <w:color w:val="auto"/>
              </w:rPr>
              <w:t>deliver an effective national digital health capability that will achieve significant improvements in the quality and delivery of health care, and increased efficiency of the Australian health system.</w:t>
            </w:r>
          </w:p>
        </w:tc>
      </w:tr>
      <w:tr w:rsidR="00A86D5D" w:rsidRPr="00A86D5D" w14:paraId="312D0067" w14:textId="77777777" w:rsidTr="00BD1814">
        <w:trPr>
          <w:jc w:val="center"/>
        </w:trPr>
        <w:tc>
          <w:tcPr>
            <w:tcW w:w="5000" w:type="pct"/>
            <w:shd w:val="clear" w:color="auto" w:fill="D9D9D9" w:themeFill="background1" w:themeFillShade="D9"/>
            <w:tcMar>
              <w:left w:w="85" w:type="dxa"/>
            </w:tcMar>
            <w:vAlign w:val="center"/>
          </w:tcPr>
          <w:p w14:paraId="60D0467C" w14:textId="33E31B30" w:rsidR="00D01706" w:rsidRPr="00A86D5D" w:rsidRDefault="0064600D" w:rsidP="00744D1F">
            <w:pPr>
              <w:pStyle w:val="Tabletextnormal9pt"/>
              <w:rPr>
                <w:color w:val="auto"/>
              </w:rPr>
            </w:pPr>
            <w:r>
              <w:rPr>
                <w:b/>
                <w:color w:val="auto"/>
              </w:rPr>
              <w:t>Key Activities</w:t>
            </w:r>
          </w:p>
        </w:tc>
      </w:tr>
      <w:tr w:rsidR="008174E3" w:rsidRPr="00A86D5D" w14:paraId="6A00FE13" w14:textId="77777777" w:rsidTr="00066289">
        <w:trPr>
          <w:trHeight w:val="1163"/>
          <w:jc w:val="center"/>
        </w:trPr>
        <w:tc>
          <w:tcPr>
            <w:tcW w:w="5000" w:type="pct"/>
            <w:tcBorders>
              <w:bottom w:val="single" w:sz="4" w:space="0" w:color="auto"/>
            </w:tcBorders>
            <w:shd w:val="clear" w:color="auto" w:fill="auto"/>
            <w:tcMar>
              <w:left w:w="85" w:type="dxa"/>
            </w:tcMar>
          </w:tcPr>
          <w:p w14:paraId="47959810" w14:textId="6788354B" w:rsidR="00744D1F" w:rsidRPr="00744D1F" w:rsidRDefault="00744D1F" w:rsidP="0063406D">
            <w:pPr>
              <w:pStyle w:val="ListParagraph"/>
              <w:numPr>
                <w:ilvl w:val="0"/>
                <w:numId w:val="20"/>
              </w:numPr>
              <w:spacing w:before="40" w:after="40"/>
              <w:ind w:left="284" w:hanging="284"/>
              <w:rPr>
                <w:rFonts w:ascii="Arial" w:eastAsiaTheme="minorHAnsi" w:hAnsi="Arial" w:cs="Arial"/>
                <w:color w:val="000000" w:themeColor="text1"/>
                <w:sz w:val="18"/>
                <w:szCs w:val="18"/>
                <w:lang w:eastAsia="en-US"/>
              </w:rPr>
            </w:pPr>
            <w:r w:rsidRPr="00744D1F">
              <w:rPr>
                <w:rFonts w:ascii="Arial" w:eastAsiaTheme="minorHAnsi" w:hAnsi="Arial" w:cs="Arial"/>
                <w:color w:val="000000" w:themeColor="text1"/>
                <w:sz w:val="18"/>
                <w:szCs w:val="18"/>
                <w:lang w:eastAsia="en-US"/>
              </w:rPr>
              <w:t>Infrastructure solutions and initiatives – design, deliver and manage infrastructure, solutions and initiatives that provide access to, and promote adoption of, secure digital health services.</w:t>
            </w:r>
          </w:p>
          <w:p w14:paraId="50F76E82" w14:textId="65B03604" w:rsidR="00744D1F" w:rsidRPr="00744D1F" w:rsidRDefault="00744D1F" w:rsidP="0063406D">
            <w:pPr>
              <w:pStyle w:val="ListParagraph"/>
              <w:numPr>
                <w:ilvl w:val="0"/>
                <w:numId w:val="20"/>
              </w:numPr>
              <w:spacing w:before="40" w:after="40"/>
              <w:ind w:left="284" w:hanging="284"/>
              <w:rPr>
                <w:rFonts w:ascii="Arial" w:eastAsiaTheme="minorHAnsi" w:hAnsi="Arial" w:cs="Arial"/>
                <w:color w:val="000000" w:themeColor="text1"/>
                <w:sz w:val="18"/>
                <w:szCs w:val="18"/>
                <w:lang w:eastAsia="en-US"/>
              </w:rPr>
            </w:pPr>
            <w:r w:rsidRPr="00744D1F">
              <w:rPr>
                <w:rFonts w:ascii="Arial" w:eastAsiaTheme="minorHAnsi" w:hAnsi="Arial" w:cs="Arial"/>
                <w:color w:val="000000" w:themeColor="text1"/>
                <w:sz w:val="18"/>
                <w:szCs w:val="18"/>
                <w:lang w:eastAsia="en-US"/>
              </w:rPr>
              <w:t>Supporting connected care – facilitate national digital health interoperability between healthcare providers and the systems they use to improve the visibility of health information, leading to better decisions and health outcomes for consumers.</w:t>
            </w:r>
          </w:p>
          <w:p w14:paraId="428E5934" w14:textId="30255463" w:rsidR="008174E3" w:rsidRPr="00066289" w:rsidRDefault="00744D1F" w:rsidP="00744D1F">
            <w:pPr>
              <w:pStyle w:val="ListParagraph"/>
              <w:numPr>
                <w:ilvl w:val="0"/>
                <w:numId w:val="20"/>
              </w:numPr>
              <w:spacing w:before="40" w:after="40"/>
              <w:ind w:left="284" w:hanging="284"/>
              <w:rPr>
                <w:rFonts w:ascii="Arial" w:eastAsiaTheme="minorHAnsi" w:hAnsi="Arial" w:cs="Arial"/>
                <w:color w:val="000000" w:themeColor="text1"/>
                <w:sz w:val="18"/>
                <w:szCs w:val="18"/>
                <w:lang w:eastAsia="en-US"/>
              </w:rPr>
            </w:pPr>
            <w:r>
              <w:rPr>
                <w:rFonts w:ascii="Arial" w:eastAsiaTheme="minorHAnsi" w:hAnsi="Arial" w:cs="Arial"/>
                <w:color w:val="000000" w:themeColor="text1"/>
                <w:sz w:val="18"/>
                <w:szCs w:val="18"/>
                <w:lang w:eastAsia="en-US"/>
              </w:rPr>
              <w:t>National digital health initiatives – d</w:t>
            </w:r>
            <w:r w:rsidRPr="00C352CD">
              <w:rPr>
                <w:rFonts w:ascii="Arial" w:eastAsiaTheme="minorHAnsi" w:hAnsi="Arial" w:cs="Arial"/>
                <w:color w:val="000000" w:themeColor="text1"/>
                <w:sz w:val="18"/>
                <w:szCs w:val="18"/>
                <w:lang w:eastAsia="en-US"/>
              </w:rPr>
              <w:t>eliver digital health services, systems and product</w:t>
            </w:r>
            <w:r>
              <w:rPr>
                <w:rFonts w:ascii="Arial" w:eastAsiaTheme="minorHAnsi" w:hAnsi="Arial" w:cs="Arial"/>
                <w:color w:val="000000" w:themeColor="text1"/>
                <w:sz w:val="18"/>
                <w:szCs w:val="18"/>
                <w:lang w:eastAsia="en-US"/>
              </w:rPr>
              <w:t>s that are sustainable and cost-</w:t>
            </w:r>
            <w:r w:rsidRPr="00C352CD">
              <w:rPr>
                <w:rFonts w:ascii="Arial" w:eastAsiaTheme="minorHAnsi" w:hAnsi="Arial" w:cs="Arial"/>
                <w:color w:val="000000" w:themeColor="text1"/>
                <w:sz w:val="18"/>
                <w:szCs w:val="18"/>
                <w:lang w:eastAsia="en-US"/>
              </w:rPr>
              <w:t>effective.</w:t>
            </w:r>
          </w:p>
        </w:tc>
      </w:tr>
    </w:tbl>
    <w:p w14:paraId="4320051B" w14:textId="77777777" w:rsidR="0024539A" w:rsidRPr="00A86D5D" w:rsidRDefault="0024539A" w:rsidP="00913388">
      <w:pPr>
        <w:rPr>
          <w:rFonts w:ascii="Arial" w:hAnsi="Arial" w:cs="Arial"/>
          <w:color w:val="auto"/>
        </w:rPr>
      </w:pPr>
    </w:p>
    <w:tbl>
      <w:tblPr>
        <w:tblStyle w:val="TableGrid"/>
        <w:tblW w:w="5018" w:type="pct"/>
        <w:jc w:val="center"/>
        <w:tblLayout w:type="fixed"/>
        <w:tblCellMar>
          <w:top w:w="28" w:type="dxa"/>
          <w:left w:w="85" w:type="dxa"/>
          <w:bottom w:w="28" w:type="dxa"/>
          <w:right w:w="85" w:type="dxa"/>
        </w:tblCellMar>
        <w:tblLook w:val="04A0" w:firstRow="1" w:lastRow="0" w:firstColumn="1" w:lastColumn="0" w:noHBand="0" w:noVBand="1"/>
        <w:tblCaption w:val="Table 2.1.2: Performance Measures for the Australian Digital Health Agency (continued)"/>
        <w:tblDescription w:val="This table includes a performance measure for Program 1.1, with an expected performance result for 2021-22, and planned performance results for 2022-23 and the forward estimates"/>
      </w:tblPr>
      <w:tblGrid>
        <w:gridCol w:w="2550"/>
        <w:gridCol w:w="2412"/>
        <w:gridCol w:w="2424"/>
      </w:tblGrid>
      <w:tr w:rsidR="00A86D5D" w:rsidRPr="00A86D5D" w14:paraId="03B76004" w14:textId="77777777" w:rsidTr="00274315">
        <w:trPr>
          <w:trHeight w:val="104"/>
          <w:jc w:val="center"/>
        </w:trPr>
        <w:tc>
          <w:tcPr>
            <w:tcW w:w="5000" w:type="pct"/>
            <w:gridSpan w:val="3"/>
            <w:shd w:val="clear" w:color="auto" w:fill="D9D9D9" w:themeFill="background1" w:themeFillShade="D9"/>
            <w:tcMar>
              <w:left w:w="85" w:type="dxa"/>
            </w:tcMar>
          </w:tcPr>
          <w:p w14:paraId="3E70AD5B" w14:textId="4380B51B" w:rsidR="003437EF" w:rsidRPr="00A86D5D" w:rsidRDefault="00BC0659" w:rsidP="00F5153E">
            <w:pPr>
              <w:pStyle w:val="Tableheadingrow9pt"/>
              <w:keepNext/>
              <w:keepLines/>
              <w:pageBreakBefore/>
              <w:rPr>
                <w:color w:val="auto"/>
              </w:rPr>
            </w:pPr>
            <w:r w:rsidRPr="00A86D5D">
              <w:rPr>
                <w:color w:val="auto"/>
              </w:rPr>
              <w:lastRenderedPageBreak/>
              <w:t xml:space="preserve">Performance </w:t>
            </w:r>
            <w:r w:rsidR="00557787" w:rsidRPr="00A86D5D">
              <w:rPr>
                <w:color w:val="auto"/>
              </w:rPr>
              <w:t>Measure</w:t>
            </w:r>
            <w:r w:rsidR="00444CC3" w:rsidRPr="00A86D5D">
              <w:rPr>
                <w:color w:val="auto"/>
              </w:rPr>
              <w:t>s</w:t>
            </w:r>
          </w:p>
        </w:tc>
      </w:tr>
      <w:tr w:rsidR="00A86D5D" w:rsidRPr="00A86D5D" w14:paraId="56EDA3B3" w14:textId="77777777" w:rsidTr="00BD1814">
        <w:tblPrEx>
          <w:tblCellMar>
            <w:top w:w="0" w:type="dxa"/>
            <w:left w:w="108" w:type="dxa"/>
            <w:bottom w:w="0" w:type="dxa"/>
            <w:right w:w="108" w:type="dxa"/>
          </w:tblCellMar>
        </w:tblPrEx>
        <w:trPr>
          <w:trHeight w:val="283"/>
          <w:jc w:val="center"/>
        </w:trPr>
        <w:tc>
          <w:tcPr>
            <w:tcW w:w="5000" w:type="pct"/>
            <w:gridSpan w:val="3"/>
            <w:shd w:val="clear" w:color="auto" w:fill="D9D9D9" w:themeFill="background1" w:themeFillShade="D9"/>
            <w:tcMar>
              <w:left w:w="85" w:type="dxa"/>
            </w:tcMar>
          </w:tcPr>
          <w:p w14:paraId="2CEB38C5" w14:textId="7B4B930B" w:rsidR="003437EF" w:rsidRPr="00D1154C" w:rsidRDefault="00FA664C" w:rsidP="003437EF">
            <w:pPr>
              <w:pStyle w:val="Tableheadingrowmeasures85pt"/>
              <w:rPr>
                <w:color w:val="auto"/>
              </w:rPr>
            </w:pPr>
            <w:r w:rsidRPr="00D1154C">
              <w:rPr>
                <w:color w:val="auto"/>
              </w:rPr>
              <w:t>I</w:t>
            </w:r>
            <w:r w:rsidR="00C62CB6" w:rsidRPr="00D1154C">
              <w:rPr>
                <w:color w:val="auto"/>
              </w:rPr>
              <w:t xml:space="preserve">nfrastructure solutions and initiatives </w:t>
            </w:r>
            <w:r w:rsidR="00E408BA" w:rsidRPr="00D1154C">
              <w:rPr>
                <w:color w:val="auto"/>
              </w:rPr>
              <w:t>provide access to and</w:t>
            </w:r>
            <w:r w:rsidRPr="00D1154C">
              <w:rPr>
                <w:color w:val="auto"/>
              </w:rPr>
              <w:t xml:space="preserve"> promote</w:t>
            </w:r>
            <w:r w:rsidR="00C62CB6" w:rsidRPr="00D1154C">
              <w:rPr>
                <w:color w:val="auto"/>
              </w:rPr>
              <w:t xml:space="preserve"> adoption of secure digital health services.</w:t>
            </w:r>
          </w:p>
        </w:tc>
      </w:tr>
      <w:tr w:rsidR="00EB495F" w:rsidRPr="00A86D5D" w14:paraId="4EFA604D" w14:textId="77777777" w:rsidTr="00BD1814">
        <w:tblPrEx>
          <w:tblCellMar>
            <w:top w:w="0" w:type="dxa"/>
            <w:left w:w="108" w:type="dxa"/>
            <w:bottom w:w="0" w:type="dxa"/>
            <w:right w:w="108" w:type="dxa"/>
          </w:tblCellMar>
        </w:tblPrEx>
        <w:trPr>
          <w:trHeight w:val="283"/>
          <w:jc w:val="center"/>
        </w:trPr>
        <w:tc>
          <w:tcPr>
            <w:tcW w:w="1726" w:type="pct"/>
            <w:tcMar>
              <w:left w:w="85" w:type="dxa"/>
            </w:tcMar>
          </w:tcPr>
          <w:p w14:paraId="75ADE476" w14:textId="33128D63" w:rsidR="00EB495F" w:rsidRPr="00D1154C" w:rsidRDefault="00434171" w:rsidP="004410EA">
            <w:pPr>
              <w:pStyle w:val="Tableheadingrowmeasures85pt"/>
              <w:keepNext/>
              <w:rPr>
                <w:color w:val="auto"/>
              </w:rPr>
            </w:pPr>
            <w:r w:rsidRPr="00D1154C">
              <w:t>Prior</w:t>
            </w:r>
            <w:r w:rsidR="004410EA" w:rsidRPr="00D1154C">
              <w:t xml:space="preserve"> </w:t>
            </w:r>
            <w:r w:rsidR="00214AFF" w:rsidRPr="00D1154C">
              <w:t>Year</w:t>
            </w:r>
            <w:r w:rsidR="00214AFF" w:rsidRPr="00D1154C">
              <w:br/>
            </w:r>
            <w:r w:rsidR="00EB495F" w:rsidRPr="00D1154C">
              <w:t>2021</w:t>
            </w:r>
            <w:r w:rsidR="00643FDF" w:rsidRPr="00D1154C">
              <w:t>–</w:t>
            </w:r>
            <w:r w:rsidR="003437EF" w:rsidRPr="00D1154C">
              <w:t>22</w:t>
            </w:r>
            <w:r w:rsidR="00DF3A82" w:rsidRPr="00D1154C">
              <w:t xml:space="preserve"> </w:t>
            </w:r>
            <w:r w:rsidR="00DF3A82" w:rsidRPr="00D1154C">
              <w:rPr>
                <w:color w:val="auto"/>
              </w:rPr>
              <w:t>Expected</w:t>
            </w:r>
            <w:r w:rsidR="003437EF" w:rsidRPr="00D1154C">
              <w:t xml:space="preserve"> Performance Results</w:t>
            </w:r>
          </w:p>
        </w:tc>
        <w:tc>
          <w:tcPr>
            <w:tcW w:w="1633" w:type="pct"/>
            <w:shd w:val="clear" w:color="auto" w:fill="auto"/>
            <w:tcMar>
              <w:left w:w="85" w:type="dxa"/>
            </w:tcMar>
          </w:tcPr>
          <w:p w14:paraId="2B228C4A" w14:textId="08E0B581" w:rsidR="00EB495F" w:rsidRPr="00D1154C" w:rsidRDefault="00214AFF" w:rsidP="00EB495F">
            <w:pPr>
              <w:pStyle w:val="Tableheadingrowmeasures85pt"/>
              <w:keepNext/>
              <w:rPr>
                <w:color w:val="auto"/>
              </w:rPr>
            </w:pPr>
            <w:r w:rsidRPr="00D1154C">
              <w:t>Budget Year</w:t>
            </w:r>
            <w:r w:rsidRPr="00D1154C">
              <w:br/>
            </w:r>
            <w:r w:rsidR="00EB495F" w:rsidRPr="00D1154C">
              <w:t>2022</w:t>
            </w:r>
            <w:r w:rsidR="00643FDF" w:rsidRPr="00D1154C">
              <w:t>–</w:t>
            </w:r>
            <w:r w:rsidR="003437EF" w:rsidRPr="00D1154C">
              <w:t>23 Planned Performance Results</w:t>
            </w:r>
          </w:p>
        </w:tc>
        <w:tc>
          <w:tcPr>
            <w:tcW w:w="1641" w:type="pct"/>
            <w:shd w:val="clear" w:color="auto" w:fill="auto"/>
            <w:tcMar>
              <w:left w:w="85" w:type="dxa"/>
            </w:tcMar>
          </w:tcPr>
          <w:p w14:paraId="676CAB74" w14:textId="6C1DBD5F" w:rsidR="00EB495F" w:rsidRPr="00D1154C" w:rsidRDefault="00214AFF" w:rsidP="00EB495F">
            <w:pPr>
              <w:pStyle w:val="Tableheadingrowmeasures85pt"/>
              <w:keepNext/>
              <w:rPr>
                <w:color w:val="auto"/>
              </w:rPr>
            </w:pPr>
            <w:r w:rsidRPr="00D1154C">
              <w:t>Forward Estimates</w:t>
            </w:r>
            <w:r w:rsidRPr="00D1154C">
              <w:br/>
            </w:r>
            <w:r w:rsidR="00EB495F" w:rsidRPr="00D1154C">
              <w:t>2023</w:t>
            </w:r>
            <w:r w:rsidR="00643FDF" w:rsidRPr="00D1154C">
              <w:t>–</w:t>
            </w:r>
            <w:r w:rsidRPr="00D1154C">
              <w:t>26</w:t>
            </w:r>
            <w:r w:rsidR="003437EF" w:rsidRPr="00D1154C">
              <w:t xml:space="preserve"> Planned Performance Results</w:t>
            </w:r>
          </w:p>
        </w:tc>
      </w:tr>
      <w:tr w:rsidR="00EB495F" w:rsidRPr="00A86D5D" w14:paraId="1E487FEE" w14:textId="77777777" w:rsidTr="00BD1814">
        <w:tblPrEx>
          <w:tblCellMar>
            <w:top w:w="0" w:type="dxa"/>
            <w:left w:w="108" w:type="dxa"/>
            <w:bottom w:w="0" w:type="dxa"/>
            <w:right w:w="108" w:type="dxa"/>
          </w:tblCellMar>
        </w:tblPrEx>
        <w:trPr>
          <w:trHeight w:val="283"/>
          <w:jc w:val="center"/>
        </w:trPr>
        <w:tc>
          <w:tcPr>
            <w:tcW w:w="1726" w:type="pct"/>
            <w:tcMar>
              <w:left w:w="85" w:type="dxa"/>
            </w:tcMar>
          </w:tcPr>
          <w:p w14:paraId="0B5DA930" w14:textId="65665404" w:rsidR="00EB495F" w:rsidRPr="00D1154C" w:rsidRDefault="00D4021C" w:rsidP="007A607E">
            <w:pPr>
              <w:pStyle w:val="Tabletextmeasures85pt"/>
              <w:rPr>
                <w:color w:val="auto"/>
              </w:rPr>
            </w:pPr>
            <w:r w:rsidRPr="00D1154C">
              <w:rPr>
                <w:color w:val="auto"/>
              </w:rPr>
              <w:t>N/A</w:t>
            </w:r>
            <w:r w:rsidRPr="00D1154C">
              <w:rPr>
                <w:rStyle w:val="FootnoteReference"/>
                <w:color w:val="auto"/>
                <w:sz w:val="17"/>
              </w:rPr>
              <w:footnoteReference w:id="2"/>
            </w:r>
          </w:p>
        </w:tc>
        <w:tc>
          <w:tcPr>
            <w:tcW w:w="1633" w:type="pct"/>
            <w:shd w:val="clear" w:color="auto" w:fill="auto"/>
            <w:tcMar>
              <w:left w:w="85" w:type="dxa"/>
            </w:tcMar>
          </w:tcPr>
          <w:p w14:paraId="37FAA1CC" w14:textId="77777777" w:rsidR="00066289" w:rsidRPr="00D1154C" w:rsidRDefault="00066289" w:rsidP="007A607E">
            <w:pPr>
              <w:pStyle w:val="xmsonormal"/>
              <w:spacing w:before="40" w:after="40"/>
              <w:rPr>
                <w:rFonts w:ascii="Arial" w:hAnsi="Arial" w:cs="Arial"/>
                <w:sz w:val="17"/>
                <w:szCs w:val="17"/>
              </w:rPr>
            </w:pPr>
            <w:r w:rsidRPr="00D1154C">
              <w:rPr>
                <w:rFonts w:ascii="Arial" w:hAnsi="Arial" w:cs="Arial"/>
                <w:sz w:val="17"/>
                <w:szCs w:val="17"/>
              </w:rPr>
              <w:t>Increased usage of strategically significant Agency products:</w:t>
            </w:r>
          </w:p>
          <w:p w14:paraId="251DCF06" w14:textId="0AD4BD76" w:rsidR="00066289" w:rsidRPr="00D1154C" w:rsidRDefault="00167BE0" w:rsidP="007A607E">
            <w:pPr>
              <w:pStyle w:val="xmsonormal"/>
              <w:numPr>
                <w:ilvl w:val="0"/>
                <w:numId w:val="25"/>
              </w:numPr>
              <w:spacing w:before="40" w:after="40"/>
              <w:ind w:left="142" w:hanging="142"/>
              <w:rPr>
                <w:rFonts w:ascii="Arial" w:hAnsi="Arial" w:cs="Arial"/>
                <w:sz w:val="17"/>
                <w:szCs w:val="17"/>
              </w:rPr>
            </w:pPr>
            <w:r w:rsidRPr="00D1154C">
              <w:rPr>
                <w:rFonts w:ascii="Arial" w:hAnsi="Arial" w:cs="Arial"/>
                <w:sz w:val="17"/>
                <w:szCs w:val="17"/>
              </w:rPr>
              <w:t>20% increase in consumer us</w:t>
            </w:r>
            <w:r w:rsidR="00066289" w:rsidRPr="00D1154C">
              <w:rPr>
                <w:rFonts w:ascii="Arial" w:hAnsi="Arial" w:cs="Arial"/>
                <w:sz w:val="17"/>
                <w:szCs w:val="17"/>
              </w:rPr>
              <w:t>e of My Health Record</w:t>
            </w:r>
            <w:r w:rsidR="00CA3B60" w:rsidRPr="00D1154C">
              <w:rPr>
                <w:rFonts w:ascii="Arial" w:hAnsi="Arial" w:cs="Arial"/>
                <w:sz w:val="17"/>
                <w:szCs w:val="17"/>
              </w:rPr>
              <w:t xml:space="preserve"> (MHR)</w:t>
            </w:r>
          </w:p>
          <w:p w14:paraId="039BF0B3" w14:textId="48C6160C" w:rsidR="00066289" w:rsidRPr="00D1154C" w:rsidRDefault="00066289" w:rsidP="007A607E">
            <w:pPr>
              <w:pStyle w:val="xmsonormal"/>
              <w:numPr>
                <w:ilvl w:val="0"/>
                <w:numId w:val="25"/>
              </w:numPr>
              <w:spacing w:before="40" w:after="40"/>
              <w:ind w:left="142" w:hanging="142"/>
              <w:rPr>
                <w:rFonts w:ascii="Arial" w:hAnsi="Arial" w:cs="Arial"/>
                <w:sz w:val="17"/>
                <w:szCs w:val="17"/>
              </w:rPr>
            </w:pPr>
            <w:r w:rsidRPr="00D1154C">
              <w:rPr>
                <w:rFonts w:ascii="Arial" w:hAnsi="Arial" w:cs="Arial"/>
                <w:sz w:val="17"/>
                <w:szCs w:val="17"/>
              </w:rPr>
              <w:t xml:space="preserve">15% </w:t>
            </w:r>
            <w:r w:rsidR="00167BE0" w:rsidRPr="00D1154C">
              <w:rPr>
                <w:rFonts w:ascii="Arial" w:hAnsi="Arial" w:cs="Arial"/>
                <w:sz w:val="17"/>
                <w:szCs w:val="17"/>
              </w:rPr>
              <w:t>increase in provider us</w:t>
            </w:r>
            <w:r w:rsidRPr="00D1154C">
              <w:rPr>
                <w:rFonts w:ascii="Arial" w:hAnsi="Arial" w:cs="Arial"/>
                <w:sz w:val="17"/>
                <w:szCs w:val="17"/>
              </w:rPr>
              <w:t>e of M</w:t>
            </w:r>
            <w:r w:rsidR="00CA3B60" w:rsidRPr="00D1154C">
              <w:rPr>
                <w:rFonts w:ascii="Arial" w:hAnsi="Arial" w:cs="Arial"/>
                <w:sz w:val="17"/>
                <w:szCs w:val="17"/>
              </w:rPr>
              <w:t>HR</w:t>
            </w:r>
          </w:p>
          <w:p w14:paraId="106DBC80" w14:textId="77777777" w:rsidR="00066289" w:rsidRPr="00D1154C" w:rsidRDefault="00066289" w:rsidP="007A607E">
            <w:pPr>
              <w:pStyle w:val="xmsonormal"/>
              <w:numPr>
                <w:ilvl w:val="0"/>
                <w:numId w:val="25"/>
              </w:numPr>
              <w:spacing w:before="40" w:after="40"/>
              <w:ind w:left="142" w:hanging="142"/>
              <w:rPr>
                <w:sz w:val="17"/>
                <w:szCs w:val="17"/>
              </w:rPr>
            </w:pPr>
            <w:r w:rsidRPr="00D1154C">
              <w:rPr>
                <w:rFonts w:ascii="Arial" w:hAnsi="Arial" w:cs="Arial"/>
                <w:sz w:val="17"/>
                <w:szCs w:val="17"/>
              </w:rPr>
              <w:t>20% increase in Electronic Prescribing</w:t>
            </w:r>
          </w:p>
          <w:p w14:paraId="60F62C69" w14:textId="3F18FFE0" w:rsidR="00066289" w:rsidRPr="00D1154C" w:rsidRDefault="004110CA" w:rsidP="007A607E">
            <w:pPr>
              <w:pStyle w:val="xmsonormal"/>
              <w:numPr>
                <w:ilvl w:val="0"/>
                <w:numId w:val="25"/>
              </w:numPr>
              <w:spacing w:before="40" w:after="40"/>
              <w:ind w:left="142" w:hanging="142"/>
              <w:rPr>
                <w:sz w:val="17"/>
                <w:szCs w:val="17"/>
              </w:rPr>
            </w:pPr>
            <w:proofErr w:type="gramStart"/>
            <w:r w:rsidRPr="00D1154C">
              <w:rPr>
                <w:rFonts w:ascii="Arial" w:hAnsi="Arial" w:cs="Arial"/>
                <w:sz w:val="17"/>
                <w:szCs w:val="17"/>
              </w:rPr>
              <w:t>n</w:t>
            </w:r>
            <w:r w:rsidR="00066289" w:rsidRPr="00D1154C">
              <w:rPr>
                <w:rFonts w:ascii="Arial" w:hAnsi="Arial" w:cs="Arial"/>
                <w:sz w:val="17"/>
                <w:szCs w:val="17"/>
              </w:rPr>
              <w:t>ew</w:t>
            </w:r>
            <w:proofErr w:type="gramEnd"/>
            <w:r w:rsidR="00066289" w:rsidRPr="00D1154C">
              <w:rPr>
                <w:rFonts w:ascii="Arial" w:hAnsi="Arial" w:cs="Arial"/>
                <w:sz w:val="17"/>
                <w:szCs w:val="17"/>
              </w:rPr>
              <w:t xml:space="preserve"> products baselined as launched.</w:t>
            </w:r>
          </w:p>
          <w:p w14:paraId="5F12A457" w14:textId="77777777" w:rsidR="00066289" w:rsidRPr="00D1154C" w:rsidRDefault="00066289" w:rsidP="007A607E">
            <w:pPr>
              <w:spacing w:before="40" w:after="40"/>
              <w:rPr>
                <w:rFonts w:ascii="Arial" w:eastAsiaTheme="minorHAnsi" w:hAnsi="Arial" w:cs="Arial"/>
                <w:color w:val="auto"/>
                <w:sz w:val="17"/>
                <w:szCs w:val="17"/>
                <w:lang w:eastAsia="en-US"/>
              </w:rPr>
            </w:pPr>
            <w:r w:rsidRPr="00D1154C">
              <w:rPr>
                <w:rFonts w:ascii="Arial" w:eastAsiaTheme="minorHAnsi" w:hAnsi="Arial" w:cs="Arial"/>
                <w:sz w:val="17"/>
                <w:szCs w:val="17"/>
                <w:lang w:eastAsia="en-US"/>
              </w:rPr>
              <w:t>Agency products meeting or exceeding the planned availability target of 99.9%:</w:t>
            </w:r>
          </w:p>
          <w:p w14:paraId="69378288" w14:textId="77777777" w:rsidR="00066289" w:rsidRPr="00D1154C" w:rsidRDefault="00066289" w:rsidP="007A607E">
            <w:pPr>
              <w:pStyle w:val="ListParagraph"/>
              <w:numPr>
                <w:ilvl w:val="0"/>
                <w:numId w:val="23"/>
              </w:numPr>
              <w:spacing w:before="40" w:after="40"/>
              <w:ind w:left="142" w:hanging="142"/>
              <w:contextualSpacing w:val="0"/>
              <w:rPr>
                <w:rFonts w:ascii="Arial" w:hAnsi="Arial" w:cs="Arial"/>
                <w:sz w:val="17"/>
                <w:szCs w:val="17"/>
                <w:lang w:eastAsia="en-US"/>
              </w:rPr>
            </w:pPr>
            <w:r w:rsidRPr="00D1154C">
              <w:rPr>
                <w:rFonts w:ascii="Arial" w:hAnsi="Arial" w:cs="Arial"/>
                <w:sz w:val="17"/>
                <w:szCs w:val="17"/>
                <w:lang w:eastAsia="en-US"/>
              </w:rPr>
              <w:t>National Consumer Portal</w:t>
            </w:r>
          </w:p>
          <w:p w14:paraId="11978EF3" w14:textId="77777777" w:rsidR="00066289" w:rsidRPr="00D1154C" w:rsidRDefault="00066289" w:rsidP="007A607E">
            <w:pPr>
              <w:pStyle w:val="ListParagraph"/>
              <w:numPr>
                <w:ilvl w:val="0"/>
                <w:numId w:val="23"/>
              </w:numPr>
              <w:spacing w:before="40" w:after="40"/>
              <w:ind w:left="142" w:hanging="142"/>
              <w:contextualSpacing w:val="0"/>
              <w:rPr>
                <w:rFonts w:ascii="Arial" w:hAnsi="Arial" w:cs="Arial"/>
                <w:sz w:val="17"/>
                <w:szCs w:val="17"/>
                <w:lang w:eastAsia="en-US"/>
              </w:rPr>
            </w:pPr>
            <w:r w:rsidRPr="00D1154C">
              <w:rPr>
                <w:rFonts w:ascii="Arial" w:hAnsi="Arial" w:cs="Arial"/>
                <w:sz w:val="17"/>
                <w:szCs w:val="17"/>
                <w:lang w:eastAsia="en-US"/>
              </w:rPr>
              <w:t>National Provider Portal</w:t>
            </w:r>
          </w:p>
          <w:p w14:paraId="6CA7FED5" w14:textId="77777777" w:rsidR="00066289" w:rsidRPr="00D1154C" w:rsidRDefault="00066289" w:rsidP="007A607E">
            <w:pPr>
              <w:pStyle w:val="ListParagraph"/>
              <w:numPr>
                <w:ilvl w:val="0"/>
                <w:numId w:val="23"/>
              </w:numPr>
              <w:spacing w:before="40" w:after="40"/>
              <w:ind w:left="142" w:hanging="142"/>
              <w:contextualSpacing w:val="0"/>
              <w:rPr>
                <w:rFonts w:ascii="Arial" w:hAnsi="Arial" w:cs="Arial"/>
                <w:sz w:val="17"/>
                <w:szCs w:val="17"/>
                <w:lang w:eastAsia="en-US"/>
              </w:rPr>
            </w:pPr>
            <w:r w:rsidRPr="00D1154C">
              <w:rPr>
                <w:rFonts w:ascii="Arial" w:hAnsi="Arial" w:cs="Arial"/>
                <w:sz w:val="17"/>
                <w:szCs w:val="17"/>
                <w:lang w:eastAsia="en-US"/>
              </w:rPr>
              <w:t>API Gateway</w:t>
            </w:r>
          </w:p>
          <w:p w14:paraId="03E83362" w14:textId="055AE865" w:rsidR="00066289" w:rsidRPr="00D1154C" w:rsidRDefault="00066289" w:rsidP="007A607E">
            <w:pPr>
              <w:pStyle w:val="ListParagraph"/>
              <w:numPr>
                <w:ilvl w:val="0"/>
                <w:numId w:val="22"/>
              </w:numPr>
              <w:spacing w:before="40" w:after="40"/>
              <w:ind w:left="142" w:hanging="142"/>
              <w:contextualSpacing w:val="0"/>
              <w:rPr>
                <w:rFonts w:ascii="Arial" w:hAnsi="Arial" w:cs="Arial"/>
                <w:sz w:val="17"/>
                <w:szCs w:val="17"/>
                <w:lang w:eastAsia="en-US"/>
              </w:rPr>
            </w:pPr>
            <w:r w:rsidRPr="00D1154C">
              <w:rPr>
                <w:rFonts w:ascii="Arial" w:hAnsi="Arial" w:cs="Arial"/>
                <w:sz w:val="17"/>
                <w:szCs w:val="17"/>
                <w:lang w:eastAsia="en-US"/>
              </w:rPr>
              <w:t>Virtual Assistant</w:t>
            </w:r>
            <w:r w:rsidR="009716EC" w:rsidRPr="00D1154C">
              <w:rPr>
                <w:rFonts w:ascii="Arial" w:hAnsi="Arial" w:cs="Arial"/>
                <w:sz w:val="17"/>
                <w:szCs w:val="17"/>
                <w:lang w:eastAsia="en-US"/>
              </w:rPr>
              <w:t xml:space="preserve"> (99.5%)</w:t>
            </w:r>
          </w:p>
          <w:p w14:paraId="4264CC8E" w14:textId="19A3E82D" w:rsidR="00FA664C" w:rsidRPr="00D1154C" w:rsidRDefault="00066289" w:rsidP="007A607E">
            <w:pPr>
              <w:pStyle w:val="ListParagraph"/>
              <w:numPr>
                <w:ilvl w:val="0"/>
                <w:numId w:val="22"/>
              </w:numPr>
              <w:spacing w:before="40" w:after="40"/>
              <w:ind w:left="142" w:hanging="142"/>
              <w:contextualSpacing w:val="0"/>
              <w:rPr>
                <w:rFonts w:ascii="Arial" w:hAnsi="Arial" w:cs="Arial"/>
                <w:sz w:val="17"/>
                <w:szCs w:val="17"/>
                <w:lang w:eastAsia="en-US"/>
              </w:rPr>
            </w:pPr>
            <w:proofErr w:type="gramStart"/>
            <w:r w:rsidRPr="00D1154C">
              <w:rPr>
                <w:rFonts w:ascii="Arial" w:hAnsi="Arial" w:cs="Arial"/>
                <w:sz w:val="17"/>
                <w:szCs w:val="17"/>
                <w:lang w:eastAsia="en-US"/>
              </w:rPr>
              <w:t>new</w:t>
            </w:r>
            <w:proofErr w:type="gramEnd"/>
            <w:r w:rsidRPr="00D1154C">
              <w:rPr>
                <w:rFonts w:ascii="Arial" w:hAnsi="Arial" w:cs="Arial"/>
                <w:sz w:val="17"/>
                <w:szCs w:val="17"/>
                <w:lang w:eastAsia="en-US"/>
              </w:rPr>
              <w:t xml:space="preserve"> products baselined as launched.</w:t>
            </w:r>
          </w:p>
          <w:p w14:paraId="6023D447" w14:textId="12C6ABC6" w:rsidR="00FA664C" w:rsidRPr="00D1154C" w:rsidRDefault="00FA664C" w:rsidP="007A607E">
            <w:pPr>
              <w:spacing w:before="40" w:after="40"/>
              <w:rPr>
                <w:rFonts w:ascii="Arial" w:eastAsiaTheme="minorHAnsi" w:hAnsi="Arial" w:cs="Arial"/>
                <w:color w:val="auto"/>
                <w:sz w:val="17"/>
                <w:szCs w:val="17"/>
                <w:lang w:eastAsia="en-US"/>
              </w:rPr>
            </w:pPr>
            <w:r w:rsidRPr="00D1154C">
              <w:rPr>
                <w:rFonts w:ascii="Arial" w:eastAsiaTheme="minorHAnsi" w:hAnsi="Arial" w:cs="Arial"/>
                <w:sz w:val="17"/>
                <w:szCs w:val="17"/>
                <w:lang w:eastAsia="en-US"/>
              </w:rPr>
              <w:t>Establish approach, methodology and baseline for measuring user experience of MHR.</w:t>
            </w:r>
          </w:p>
          <w:p w14:paraId="599385AD" w14:textId="3369EBAE" w:rsidR="00FA664C" w:rsidRPr="00D1154C" w:rsidRDefault="00FA664C" w:rsidP="007A607E">
            <w:pPr>
              <w:spacing w:before="40" w:after="40"/>
              <w:rPr>
                <w:rFonts w:ascii="Arial" w:eastAsiaTheme="minorHAnsi" w:hAnsi="Arial" w:cs="Arial"/>
                <w:sz w:val="17"/>
                <w:szCs w:val="17"/>
                <w:lang w:eastAsia="en-US"/>
              </w:rPr>
            </w:pPr>
            <w:r w:rsidRPr="00D1154C">
              <w:rPr>
                <w:rFonts w:ascii="Arial" w:eastAsiaTheme="minorHAnsi" w:hAnsi="Arial" w:cs="Arial"/>
                <w:sz w:val="17"/>
                <w:szCs w:val="17"/>
                <w:lang w:eastAsia="en-US"/>
              </w:rPr>
              <w:t>Deliver 350 digital health literacy and awareness related educational events.</w:t>
            </w:r>
          </w:p>
          <w:p w14:paraId="375A25B9" w14:textId="12EBF55B" w:rsidR="00EB495F" w:rsidRPr="00D1154C" w:rsidRDefault="00FA664C" w:rsidP="007A607E">
            <w:pPr>
              <w:spacing w:before="40" w:after="40"/>
              <w:rPr>
                <w:rFonts w:ascii="Arial" w:eastAsiaTheme="minorHAnsi" w:hAnsi="Arial" w:cs="Arial"/>
                <w:sz w:val="17"/>
                <w:szCs w:val="17"/>
                <w:lang w:eastAsia="en-US"/>
              </w:rPr>
            </w:pPr>
            <w:r w:rsidRPr="00D1154C">
              <w:rPr>
                <w:rFonts w:ascii="Arial" w:eastAsiaTheme="minorHAnsi" w:hAnsi="Arial" w:cs="Arial"/>
                <w:sz w:val="17"/>
                <w:szCs w:val="17"/>
                <w:lang w:eastAsia="en-US"/>
              </w:rPr>
              <w:t>Improved access to digital health services and information a</w:t>
            </w:r>
            <w:r w:rsidR="00C352CD" w:rsidRPr="00D1154C">
              <w:rPr>
                <w:rFonts w:ascii="Arial" w:eastAsiaTheme="minorHAnsi" w:hAnsi="Arial" w:cs="Arial"/>
                <w:sz w:val="17"/>
                <w:szCs w:val="17"/>
                <w:lang w:eastAsia="en-US"/>
              </w:rPr>
              <w:t>re</w:t>
            </w:r>
            <w:r w:rsidRPr="00D1154C">
              <w:rPr>
                <w:rFonts w:ascii="Arial" w:eastAsiaTheme="minorHAnsi" w:hAnsi="Arial" w:cs="Arial"/>
                <w:sz w:val="17"/>
                <w:szCs w:val="17"/>
                <w:lang w:eastAsia="en-US"/>
              </w:rPr>
              <w:t xml:space="preserve"> demonstrated by a case study into electronic prescriptions.</w:t>
            </w:r>
          </w:p>
        </w:tc>
        <w:tc>
          <w:tcPr>
            <w:tcW w:w="1641" w:type="pct"/>
            <w:shd w:val="clear" w:color="auto" w:fill="auto"/>
            <w:tcMar>
              <w:left w:w="85" w:type="dxa"/>
            </w:tcMar>
          </w:tcPr>
          <w:p w14:paraId="14A732B9" w14:textId="7A824C43" w:rsidR="00066289" w:rsidRPr="00D1154C" w:rsidRDefault="00167BE0" w:rsidP="007A607E">
            <w:pPr>
              <w:pStyle w:val="xmsonormal"/>
              <w:spacing w:before="40" w:after="40"/>
              <w:rPr>
                <w:rFonts w:ascii="Arial" w:hAnsi="Arial" w:cs="Arial"/>
                <w:sz w:val="17"/>
                <w:szCs w:val="17"/>
              </w:rPr>
            </w:pPr>
            <w:r w:rsidRPr="00D1154C">
              <w:rPr>
                <w:rFonts w:ascii="Arial" w:hAnsi="Arial" w:cs="Arial"/>
                <w:sz w:val="17"/>
                <w:szCs w:val="17"/>
              </w:rPr>
              <w:t>Increased us</w:t>
            </w:r>
            <w:r w:rsidR="00066289" w:rsidRPr="00D1154C">
              <w:rPr>
                <w:rFonts w:ascii="Arial" w:hAnsi="Arial" w:cs="Arial"/>
                <w:sz w:val="17"/>
                <w:szCs w:val="17"/>
              </w:rPr>
              <w:t>e of strategically significant Agency products:</w:t>
            </w:r>
          </w:p>
          <w:p w14:paraId="6D51AFB5" w14:textId="333A99AD" w:rsidR="00066289" w:rsidRPr="00D1154C" w:rsidRDefault="00167BE0" w:rsidP="007A607E">
            <w:pPr>
              <w:pStyle w:val="xmsonormal"/>
              <w:numPr>
                <w:ilvl w:val="0"/>
                <w:numId w:val="25"/>
              </w:numPr>
              <w:spacing w:before="40" w:after="40"/>
              <w:ind w:left="142" w:hanging="142"/>
              <w:rPr>
                <w:rFonts w:ascii="Arial" w:hAnsi="Arial" w:cs="Arial"/>
                <w:sz w:val="17"/>
                <w:szCs w:val="17"/>
              </w:rPr>
            </w:pPr>
            <w:r w:rsidRPr="00D1154C">
              <w:rPr>
                <w:rFonts w:ascii="Arial" w:hAnsi="Arial" w:cs="Arial"/>
                <w:sz w:val="17"/>
                <w:szCs w:val="17"/>
              </w:rPr>
              <w:t>20% increase in consumer us</w:t>
            </w:r>
            <w:r w:rsidR="00066289" w:rsidRPr="00D1154C">
              <w:rPr>
                <w:rFonts w:ascii="Arial" w:hAnsi="Arial" w:cs="Arial"/>
                <w:sz w:val="17"/>
                <w:szCs w:val="17"/>
              </w:rPr>
              <w:t>e of M</w:t>
            </w:r>
            <w:r w:rsidR="00CA3B60" w:rsidRPr="00D1154C">
              <w:rPr>
                <w:rFonts w:ascii="Arial" w:hAnsi="Arial" w:cs="Arial"/>
                <w:sz w:val="17"/>
                <w:szCs w:val="17"/>
              </w:rPr>
              <w:t>HR</w:t>
            </w:r>
          </w:p>
          <w:p w14:paraId="71CE9E0C" w14:textId="455FDEBE" w:rsidR="00066289" w:rsidRPr="00D1154C" w:rsidRDefault="00167BE0" w:rsidP="007A607E">
            <w:pPr>
              <w:pStyle w:val="xmsonormal"/>
              <w:numPr>
                <w:ilvl w:val="0"/>
                <w:numId w:val="25"/>
              </w:numPr>
              <w:spacing w:before="40" w:after="40"/>
              <w:ind w:left="142" w:hanging="142"/>
              <w:rPr>
                <w:rFonts w:ascii="Arial" w:hAnsi="Arial" w:cs="Arial"/>
                <w:sz w:val="17"/>
                <w:szCs w:val="17"/>
              </w:rPr>
            </w:pPr>
            <w:r w:rsidRPr="00D1154C">
              <w:rPr>
                <w:rFonts w:ascii="Arial" w:hAnsi="Arial" w:cs="Arial"/>
                <w:sz w:val="17"/>
                <w:szCs w:val="17"/>
              </w:rPr>
              <w:t>15% increase in provider us</w:t>
            </w:r>
            <w:r w:rsidR="00066289" w:rsidRPr="00D1154C">
              <w:rPr>
                <w:rFonts w:ascii="Arial" w:hAnsi="Arial" w:cs="Arial"/>
                <w:sz w:val="17"/>
                <w:szCs w:val="17"/>
              </w:rPr>
              <w:t>e of M</w:t>
            </w:r>
            <w:r w:rsidR="00CA3B60" w:rsidRPr="00D1154C">
              <w:rPr>
                <w:rFonts w:ascii="Arial" w:hAnsi="Arial" w:cs="Arial"/>
                <w:sz w:val="17"/>
                <w:szCs w:val="17"/>
              </w:rPr>
              <w:t>HR</w:t>
            </w:r>
          </w:p>
          <w:p w14:paraId="1E9236C3" w14:textId="77777777" w:rsidR="00066289" w:rsidRPr="00D1154C" w:rsidRDefault="00066289" w:rsidP="007A607E">
            <w:pPr>
              <w:pStyle w:val="xmsonormal"/>
              <w:numPr>
                <w:ilvl w:val="0"/>
                <w:numId w:val="25"/>
              </w:numPr>
              <w:spacing w:before="40" w:after="40"/>
              <w:ind w:left="142" w:hanging="142"/>
              <w:rPr>
                <w:sz w:val="17"/>
                <w:szCs w:val="17"/>
              </w:rPr>
            </w:pPr>
            <w:r w:rsidRPr="00D1154C">
              <w:rPr>
                <w:rFonts w:ascii="Arial" w:hAnsi="Arial" w:cs="Arial"/>
                <w:sz w:val="17"/>
                <w:szCs w:val="17"/>
              </w:rPr>
              <w:t>20% increase in Electronic Prescribing</w:t>
            </w:r>
          </w:p>
          <w:p w14:paraId="6A4B88D1" w14:textId="495A9048" w:rsidR="00066289" w:rsidRPr="00D1154C" w:rsidRDefault="004110CA" w:rsidP="007A607E">
            <w:pPr>
              <w:pStyle w:val="xmsonormal"/>
              <w:numPr>
                <w:ilvl w:val="0"/>
                <w:numId w:val="25"/>
              </w:numPr>
              <w:spacing w:before="40" w:after="40"/>
              <w:ind w:left="142" w:hanging="142"/>
              <w:rPr>
                <w:sz w:val="17"/>
                <w:szCs w:val="17"/>
              </w:rPr>
            </w:pPr>
            <w:proofErr w:type="gramStart"/>
            <w:r w:rsidRPr="00D1154C">
              <w:rPr>
                <w:rFonts w:ascii="Arial" w:hAnsi="Arial" w:cs="Arial"/>
                <w:sz w:val="17"/>
                <w:szCs w:val="17"/>
              </w:rPr>
              <w:t>n</w:t>
            </w:r>
            <w:r w:rsidR="00066289" w:rsidRPr="00D1154C">
              <w:rPr>
                <w:rFonts w:ascii="Arial" w:hAnsi="Arial" w:cs="Arial"/>
                <w:sz w:val="17"/>
                <w:szCs w:val="17"/>
              </w:rPr>
              <w:t>ew</w:t>
            </w:r>
            <w:proofErr w:type="gramEnd"/>
            <w:r w:rsidR="00066289" w:rsidRPr="00D1154C">
              <w:rPr>
                <w:rFonts w:ascii="Arial" w:hAnsi="Arial" w:cs="Arial"/>
                <w:sz w:val="17"/>
                <w:szCs w:val="17"/>
              </w:rPr>
              <w:t xml:space="preserve"> products baselined as launched.</w:t>
            </w:r>
          </w:p>
          <w:p w14:paraId="5514D41F" w14:textId="7D4D8D4A" w:rsidR="00FA664C" w:rsidRPr="00D1154C" w:rsidRDefault="00FA664C" w:rsidP="007A607E">
            <w:pPr>
              <w:spacing w:before="40" w:after="40"/>
              <w:rPr>
                <w:rFonts w:ascii="Arial" w:eastAsiaTheme="minorHAnsi" w:hAnsi="Arial" w:cs="Arial"/>
                <w:color w:val="auto"/>
                <w:sz w:val="17"/>
                <w:szCs w:val="17"/>
                <w:lang w:eastAsia="en-US"/>
              </w:rPr>
            </w:pPr>
            <w:r w:rsidRPr="00D1154C">
              <w:rPr>
                <w:rFonts w:ascii="Arial" w:eastAsiaTheme="minorHAnsi" w:hAnsi="Arial" w:cs="Arial"/>
                <w:sz w:val="17"/>
                <w:szCs w:val="17"/>
                <w:lang w:eastAsia="en-US"/>
              </w:rPr>
              <w:t>Agency products meeting or exceeding the planned availability target of 99.9%:</w:t>
            </w:r>
          </w:p>
          <w:p w14:paraId="1B1A9DC7" w14:textId="77777777" w:rsidR="00FA664C" w:rsidRPr="00D1154C" w:rsidRDefault="00FA664C" w:rsidP="007A607E">
            <w:pPr>
              <w:pStyle w:val="ListParagraph"/>
              <w:numPr>
                <w:ilvl w:val="0"/>
                <w:numId w:val="23"/>
              </w:numPr>
              <w:spacing w:before="40" w:after="40"/>
              <w:ind w:left="142" w:hanging="142"/>
              <w:contextualSpacing w:val="0"/>
              <w:rPr>
                <w:rFonts w:ascii="Arial" w:hAnsi="Arial" w:cs="Arial"/>
                <w:sz w:val="17"/>
                <w:szCs w:val="17"/>
                <w:lang w:eastAsia="en-US"/>
              </w:rPr>
            </w:pPr>
            <w:r w:rsidRPr="00D1154C">
              <w:rPr>
                <w:rFonts w:ascii="Arial" w:hAnsi="Arial" w:cs="Arial"/>
                <w:sz w:val="17"/>
                <w:szCs w:val="17"/>
                <w:lang w:eastAsia="en-US"/>
              </w:rPr>
              <w:t>National Consumer Portal</w:t>
            </w:r>
          </w:p>
          <w:p w14:paraId="6723A013" w14:textId="77777777" w:rsidR="00FA664C" w:rsidRPr="00D1154C" w:rsidRDefault="00FA664C" w:rsidP="007A607E">
            <w:pPr>
              <w:pStyle w:val="ListParagraph"/>
              <w:numPr>
                <w:ilvl w:val="0"/>
                <w:numId w:val="23"/>
              </w:numPr>
              <w:spacing w:before="40" w:after="40"/>
              <w:ind w:left="142" w:hanging="142"/>
              <w:contextualSpacing w:val="0"/>
              <w:rPr>
                <w:rFonts w:ascii="Arial" w:hAnsi="Arial" w:cs="Arial"/>
                <w:sz w:val="17"/>
                <w:szCs w:val="17"/>
                <w:lang w:eastAsia="en-US"/>
              </w:rPr>
            </w:pPr>
            <w:r w:rsidRPr="00D1154C">
              <w:rPr>
                <w:rFonts w:ascii="Arial" w:hAnsi="Arial" w:cs="Arial"/>
                <w:sz w:val="17"/>
                <w:szCs w:val="17"/>
                <w:lang w:eastAsia="en-US"/>
              </w:rPr>
              <w:t>National Provider Portal</w:t>
            </w:r>
          </w:p>
          <w:p w14:paraId="03A44C4A" w14:textId="01173D20" w:rsidR="00FA664C" w:rsidRPr="00D1154C" w:rsidRDefault="00FA664C" w:rsidP="007A607E">
            <w:pPr>
              <w:pStyle w:val="ListParagraph"/>
              <w:numPr>
                <w:ilvl w:val="0"/>
                <w:numId w:val="23"/>
              </w:numPr>
              <w:spacing w:before="40" w:after="40"/>
              <w:ind w:left="142" w:hanging="142"/>
              <w:contextualSpacing w:val="0"/>
              <w:rPr>
                <w:rFonts w:ascii="Arial" w:hAnsi="Arial" w:cs="Arial"/>
                <w:sz w:val="17"/>
                <w:szCs w:val="17"/>
                <w:lang w:eastAsia="en-US"/>
              </w:rPr>
            </w:pPr>
            <w:r w:rsidRPr="00D1154C">
              <w:rPr>
                <w:rFonts w:ascii="Arial" w:hAnsi="Arial" w:cs="Arial"/>
                <w:sz w:val="17"/>
                <w:szCs w:val="17"/>
                <w:lang w:eastAsia="en-US"/>
              </w:rPr>
              <w:t>API Gateway</w:t>
            </w:r>
          </w:p>
          <w:p w14:paraId="510F76D8" w14:textId="77F1B2C5" w:rsidR="00FA664C" w:rsidRPr="00D1154C" w:rsidRDefault="00FA664C" w:rsidP="007A607E">
            <w:pPr>
              <w:pStyle w:val="ListParagraph"/>
              <w:numPr>
                <w:ilvl w:val="0"/>
                <w:numId w:val="22"/>
              </w:numPr>
              <w:spacing w:before="40" w:after="40"/>
              <w:ind w:left="142" w:hanging="142"/>
              <w:contextualSpacing w:val="0"/>
              <w:rPr>
                <w:rFonts w:ascii="Arial" w:hAnsi="Arial" w:cs="Arial"/>
                <w:sz w:val="17"/>
                <w:szCs w:val="17"/>
                <w:lang w:eastAsia="en-US"/>
              </w:rPr>
            </w:pPr>
            <w:r w:rsidRPr="00D1154C">
              <w:rPr>
                <w:rFonts w:ascii="Arial" w:hAnsi="Arial" w:cs="Arial"/>
                <w:sz w:val="17"/>
                <w:szCs w:val="17"/>
                <w:lang w:eastAsia="en-US"/>
              </w:rPr>
              <w:t>Virtual Assistant</w:t>
            </w:r>
            <w:r w:rsidR="009716EC" w:rsidRPr="00D1154C">
              <w:rPr>
                <w:rFonts w:ascii="Arial" w:hAnsi="Arial" w:cs="Arial"/>
                <w:sz w:val="17"/>
                <w:szCs w:val="17"/>
                <w:lang w:eastAsia="en-US"/>
              </w:rPr>
              <w:t xml:space="preserve"> (99.5%)</w:t>
            </w:r>
          </w:p>
          <w:p w14:paraId="594F0CA4" w14:textId="1FC434DF" w:rsidR="00FA664C" w:rsidRPr="00D1154C" w:rsidRDefault="00C352CD" w:rsidP="007A607E">
            <w:pPr>
              <w:pStyle w:val="ListParagraph"/>
              <w:numPr>
                <w:ilvl w:val="0"/>
                <w:numId w:val="22"/>
              </w:numPr>
              <w:spacing w:before="40" w:after="40"/>
              <w:ind w:left="142" w:hanging="142"/>
              <w:contextualSpacing w:val="0"/>
              <w:rPr>
                <w:rFonts w:ascii="Arial" w:hAnsi="Arial" w:cs="Arial"/>
                <w:sz w:val="17"/>
                <w:szCs w:val="17"/>
                <w:lang w:eastAsia="en-US"/>
              </w:rPr>
            </w:pPr>
            <w:proofErr w:type="gramStart"/>
            <w:r w:rsidRPr="00D1154C">
              <w:rPr>
                <w:rFonts w:ascii="Arial" w:hAnsi="Arial" w:cs="Arial"/>
                <w:sz w:val="17"/>
                <w:szCs w:val="17"/>
                <w:lang w:eastAsia="en-US"/>
              </w:rPr>
              <w:t>n</w:t>
            </w:r>
            <w:r w:rsidR="00FA664C" w:rsidRPr="00D1154C">
              <w:rPr>
                <w:rFonts w:ascii="Arial" w:hAnsi="Arial" w:cs="Arial"/>
                <w:sz w:val="17"/>
                <w:szCs w:val="17"/>
                <w:lang w:eastAsia="en-US"/>
              </w:rPr>
              <w:t>ew</w:t>
            </w:r>
            <w:proofErr w:type="gramEnd"/>
            <w:r w:rsidR="00FA664C" w:rsidRPr="00D1154C">
              <w:rPr>
                <w:rFonts w:ascii="Arial" w:hAnsi="Arial" w:cs="Arial"/>
                <w:sz w:val="17"/>
                <w:szCs w:val="17"/>
                <w:lang w:eastAsia="en-US"/>
              </w:rPr>
              <w:t xml:space="preserve"> products baselined as launched</w:t>
            </w:r>
            <w:r w:rsidRPr="00D1154C">
              <w:rPr>
                <w:rFonts w:ascii="Arial" w:hAnsi="Arial" w:cs="Arial"/>
                <w:sz w:val="17"/>
                <w:szCs w:val="17"/>
                <w:lang w:eastAsia="en-US"/>
              </w:rPr>
              <w:t>.</w:t>
            </w:r>
          </w:p>
          <w:p w14:paraId="7D3A6F4A" w14:textId="42BF5D17" w:rsidR="00FA664C" w:rsidRPr="00D1154C" w:rsidRDefault="00FA664C" w:rsidP="007A607E">
            <w:pPr>
              <w:spacing w:before="40" w:after="40"/>
              <w:rPr>
                <w:rFonts w:ascii="Calibri" w:eastAsiaTheme="minorHAnsi" w:hAnsi="Calibri"/>
                <w:color w:val="auto"/>
                <w:sz w:val="17"/>
                <w:szCs w:val="17"/>
                <w:lang w:eastAsia="en-US"/>
              </w:rPr>
            </w:pPr>
            <w:r w:rsidRPr="00D1154C">
              <w:rPr>
                <w:rFonts w:ascii="Arial" w:eastAsiaTheme="minorHAnsi" w:hAnsi="Arial" w:cs="Arial"/>
                <w:sz w:val="17"/>
                <w:szCs w:val="17"/>
                <w:lang w:eastAsia="en-US"/>
              </w:rPr>
              <w:t>Improved MHR user experience compared to 2022</w:t>
            </w:r>
            <w:r w:rsidR="00C352CD" w:rsidRPr="00D1154C">
              <w:rPr>
                <w:rFonts w:ascii="Arial" w:eastAsiaTheme="minorHAnsi" w:hAnsi="Arial" w:cs="Arial"/>
                <w:sz w:val="17"/>
                <w:szCs w:val="17"/>
                <w:lang w:eastAsia="en-US"/>
              </w:rPr>
              <w:t>–</w:t>
            </w:r>
            <w:r w:rsidRPr="00D1154C">
              <w:rPr>
                <w:rFonts w:ascii="Arial" w:eastAsiaTheme="minorHAnsi" w:hAnsi="Arial" w:cs="Arial"/>
                <w:sz w:val="17"/>
                <w:szCs w:val="17"/>
                <w:lang w:eastAsia="en-US"/>
              </w:rPr>
              <w:t>23 baseline</w:t>
            </w:r>
            <w:r w:rsidR="00C352CD" w:rsidRPr="00D1154C">
              <w:rPr>
                <w:rFonts w:ascii="Arial" w:eastAsiaTheme="minorHAnsi" w:hAnsi="Arial" w:cs="Arial"/>
                <w:sz w:val="17"/>
                <w:szCs w:val="17"/>
                <w:lang w:eastAsia="en-US"/>
              </w:rPr>
              <w:t>.</w:t>
            </w:r>
          </w:p>
          <w:p w14:paraId="2316FE24" w14:textId="77777777" w:rsidR="001B0BCC" w:rsidRPr="00D1154C" w:rsidRDefault="00FA664C" w:rsidP="007A607E">
            <w:pPr>
              <w:spacing w:before="40" w:after="40"/>
              <w:rPr>
                <w:rFonts w:ascii="Arial" w:eastAsiaTheme="minorHAnsi" w:hAnsi="Arial" w:cs="Arial"/>
                <w:sz w:val="17"/>
                <w:szCs w:val="17"/>
                <w:lang w:eastAsia="en-US"/>
              </w:rPr>
            </w:pPr>
            <w:r w:rsidRPr="00D1154C">
              <w:rPr>
                <w:rFonts w:ascii="Arial" w:eastAsiaTheme="minorHAnsi" w:hAnsi="Arial" w:cs="Arial"/>
                <w:sz w:val="17"/>
                <w:szCs w:val="17"/>
                <w:lang w:eastAsia="en-US"/>
              </w:rPr>
              <w:t>Deliver 350 digital health literacy and awareness related educational events.</w:t>
            </w:r>
          </w:p>
          <w:p w14:paraId="18660E8A" w14:textId="27813690" w:rsidR="00FA664C" w:rsidRPr="00D1154C" w:rsidRDefault="00FA664C" w:rsidP="007A607E">
            <w:pPr>
              <w:spacing w:before="40" w:after="40"/>
              <w:rPr>
                <w:rFonts w:ascii="Arial" w:eastAsiaTheme="minorHAnsi" w:hAnsi="Arial" w:cs="Arial"/>
                <w:sz w:val="17"/>
                <w:szCs w:val="17"/>
                <w:lang w:eastAsia="en-US"/>
              </w:rPr>
            </w:pPr>
            <w:r w:rsidRPr="00D1154C">
              <w:rPr>
                <w:rFonts w:ascii="Arial" w:eastAsiaTheme="minorHAnsi" w:hAnsi="Arial" w:cs="Arial"/>
                <w:sz w:val="17"/>
                <w:szCs w:val="17"/>
                <w:lang w:eastAsia="en-US"/>
              </w:rPr>
              <w:t>Improved access to digital health services and information a</w:t>
            </w:r>
            <w:r w:rsidR="00DA6AB5" w:rsidRPr="00D1154C">
              <w:rPr>
                <w:rFonts w:ascii="Arial" w:eastAsiaTheme="minorHAnsi" w:hAnsi="Arial" w:cs="Arial"/>
                <w:sz w:val="17"/>
                <w:szCs w:val="17"/>
                <w:lang w:eastAsia="en-US"/>
              </w:rPr>
              <w:t>re</w:t>
            </w:r>
            <w:r w:rsidRPr="00D1154C">
              <w:rPr>
                <w:rFonts w:ascii="Arial" w:eastAsiaTheme="minorHAnsi" w:hAnsi="Arial" w:cs="Arial"/>
                <w:sz w:val="17"/>
                <w:szCs w:val="17"/>
                <w:lang w:eastAsia="en-US"/>
              </w:rPr>
              <w:t xml:space="preserve"> demonstrated by a case study into </w:t>
            </w:r>
            <w:r w:rsidR="00DA6AB5" w:rsidRPr="00D1154C">
              <w:rPr>
                <w:rFonts w:ascii="Arial" w:eastAsiaTheme="minorHAnsi" w:hAnsi="Arial" w:cs="Arial"/>
                <w:sz w:val="17"/>
                <w:szCs w:val="17"/>
                <w:lang w:eastAsia="en-US"/>
              </w:rPr>
              <w:t>a</w:t>
            </w:r>
            <w:r w:rsidRPr="00D1154C">
              <w:rPr>
                <w:rFonts w:ascii="Arial" w:eastAsiaTheme="minorHAnsi" w:hAnsi="Arial" w:cs="Arial"/>
                <w:sz w:val="17"/>
                <w:szCs w:val="17"/>
                <w:lang w:eastAsia="en-US"/>
              </w:rPr>
              <w:t xml:space="preserve">ged </w:t>
            </w:r>
            <w:r w:rsidR="00DA6AB5" w:rsidRPr="00D1154C">
              <w:rPr>
                <w:rFonts w:ascii="Arial" w:eastAsiaTheme="minorHAnsi" w:hAnsi="Arial" w:cs="Arial"/>
                <w:sz w:val="17"/>
                <w:szCs w:val="17"/>
                <w:lang w:eastAsia="en-US"/>
              </w:rPr>
              <w:t>c</w:t>
            </w:r>
            <w:r w:rsidRPr="00D1154C">
              <w:rPr>
                <w:rFonts w:ascii="Arial" w:eastAsiaTheme="minorHAnsi" w:hAnsi="Arial" w:cs="Arial"/>
                <w:sz w:val="17"/>
                <w:szCs w:val="17"/>
                <w:lang w:eastAsia="en-US"/>
              </w:rPr>
              <w:t>are.</w:t>
            </w:r>
          </w:p>
        </w:tc>
      </w:tr>
    </w:tbl>
    <w:p w14:paraId="1E44D9A8" w14:textId="77777777" w:rsidR="00214AFF" w:rsidRDefault="00214AFF">
      <w:r>
        <w:br w:type="page"/>
      </w:r>
    </w:p>
    <w:tbl>
      <w:tblPr>
        <w:tblStyle w:val="TableGrid"/>
        <w:tblW w:w="5018" w:type="pct"/>
        <w:jc w:val="center"/>
        <w:tblLayout w:type="fixed"/>
        <w:tblLook w:val="04A0" w:firstRow="1" w:lastRow="0" w:firstColumn="1" w:lastColumn="0" w:noHBand="0" w:noVBand="1"/>
        <w:tblCaption w:val="Table 2.1.2: Performance Measures for the Australian Digital Health Agency (continued)"/>
        <w:tblDescription w:val="This table includes 2 performance measures for Program 1.1, with an expected performance result for 2021-22, and planned performance results for 2022-23 and the forward estimates&#10;"/>
      </w:tblPr>
      <w:tblGrid>
        <w:gridCol w:w="2550"/>
        <w:gridCol w:w="2412"/>
        <w:gridCol w:w="2424"/>
      </w:tblGrid>
      <w:tr w:rsidR="00EB495F" w:rsidRPr="00A86D5D" w14:paraId="36F48C39" w14:textId="77777777" w:rsidTr="001E6157">
        <w:trPr>
          <w:trHeight w:val="283"/>
          <w:jc w:val="center"/>
        </w:trPr>
        <w:tc>
          <w:tcPr>
            <w:tcW w:w="5000" w:type="pct"/>
            <w:gridSpan w:val="3"/>
            <w:shd w:val="clear" w:color="auto" w:fill="D9D9D9" w:themeFill="background1" w:themeFillShade="D9"/>
            <w:tcMar>
              <w:left w:w="85" w:type="dxa"/>
            </w:tcMar>
          </w:tcPr>
          <w:p w14:paraId="5E607EFD" w14:textId="44CEACAF" w:rsidR="003437EF" w:rsidRPr="00D1154C" w:rsidRDefault="00D4021C" w:rsidP="007A607E">
            <w:pPr>
              <w:pStyle w:val="Tabletextmeasures85pt"/>
              <w:rPr>
                <w:b/>
                <w:color w:val="auto"/>
              </w:rPr>
            </w:pPr>
            <w:r w:rsidRPr="00D1154C">
              <w:rPr>
                <w:b/>
                <w:color w:val="auto"/>
              </w:rPr>
              <w:lastRenderedPageBreak/>
              <w:t>Digital</w:t>
            </w:r>
            <w:r w:rsidR="007F62B9" w:rsidRPr="00D1154C">
              <w:rPr>
                <w:b/>
                <w:color w:val="auto"/>
              </w:rPr>
              <w:t xml:space="preserve"> health interoperability available to</w:t>
            </w:r>
            <w:r w:rsidRPr="00D1154C">
              <w:rPr>
                <w:b/>
                <w:color w:val="auto"/>
              </w:rPr>
              <w:t xml:space="preserve"> health</w:t>
            </w:r>
            <w:r w:rsidR="00D97E1B" w:rsidRPr="00D1154C">
              <w:rPr>
                <w:b/>
                <w:color w:val="auto"/>
              </w:rPr>
              <w:t>care</w:t>
            </w:r>
            <w:r w:rsidRPr="00D1154C">
              <w:rPr>
                <w:b/>
                <w:color w:val="auto"/>
              </w:rPr>
              <w:t xml:space="preserve"> providers and consumers that improves how people use digital health care information.</w:t>
            </w:r>
          </w:p>
        </w:tc>
      </w:tr>
      <w:tr w:rsidR="00655CD5" w:rsidRPr="00A86D5D" w14:paraId="5420C7A0" w14:textId="77777777" w:rsidTr="00BD1814">
        <w:trPr>
          <w:trHeight w:val="283"/>
          <w:jc w:val="center"/>
        </w:trPr>
        <w:tc>
          <w:tcPr>
            <w:tcW w:w="1726" w:type="pct"/>
            <w:tcMar>
              <w:left w:w="85" w:type="dxa"/>
            </w:tcMar>
          </w:tcPr>
          <w:p w14:paraId="5EB43827" w14:textId="6F24611D" w:rsidR="00655CD5" w:rsidRPr="00D1154C" w:rsidRDefault="004410EA" w:rsidP="00434171">
            <w:pPr>
              <w:pStyle w:val="Tableheadingrowmeasures85pt"/>
              <w:keepNext/>
              <w:rPr>
                <w:color w:val="auto"/>
              </w:rPr>
            </w:pPr>
            <w:r w:rsidRPr="00D1154C">
              <w:t>P</w:t>
            </w:r>
            <w:r w:rsidR="00434171" w:rsidRPr="00D1154C">
              <w:t>rior</w:t>
            </w:r>
            <w:r w:rsidR="00643FDF" w:rsidRPr="00D1154C">
              <w:t xml:space="preserve"> Year</w:t>
            </w:r>
            <w:r w:rsidR="00643FDF" w:rsidRPr="00D1154C">
              <w:br/>
              <w:t>2021–</w:t>
            </w:r>
            <w:r w:rsidR="003437EF" w:rsidRPr="00D1154C">
              <w:t xml:space="preserve">22 </w:t>
            </w:r>
            <w:r w:rsidR="00DF3A82" w:rsidRPr="00D1154C">
              <w:rPr>
                <w:color w:val="auto"/>
              </w:rPr>
              <w:t xml:space="preserve">Expected </w:t>
            </w:r>
            <w:r w:rsidR="003437EF" w:rsidRPr="00D1154C">
              <w:t>Performance Results</w:t>
            </w:r>
          </w:p>
        </w:tc>
        <w:tc>
          <w:tcPr>
            <w:tcW w:w="1633" w:type="pct"/>
            <w:shd w:val="clear" w:color="auto" w:fill="auto"/>
            <w:tcMar>
              <w:left w:w="85" w:type="dxa"/>
            </w:tcMar>
          </w:tcPr>
          <w:p w14:paraId="42DB1B04" w14:textId="6FEF2682" w:rsidR="00655CD5" w:rsidRPr="00D1154C" w:rsidRDefault="00643FDF" w:rsidP="007A607E">
            <w:pPr>
              <w:pStyle w:val="Tableheadingrowmeasures85pt"/>
              <w:keepNext/>
              <w:rPr>
                <w:color w:val="auto"/>
              </w:rPr>
            </w:pPr>
            <w:r w:rsidRPr="00D1154C">
              <w:t>Budget Year</w:t>
            </w:r>
            <w:r w:rsidRPr="00D1154C">
              <w:br/>
              <w:t>2022–</w:t>
            </w:r>
            <w:r w:rsidR="003437EF" w:rsidRPr="00D1154C">
              <w:t>23 Planned Performance Results</w:t>
            </w:r>
          </w:p>
        </w:tc>
        <w:tc>
          <w:tcPr>
            <w:tcW w:w="1641" w:type="pct"/>
            <w:shd w:val="clear" w:color="auto" w:fill="auto"/>
            <w:tcMar>
              <w:left w:w="85" w:type="dxa"/>
            </w:tcMar>
          </w:tcPr>
          <w:p w14:paraId="6AA8430A" w14:textId="7A7F0D62" w:rsidR="00655CD5" w:rsidRPr="00D1154C" w:rsidRDefault="00214AFF" w:rsidP="007A607E">
            <w:pPr>
              <w:pStyle w:val="Tableheadingrowmeasures85pt"/>
              <w:keepNext/>
              <w:rPr>
                <w:color w:val="auto"/>
              </w:rPr>
            </w:pPr>
            <w:r w:rsidRPr="00D1154C">
              <w:t>Forward Estimates</w:t>
            </w:r>
            <w:r w:rsidRPr="00D1154C">
              <w:br/>
              <w:t>2023</w:t>
            </w:r>
            <w:r w:rsidR="00643FDF" w:rsidRPr="00D1154C">
              <w:t>–</w:t>
            </w:r>
            <w:r w:rsidRPr="00D1154C">
              <w:t>26</w:t>
            </w:r>
            <w:r w:rsidR="003437EF" w:rsidRPr="00D1154C">
              <w:t xml:space="preserve"> Planned Performance Results</w:t>
            </w:r>
          </w:p>
        </w:tc>
      </w:tr>
      <w:tr w:rsidR="00EB495F" w:rsidRPr="00A86D5D" w14:paraId="1D4F83CB" w14:textId="77777777" w:rsidTr="00BD1814">
        <w:trPr>
          <w:trHeight w:val="283"/>
          <w:jc w:val="center"/>
        </w:trPr>
        <w:tc>
          <w:tcPr>
            <w:tcW w:w="1726" w:type="pct"/>
            <w:tcMar>
              <w:left w:w="85" w:type="dxa"/>
            </w:tcMar>
          </w:tcPr>
          <w:p w14:paraId="280D4118" w14:textId="68995318" w:rsidR="00EB495F" w:rsidRPr="00D1154C" w:rsidRDefault="00D4021C" w:rsidP="007A607E">
            <w:pPr>
              <w:pStyle w:val="Tabletextmeasures85pt"/>
              <w:rPr>
                <w:b/>
                <w:color w:val="auto"/>
              </w:rPr>
            </w:pPr>
            <w:r w:rsidRPr="00D1154C">
              <w:t>N/A</w:t>
            </w:r>
            <w:r w:rsidRPr="00D1154C">
              <w:rPr>
                <w:rStyle w:val="FootnoteReference"/>
                <w:sz w:val="17"/>
              </w:rPr>
              <w:footnoteReference w:id="3"/>
            </w:r>
          </w:p>
        </w:tc>
        <w:tc>
          <w:tcPr>
            <w:tcW w:w="1633" w:type="pct"/>
            <w:shd w:val="clear" w:color="auto" w:fill="auto"/>
            <w:tcMar>
              <w:left w:w="85" w:type="dxa"/>
            </w:tcMar>
          </w:tcPr>
          <w:p w14:paraId="3E8EC436" w14:textId="076CAF61" w:rsidR="00FA664C" w:rsidRPr="00D1154C" w:rsidRDefault="00FA664C" w:rsidP="007A607E">
            <w:pPr>
              <w:spacing w:before="40" w:after="40"/>
              <w:rPr>
                <w:rFonts w:ascii="Arial" w:eastAsiaTheme="minorHAnsi" w:hAnsi="Arial" w:cs="Arial"/>
                <w:sz w:val="17"/>
                <w:szCs w:val="17"/>
                <w:lang w:val="en-US" w:eastAsia="en-US"/>
              </w:rPr>
            </w:pPr>
            <w:r w:rsidRPr="00D1154C">
              <w:rPr>
                <w:rFonts w:ascii="Arial" w:eastAsiaTheme="minorHAnsi" w:hAnsi="Arial" w:cs="Arial"/>
                <w:sz w:val="17"/>
                <w:szCs w:val="17"/>
                <w:lang w:val="en-US" w:eastAsia="en-US"/>
              </w:rPr>
              <w:t>Establish</w:t>
            </w:r>
            <w:r w:rsidR="005C78DF" w:rsidRPr="00D1154C">
              <w:rPr>
                <w:rFonts w:ascii="Arial" w:eastAsiaTheme="minorHAnsi" w:hAnsi="Arial" w:cs="Arial"/>
                <w:sz w:val="17"/>
                <w:szCs w:val="17"/>
                <w:lang w:val="en-US" w:eastAsia="en-US"/>
              </w:rPr>
              <w:t xml:space="preserve"> an</w:t>
            </w:r>
            <w:r w:rsidRPr="00D1154C">
              <w:rPr>
                <w:rFonts w:ascii="Arial" w:eastAsiaTheme="minorHAnsi" w:hAnsi="Arial" w:cs="Arial"/>
                <w:sz w:val="17"/>
                <w:szCs w:val="17"/>
                <w:lang w:val="en-US" w:eastAsia="en-US"/>
              </w:rPr>
              <w:t xml:space="preserve"> approach and trial baseline for measuring meaningful use via a ‘meaningful use index’ for My Health Record (MHR). </w:t>
            </w:r>
          </w:p>
          <w:p w14:paraId="4D20D8A0" w14:textId="619108C9" w:rsidR="00FA664C" w:rsidRPr="00D1154C" w:rsidRDefault="00066289" w:rsidP="007A607E">
            <w:pPr>
              <w:spacing w:before="40" w:after="40"/>
              <w:rPr>
                <w:rFonts w:ascii="Arial" w:eastAsiaTheme="minorHAnsi" w:hAnsi="Arial" w:cs="Arial"/>
                <w:color w:val="auto"/>
                <w:sz w:val="17"/>
                <w:szCs w:val="17"/>
                <w:lang w:val="en-US" w:eastAsia="en-US"/>
              </w:rPr>
            </w:pPr>
            <w:bookmarkStart w:id="6" w:name="_Hlk94876289"/>
            <w:r w:rsidRPr="00D1154C">
              <w:rPr>
                <w:rFonts w:ascii="Arial" w:eastAsiaTheme="minorHAnsi" w:hAnsi="Arial" w:cs="Arial"/>
                <w:sz w:val="17"/>
                <w:szCs w:val="17"/>
                <w:lang w:val="en-US" w:eastAsia="en-US"/>
              </w:rPr>
              <w:t>20%</w:t>
            </w:r>
            <w:r w:rsidR="00FA664C" w:rsidRPr="00D1154C">
              <w:rPr>
                <w:rFonts w:ascii="Arial" w:eastAsiaTheme="minorHAnsi" w:hAnsi="Arial" w:cs="Arial"/>
                <w:sz w:val="17"/>
                <w:szCs w:val="17"/>
                <w:lang w:val="en-US" w:eastAsia="en-US"/>
              </w:rPr>
              <w:t xml:space="preserve"> </w:t>
            </w:r>
            <w:r w:rsidR="005C78DF" w:rsidRPr="00D1154C">
              <w:rPr>
                <w:rFonts w:ascii="Arial" w:eastAsiaTheme="minorHAnsi" w:hAnsi="Arial" w:cs="Arial"/>
                <w:sz w:val="17"/>
                <w:szCs w:val="17"/>
                <w:lang w:val="en-US" w:eastAsia="en-US"/>
              </w:rPr>
              <w:t>i</w:t>
            </w:r>
            <w:r w:rsidR="00FA664C" w:rsidRPr="00D1154C">
              <w:rPr>
                <w:rFonts w:ascii="Arial" w:eastAsiaTheme="minorHAnsi" w:hAnsi="Arial" w:cs="Arial"/>
                <w:sz w:val="17"/>
                <w:szCs w:val="17"/>
                <w:lang w:val="en-US" w:eastAsia="en-US"/>
              </w:rPr>
              <w:t xml:space="preserve">ncrease in the </w:t>
            </w:r>
            <w:r w:rsidR="007E6CC6" w:rsidRPr="00D1154C">
              <w:rPr>
                <w:rFonts w:ascii="Arial" w:eastAsiaTheme="minorHAnsi" w:hAnsi="Arial" w:cs="Arial"/>
                <w:sz w:val="17"/>
                <w:szCs w:val="17"/>
                <w:lang w:val="en-US" w:eastAsia="en-US"/>
              </w:rPr>
              <w:t>number of healthcare provider</w:t>
            </w:r>
            <w:r w:rsidR="00FA664C" w:rsidRPr="00D1154C">
              <w:rPr>
                <w:rFonts w:ascii="Arial" w:eastAsiaTheme="minorHAnsi" w:hAnsi="Arial" w:cs="Arial"/>
                <w:sz w:val="17"/>
                <w:szCs w:val="17"/>
                <w:lang w:val="en-US" w:eastAsia="en-US"/>
              </w:rPr>
              <w:t xml:space="preserve"> (HCP) cross views</w:t>
            </w:r>
            <w:r w:rsidR="005C78DF" w:rsidRPr="00D1154C">
              <w:rPr>
                <w:rStyle w:val="FootnoteReference"/>
                <w:rFonts w:eastAsiaTheme="minorHAnsi" w:cs="Arial"/>
                <w:sz w:val="17"/>
                <w:szCs w:val="17"/>
                <w:lang w:val="en-US" w:eastAsia="en-US"/>
              </w:rPr>
              <w:footnoteReference w:id="4"/>
            </w:r>
            <w:r w:rsidR="00FA664C" w:rsidRPr="00D1154C">
              <w:rPr>
                <w:rFonts w:ascii="Arial" w:eastAsiaTheme="minorHAnsi" w:hAnsi="Arial" w:cs="Arial"/>
                <w:sz w:val="17"/>
                <w:szCs w:val="17"/>
                <w:lang w:val="en-US" w:eastAsia="en-US"/>
              </w:rPr>
              <w:t xml:space="preserve"> in MHR</w:t>
            </w:r>
            <w:r w:rsidR="005C78DF" w:rsidRPr="00D1154C">
              <w:rPr>
                <w:rFonts w:ascii="Arial" w:eastAsiaTheme="minorHAnsi" w:hAnsi="Arial" w:cs="Arial"/>
                <w:sz w:val="17"/>
                <w:szCs w:val="17"/>
                <w:lang w:val="en-US" w:eastAsia="en-US"/>
              </w:rPr>
              <w:t xml:space="preserve"> c</w:t>
            </w:r>
            <w:r w:rsidR="00FA664C" w:rsidRPr="00D1154C">
              <w:rPr>
                <w:rFonts w:ascii="Arial" w:eastAsiaTheme="minorHAnsi" w:hAnsi="Arial" w:cs="Arial"/>
                <w:sz w:val="17"/>
                <w:szCs w:val="17"/>
                <w:lang w:val="en-US" w:eastAsia="en-US"/>
              </w:rPr>
              <w:t>ompared to</w:t>
            </w:r>
            <w:r w:rsidR="005C78DF" w:rsidRPr="00D1154C">
              <w:rPr>
                <w:rFonts w:ascii="Arial" w:eastAsiaTheme="minorHAnsi" w:hAnsi="Arial" w:cs="Arial"/>
                <w:sz w:val="17"/>
                <w:szCs w:val="17"/>
                <w:lang w:val="en-US" w:eastAsia="en-US"/>
              </w:rPr>
              <w:t xml:space="preserve"> the</w:t>
            </w:r>
            <w:r w:rsidR="00FA664C" w:rsidRPr="00D1154C">
              <w:rPr>
                <w:rFonts w:ascii="Arial" w:eastAsiaTheme="minorHAnsi" w:hAnsi="Arial" w:cs="Arial"/>
                <w:sz w:val="17"/>
                <w:szCs w:val="17"/>
                <w:lang w:val="en-US" w:eastAsia="en-US"/>
              </w:rPr>
              <w:t xml:space="preserve"> </w:t>
            </w:r>
            <w:r w:rsidRPr="00D1154C">
              <w:rPr>
                <w:rFonts w:ascii="Arial" w:eastAsiaTheme="minorHAnsi" w:hAnsi="Arial" w:cs="Arial"/>
                <w:sz w:val="17"/>
                <w:szCs w:val="17"/>
                <w:lang w:val="en-US" w:eastAsia="en-US"/>
              </w:rPr>
              <w:t>previous financial year</w:t>
            </w:r>
            <w:r w:rsidR="00FA664C" w:rsidRPr="00D1154C">
              <w:rPr>
                <w:rFonts w:ascii="Arial" w:eastAsiaTheme="minorHAnsi" w:hAnsi="Arial" w:cs="Arial"/>
                <w:sz w:val="17"/>
                <w:szCs w:val="17"/>
                <w:lang w:val="en-US" w:eastAsia="en-US"/>
              </w:rPr>
              <w:t>.</w:t>
            </w:r>
            <w:bookmarkEnd w:id="6"/>
          </w:p>
          <w:p w14:paraId="19C90581" w14:textId="6FECF6B4" w:rsidR="00EB495F" w:rsidRPr="00D1154C" w:rsidRDefault="005C78DF" w:rsidP="007A607E">
            <w:pPr>
              <w:pStyle w:val="Tabletextmeasures85pt"/>
              <w:rPr>
                <w:color w:val="auto"/>
              </w:rPr>
            </w:pPr>
            <w:r w:rsidRPr="00D1154C">
              <w:rPr>
                <w:rFonts w:eastAsiaTheme="minorHAnsi"/>
                <w:lang w:val="en-US" w:eastAsia="en-US"/>
              </w:rPr>
              <w:t>D</w:t>
            </w:r>
            <w:r w:rsidR="00FA664C" w:rsidRPr="00D1154C">
              <w:rPr>
                <w:rFonts w:eastAsiaTheme="minorHAnsi"/>
                <w:lang w:val="en-US" w:eastAsia="en-US"/>
              </w:rPr>
              <w:t xml:space="preserve">emonstrate implementation of the Agency’s responsibilities under the National Health Interoperability Implementation Plan </w:t>
            </w:r>
            <w:r w:rsidRPr="00D1154C">
              <w:rPr>
                <w:rFonts w:eastAsiaTheme="minorHAnsi"/>
                <w:lang w:eastAsia="en-US"/>
              </w:rPr>
              <w:t>by completing</w:t>
            </w:r>
            <w:r w:rsidR="00FA664C" w:rsidRPr="00D1154C">
              <w:rPr>
                <w:rFonts w:eastAsiaTheme="minorHAnsi"/>
                <w:lang w:eastAsia="en-US"/>
              </w:rPr>
              <w:t xml:space="preserve"> a case study into the standards catalogue.</w:t>
            </w:r>
          </w:p>
        </w:tc>
        <w:tc>
          <w:tcPr>
            <w:tcW w:w="1641" w:type="pct"/>
            <w:shd w:val="clear" w:color="auto" w:fill="auto"/>
            <w:tcMar>
              <w:left w:w="85" w:type="dxa"/>
            </w:tcMar>
          </w:tcPr>
          <w:p w14:paraId="110E6624" w14:textId="28B8F6CB" w:rsidR="00FA664C" w:rsidRPr="00D1154C" w:rsidRDefault="005C78DF" w:rsidP="007A607E">
            <w:pPr>
              <w:pStyle w:val="Tableheadingrowmeasures85pt"/>
              <w:keepNext/>
              <w:rPr>
                <w:rFonts w:eastAsiaTheme="minorHAnsi"/>
                <w:b w:val="0"/>
                <w:lang w:val="en-US"/>
              </w:rPr>
            </w:pPr>
            <w:r w:rsidRPr="00D1154C">
              <w:rPr>
                <w:rFonts w:eastAsiaTheme="minorHAnsi"/>
                <w:b w:val="0"/>
              </w:rPr>
              <w:t xml:space="preserve">Commence </w:t>
            </w:r>
            <w:r w:rsidRPr="00D1154C">
              <w:rPr>
                <w:rFonts w:eastAsiaTheme="minorHAnsi"/>
                <w:b w:val="0"/>
                <w:bCs/>
                <w:lang w:val="en-US"/>
              </w:rPr>
              <w:t>a</w:t>
            </w:r>
            <w:r w:rsidR="00FA664C" w:rsidRPr="00D1154C">
              <w:rPr>
                <w:rFonts w:eastAsiaTheme="minorHAnsi"/>
                <w:b w:val="0"/>
                <w:bCs/>
                <w:lang w:val="en-US"/>
              </w:rPr>
              <w:t>pplication and testing of MHR meaningful use index compared to developed baseline.</w:t>
            </w:r>
          </w:p>
          <w:p w14:paraId="5DCBBB18" w14:textId="1C668C59" w:rsidR="00FA664C" w:rsidRPr="00D1154C" w:rsidRDefault="00066289" w:rsidP="007A607E">
            <w:pPr>
              <w:pStyle w:val="Tableheadingrowmeasures85pt"/>
              <w:keepNext/>
              <w:rPr>
                <w:b w:val="0"/>
                <w:lang w:val="en-US"/>
              </w:rPr>
            </w:pPr>
            <w:r w:rsidRPr="00D1154C">
              <w:rPr>
                <w:rFonts w:eastAsiaTheme="minorHAnsi"/>
                <w:b w:val="0"/>
                <w:lang w:val="en-US"/>
              </w:rPr>
              <w:t>20%</w:t>
            </w:r>
            <w:r w:rsidR="00FA664C" w:rsidRPr="00D1154C">
              <w:rPr>
                <w:rFonts w:eastAsiaTheme="minorHAnsi"/>
                <w:b w:val="0"/>
                <w:lang w:val="en-US"/>
              </w:rPr>
              <w:t xml:space="preserve"> </w:t>
            </w:r>
            <w:r w:rsidR="005C78DF" w:rsidRPr="00D1154C">
              <w:rPr>
                <w:rFonts w:eastAsiaTheme="minorHAnsi"/>
                <w:b w:val="0"/>
                <w:lang w:val="en-US"/>
              </w:rPr>
              <w:t>i</w:t>
            </w:r>
            <w:r w:rsidR="00FA664C" w:rsidRPr="00D1154C">
              <w:rPr>
                <w:rFonts w:eastAsiaTheme="minorHAnsi"/>
                <w:b w:val="0"/>
                <w:lang w:val="en-US"/>
              </w:rPr>
              <w:t xml:space="preserve">ncrease in the number of </w:t>
            </w:r>
            <w:r w:rsidR="005C78DF" w:rsidRPr="00D1154C">
              <w:rPr>
                <w:rFonts w:eastAsiaTheme="minorHAnsi"/>
                <w:b w:val="0"/>
                <w:lang w:val="en-US"/>
              </w:rPr>
              <w:t>HCP</w:t>
            </w:r>
            <w:r w:rsidR="00FA664C" w:rsidRPr="00D1154C">
              <w:rPr>
                <w:rFonts w:eastAsiaTheme="minorHAnsi"/>
                <w:b w:val="0"/>
                <w:lang w:val="en-US"/>
              </w:rPr>
              <w:t xml:space="preserve"> cross vi</w:t>
            </w:r>
            <w:r w:rsidR="005C78DF" w:rsidRPr="00D1154C">
              <w:rPr>
                <w:rFonts w:eastAsiaTheme="minorHAnsi"/>
                <w:b w:val="0"/>
                <w:lang w:val="en-US"/>
              </w:rPr>
              <w:t>ews in MHR c</w:t>
            </w:r>
            <w:r w:rsidR="00FA664C" w:rsidRPr="00D1154C">
              <w:rPr>
                <w:rFonts w:eastAsiaTheme="minorHAnsi"/>
                <w:b w:val="0"/>
                <w:lang w:val="en-US"/>
              </w:rPr>
              <w:t>omp</w:t>
            </w:r>
            <w:r w:rsidR="005C78DF" w:rsidRPr="00D1154C">
              <w:rPr>
                <w:rFonts w:eastAsiaTheme="minorHAnsi"/>
                <w:b w:val="0"/>
                <w:lang w:val="en-US"/>
              </w:rPr>
              <w:t>ared to the previous financial year</w:t>
            </w:r>
            <w:r w:rsidR="00FA664C" w:rsidRPr="00D1154C">
              <w:rPr>
                <w:rFonts w:eastAsiaTheme="minorHAnsi"/>
                <w:b w:val="0"/>
                <w:lang w:val="en-US"/>
              </w:rPr>
              <w:t>.</w:t>
            </w:r>
          </w:p>
          <w:p w14:paraId="4FE4F31D" w14:textId="7B86EEDA" w:rsidR="00D97E1B" w:rsidRPr="00D1154C" w:rsidRDefault="00FA664C" w:rsidP="007A607E">
            <w:pPr>
              <w:spacing w:before="40" w:after="40"/>
              <w:rPr>
                <w:rFonts w:ascii="Arial" w:eastAsiaTheme="minorHAnsi" w:hAnsi="Arial" w:cs="Arial"/>
                <w:color w:val="auto"/>
                <w:sz w:val="17"/>
                <w:szCs w:val="17"/>
                <w:lang w:eastAsia="en-US"/>
              </w:rPr>
            </w:pPr>
            <w:r w:rsidRPr="00D1154C">
              <w:rPr>
                <w:rFonts w:ascii="Arial" w:eastAsiaTheme="minorHAnsi" w:hAnsi="Arial" w:cs="Arial"/>
                <w:sz w:val="17"/>
                <w:szCs w:val="17"/>
                <w:lang w:eastAsia="en-US"/>
              </w:rPr>
              <w:t>Implement the Agency’s responsibilities under the National Healthcare Interoperability Plan</w:t>
            </w:r>
            <w:r w:rsidR="007E6CC6" w:rsidRPr="00D1154C">
              <w:rPr>
                <w:rFonts w:ascii="Arial" w:eastAsiaTheme="minorHAnsi" w:hAnsi="Arial" w:cs="Arial"/>
                <w:sz w:val="17"/>
                <w:szCs w:val="17"/>
                <w:lang w:eastAsia="en-US"/>
              </w:rPr>
              <w:t>,</w:t>
            </w:r>
            <w:r w:rsidRPr="00D1154C">
              <w:rPr>
                <w:rFonts w:ascii="Arial" w:eastAsiaTheme="minorHAnsi" w:hAnsi="Arial" w:cs="Arial"/>
                <w:sz w:val="17"/>
                <w:szCs w:val="17"/>
                <w:lang w:eastAsia="en-US"/>
              </w:rPr>
              <w:t xml:space="preserve"> demonstrated by a case study into application of the National Interoperability Procurement guidance</w:t>
            </w:r>
            <w:r w:rsidR="00D128AD" w:rsidRPr="00D1154C">
              <w:rPr>
                <w:rFonts w:ascii="Arial" w:eastAsiaTheme="minorHAnsi" w:hAnsi="Arial" w:cs="Arial"/>
                <w:sz w:val="17"/>
                <w:szCs w:val="17"/>
                <w:lang w:eastAsia="en-US"/>
              </w:rPr>
              <w:t>.</w:t>
            </w:r>
          </w:p>
        </w:tc>
      </w:tr>
      <w:tr w:rsidR="00EB495F" w:rsidRPr="00A86D5D" w14:paraId="54B2380D" w14:textId="77777777" w:rsidTr="00BD1814">
        <w:trPr>
          <w:trHeight w:val="70"/>
          <w:jc w:val="center"/>
        </w:trPr>
        <w:tc>
          <w:tcPr>
            <w:tcW w:w="5000" w:type="pct"/>
            <w:gridSpan w:val="3"/>
            <w:shd w:val="clear" w:color="auto" w:fill="D9D9D9" w:themeFill="background1" w:themeFillShade="D9"/>
            <w:tcMar>
              <w:left w:w="85" w:type="dxa"/>
            </w:tcMar>
            <w:vAlign w:val="center"/>
          </w:tcPr>
          <w:p w14:paraId="0E7FB793" w14:textId="0EB5809E" w:rsidR="003437EF" w:rsidRPr="00D1154C" w:rsidRDefault="008A6435" w:rsidP="008A6435">
            <w:pPr>
              <w:pStyle w:val="Tableheadingrowmeasures85pt"/>
              <w:rPr>
                <w:color w:val="auto"/>
              </w:rPr>
            </w:pPr>
            <w:r w:rsidRPr="00D1154C">
              <w:rPr>
                <w:color w:val="auto"/>
              </w:rPr>
              <w:t>E</w:t>
            </w:r>
            <w:r w:rsidR="00FE399B" w:rsidRPr="00D1154C">
              <w:rPr>
                <w:color w:val="auto"/>
              </w:rPr>
              <w:t>nsure d</w:t>
            </w:r>
            <w:r w:rsidR="00D4021C" w:rsidRPr="00D1154C">
              <w:rPr>
                <w:color w:val="auto"/>
              </w:rPr>
              <w:t>igital health services, systems and products are sustainable and cost effective.</w:t>
            </w:r>
          </w:p>
        </w:tc>
      </w:tr>
      <w:tr w:rsidR="00422DD0" w:rsidRPr="00A86D5D" w14:paraId="7E583829" w14:textId="77777777" w:rsidTr="00BD1814">
        <w:trPr>
          <w:trHeight w:val="283"/>
          <w:jc w:val="center"/>
        </w:trPr>
        <w:tc>
          <w:tcPr>
            <w:tcW w:w="1726" w:type="pct"/>
            <w:tcMar>
              <w:left w:w="85" w:type="dxa"/>
            </w:tcMar>
          </w:tcPr>
          <w:p w14:paraId="541D26A9" w14:textId="3B0C218D" w:rsidR="00422DD0" w:rsidRPr="00D1154C" w:rsidRDefault="004410EA" w:rsidP="00434171">
            <w:pPr>
              <w:pStyle w:val="Tableheadingrowmeasures85pt"/>
              <w:keepNext/>
              <w:rPr>
                <w:color w:val="auto"/>
              </w:rPr>
            </w:pPr>
            <w:r w:rsidRPr="00D1154C">
              <w:t>P</w:t>
            </w:r>
            <w:r w:rsidR="00434171" w:rsidRPr="00D1154C">
              <w:t>rior</w:t>
            </w:r>
            <w:r w:rsidR="00214AFF" w:rsidRPr="00D1154C">
              <w:t xml:space="preserve"> Year</w:t>
            </w:r>
            <w:r w:rsidR="00214AFF" w:rsidRPr="00D1154C">
              <w:br/>
            </w:r>
            <w:r w:rsidR="00422DD0" w:rsidRPr="00D1154C">
              <w:t>2021</w:t>
            </w:r>
            <w:r w:rsidR="00643FDF" w:rsidRPr="00D1154C">
              <w:t>–</w:t>
            </w:r>
            <w:r w:rsidR="003437EF" w:rsidRPr="00D1154C">
              <w:t xml:space="preserve">22 </w:t>
            </w:r>
            <w:r w:rsidR="00DF3A82" w:rsidRPr="00D1154C">
              <w:rPr>
                <w:color w:val="auto"/>
              </w:rPr>
              <w:t xml:space="preserve">Expected </w:t>
            </w:r>
            <w:r w:rsidR="003437EF" w:rsidRPr="00D1154C">
              <w:t>Performance Results</w:t>
            </w:r>
          </w:p>
        </w:tc>
        <w:tc>
          <w:tcPr>
            <w:tcW w:w="1633" w:type="pct"/>
            <w:shd w:val="clear" w:color="auto" w:fill="auto"/>
            <w:tcMar>
              <w:left w:w="85" w:type="dxa"/>
            </w:tcMar>
          </w:tcPr>
          <w:p w14:paraId="7D60F65C" w14:textId="49FA8913" w:rsidR="00422DD0" w:rsidRPr="00D1154C" w:rsidRDefault="00214AFF" w:rsidP="00422DD0">
            <w:pPr>
              <w:pStyle w:val="Tableheadingrowmeasures85pt"/>
              <w:keepNext/>
              <w:rPr>
                <w:color w:val="auto"/>
              </w:rPr>
            </w:pPr>
            <w:r w:rsidRPr="00D1154C">
              <w:t>Budget Year</w:t>
            </w:r>
            <w:r w:rsidRPr="00D1154C">
              <w:br/>
            </w:r>
            <w:r w:rsidR="00422DD0" w:rsidRPr="00D1154C">
              <w:t>2022</w:t>
            </w:r>
            <w:r w:rsidR="00643FDF" w:rsidRPr="00D1154C">
              <w:t>–</w:t>
            </w:r>
            <w:r w:rsidR="003437EF" w:rsidRPr="00D1154C">
              <w:t>23 Planned Performance Results</w:t>
            </w:r>
          </w:p>
        </w:tc>
        <w:tc>
          <w:tcPr>
            <w:tcW w:w="1641" w:type="pct"/>
            <w:shd w:val="clear" w:color="auto" w:fill="auto"/>
            <w:tcMar>
              <w:left w:w="85" w:type="dxa"/>
            </w:tcMar>
          </w:tcPr>
          <w:p w14:paraId="0BD826E1" w14:textId="1839B65A" w:rsidR="00422DD0" w:rsidRPr="00D1154C" w:rsidRDefault="00214AFF" w:rsidP="00422DD0">
            <w:pPr>
              <w:pStyle w:val="Tableheadingrowmeasures85pt"/>
              <w:keepNext/>
              <w:rPr>
                <w:color w:val="auto"/>
              </w:rPr>
            </w:pPr>
            <w:r w:rsidRPr="00D1154C">
              <w:t>Forward Estimates</w:t>
            </w:r>
            <w:r w:rsidRPr="00D1154C">
              <w:br/>
            </w:r>
            <w:r w:rsidR="00422DD0" w:rsidRPr="00D1154C">
              <w:t>2023</w:t>
            </w:r>
            <w:r w:rsidR="00643FDF" w:rsidRPr="00D1154C">
              <w:t>–</w:t>
            </w:r>
            <w:r w:rsidRPr="00D1154C">
              <w:t xml:space="preserve">26 </w:t>
            </w:r>
            <w:r w:rsidR="003437EF" w:rsidRPr="00D1154C">
              <w:t>Planned Performance Results</w:t>
            </w:r>
          </w:p>
        </w:tc>
      </w:tr>
      <w:tr w:rsidR="00422DD0" w:rsidRPr="00A86D5D" w14:paraId="52F45E6F" w14:textId="77777777" w:rsidTr="00BD1814">
        <w:trPr>
          <w:trHeight w:val="283"/>
          <w:jc w:val="center"/>
        </w:trPr>
        <w:tc>
          <w:tcPr>
            <w:tcW w:w="1726" w:type="pct"/>
            <w:tcMar>
              <w:left w:w="85" w:type="dxa"/>
            </w:tcMar>
          </w:tcPr>
          <w:p w14:paraId="196F8677" w14:textId="71DF7424" w:rsidR="00422DD0" w:rsidRPr="00D1154C" w:rsidRDefault="00D4021C" w:rsidP="00422DD0">
            <w:pPr>
              <w:pStyle w:val="Tabletextmeasures85pt"/>
              <w:rPr>
                <w:color w:val="auto"/>
                <w:highlight w:val="yellow"/>
              </w:rPr>
            </w:pPr>
            <w:r w:rsidRPr="00D1154C">
              <w:t>N/A</w:t>
            </w:r>
            <w:r w:rsidRPr="00D1154C">
              <w:rPr>
                <w:rStyle w:val="FootnoteReference"/>
                <w:sz w:val="17"/>
              </w:rPr>
              <w:footnoteReference w:id="5"/>
            </w:r>
          </w:p>
        </w:tc>
        <w:tc>
          <w:tcPr>
            <w:tcW w:w="1633" w:type="pct"/>
            <w:shd w:val="clear" w:color="auto" w:fill="auto"/>
            <w:tcMar>
              <w:left w:w="85" w:type="dxa"/>
            </w:tcMar>
          </w:tcPr>
          <w:p w14:paraId="7A55EA1D" w14:textId="01D85E6D" w:rsidR="00FA664C" w:rsidRPr="00D1154C" w:rsidRDefault="00FA664C" w:rsidP="00FA664C">
            <w:pPr>
              <w:spacing w:before="40" w:after="40"/>
              <w:rPr>
                <w:rFonts w:ascii="Arial" w:eastAsiaTheme="minorHAnsi" w:hAnsi="Arial" w:cs="Arial"/>
                <w:sz w:val="17"/>
                <w:szCs w:val="17"/>
                <w:lang w:val="en-US" w:eastAsia="en-US"/>
              </w:rPr>
            </w:pPr>
            <w:r w:rsidRPr="00D1154C">
              <w:rPr>
                <w:rFonts w:ascii="Arial" w:eastAsiaTheme="minorHAnsi" w:hAnsi="Arial" w:cs="Arial"/>
                <w:sz w:val="17"/>
                <w:szCs w:val="17"/>
                <w:lang w:val="en-US" w:eastAsia="en-US"/>
              </w:rPr>
              <w:t xml:space="preserve">Establish an approach and baseline for measuring annual estimated </w:t>
            </w:r>
            <w:r w:rsidR="00977906" w:rsidRPr="00D1154C">
              <w:rPr>
                <w:rFonts w:ascii="Arial" w:eastAsiaTheme="minorHAnsi" w:hAnsi="Arial" w:cs="Arial"/>
                <w:sz w:val="17"/>
                <w:szCs w:val="17"/>
                <w:lang w:val="en-US" w:eastAsia="en-US"/>
              </w:rPr>
              <w:t>d</w:t>
            </w:r>
            <w:r w:rsidRPr="00D1154C">
              <w:rPr>
                <w:rFonts w:ascii="Arial" w:eastAsiaTheme="minorHAnsi" w:hAnsi="Arial" w:cs="Arial"/>
                <w:sz w:val="17"/>
                <w:szCs w:val="17"/>
                <w:lang w:val="en-US" w:eastAsia="en-US"/>
              </w:rPr>
              <w:t xml:space="preserve">igital </w:t>
            </w:r>
            <w:r w:rsidR="00977906" w:rsidRPr="00D1154C">
              <w:rPr>
                <w:rFonts w:ascii="Arial" w:eastAsiaTheme="minorHAnsi" w:hAnsi="Arial" w:cs="Arial"/>
                <w:sz w:val="17"/>
                <w:szCs w:val="17"/>
                <w:lang w:val="en-US" w:eastAsia="en-US"/>
              </w:rPr>
              <w:t>h</w:t>
            </w:r>
            <w:r w:rsidRPr="00D1154C">
              <w:rPr>
                <w:rFonts w:ascii="Arial" w:eastAsiaTheme="minorHAnsi" w:hAnsi="Arial" w:cs="Arial"/>
                <w:sz w:val="17"/>
                <w:szCs w:val="17"/>
                <w:lang w:val="en-US" w:eastAsia="en-US"/>
              </w:rPr>
              <w:t>ealth benefits</w:t>
            </w:r>
            <w:r w:rsidR="00040B16" w:rsidRPr="00D1154C">
              <w:rPr>
                <w:rStyle w:val="FootnoteReference"/>
                <w:rFonts w:eastAsiaTheme="minorHAnsi" w:cs="Arial"/>
                <w:sz w:val="17"/>
                <w:szCs w:val="17"/>
                <w:lang w:val="en-US" w:eastAsia="en-US"/>
              </w:rPr>
              <w:footnoteReference w:id="6"/>
            </w:r>
            <w:r w:rsidRPr="00D1154C">
              <w:rPr>
                <w:rFonts w:ascii="Arial" w:eastAsiaTheme="minorHAnsi" w:hAnsi="Arial" w:cs="Arial"/>
                <w:sz w:val="17"/>
                <w:szCs w:val="17"/>
                <w:lang w:val="en-US" w:eastAsia="en-US"/>
              </w:rPr>
              <w:t xml:space="preserve"> </w:t>
            </w:r>
            <w:proofErr w:type="spellStart"/>
            <w:r w:rsidRPr="00D1154C">
              <w:rPr>
                <w:rFonts w:ascii="Arial" w:eastAsiaTheme="minorHAnsi" w:hAnsi="Arial" w:cs="Arial"/>
                <w:sz w:val="17"/>
                <w:szCs w:val="17"/>
                <w:lang w:val="en-US" w:eastAsia="en-US"/>
              </w:rPr>
              <w:t>re</w:t>
            </w:r>
            <w:r w:rsidR="00066289" w:rsidRPr="00D1154C">
              <w:rPr>
                <w:rFonts w:ascii="Arial" w:eastAsiaTheme="minorHAnsi" w:hAnsi="Arial" w:cs="Arial"/>
                <w:sz w:val="17"/>
                <w:szCs w:val="17"/>
                <w:lang w:val="en-US" w:eastAsia="en-US"/>
              </w:rPr>
              <w:t>alised</w:t>
            </w:r>
            <w:proofErr w:type="spellEnd"/>
            <w:r w:rsidRPr="00D1154C">
              <w:rPr>
                <w:rFonts w:ascii="Arial" w:eastAsiaTheme="minorHAnsi" w:hAnsi="Arial" w:cs="Arial"/>
                <w:sz w:val="17"/>
                <w:szCs w:val="17"/>
                <w:lang w:val="en-US" w:eastAsia="en-US"/>
              </w:rPr>
              <w:t>.</w:t>
            </w:r>
          </w:p>
          <w:p w14:paraId="4D034D2D" w14:textId="77777777" w:rsidR="00FA664C" w:rsidRPr="00D1154C" w:rsidRDefault="00FA664C" w:rsidP="00FA664C">
            <w:pPr>
              <w:spacing w:before="40" w:after="40"/>
              <w:rPr>
                <w:rFonts w:ascii="Arial" w:hAnsi="Arial" w:cs="Arial"/>
                <w:sz w:val="17"/>
                <w:szCs w:val="17"/>
                <w:lang w:val="en-US"/>
              </w:rPr>
            </w:pPr>
            <w:r w:rsidRPr="00D1154C">
              <w:rPr>
                <w:rFonts w:ascii="Arial" w:hAnsi="Arial" w:cs="Arial"/>
                <w:sz w:val="17"/>
                <w:szCs w:val="17"/>
                <w:lang w:val="en-US"/>
              </w:rPr>
              <w:t xml:space="preserve">Establish approach and baseline for measuring </w:t>
            </w:r>
            <w:r w:rsidRPr="00D1154C">
              <w:rPr>
                <w:rFonts w:ascii="Arial" w:hAnsi="Arial" w:cs="Arial"/>
                <w:sz w:val="17"/>
                <w:szCs w:val="17"/>
                <w:lang w:val="en-US"/>
              </w:rPr>
              <w:br/>
              <w:t>cost-effective digital health infrastructure through a partnership value index</w:t>
            </w:r>
            <w:r w:rsidRPr="00D1154C">
              <w:rPr>
                <w:rStyle w:val="FootnoteReference"/>
                <w:rFonts w:cs="Arial"/>
                <w:sz w:val="17"/>
                <w:szCs w:val="17"/>
                <w:lang w:val="en-US"/>
              </w:rPr>
              <w:footnoteReference w:id="7"/>
            </w:r>
            <w:r w:rsidRPr="00D1154C">
              <w:rPr>
                <w:rFonts w:ascii="Arial" w:hAnsi="Arial" w:cs="Arial"/>
                <w:sz w:val="17"/>
                <w:szCs w:val="17"/>
                <w:lang w:val="en-US"/>
              </w:rPr>
              <w:t xml:space="preserve">. </w:t>
            </w:r>
          </w:p>
          <w:p w14:paraId="66864996" w14:textId="62FB19C3" w:rsidR="00422DD0" w:rsidRPr="00D1154C" w:rsidRDefault="00D4021C" w:rsidP="00FA664C">
            <w:pPr>
              <w:pStyle w:val="Tabletextmeasures85pt"/>
              <w:rPr>
                <w:color w:val="auto"/>
                <w:highlight w:val="yellow"/>
              </w:rPr>
            </w:pPr>
            <w:r w:rsidRPr="00D1154C">
              <w:rPr>
                <w:lang w:val="en-US"/>
              </w:rPr>
              <w:t>Conduct 40 train the trainer sessions and capacity building workshops</w:t>
            </w:r>
            <w:r w:rsidR="00167BE0" w:rsidRPr="00D1154C">
              <w:rPr>
                <w:lang w:val="en-US"/>
              </w:rPr>
              <w:t>, with a 90% approval rating,</w:t>
            </w:r>
            <w:r w:rsidR="00FA664C" w:rsidRPr="00D1154C">
              <w:rPr>
                <w:lang w:val="en-US"/>
              </w:rPr>
              <w:t xml:space="preserve"> to facilitate sustainable national digital health literacy and awareness.</w:t>
            </w:r>
          </w:p>
        </w:tc>
        <w:tc>
          <w:tcPr>
            <w:tcW w:w="1641" w:type="pct"/>
            <w:shd w:val="clear" w:color="auto" w:fill="auto"/>
            <w:tcMar>
              <w:left w:w="85" w:type="dxa"/>
            </w:tcMar>
          </w:tcPr>
          <w:p w14:paraId="232118EE" w14:textId="5A489830" w:rsidR="00040B16" w:rsidRPr="00D1154C" w:rsidRDefault="00CA3B60" w:rsidP="00040B16">
            <w:pPr>
              <w:spacing w:before="40" w:after="40"/>
              <w:rPr>
                <w:rFonts w:ascii="Arial" w:eastAsiaTheme="minorHAnsi" w:hAnsi="Arial" w:cs="Arial"/>
                <w:sz w:val="17"/>
                <w:szCs w:val="17"/>
                <w:lang w:val="en-US" w:eastAsia="en-US"/>
              </w:rPr>
            </w:pPr>
            <w:r w:rsidRPr="00D1154C">
              <w:rPr>
                <w:rFonts w:ascii="Arial" w:eastAsiaTheme="minorHAnsi" w:hAnsi="Arial" w:cs="Arial"/>
                <w:sz w:val="17"/>
                <w:szCs w:val="17"/>
                <w:lang w:val="en-US" w:eastAsia="en-US"/>
              </w:rPr>
              <w:t>A p</w:t>
            </w:r>
            <w:r w:rsidR="00066289" w:rsidRPr="00D1154C">
              <w:rPr>
                <w:rFonts w:ascii="Arial" w:eastAsiaTheme="minorHAnsi" w:hAnsi="Arial" w:cs="Arial"/>
                <w:sz w:val="17"/>
                <w:szCs w:val="17"/>
                <w:lang w:val="en-US" w:eastAsia="en-US"/>
              </w:rPr>
              <w:t>ercentage</w:t>
            </w:r>
            <w:r w:rsidR="00066289" w:rsidRPr="00D1154C">
              <w:rPr>
                <w:rStyle w:val="FootnoteReference"/>
                <w:rFonts w:eastAsiaTheme="minorHAnsi" w:cs="Arial"/>
                <w:sz w:val="17"/>
                <w:szCs w:val="17"/>
                <w:lang w:val="en-US" w:eastAsia="en-US"/>
              </w:rPr>
              <w:footnoteReference w:id="8"/>
            </w:r>
            <w:r w:rsidR="00066289" w:rsidRPr="00D1154C">
              <w:rPr>
                <w:rFonts w:ascii="Arial" w:eastAsiaTheme="minorHAnsi" w:hAnsi="Arial" w:cs="Arial"/>
                <w:sz w:val="17"/>
                <w:szCs w:val="17"/>
                <w:lang w:val="en-US" w:eastAsia="en-US"/>
              </w:rPr>
              <w:t xml:space="preserve"> of</w:t>
            </w:r>
            <w:r w:rsidR="00040B16" w:rsidRPr="00D1154C">
              <w:rPr>
                <w:rFonts w:ascii="Arial" w:eastAsiaTheme="minorHAnsi" w:hAnsi="Arial" w:cs="Arial"/>
                <w:sz w:val="17"/>
                <w:szCs w:val="17"/>
                <w:lang w:val="en-US" w:eastAsia="en-US"/>
              </w:rPr>
              <w:t xml:space="preserve"> annual projected </w:t>
            </w:r>
            <w:r w:rsidR="00977906" w:rsidRPr="00D1154C">
              <w:rPr>
                <w:rFonts w:ascii="Arial" w:eastAsiaTheme="minorHAnsi" w:hAnsi="Arial" w:cs="Arial"/>
                <w:sz w:val="17"/>
                <w:szCs w:val="17"/>
                <w:lang w:val="en-US" w:eastAsia="en-US"/>
              </w:rPr>
              <w:t>d</w:t>
            </w:r>
            <w:r w:rsidR="00040B16" w:rsidRPr="00D1154C">
              <w:rPr>
                <w:rFonts w:ascii="Arial" w:eastAsiaTheme="minorHAnsi" w:hAnsi="Arial" w:cs="Arial"/>
                <w:sz w:val="17"/>
                <w:szCs w:val="17"/>
                <w:lang w:val="en-US" w:eastAsia="en-US"/>
              </w:rPr>
              <w:t xml:space="preserve">igital </w:t>
            </w:r>
            <w:r w:rsidR="00977906" w:rsidRPr="00D1154C">
              <w:rPr>
                <w:rFonts w:ascii="Arial" w:eastAsiaTheme="minorHAnsi" w:hAnsi="Arial" w:cs="Arial"/>
                <w:sz w:val="17"/>
                <w:szCs w:val="17"/>
                <w:lang w:val="en-US" w:eastAsia="en-US"/>
              </w:rPr>
              <w:t>h</w:t>
            </w:r>
            <w:r w:rsidR="00040B16" w:rsidRPr="00D1154C">
              <w:rPr>
                <w:rFonts w:ascii="Arial" w:eastAsiaTheme="minorHAnsi" w:hAnsi="Arial" w:cs="Arial"/>
                <w:sz w:val="17"/>
                <w:szCs w:val="17"/>
                <w:lang w:val="en-US" w:eastAsia="en-US"/>
              </w:rPr>
              <w:t xml:space="preserve">ealth benefits </w:t>
            </w:r>
            <w:proofErr w:type="spellStart"/>
            <w:r w:rsidR="00040B16" w:rsidRPr="00D1154C">
              <w:rPr>
                <w:rFonts w:ascii="Arial" w:eastAsiaTheme="minorHAnsi" w:hAnsi="Arial" w:cs="Arial"/>
                <w:sz w:val="17"/>
                <w:szCs w:val="17"/>
                <w:lang w:val="en-US" w:eastAsia="en-US"/>
              </w:rPr>
              <w:t>re</w:t>
            </w:r>
            <w:r w:rsidRPr="00D1154C">
              <w:rPr>
                <w:rFonts w:ascii="Arial" w:eastAsiaTheme="minorHAnsi" w:hAnsi="Arial" w:cs="Arial"/>
                <w:sz w:val="17"/>
                <w:szCs w:val="17"/>
                <w:lang w:val="en-US" w:eastAsia="en-US"/>
              </w:rPr>
              <w:t>alised</w:t>
            </w:r>
            <w:proofErr w:type="spellEnd"/>
            <w:r w:rsidR="00040B16" w:rsidRPr="00D1154C">
              <w:rPr>
                <w:rFonts w:ascii="Arial" w:eastAsiaTheme="minorHAnsi" w:hAnsi="Arial" w:cs="Arial"/>
                <w:sz w:val="17"/>
                <w:szCs w:val="17"/>
                <w:lang w:val="en-US" w:eastAsia="en-US"/>
              </w:rPr>
              <w:t xml:space="preserve">. </w:t>
            </w:r>
          </w:p>
          <w:p w14:paraId="7288AF60" w14:textId="64835D6E" w:rsidR="00040B16" w:rsidRPr="00D1154C" w:rsidRDefault="00040B16" w:rsidP="00040B16">
            <w:pPr>
              <w:spacing w:before="40" w:after="40"/>
              <w:rPr>
                <w:rFonts w:ascii="Arial" w:hAnsi="Arial" w:cs="Arial"/>
                <w:sz w:val="17"/>
                <w:szCs w:val="17"/>
                <w:lang w:val="en-US"/>
              </w:rPr>
            </w:pPr>
            <w:r w:rsidRPr="00D1154C">
              <w:rPr>
                <w:rFonts w:ascii="Arial" w:hAnsi="Arial" w:cs="Arial"/>
                <w:sz w:val="17"/>
                <w:szCs w:val="17"/>
                <w:lang w:val="en-US"/>
              </w:rPr>
              <w:t xml:space="preserve">Improvement in partnership value index compared with 2022–23 baseline. </w:t>
            </w:r>
          </w:p>
          <w:p w14:paraId="48C1EED6" w14:textId="38BF78B0" w:rsidR="00422DD0" w:rsidRPr="00D1154C" w:rsidRDefault="00167BE0" w:rsidP="00040B16">
            <w:pPr>
              <w:pStyle w:val="Tabletextmeasures85pt"/>
              <w:rPr>
                <w:lang w:val="en-US"/>
              </w:rPr>
            </w:pPr>
            <w:r w:rsidRPr="00D1154C">
              <w:rPr>
                <w:rFonts w:eastAsiaTheme="minorHAnsi"/>
                <w:lang w:eastAsia="en-US"/>
              </w:rPr>
              <w:t>Conduct a 20</w:t>
            </w:r>
            <w:r w:rsidR="00040B16" w:rsidRPr="00D1154C">
              <w:rPr>
                <w:rFonts w:eastAsiaTheme="minorHAnsi"/>
                <w:lang w:eastAsia="en-US"/>
              </w:rPr>
              <w:t>% increase in train the trainer sessions and capacity building workshops compared to prior year</w:t>
            </w:r>
            <w:r w:rsidR="00977906" w:rsidRPr="00D1154C">
              <w:rPr>
                <w:rFonts w:eastAsiaTheme="minorHAnsi"/>
                <w:lang w:eastAsia="en-US"/>
              </w:rPr>
              <w:t>,</w:t>
            </w:r>
            <w:r w:rsidR="00040B16" w:rsidRPr="00D1154C">
              <w:rPr>
                <w:rFonts w:eastAsiaTheme="minorHAnsi"/>
                <w:lang w:eastAsia="en-US"/>
              </w:rPr>
              <w:t xml:space="preserve"> with a 90% approval rating.</w:t>
            </w:r>
          </w:p>
        </w:tc>
      </w:tr>
      <w:tr w:rsidR="006B537D" w:rsidRPr="00A86D5D" w14:paraId="2ADDD01E" w14:textId="77777777" w:rsidTr="00BD1814">
        <w:trPr>
          <w:trHeight w:val="283"/>
          <w:jc w:val="center"/>
        </w:trPr>
        <w:tc>
          <w:tcPr>
            <w:tcW w:w="5000" w:type="pct"/>
            <w:gridSpan w:val="3"/>
            <w:shd w:val="clear" w:color="auto" w:fill="FFFFFF" w:themeFill="background1"/>
            <w:tcMar>
              <w:left w:w="85" w:type="dxa"/>
            </w:tcMar>
            <w:vAlign w:val="center"/>
          </w:tcPr>
          <w:p w14:paraId="57E2B6EE" w14:textId="77777777" w:rsidR="00AB3B11" w:rsidRPr="00473719" w:rsidRDefault="00AB3B11" w:rsidP="00AB3B11">
            <w:pPr>
              <w:pStyle w:val="Tableheadingrow9pt"/>
            </w:pPr>
            <w:r w:rsidRPr="00473719">
              <w:t>Material changes to Program 1.1 resulting from the following measures:</w:t>
            </w:r>
          </w:p>
          <w:p w14:paraId="2B7B0E3C" w14:textId="50E898E4" w:rsidR="006B537D" w:rsidRPr="00A86D5D" w:rsidRDefault="00AB3B11" w:rsidP="00AB3B11">
            <w:pPr>
              <w:pStyle w:val="Tableheadingrow9pt"/>
              <w:rPr>
                <w:b w:val="0"/>
                <w:color w:val="auto"/>
                <w:sz w:val="17"/>
                <w:szCs w:val="17"/>
              </w:rPr>
            </w:pPr>
            <w:r w:rsidRPr="00473719">
              <w:rPr>
                <w:b w:val="0"/>
                <w:sz w:val="17"/>
                <w:szCs w:val="17"/>
              </w:rPr>
              <w:t>There are no material changes to Program 1.1 resulting from measures.</w:t>
            </w:r>
          </w:p>
        </w:tc>
      </w:tr>
    </w:tbl>
    <w:p w14:paraId="749DF60C" w14:textId="77777777" w:rsidR="00BC0659" w:rsidRPr="00A86D5D" w:rsidRDefault="00BC0659" w:rsidP="00913388">
      <w:pPr>
        <w:rPr>
          <w:rFonts w:ascii="Arial" w:hAnsi="Arial" w:cs="Arial"/>
          <w:color w:val="auto"/>
        </w:rPr>
        <w:sectPr w:rsidR="00BC0659" w:rsidRPr="00A86D5D" w:rsidSect="00357948">
          <w:headerReference w:type="even" r:id="rId18"/>
          <w:headerReference w:type="default" r:id="rId19"/>
          <w:headerReference w:type="first" r:id="rId20"/>
          <w:pgSz w:w="11906" w:h="16838"/>
          <w:pgMar w:top="2466" w:right="2268" w:bottom="2126" w:left="2268" w:header="1899" w:footer="1899" w:gutter="0"/>
          <w:cols w:space="708"/>
          <w:docGrid w:linePitch="360"/>
        </w:sectPr>
      </w:pPr>
    </w:p>
    <w:p w14:paraId="6AF52CA8" w14:textId="0F6A7CC9" w:rsidR="00BC0659" w:rsidRPr="00A86D5D" w:rsidRDefault="00BC0659" w:rsidP="000C3248">
      <w:pPr>
        <w:pStyle w:val="Heading2"/>
      </w:pPr>
      <w:bookmarkStart w:id="7" w:name="_Toc190682315"/>
      <w:bookmarkStart w:id="8" w:name="_Toc190682532"/>
      <w:bookmarkStart w:id="9" w:name="_Toc117406465"/>
      <w:r w:rsidRPr="00A86D5D">
        <w:lastRenderedPageBreak/>
        <w:t xml:space="preserve">Section 3: Budgeted </w:t>
      </w:r>
      <w:r w:rsidR="00EF1642">
        <w:t>f</w:t>
      </w:r>
      <w:r w:rsidRPr="00A86D5D">
        <w:t xml:space="preserve">inancial </w:t>
      </w:r>
      <w:r w:rsidR="00EF1642">
        <w:t>s</w:t>
      </w:r>
      <w:r w:rsidRPr="00A86D5D">
        <w:t>tatements</w:t>
      </w:r>
      <w:bookmarkEnd w:id="7"/>
      <w:bookmarkEnd w:id="8"/>
      <w:bookmarkEnd w:id="9"/>
    </w:p>
    <w:p w14:paraId="5ABF2470" w14:textId="111C872A" w:rsidR="00BC0659" w:rsidRPr="00A86D5D" w:rsidRDefault="00BC0659" w:rsidP="00BC0659">
      <w:pPr>
        <w:rPr>
          <w:color w:val="auto"/>
        </w:rPr>
      </w:pPr>
      <w:r w:rsidRPr="00A86D5D">
        <w:rPr>
          <w:color w:val="auto"/>
        </w:rPr>
        <w:t>Section 3 presents budgeted financial statements which provide a comprehensive snapshot of entity finances for the 202</w:t>
      </w:r>
      <w:r w:rsidR="00816375">
        <w:rPr>
          <w:color w:val="auto"/>
        </w:rPr>
        <w:t>2</w:t>
      </w:r>
      <w:r w:rsidR="00643FDF">
        <w:rPr>
          <w:color w:val="auto"/>
        </w:rPr>
        <w:t>–</w:t>
      </w:r>
      <w:r w:rsidR="00816375">
        <w:rPr>
          <w:color w:val="auto"/>
        </w:rPr>
        <w:t>23</w:t>
      </w:r>
      <w:r w:rsidRPr="00A86D5D">
        <w:rPr>
          <w:color w:val="auto"/>
        </w:rPr>
        <w:t xml:space="preserve"> Budget year, including the impact of Budget measures and resourcing on financial statements.</w:t>
      </w:r>
    </w:p>
    <w:p w14:paraId="71E5BCD1" w14:textId="4FDCCBDC" w:rsidR="00BC0659" w:rsidRPr="00A86D5D" w:rsidRDefault="00BC0659" w:rsidP="000C3248">
      <w:pPr>
        <w:pStyle w:val="Heading3"/>
      </w:pPr>
      <w:bookmarkStart w:id="10" w:name="_Toc117406466"/>
      <w:r w:rsidRPr="00A86D5D">
        <w:t>3.1</w:t>
      </w:r>
      <w:r w:rsidRPr="00A86D5D">
        <w:tab/>
        <w:t xml:space="preserve">Budgeted </w:t>
      </w:r>
      <w:r w:rsidR="00EF1642">
        <w:t>f</w:t>
      </w:r>
      <w:r w:rsidRPr="00A86D5D">
        <w:t xml:space="preserve">inancial </w:t>
      </w:r>
      <w:r w:rsidR="00EF1642">
        <w:t>s</w:t>
      </w:r>
      <w:r w:rsidRPr="00A86D5D">
        <w:t>tatements</w:t>
      </w:r>
      <w:bookmarkEnd w:id="10"/>
    </w:p>
    <w:p w14:paraId="15899FDB" w14:textId="6B421DF9" w:rsidR="00BC0659" w:rsidRPr="00A86D5D" w:rsidRDefault="00BC0659" w:rsidP="00BC0659">
      <w:pPr>
        <w:pStyle w:val="Heading4"/>
        <w:rPr>
          <w:color w:val="auto"/>
        </w:rPr>
      </w:pPr>
      <w:r w:rsidRPr="00A86D5D">
        <w:rPr>
          <w:color w:val="auto"/>
        </w:rPr>
        <w:t>3.1.1</w:t>
      </w:r>
      <w:r w:rsidRPr="00A86D5D">
        <w:rPr>
          <w:color w:val="auto"/>
        </w:rPr>
        <w:tab/>
        <w:t xml:space="preserve">Differences between </w:t>
      </w:r>
      <w:r w:rsidR="0033496F">
        <w:rPr>
          <w:color w:val="auto"/>
        </w:rPr>
        <w:t>e</w:t>
      </w:r>
      <w:r w:rsidRPr="00A86D5D">
        <w:rPr>
          <w:color w:val="auto"/>
        </w:rPr>
        <w:t xml:space="preserve">ntity </w:t>
      </w:r>
      <w:r w:rsidR="0033496F">
        <w:rPr>
          <w:color w:val="auto"/>
        </w:rPr>
        <w:t>r</w:t>
      </w:r>
      <w:r w:rsidRPr="00A86D5D">
        <w:rPr>
          <w:color w:val="auto"/>
        </w:rPr>
        <w:t xml:space="preserve">esourcing and </w:t>
      </w:r>
      <w:r w:rsidR="0033496F">
        <w:rPr>
          <w:color w:val="auto"/>
        </w:rPr>
        <w:t>f</w:t>
      </w:r>
      <w:r w:rsidRPr="00A86D5D">
        <w:rPr>
          <w:color w:val="auto"/>
        </w:rPr>
        <w:t xml:space="preserve">inancial </w:t>
      </w:r>
      <w:r w:rsidR="0033496F">
        <w:rPr>
          <w:color w:val="auto"/>
        </w:rPr>
        <w:t>s</w:t>
      </w:r>
      <w:r w:rsidRPr="00A86D5D">
        <w:rPr>
          <w:color w:val="auto"/>
        </w:rPr>
        <w:t>tatements</w:t>
      </w:r>
    </w:p>
    <w:p w14:paraId="6A556615" w14:textId="77777777" w:rsidR="008F2A7E" w:rsidRPr="008F2A7E" w:rsidRDefault="008F2A7E" w:rsidP="008F2A7E">
      <w:pPr>
        <w:rPr>
          <w:color w:val="auto"/>
        </w:rPr>
      </w:pPr>
      <w:r w:rsidRPr="008F2A7E">
        <w:rPr>
          <w:color w:val="auto"/>
        </w:rPr>
        <w:t>This section is not applicable to the Agency.</w:t>
      </w:r>
    </w:p>
    <w:p w14:paraId="60985502" w14:textId="30CAACD6" w:rsidR="00BC0659" w:rsidRPr="00A86D5D" w:rsidRDefault="00BC0659" w:rsidP="00BC0659">
      <w:pPr>
        <w:pStyle w:val="Heading4"/>
        <w:rPr>
          <w:color w:val="auto"/>
        </w:rPr>
      </w:pPr>
      <w:r w:rsidRPr="00A86D5D">
        <w:rPr>
          <w:color w:val="auto"/>
        </w:rPr>
        <w:t>3.1.2</w:t>
      </w:r>
      <w:r w:rsidRPr="00A86D5D">
        <w:rPr>
          <w:color w:val="auto"/>
        </w:rPr>
        <w:tab/>
        <w:t xml:space="preserve">Explanatory </w:t>
      </w:r>
      <w:r w:rsidR="00DA0416">
        <w:rPr>
          <w:color w:val="auto"/>
        </w:rPr>
        <w:t>n</w:t>
      </w:r>
      <w:r w:rsidRPr="00A86D5D">
        <w:rPr>
          <w:color w:val="auto"/>
        </w:rPr>
        <w:t xml:space="preserve">otes and </w:t>
      </w:r>
      <w:r w:rsidR="00DA0416">
        <w:rPr>
          <w:color w:val="auto"/>
        </w:rPr>
        <w:t>a</w:t>
      </w:r>
      <w:r w:rsidRPr="00A86D5D">
        <w:rPr>
          <w:color w:val="auto"/>
        </w:rPr>
        <w:t xml:space="preserve">nalysis of </w:t>
      </w:r>
      <w:r w:rsidR="00DA0416">
        <w:rPr>
          <w:color w:val="auto"/>
        </w:rPr>
        <w:t>b</w:t>
      </w:r>
      <w:r w:rsidRPr="00A86D5D">
        <w:rPr>
          <w:color w:val="auto"/>
        </w:rPr>
        <w:t xml:space="preserve">udgeted </w:t>
      </w:r>
      <w:r w:rsidR="00DA0416">
        <w:rPr>
          <w:color w:val="auto"/>
        </w:rPr>
        <w:t>f</w:t>
      </w:r>
      <w:r w:rsidRPr="00A86D5D">
        <w:rPr>
          <w:color w:val="auto"/>
        </w:rPr>
        <w:t xml:space="preserve">inancial </w:t>
      </w:r>
      <w:r w:rsidR="00DA0416">
        <w:rPr>
          <w:color w:val="auto"/>
        </w:rPr>
        <w:t>s</w:t>
      </w:r>
      <w:r w:rsidRPr="00A86D5D">
        <w:rPr>
          <w:color w:val="auto"/>
        </w:rPr>
        <w:t>tatements</w:t>
      </w:r>
    </w:p>
    <w:p w14:paraId="7613F924" w14:textId="6EE3C04A" w:rsidR="00E333B3" w:rsidRPr="00E333B3" w:rsidRDefault="00E333B3" w:rsidP="00E333B3">
      <w:pPr>
        <w:pStyle w:val="Heading4"/>
      </w:pPr>
      <w:r w:rsidRPr="00E333B3">
        <w:t xml:space="preserve">Departmental </w:t>
      </w:r>
      <w:r w:rsidR="00DA0416">
        <w:t>r</w:t>
      </w:r>
      <w:r w:rsidRPr="00E333B3">
        <w:t>esources</w:t>
      </w:r>
    </w:p>
    <w:p w14:paraId="29FF6A25" w14:textId="77777777" w:rsidR="008F2A7E" w:rsidRPr="008F2A7E" w:rsidRDefault="008F2A7E" w:rsidP="008F2A7E">
      <w:pPr>
        <w:pStyle w:val="Heading4"/>
        <w:rPr>
          <w:sz w:val="19"/>
          <w:szCs w:val="19"/>
        </w:rPr>
      </w:pPr>
      <w:r w:rsidRPr="008F2A7E">
        <w:rPr>
          <w:sz w:val="19"/>
          <w:szCs w:val="19"/>
        </w:rPr>
        <w:t>Comprehensive Income Statement</w:t>
      </w:r>
    </w:p>
    <w:p w14:paraId="4697E4E2" w14:textId="77777777" w:rsidR="008F2A7E" w:rsidRPr="008F2A7E" w:rsidRDefault="008F2A7E" w:rsidP="008F2A7E">
      <w:pPr>
        <w:rPr>
          <w:color w:val="auto"/>
        </w:rPr>
      </w:pPr>
      <w:r w:rsidRPr="008F2A7E">
        <w:rPr>
          <w:color w:val="auto"/>
        </w:rPr>
        <w:t>Resourcing includes funding for the delivery of the Agency’s program, as well as the associated agency management costs. The Agency is jointly funded by the state and territory governments.</w:t>
      </w:r>
    </w:p>
    <w:p w14:paraId="16C40FE8" w14:textId="2EEECC22" w:rsidR="008F2A7E" w:rsidRPr="008F2A7E" w:rsidRDefault="008F2A7E" w:rsidP="008F2A7E">
      <w:pPr>
        <w:rPr>
          <w:color w:val="auto"/>
        </w:rPr>
      </w:pPr>
      <w:r w:rsidRPr="008F2A7E">
        <w:rPr>
          <w:color w:val="auto"/>
        </w:rPr>
        <w:t>The Government has approved operating deficits for the Agency in 2021</w:t>
      </w:r>
      <w:r>
        <w:rPr>
          <w:color w:val="auto"/>
        </w:rPr>
        <w:t>–</w:t>
      </w:r>
      <w:r w:rsidRPr="008F2A7E">
        <w:rPr>
          <w:color w:val="auto"/>
        </w:rPr>
        <w:t>22 and</w:t>
      </w:r>
      <w:r>
        <w:rPr>
          <w:color w:val="auto"/>
        </w:rPr>
        <w:br/>
      </w:r>
      <w:r w:rsidRPr="008F2A7E">
        <w:rPr>
          <w:color w:val="auto"/>
        </w:rPr>
        <w:t>2022</w:t>
      </w:r>
      <w:r>
        <w:rPr>
          <w:color w:val="auto"/>
        </w:rPr>
        <w:t>–</w:t>
      </w:r>
      <w:r w:rsidRPr="008F2A7E">
        <w:rPr>
          <w:color w:val="auto"/>
        </w:rPr>
        <w:t>23. The deficit noted in 2021</w:t>
      </w:r>
      <w:r>
        <w:rPr>
          <w:color w:val="auto"/>
        </w:rPr>
        <w:t>–</w:t>
      </w:r>
      <w:r w:rsidRPr="008F2A7E">
        <w:rPr>
          <w:color w:val="auto"/>
        </w:rPr>
        <w:t>22 relates to depreciation and amortisation expense and unspent funding from prior years. The deficit in 2022</w:t>
      </w:r>
      <w:r>
        <w:rPr>
          <w:color w:val="auto"/>
        </w:rPr>
        <w:t>–</w:t>
      </w:r>
      <w:r w:rsidRPr="008F2A7E">
        <w:rPr>
          <w:color w:val="auto"/>
        </w:rPr>
        <w:t>23 relates to depreciation and amortisation.  Depreciation and amortisation has no impact on underlying cash.</w:t>
      </w:r>
    </w:p>
    <w:p w14:paraId="594B2CAC" w14:textId="77777777" w:rsidR="008F2A7E" w:rsidRPr="008F2A7E" w:rsidRDefault="008F2A7E" w:rsidP="008F2A7E">
      <w:pPr>
        <w:pStyle w:val="Heading4"/>
        <w:rPr>
          <w:sz w:val="19"/>
          <w:szCs w:val="19"/>
        </w:rPr>
      </w:pPr>
      <w:r w:rsidRPr="008F2A7E">
        <w:rPr>
          <w:sz w:val="19"/>
          <w:szCs w:val="19"/>
        </w:rPr>
        <w:t>Balance Sheet</w:t>
      </w:r>
    </w:p>
    <w:p w14:paraId="33FD95BB" w14:textId="6526C64D" w:rsidR="008F2A7E" w:rsidRPr="008F2A7E" w:rsidRDefault="008F2A7E" w:rsidP="008F2A7E">
      <w:pPr>
        <w:rPr>
          <w:color w:val="auto"/>
        </w:rPr>
      </w:pPr>
      <w:r w:rsidRPr="008F2A7E">
        <w:rPr>
          <w:color w:val="auto"/>
        </w:rPr>
        <w:t>The Agency has provided for expenditure on My Health Record in 2021</w:t>
      </w:r>
      <w:r>
        <w:rPr>
          <w:color w:val="auto"/>
        </w:rPr>
        <w:t>–</w:t>
      </w:r>
      <w:r w:rsidRPr="008F2A7E">
        <w:rPr>
          <w:color w:val="auto"/>
        </w:rPr>
        <w:t>22 and</w:t>
      </w:r>
      <w:r>
        <w:rPr>
          <w:color w:val="auto"/>
        </w:rPr>
        <w:br/>
      </w:r>
      <w:r w:rsidRPr="008F2A7E">
        <w:rPr>
          <w:color w:val="auto"/>
        </w:rPr>
        <w:t>2022</w:t>
      </w:r>
      <w:r>
        <w:rPr>
          <w:color w:val="auto"/>
        </w:rPr>
        <w:t>–</w:t>
      </w:r>
      <w:r w:rsidRPr="008F2A7E">
        <w:rPr>
          <w:color w:val="auto"/>
        </w:rPr>
        <w:t xml:space="preserve">23. Sufficient accumulated funds are maintained to meet employee entitlements and other liabilities. </w:t>
      </w:r>
    </w:p>
    <w:p w14:paraId="3E4BCDEA" w14:textId="2015296C" w:rsidR="00AB3B11" w:rsidRDefault="00AB3B11">
      <w:pPr>
        <w:spacing w:after="160" w:line="259" w:lineRule="auto"/>
        <w:rPr>
          <w:rFonts w:ascii="Arial" w:hAnsi="Arial"/>
          <w:b/>
          <w:smallCaps/>
          <w:color w:val="auto"/>
          <w:sz w:val="26"/>
          <w:szCs w:val="26"/>
        </w:rPr>
      </w:pPr>
      <w:r>
        <w:rPr>
          <w:color w:val="auto"/>
        </w:rPr>
        <w:br w:type="page"/>
      </w:r>
    </w:p>
    <w:p w14:paraId="47C34724" w14:textId="280BB658" w:rsidR="00BC0659" w:rsidRPr="00A86D5D" w:rsidRDefault="00BC0659" w:rsidP="000C3248">
      <w:pPr>
        <w:pStyle w:val="Heading3"/>
      </w:pPr>
      <w:bookmarkStart w:id="11" w:name="_Toc117406467"/>
      <w:r w:rsidRPr="00A86D5D">
        <w:lastRenderedPageBreak/>
        <w:t>3.2</w:t>
      </w:r>
      <w:r w:rsidRPr="00A86D5D">
        <w:tab/>
        <w:t xml:space="preserve">Budgeted </w:t>
      </w:r>
      <w:r w:rsidR="00651990">
        <w:t>f</w:t>
      </w:r>
      <w:r w:rsidRPr="00A86D5D">
        <w:t xml:space="preserve">inancial </w:t>
      </w:r>
      <w:r w:rsidR="00651990">
        <w:t>s</w:t>
      </w:r>
      <w:r w:rsidRPr="00A86D5D">
        <w:t xml:space="preserve">tatements </w:t>
      </w:r>
      <w:r w:rsidR="00651990">
        <w:t>t</w:t>
      </w:r>
      <w:r w:rsidRPr="00A86D5D">
        <w:t>ables</w:t>
      </w:r>
      <w:bookmarkEnd w:id="11"/>
    </w:p>
    <w:p w14:paraId="1382987B" w14:textId="77777777" w:rsidR="00651990" w:rsidRPr="00651990" w:rsidRDefault="00651990" w:rsidP="00C81AEA">
      <w:pPr>
        <w:keepNext/>
        <w:spacing w:before="120"/>
        <w:rPr>
          <w:rFonts w:ascii="Arial" w:hAnsi="Arial"/>
          <w:b/>
          <w:snapToGrid w:val="0"/>
          <w:color w:val="auto"/>
          <w:sz w:val="20"/>
        </w:rPr>
      </w:pPr>
      <w:r w:rsidRPr="00651990">
        <w:rPr>
          <w:rFonts w:ascii="Arial" w:hAnsi="Arial"/>
          <w:b/>
          <w:color w:val="auto"/>
          <w:sz w:val="20"/>
        </w:rPr>
        <w:t xml:space="preserve">Table 3.1: Comprehensive income statement (showing net cost of services) </w:t>
      </w:r>
      <w:r w:rsidRPr="00651990">
        <w:rPr>
          <w:rFonts w:ascii="Arial" w:hAnsi="Arial"/>
          <w:b/>
          <w:snapToGrid w:val="0"/>
          <w:color w:val="auto"/>
          <w:sz w:val="20"/>
        </w:rPr>
        <w:t>for the period ended 30 June</w:t>
      </w:r>
    </w:p>
    <w:tbl>
      <w:tblPr>
        <w:tblW w:w="7360" w:type="dxa"/>
        <w:tblLayout w:type="fixed"/>
        <w:tblLook w:val="04A0" w:firstRow="1" w:lastRow="0" w:firstColumn="1" w:lastColumn="0" w:noHBand="0" w:noVBand="1"/>
      </w:tblPr>
      <w:tblGrid>
        <w:gridCol w:w="2860"/>
        <w:gridCol w:w="900"/>
        <w:gridCol w:w="900"/>
        <w:gridCol w:w="900"/>
        <w:gridCol w:w="900"/>
        <w:gridCol w:w="900"/>
      </w:tblGrid>
      <w:tr w:rsidR="003B4B66" w:rsidRPr="003B4B66" w14:paraId="26ECB69C" w14:textId="77777777" w:rsidTr="008437C8">
        <w:trPr>
          <w:trHeight w:val="765"/>
        </w:trPr>
        <w:tc>
          <w:tcPr>
            <w:tcW w:w="2860" w:type="dxa"/>
            <w:tcBorders>
              <w:top w:val="single" w:sz="4" w:space="0" w:color="auto"/>
              <w:left w:val="nil"/>
              <w:bottom w:val="nil"/>
              <w:right w:val="nil"/>
            </w:tcBorders>
            <w:shd w:val="clear" w:color="auto" w:fill="auto"/>
            <w:tcMar>
              <w:left w:w="0" w:type="dxa"/>
            </w:tcMar>
            <w:hideMark/>
          </w:tcPr>
          <w:p w14:paraId="1457EDF2" w14:textId="77777777" w:rsidR="003B4B66" w:rsidRPr="003B4B66" w:rsidRDefault="003B4B66" w:rsidP="003B4B66">
            <w:pPr>
              <w:spacing w:before="40" w:after="0"/>
              <w:jc w:val="right"/>
              <w:rPr>
                <w:rFonts w:ascii="Times New Roman" w:hAnsi="Times New Roman"/>
                <w:color w:val="auto"/>
                <w:sz w:val="20"/>
                <w:szCs w:val="24"/>
              </w:rPr>
            </w:pPr>
          </w:p>
        </w:tc>
        <w:tc>
          <w:tcPr>
            <w:tcW w:w="900" w:type="dxa"/>
            <w:tcBorders>
              <w:top w:val="single" w:sz="4" w:space="0" w:color="auto"/>
              <w:left w:val="nil"/>
              <w:bottom w:val="single" w:sz="4" w:space="0" w:color="auto"/>
              <w:right w:val="nil"/>
            </w:tcBorders>
            <w:shd w:val="clear" w:color="auto" w:fill="auto"/>
            <w:tcMar>
              <w:left w:w="0" w:type="dxa"/>
            </w:tcMar>
            <w:hideMark/>
          </w:tcPr>
          <w:p w14:paraId="0C5026CC" w14:textId="77777777" w:rsidR="003B4B66" w:rsidRPr="003B4B66" w:rsidRDefault="003B4B66" w:rsidP="003B4B66">
            <w:pPr>
              <w:spacing w:before="40" w:after="0"/>
              <w:jc w:val="right"/>
              <w:rPr>
                <w:rFonts w:ascii="Arial" w:hAnsi="Arial" w:cs="Arial"/>
                <w:b/>
                <w:bCs/>
                <w:color w:val="auto"/>
                <w:sz w:val="16"/>
                <w:szCs w:val="16"/>
              </w:rPr>
            </w:pPr>
            <w:r w:rsidRPr="003B4B66">
              <w:rPr>
                <w:rFonts w:ascii="Arial" w:hAnsi="Arial" w:cs="Arial"/>
                <w:b/>
                <w:bCs/>
                <w:color w:val="auto"/>
                <w:sz w:val="16"/>
                <w:szCs w:val="16"/>
              </w:rPr>
              <w:t>2021–22 Estimated actual</w:t>
            </w:r>
            <w:r w:rsidRPr="003B4B66">
              <w:rPr>
                <w:rFonts w:ascii="Arial" w:hAnsi="Arial" w:cs="Arial"/>
                <w:b/>
                <w:bCs/>
                <w:color w:val="auto"/>
                <w:sz w:val="16"/>
                <w:szCs w:val="16"/>
              </w:rPr>
              <w:br/>
            </w:r>
            <w:r w:rsidRPr="003B4B66">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000000" w:fill="D9D9D9"/>
            <w:tcMar>
              <w:left w:w="0" w:type="dxa"/>
            </w:tcMar>
            <w:hideMark/>
          </w:tcPr>
          <w:p w14:paraId="79ED1754" w14:textId="77777777" w:rsidR="003B4B66" w:rsidRPr="003B4B66" w:rsidRDefault="003B4B66" w:rsidP="003B4B66">
            <w:pPr>
              <w:spacing w:before="40" w:after="0"/>
              <w:jc w:val="right"/>
              <w:rPr>
                <w:rFonts w:ascii="Arial" w:hAnsi="Arial" w:cs="Arial"/>
                <w:b/>
                <w:bCs/>
                <w:color w:val="auto"/>
                <w:sz w:val="16"/>
                <w:szCs w:val="16"/>
              </w:rPr>
            </w:pPr>
            <w:r w:rsidRPr="003B4B66">
              <w:rPr>
                <w:rFonts w:ascii="Arial" w:hAnsi="Arial" w:cs="Arial"/>
                <w:b/>
                <w:bCs/>
                <w:color w:val="auto"/>
                <w:sz w:val="16"/>
                <w:szCs w:val="16"/>
              </w:rPr>
              <w:t>2022–23</w:t>
            </w:r>
            <w:r w:rsidRPr="003B4B66">
              <w:rPr>
                <w:rFonts w:ascii="Arial" w:hAnsi="Arial" w:cs="Arial"/>
                <w:b/>
                <w:bCs/>
                <w:color w:val="auto"/>
                <w:sz w:val="16"/>
                <w:szCs w:val="16"/>
              </w:rPr>
              <w:br/>
              <w:t>Budget</w:t>
            </w:r>
            <w:r w:rsidRPr="003B4B66">
              <w:rPr>
                <w:rFonts w:ascii="Arial" w:hAnsi="Arial" w:cs="Arial"/>
                <w:b/>
                <w:bCs/>
                <w:color w:val="auto"/>
                <w:sz w:val="16"/>
                <w:szCs w:val="16"/>
              </w:rPr>
              <w:br/>
            </w:r>
            <w:r w:rsidRPr="003B4B66">
              <w:rPr>
                <w:rFonts w:ascii="Arial" w:hAnsi="Arial" w:cs="Arial"/>
                <w:b/>
                <w:bCs/>
                <w:color w:val="auto"/>
                <w:sz w:val="16"/>
                <w:szCs w:val="16"/>
              </w:rPr>
              <w:br/>
            </w:r>
            <w:r w:rsidRPr="003B4B66">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auto" w:fill="auto"/>
            <w:tcMar>
              <w:left w:w="0" w:type="dxa"/>
            </w:tcMar>
            <w:hideMark/>
          </w:tcPr>
          <w:p w14:paraId="17A4ECB3" w14:textId="77777777" w:rsidR="003B4B66" w:rsidRPr="003B4B66" w:rsidRDefault="003B4B66" w:rsidP="003B4B66">
            <w:pPr>
              <w:spacing w:before="40" w:after="0"/>
              <w:jc w:val="right"/>
              <w:rPr>
                <w:rFonts w:ascii="Arial" w:hAnsi="Arial" w:cs="Arial"/>
                <w:b/>
                <w:bCs/>
                <w:color w:val="auto"/>
                <w:sz w:val="16"/>
                <w:szCs w:val="16"/>
              </w:rPr>
            </w:pPr>
            <w:r w:rsidRPr="003B4B66">
              <w:rPr>
                <w:rFonts w:ascii="Arial" w:hAnsi="Arial" w:cs="Arial"/>
                <w:b/>
                <w:bCs/>
                <w:color w:val="auto"/>
                <w:sz w:val="16"/>
                <w:szCs w:val="16"/>
              </w:rPr>
              <w:t>2023–24 Forward estimate</w:t>
            </w:r>
            <w:r w:rsidRPr="003B4B66">
              <w:rPr>
                <w:rFonts w:ascii="Arial" w:hAnsi="Arial" w:cs="Arial"/>
                <w:b/>
                <w:bCs/>
                <w:color w:val="auto"/>
                <w:sz w:val="16"/>
                <w:szCs w:val="16"/>
              </w:rPr>
              <w:br/>
            </w:r>
            <w:r w:rsidRPr="003B4B66">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auto" w:fill="auto"/>
            <w:tcMar>
              <w:left w:w="0" w:type="dxa"/>
            </w:tcMar>
            <w:hideMark/>
          </w:tcPr>
          <w:p w14:paraId="2D195A2F" w14:textId="77777777" w:rsidR="003B4B66" w:rsidRPr="003B4B66" w:rsidRDefault="003B4B66" w:rsidP="003B4B66">
            <w:pPr>
              <w:spacing w:before="40" w:after="0"/>
              <w:jc w:val="right"/>
              <w:rPr>
                <w:rFonts w:ascii="Arial" w:hAnsi="Arial" w:cs="Arial"/>
                <w:b/>
                <w:bCs/>
                <w:color w:val="auto"/>
                <w:sz w:val="16"/>
                <w:szCs w:val="16"/>
              </w:rPr>
            </w:pPr>
            <w:r w:rsidRPr="003B4B66">
              <w:rPr>
                <w:rFonts w:ascii="Arial" w:hAnsi="Arial" w:cs="Arial"/>
                <w:b/>
                <w:bCs/>
                <w:color w:val="auto"/>
                <w:sz w:val="16"/>
                <w:szCs w:val="16"/>
              </w:rPr>
              <w:t>2024–25</w:t>
            </w:r>
            <w:r w:rsidRPr="003B4B66">
              <w:rPr>
                <w:rFonts w:ascii="Arial" w:hAnsi="Arial" w:cs="Arial"/>
                <w:b/>
                <w:bCs/>
                <w:color w:val="auto"/>
                <w:sz w:val="16"/>
                <w:szCs w:val="16"/>
              </w:rPr>
              <w:br/>
              <w:t>Forward estimate</w:t>
            </w:r>
            <w:r w:rsidRPr="003B4B66">
              <w:rPr>
                <w:rFonts w:ascii="Arial" w:hAnsi="Arial" w:cs="Arial"/>
                <w:b/>
                <w:bCs/>
                <w:color w:val="auto"/>
                <w:sz w:val="16"/>
                <w:szCs w:val="16"/>
              </w:rPr>
              <w:br/>
            </w:r>
            <w:r w:rsidRPr="003B4B66">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auto" w:fill="auto"/>
            <w:tcMar>
              <w:left w:w="0" w:type="dxa"/>
            </w:tcMar>
            <w:hideMark/>
          </w:tcPr>
          <w:p w14:paraId="40A577AB" w14:textId="77777777" w:rsidR="003B4B66" w:rsidRPr="003B4B66" w:rsidRDefault="003B4B66" w:rsidP="003B4B66">
            <w:pPr>
              <w:spacing w:before="40" w:after="0"/>
              <w:jc w:val="right"/>
              <w:rPr>
                <w:rFonts w:ascii="Arial" w:hAnsi="Arial" w:cs="Arial"/>
                <w:b/>
                <w:bCs/>
                <w:color w:val="auto"/>
                <w:sz w:val="16"/>
                <w:szCs w:val="16"/>
              </w:rPr>
            </w:pPr>
            <w:r w:rsidRPr="003B4B66">
              <w:rPr>
                <w:rFonts w:ascii="Arial" w:hAnsi="Arial" w:cs="Arial"/>
                <w:b/>
                <w:bCs/>
                <w:color w:val="auto"/>
                <w:sz w:val="16"/>
                <w:szCs w:val="16"/>
              </w:rPr>
              <w:t>2025–26</w:t>
            </w:r>
            <w:r w:rsidRPr="003B4B66">
              <w:rPr>
                <w:rFonts w:ascii="Arial" w:hAnsi="Arial" w:cs="Arial"/>
                <w:b/>
                <w:bCs/>
                <w:color w:val="auto"/>
                <w:sz w:val="16"/>
                <w:szCs w:val="16"/>
              </w:rPr>
              <w:br/>
              <w:t>Forward estimate</w:t>
            </w:r>
            <w:r w:rsidRPr="003B4B66">
              <w:rPr>
                <w:rFonts w:ascii="Arial" w:hAnsi="Arial" w:cs="Arial"/>
                <w:b/>
                <w:bCs/>
                <w:color w:val="auto"/>
                <w:sz w:val="16"/>
                <w:szCs w:val="16"/>
              </w:rPr>
              <w:br/>
            </w:r>
            <w:r w:rsidRPr="003B4B66">
              <w:rPr>
                <w:rFonts w:ascii="Arial" w:hAnsi="Arial" w:cs="Arial"/>
                <w:color w:val="auto"/>
                <w:sz w:val="16"/>
                <w:szCs w:val="16"/>
              </w:rPr>
              <w:t>$'000</w:t>
            </w:r>
          </w:p>
        </w:tc>
      </w:tr>
      <w:tr w:rsidR="003B4B66" w:rsidRPr="003B4B66" w14:paraId="606AD630" w14:textId="77777777" w:rsidTr="008C5234">
        <w:trPr>
          <w:trHeight w:val="227"/>
        </w:trPr>
        <w:tc>
          <w:tcPr>
            <w:tcW w:w="2860" w:type="dxa"/>
            <w:tcBorders>
              <w:top w:val="nil"/>
              <w:left w:val="nil"/>
              <w:bottom w:val="nil"/>
              <w:right w:val="nil"/>
            </w:tcBorders>
            <w:shd w:val="clear" w:color="auto" w:fill="auto"/>
            <w:noWrap/>
            <w:vAlign w:val="bottom"/>
            <w:hideMark/>
          </w:tcPr>
          <w:p w14:paraId="62265031" w14:textId="77777777" w:rsidR="003B4B66" w:rsidRPr="003B4B66" w:rsidRDefault="003B4B66" w:rsidP="003B4B66">
            <w:pPr>
              <w:spacing w:after="0"/>
              <w:rPr>
                <w:rFonts w:ascii="Arial" w:hAnsi="Arial" w:cs="Arial"/>
                <w:b/>
                <w:bCs/>
                <w:color w:val="auto"/>
                <w:sz w:val="16"/>
                <w:szCs w:val="16"/>
              </w:rPr>
            </w:pPr>
            <w:r w:rsidRPr="003B4B66">
              <w:rPr>
                <w:rFonts w:ascii="Arial" w:hAnsi="Arial" w:cs="Arial"/>
                <w:b/>
                <w:bCs/>
                <w:color w:val="auto"/>
                <w:sz w:val="16"/>
                <w:szCs w:val="16"/>
              </w:rPr>
              <w:t>EXPENSES</w:t>
            </w:r>
          </w:p>
        </w:tc>
        <w:tc>
          <w:tcPr>
            <w:tcW w:w="900" w:type="dxa"/>
            <w:tcBorders>
              <w:top w:val="single" w:sz="4" w:space="0" w:color="auto"/>
              <w:left w:val="nil"/>
              <w:bottom w:val="nil"/>
              <w:right w:val="nil"/>
            </w:tcBorders>
            <w:shd w:val="clear" w:color="auto" w:fill="auto"/>
            <w:noWrap/>
            <w:vAlign w:val="bottom"/>
            <w:hideMark/>
          </w:tcPr>
          <w:p w14:paraId="72DF599D" w14:textId="77777777" w:rsidR="003B4B66" w:rsidRPr="003B4B66" w:rsidRDefault="003B4B66" w:rsidP="003B4B66">
            <w:pPr>
              <w:spacing w:after="0"/>
              <w:jc w:val="right"/>
              <w:rPr>
                <w:rFonts w:ascii="Arial" w:hAnsi="Arial" w:cs="Arial"/>
                <w:b/>
                <w:bCs/>
                <w:color w:val="auto"/>
                <w:sz w:val="16"/>
                <w:szCs w:val="16"/>
              </w:rPr>
            </w:pPr>
            <w:r w:rsidRPr="003B4B66">
              <w:rPr>
                <w:rFonts w:ascii="Arial" w:hAnsi="Arial" w:cs="Arial"/>
                <w:b/>
                <w:bCs/>
                <w:color w:val="auto"/>
                <w:sz w:val="16"/>
                <w:szCs w:val="16"/>
              </w:rPr>
              <w:t> </w:t>
            </w:r>
          </w:p>
        </w:tc>
        <w:tc>
          <w:tcPr>
            <w:tcW w:w="900" w:type="dxa"/>
            <w:tcBorders>
              <w:top w:val="single" w:sz="4" w:space="0" w:color="auto"/>
              <w:left w:val="nil"/>
              <w:bottom w:val="nil"/>
              <w:right w:val="nil"/>
            </w:tcBorders>
            <w:shd w:val="clear" w:color="000000" w:fill="D9D9D9"/>
            <w:noWrap/>
            <w:vAlign w:val="bottom"/>
            <w:hideMark/>
          </w:tcPr>
          <w:p w14:paraId="7D7DD8DD" w14:textId="77777777" w:rsidR="003B4B66" w:rsidRPr="003B4B66" w:rsidRDefault="003B4B66" w:rsidP="003B4B66">
            <w:pPr>
              <w:spacing w:after="0"/>
              <w:jc w:val="right"/>
              <w:rPr>
                <w:rFonts w:ascii="Arial" w:hAnsi="Arial" w:cs="Arial"/>
                <w:color w:val="auto"/>
                <w:sz w:val="16"/>
                <w:szCs w:val="16"/>
              </w:rPr>
            </w:pPr>
            <w:r w:rsidRPr="003B4B66">
              <w:rPr>
                <w:rFonts w:ascii="Arial" w:hAnsi="Arial" w:cs="Arial"/>
                <w:color w:val="auto"/>
                <w:sz w:val="16"/>
                <w:szCs w:val="16"/>
              </w:rPr>
              <w:t> </w:t>
            </w:r>
          </w:p>
        </w:tc>
        <w:tc>
          <w:tcPr>
            <w:tcW w:w="900" w:type="dxa"/>
            <w:tcBorders>
              <w:top w:val="single" w:sz="4" w:space="0" w:color="auto"/>
              <w:left w:val="nil"/>
              <w:bottom w:val="nil"/>
              <w:right w:val="nil"/>
            </w:tcBorders>
            <w:shd w:val="clear" w:color="auto" w:fill="auto"/>
            <w:noWrap/>
            <w:vAlign w:val="bottom"/>
            <w:hideMark/>
          </w:tcPr>
          <w:p w14:paraId="5FF587CD" w14:textId="77777777" w:rsidR="003B4B66" w:rsidRPr="003B4B66" w:rsidRDefault="003B4B66" w:rsidP="003B4B66">
            <w:pPr>
              <w:spacing w:after="0"/>
              <w:jc w:val="right"/>
              <w:rPr>
                <w:rFonts w:ascii="Arial" w:hAnsi="Arial" w:cs="Arial"/>
                <w:color w:val="auto"/>
                <w:sz w:val="16"/>
                <w:szCs w:val="16"/>
              </w:rPr>
            </w:pPr>
            <w:r w:rsidRPr="003B4B66">
              <w:rPr>
                <w:rFonts w:ascii="Arial" w:hAnsi="Arial" w:cs="Arial"/>
                <w:color w:val="auto"/>
                <w:sz w:val="16"/>
                <w:szCs w:val="16"/>
              </w:rPr>
              <w:t> </w:t>
            </w:r>
          </w:p>
        </w:tc>
        <w:tc>
          <w:tcPr>
            <w:tcW w:w="900" w:type="dxa"/>
            <w:tcBorders>
              <w:top w:val="single" w:sz="4" w:space="0" w:color="auto"/>
              <w:left w:val="nil"/>
              <w:bottom w:val="nil"/>
              <w:right w:val="nil"/>
            </w:tcBorders>
            <w:shd w:val="clear" w:color="auto" w:fill="auto"/>
            <w:noWrap/>
            <w:vAlign w:val="bottom"/>
            <w:hideMark/>
          </w:tcPr>
          <w:p w14:paraId="6967A481" w14:textId="77777777" w:rsidR="003B4B66" w:rsidRPr="003B4B66" w:rsidRDefault="003B4B66" w:rsidP="003B4B66">
            <w:pPr>
              <w:spacing w:after="0"/>
              <w:jc w:val="right"/>
              <w:rPr>
                <w:rFonts w:ascii="Arial" w:hAnsi="Arial" w:cs="Arial"/>
                <w:color w:val="auto"/>
                <w:sz w:val="16"/>
                <w:szCs w:val="16"/>
              </w:rPr>
            </w:pPr>
            <w:r w:rsidRPr="003B4B66">
              <w:rPr>
                <w:rFonts w:ascii="Arial" w:hAnsi="Arial" w:cs="Arial"/>
                <w:color w:val="auto"/>
                <w:sz w:val="16"/>
                <w:szCs w:val="16"/>
              </w:rPr>
              <w:t> </w:t>
            </w:r>
          </w:p>
        </w:tc>
        <w:tc>
          <w:tcPr>
            <w:tcW w:w="900" w:type="dxa"/>
            <w:tcBorders>
              <w:top w:val="single" w:sz="4" w:space="0" w:color="auto"/>
              <w:left w:val="nil"/>
              <w:bottom w:val="nil"/>
              <w:right w:val="nil"/>
            </w:tcBorders>
            <w:shd w:val="clear" w:color="auto" w:fill="auto"/>
            <w:noWrap/>
            <w:vAlign w:val="bottom"/>
            <w:hideMark/>
          </w:tcPr>
          <w:p w14:paraId="481ECB52" w14:textId="77777777" w:rsidR="003B4B66" w:rsidRPr="003B4B66" w:rsidRDefault="003B4B66" w:rsidP="003B4B66">
            <w:pPr>
              <w:spacing w:after="0"/>
              <w:jc w:val="right"/>
              <w:rPr>
                <w:rFonts w:ascii="Arial" w:hAnsi="Arial" w:cs="Arial"/>
                <w:color w:val="auto"/>
                <w:sz w:val="16"/>
                <w:szCs w:val="16"/>
              </w:rPr>
            </w:pPr>
            <w:r w:rsidRPr="003B4B66">
              <w:rPr>
                <w:rFonts w:ascii="Arial" w:hAnsi="Arial" w:cs="Arial"/>
                <w:color w:val="auto"/>
                <w:sz w:val="16"/>
                <w:szCs w:val="16"/>
              </w:rPr>
              <w:t> </w:t>
            </w:r>
          </w:p>
        </w:tc>
      </w:tr>
      <w:tr w:rsidR="003B4B66" w:rsidRPr="003B4B66" w14:paraId="0F27FD88" w14:textId="77777777" w:rsidTr="008C5234">
        <w:trPr>
          <w:trHeight w:val="227"/>
        </w:trPr>
        <w:tc>
          <w:tcPr>
            <w:tcW w:w="2860" w:type="dxa"/>
            <w:tcBorders>
              <w:top w:val="nil"/>
              <w:left w:val="nil"/>
              <w:bottom w:val="nil"/>
              <w:right w:val="nil"/>
            </w:tcBorders>
            <w:shd w:val="clear" w:color="auto" w:fill="auto"/>
            <w:noWrap/>
            <w:vAlign w:val="bottom"/>
            <w:hideMark/>
          </w:tcPr>
          <w:p w14:paraId="7DA7E1A0" w14:textId="77777777" w:rsidR="003B4B66" w:rsidRPr="003B4B66" w:rsidRDefault="003B4B66" w:rsidP="003B4B66">
            <w:pPr>
              <w:spacing w:after="0"/>
              <w:ind w:leftChars="75" w:left="143"/>
              <w:rPr>
                <w:rFonts w:ascii="Arial" w:hAnsi="Arial" w:cs="Arial"/>
                <w:color w:val="auto"/>
                <w:sz w:val="16"/>
                <w:szCs w:val="16"/>
              </w:rPr>
            </w:pPr>
            <w:r w:rsidRPr="003B4B66">
              <w:rPr>
                <w:rFonts w:ascii="Arial" w:hAnsi="Arial" w:cs="Arial"/>
                <w:color w:val="auto"/>
                <w:sz w:val="16"/>
                <w:szCs w:val="16"/>
              </w:rPr>
              <w:t>Employee benefits</w:t>
            </w:r>
          </w:p>
        </w:tc>
        <w:tc>
          <w:tcPr>
            <w:tcW w:w="900" w:type="dxa"/>
            <w:tcBorders>
              <w:top w:val="nil"/>
              <w:left w:val="nil"/>
              <w:bottom w:val="nil"/>
              <w:right w:val="nil"/>
            </w:tcBorders>
            <w:shd w:val="clear" w:color="auto" w:fill="auto"/>
            <w:noWrap/>
            <w:vAlign w:val="bottom"/>
            <w:hideMark/>
          </w:tcPr>
          <w:p w14:paraId="2C87B06F" w14:textId="77777777" w:rsidR="003B4B66" w:rsidRPr="003B4B66" w:rsidRDefault="003B4B66" w:rsidP="003B4B66">
            <w:pPr>
              <w:spacing w:after="0"/>
              <w:jc w:val="right"/>
              <w:rPr>
                <w:rFonts w:ascii="Arial" w:hAnsi="Arial" w:cs="Arial"/>
                <w:color w:val="auto"/>
                <w:sz w:val="16"/>
                <w:szCs w:val="16"/>
              </w:rPr>
            </w:pPr>
            <w:r w:rsidRPr="003B4B66">
              <w:rPr>
                <w:rFonts w:ascii="Arial" w:hAnsi="Arial" w:cs="Arial"/>
                <w:color w:val="auto"/>
                <w:sz w:val="16"/>
                <w:szCs w:val="16"/>
              </w:rPr>
              <w:t>42,085</w:t>
            </w:r>
          </w:p>
        </w:tc>
        <w:tc>
          <w:tcPr>
            <w:tcW w:w="900" w:type="dxa"/>
            <w:tcBorders>
              <w:top w:val="nil"/>
              <w:left w:val="nil"/>
              <w:bottom w:val="nil"/>
              <w:right w:val="nil"/>
            </w:tcBorders>
            <w:shd w:val="clear" w:color="000000" w:fill="D9D9D9"/>
            <w:noWrap/>
            <w:vAlign w:val="bottom"/>
            <w:hideMark/>
          </w:tcPr>
          <w:p w14:paraId="6C886F28" w14:textId="77777777" w:rsidR="003B4B66" w:rsidRPr="003B4B66" w:rsidRDefault="003B4B66" w:rsidP="003B4B66">
            <w:pPr>
              <w:spacing w:after="0"/>
              <w:jc w:val="right"/>
              <w:rPr>
                <w:rFonts w:ascii="Arial" w:hAnsi="Arial" w:cs="Arial"/>
                <w:color w:val="auto"/>
                <w:sz w:val="16"/>
                <w:szCs w:val="16"/>
              </w:rPr>
            </w:pPr>
            <w:r w:rsidRPr="003B4B66">
              <w:rPr>
                <w:rFonts w:ascii="Arial" w:hAnsi="Arial" w:cs="Arial"/>
                <w:color w:val="auto"/>
                <w:sz w:val="16"/>
                <w:szCs w:val="16"/>
              </w:rPr>
              <w:t>54,998</w:t>
            </w:r>
          </w:p>
        </w:tc>
        <w:tc>
          <w:tcPr>
            <w:tcW w:w="900" w:type="dxa"/>
            <w:tcBorders>
              <w:top w:val="nil"/>
              <w:left w:val="nil"/>
              <w:bottom w:val="nil"/>
              <w:right w:val="nil"/>
            </w:tcBorders>
            <w:shd w:val="clear" w:color="auto" w:fill="auto"/>
            <w:noWrap/>
            <w:vAlign w:val="bottom"/>
            <w:hideMark/>
          </w:tcPr>
          <w:p w14:paraId="491D53C2" w14:textId="77777777" w:rsidR="003B4B66" w:rsidRPr="003B4B66" w:rsidRDefault="003B4B66" w:rsidP="003B4B66">
            <w:pPr>
              <w:spacing w:after="0"/>
              <w:jc w:val="right"/>
              <w:rPr>
                <w:rFonts w:ascii="Arial" w:hAnsi="Arial" w:cs="Arial"/>
                <w:color w:val="auto"/>
                <w:sz w:val="16"/>
                <w:szCs w:val="16"/>
              </w:rPr>
            </w:pPr>
            <w:r w:rsidRPr="003B4B66">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052307A1" w14:textId="77777777" w:rsidR="003B4B66" w:rsidRPr="003B4B66" w:rsidRDefault="003B4B66" w:rsidP="003B4B66">
            <w:pPr>
              <w:spacing w:after="0"/>
              <w:jc w:val="right"/>
              <w:rPr>
                <w:rFonts w:ascii="Arial" w:hAnsi="Arial" w:cs="Arial"/>
                <w:color w:val="auto"/>
                <w:sz w:val="16"/>
                <w:szCs w:val="16"/>
              </w:rPr>
            </w:pPr>
            <w:r w:rsidRPr="003B4B66">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2BE87046" w14:textId="77777777" w:rsidR="003B4B66" w:rsidRPr="003B4B66" w:rsidRDefault="003B4B66" w:rsidP="003B4B66">
            <w:pPr>
              <w:spacing w:after="0"/>
              <w:jc w:val="right"/>
              <w:rPr>
                <w:rFonts w:ascii="Arial" w:hAnsi="Arial" w:cs="Arial"/>
                <w:color w:val="auto"/>
                <w:sz w:val="16"/>
                <w:szCs w:val="16"/>
              </w:rPr>
            </w:pPr>
            <w:r w:rsidRPr="003B4B66">
              <w:rPr>
                <w:rFonts w:ascii="Arial" w:hAnsi="Arial" w:cs="Arial"/>
                <w:color w:val="auto"/>
                <w:sz w:val="16"/>
                <w:szCs w:val="16"/>
              </w:rPr>
              <w:t>-</w:t>
            </w:r>
          </w:p>
        </w:tc>
      </w:tr>
      <w:tr w:rsidR="003B4B66" w:rsidRPr="003B4B66" w14:paraId="7247AAF3" w14:textId="77777777" w:rsidTr="008C5234">
        <w:trPr>
          <w:trHeight w:val="227"/>
        </w:trPr>
        <w:tc>
          <w:tcPr>
            <w:tcW w:w="2860" w:type="dxa"/>
            <w:tcBorders>
              <w:top w:val="nil"/>
              <w:left w:val="nil"/>
              <w:bottom w:val="nil"/>
              <w:right w:val="nil"/>
            </w:tcBorders>
            <w:shd w:val="clear" w:color="auto" w:fill="auto"/>
            <w:noWrap/>
            <w:vAlign w:val="bottom"/>
            <w:hideMark/>
          </w:tcPr>
          <w:p w14:paraId="0C36048E" w14:textId="77777777" w:rsidR="003B4B66" w:rsidRPr="003B4B66" w:rsidRDefault="003B4B66" w:rsidP="003B4B66">
            <w:pPr>
              <w:spacing w:after="0"/>
              <w:ind w:leftChars="75" w:left="143"/>
              <w:rPr>
                <w:rFonts w:ascii="Arial" w:hAnsi="Arial" w:cs="Arial"/>
                <w:color w:val="auto"/>
                <w:sz w:val="16"/>
                <w:szCs w:val="16"/>
              </w:rPr>
            </w:pPr>
            <w:r w:rsidRPr="003B4B66">
              <w:rPr>
                <w:rFonts w:ascii="Arial" w:hAnsi="Arial" w:cs="Arial"/>
                <w:color w:val="auto"/>
                <w:sz w:val="16"/>
                <w:szCs w:val="16"/>
              </w:rPr>
              <w:t>Supplier expenses</w:t>
            </w:r>
          </w:p>
        </w:tc>
        <w:tc>
          <w:tcPr>
            <w:tcW w:w="900" w:type="dxa"/>
            <w:tcBorders>
              <w:top w:val="nil"/>
              <w:left w:val="nil"/>
              <w:bottom w:val="nil"/>
              <w:right w:val="nil"/>
            </w:tcBorders>
            <w:shd w:val="clear" w:color="auto" w:fill="auto"/>
            <w:noWrap/>
            <w:vAlign w:val="bottom"/>
            <w:hideMark/>
          </w:tcPr>
          <w:p w14:paraId="0F596D44" w14:textId="77777777" w:rsidR="003B4B66" w:rsidRPr="003B4B66" w:rsidRDefault="003B4B66" w:rsidP="003B4B66">
            <w:pPr>
              <w:spacing w:after="0"/>
              <w:jc w:val="right"/>
              <w:rPr>
                <w:rFonts w:ascii="Arial" w:hAnsi="Arial" w:cs="Arial"/>
                <w:color w:val="auto"/>
                <w:sz w:val="16"/>
                <w:szCs w:val="16"/>
              </w:rPr>
            </w:pPr>
            <w:r w:rsidRPr="003B4B66">
              <w:rPr>
                <w:rFonts w:ascii="Arial" w:hAnsi="Arial" w:cs="Arial"/>
                <w:color w:val="auto"/>
                <w:sz w:val="16"/>
                <w:szCs w:val="16"/>
              </w:rPr>
              <w:t>243,484</w:t>
            </w:r>
          </w:p>
        </w:tc>
        <w:tc>
          <w:tcPr>
            <w:tcW w:w="900" w:type="dxa"/>
            <w:tcBorders>
              <w:top w:val="nil"/>
              <w:left w:val="nil"/>
              <w:bottom w:val="nil"/>
              <w:right w:val="nil"/>
            </w:tcBorders>
            <w:shd w:val="clear" w:color="000000" w:fill="D9D9D9"/>
            <w:noWrap/>
            <w:vAlign w:val="bottom"/>
            <w:hideMark/>
          </w:tcPr>
          <w:p w14:paraId="74C18D96" w14:textId="77777777" w:rsidR="003B4B66" w:rsidRPr="003B4B66" w:rsidRDefault="003B4B66" w:rsidP="003B4B66">
            <w:pPr>
              <w:spacing w:after="0"/>
              <w:jc w:val="right"/>
              <w:rPr>
                <w:rFonts w:ascii="Arial" w:hAnsi="Arial" w:cs="Arial"/>
                <w:color w:val="auto"/>
                <w:sz w:val="16"/>
                <w:szCs w:val="16"/>
              </w:rPr>
            </w:pPr>
            <w:r w:rsidRPr="003B4B66">
              <w:rPr>
                <w:rFonts w:ascii="Arial" w:hAnsi="Arial" w:cs="Arial"/>
                <w:color w:val="auto"/>
                <w:sz w:val="16"/>
                <w:szCs w:val="16"/>
              </w:rPr>
              <w:t>185,431</w:t>
            </w:r>
          </w:p>
        </w:tc>
        <w:tc>
          <w:tcPr>
            <w:tcW w:w="900" w:type="dxa"/>
            <w:tcBorders>
              <w:top w:val="nil"/>
              <w:left w:val="nil"/>
              <w:bottom w:val="nil"/>
              <w:right w:val="nil"/>
            </w:tcBorders>
            <w:shd w:val="clear" w:color="auto" w:fill="auto"/>
            <w:noWrap/>
            <w:vAlign w:val="bottom"/>
            <w:hideMark/>
          </w:tcPr>
          <w:p w14:paraId="4061A310" w14:textId="77777777" w:rsidR="003B4B66" w:rsidRPr="003B4B66" w:rsidRDefault="003B4B66" w:rsidP="003B4B66">
            <w:pPr>
              <w:spacing w:after="0"/>
              <w:jc w:val="right"/>
              <w:rPr>
                <w:rFonts w:ascii="Arial" w:hAnsi="Arial" w:cs="Arial"/>
                <w:color w:val="auto"/>
                <w:sz w:val="16"/>
                <w:szCs w:val="16"/>
              </w:rPr>
            </w:pPr>
            <w:r w:rsidRPr="003B4B66">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7CB9621E" w14:textId="77777777" w:rsidR="003B4B66" w:rsidRPr="003B4B66" w:rsidRDefault="003B4B66" w:rsidP="003B4B66">
            <w:pPr>
              <w:spacing w:after="0"/>
              <w:jc w:val="right"/>
              <w:rPr>
                <w:rFonts w:ascii="Arial" w:hAnsi="Arial" w:cs="Arial"/>
                <w:color w:val="auto"/>
                <w:sz w:val="16"/>
                <w:szCs w:val="16"/>
              </w:rPr>
            </w:pPr>
            <w:r w:rsidRPr="003B4B66">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6EF619C6" w14:textId="77777777" w:rsidR="003B4B66" w:rsidRPr="003B4B66" w:rsidRDefault="003B4B66" w:rsidP="003B4B66">
            <w:pPr>
              <w:spacing w:after="0"/>
              <w:jc w:val="right"/>
              <w:rPr>
                <w:rFonts w:ascii="Arial" w:hAnsi="Arial" w:cs="Arial"/>
                <w:color w:val="auto"/>
                <w:sz w:val="16"/>
                <w:szCs w:val="16"/>
              </w:rPr>
            </w:pPr>
            <w:r w:rsidRPr="003B4B66">
              <w:rPr>
                <w:rFonts w:ascii="Arial" w:hAnsi="Arial" w:cs="Arial"/>
                <w:color w:val="auto"/>
                <w:sz w:val="16"/>
                <w:szCs w:val="16"/>
              </w:rPr>
              <w:t>-</w:t>
            </w:r>
          </w:p>
        </w:tc>
      </w:tr>
      <w:tr w:rsidR="003B4B66" w:rsidRPr="003B4B66" w14:paraId="5AC79504" w14:textId="77777777" w:rsidTr="008C5234">
        <w:trPr>
          <w:trHeight w:val="227"/>
        </w:trPr>
        <w:tc>
          <w:tcPr>
            <w:tcW w:w="2860" w:type="dxa"/>
            <w:tcBorders>
              <w:top w:val="nil"/>
              <w:left w:val="nil"/>
              <w:bottom w:val="nil"/>
              <w:right w:val="nil"/>
            </w:tcBorders>
            <w:shd w:val="clear" w:color="auto" w:fill="auto"/>
            <w:noWrap/>
            <w:vAlign w:val="bottom"/>
            <w:hideMark/>
          </w:tcPr>
          <w:p w14:paraId="42762D61" w14:textId="77777777" w:rsidR="003B4B66" w:rsidRPr="003B4B66" w:rsidRDefault="003B4B66" w:rsidP="003B4B66">
            <w:pPr>
              <w:spacing w:after="0"/>
              <w:ind w:leftChars="75" w:left="143"/>
              <w:rPr>
                <w:rFonts w:ascii="Arial" w:hAnsi="Arial" w:cs="Arial"/>
                <w:color w:val="auto"/>
                <w:sz w:val="16"/>
                <w:szCs w:val="16"/>
              </w:rPr>
            </w:pPr>
            <w:r w:rsidRPr="003B4B66">
              <w:rPr>
                <w:rFonts w:ascii="Arial" w:hAnsi="Arial" w:cs="Arial"/>
                <w:color w:val="auto"/>
                <w:sz w:val="16"/>
                <w:szCs w:val="16"/>
              </w:rPr>
              <w:t>Depreciation and amortisation</w:t>
            </w:r>
          </w:p>
        </w:tc>
        <w:tc>
          <w:tcPr>
            <w:tcW w:w="900" w:type="dxa"/>
            <w:tcBorders>
              <w:top w:val="nil"/>
              <w:left w:val="nil"/>
              <w:bottom w:val="nil"/>
              <w:right w:val="nil"/>
            </w:tcBorders>
            <w:shd w:val="clear" w:color="auto" w:fill="auto"/>
            <w:noWrap/>
            <w:vAlign w:val="bottom"/>
            <w:hideMark/>
          </w:tcPr>
          <w:p w14:paraId="4AB7BAE1" w14:textId="77777777" w:rsidR="003B4B66" w:rsidRPr="003B4B66" w:rsidRDefault="003B4B66" w:rsidP="003B4B66">
            <w:pPr>
              <w:spacing w:after="0"/>
              <w:jc w:val="right"/>
              <w:rPr>
                <w:rFonts w:ascii="Arial" w:hAnsi="Arial" w:cs="Arial"/>
                <w:color w:val="auto"/>
                <w:sz w:val="16"/>
                <w:szCs w:val="16"/>
              </w:rPr>
            </w:pPr>
            <w:r w:rsidRPr="003B4B66">
              <w:rPr>
                <w:rFonts w:ascii="Arial" w:hAnsi="Arial" w:cs="Arial"/>
                <w:color w:val="auto"/>
                <w:sz w:val="16"/>
                <w:szCs w:val="16"/>
              </w:rPr>
              <w:t>37,589</w:t>
            </w:r>
          </w:p>
        </w:tc>
        <w:tc>
          <w:tcPr>
            <w:tcW w:w="900" w:type="dxa"/>
            <w:tcBorders>
              <w:top w:val="nil"/>
              <w:left w:val="nil"/>
              <w:bottom w:val="nil"/>
              <w:right w:val="nil"/>
            </w:tcBorders>
            <w:shd w:val="clear" w:color="000000" w:fill="D9D9D9"/>
            <w:noWrap/>
            <w:vAlign w:val="bottom"/>
            <w:hideMark/>
          </w:tcPr>
          <w:p w14:paraId="05891F03" w14:textId="77777777" w:rsidR="003B4B66" w:rsidRPr="003B4B66" w:rsidRDefault="003B4B66" w:rsidP="003B4B66">
            <w:pPr>
              <w:spacing w:after="0"/>
              <w:jc w:val="right"/>
              <w:rPr>
                <w:rFonts w:ascii="Arial" w:hAnsi="Arial" w:cs="Arial"/>
                <w:color w:val="auto"/>
                <w:sz w:val="16"/>
                <w:szCs w:val="16"/>
              </w:rPr>
            </w:pPr>
            <w:r w:rsidRPr="003B4B66">
              <w:rPr>
                <w:rFonts w:ascii="Arial" w:hAnsi="Arial" w:cs="Arial"/>
                <w:color w:val="auto"/>
                <w:sz w:val="16"/>
                <w:szCs w:val="16"/>
              </w:rPr>
              <w:t>35,878</w:t>
            </w:r>
          </w:p>
        </w:tc>
        <w:tc>
          <w:tcPr>
            <w:tcW w:w="900" w:type="dxa"/>
            <w:tcBorders>
              <w:top w:val="nil"/>
              <w:left w:val="nil"/>
              <w:bottom w:val="nil"/>
              <w:right w:val="nil"/>
            </w:tcBorders>
            <w:shd w:val="clear" w:color="auto" w:fill="auto"/>
            <w:noWrap/>
            <w:vAlign w:val="bottom"/>
            <w:hideMark/>
          </w:tcPr>
          <w:p w14:paraId="78775E53" w14:textId="77777777" w:rsidR="003B4B66" w:rsidRPr="003B4B66" w:rsidRDefault="003B4B66" w:rsidP="003B4B66">
            <w:pPr>
              <w:spacing w:after="0"/>
              <w:jc w:val="right"/>
              <w:rPr>
                <w:rFonts w:ascii="Arial" w:hAnsi="Arial" w:cs="Arial"/>
                <w:color w:val="auto"/>
                <w:sz w:val="16"/>
                <w:szCs w:val="16"/>
              </w:rPr>
            </w:pPr>
            <w:r w:rsidRPr="003B4B66">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166A84C0" w14:textId="77777777" w:rsidR="003B4B66" w:rsidRPr="003B4B66" w:rsidRDefault="003B4B66" w:rsidP="003B4B66">
            <w:pPr>
              <w:spacing w:after="0"/>
              <w:jc w:val="right"/>
              <w:rPr>
                <w:rFonts w:ascii="Arial" w:hAnsi="Arial" w:cs="Arial"/>
                <w:color w:val="auto"/>
                <w:sz w:val="16"/>
                <w:szCs w:val="16"/>
              </w:rPr>
            </w:pPr>
            <w:r w:rsidRPr="003B4B66">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0F737120" w14:textId="77777777" w:rsidR="003B4B66" w:rsidRPr="003B4B66" w:rsidRDefault="003B4B66" w:rsidP="003B4B66">
            <w:pPr>
              <w:spacing w:after="0"/>
              <w:jc w:val="right"/>
              <w:rPr>
                <w:rFonts w:ascii="Arial" w:hAnsi="Arial" w:cs="Arial"/>
                <w:color w:val="auto"/>
                <w:sz w:val="16"/>
                <w:szCs w:val="16"/>
              </w:rPr>
            </w:pPr>
            <w:r w:rsidRPr="003B4B66">
              <w:rPr>
                <w:rFonts w:ascii="Arial" w:hAnsi="Arial" w:cs="Arial"/>
                <w:color w:val="auto"/>
                <w:sz w:val="16"/>
                <w:szCs w:val="16"/>
              </w:rPr>
              <w:t>-</w:t>
            </w:r>
          </w:p>
        </w:tc>
      </w:tr>
      <w:tr w:rsidR="003B4B66" w:rsidRPr="003B4B66" w14:paraId="7BD41362" w14:textId="77777777" w:rsidTr="008C5234">
        <w:trPr>
          <w:trHeight w:val="227"/>
        </w:trPr>
        <w:tc>
          <w:tcPr>
            <w:tcW w:w="2860" w:type="dxa"/>
            <w:tcBorders>
              <w:top w:val="nil"/>
              <w:left w:val="nil"/>
              <w:bottom w:val="nil"/>
              <w:right w:val="nil"/>
            </w:tcBorders>
            <w:shd w:val="clear" w:color="auto" w:fill="auto"/>
            <w:vAlign w:val="bottom"/>
            <w:hideMark/>
          </w:tcPr>
          <w:p w14:paraId="35ACA3BA" w14:textId="77777777" w:rsidR="003B4B66" w:rsidRPr="003B4B66" w:rsidRDefault="003B4B66" w:rsidP="003B4B66">
            <w:pPr>
              <w:spacing w:after="0"/>
              <w:ind w:leftChars="75" w:left="143"/>
              <w:rPr>
                <w:rFonts w:ascii="Arial" w:hAnsi="Arial" w:cs="Arial"/>
                <w:color w:val="auto"/>
                <w:sz w:val="16"/>
                <w:szCs w:val="16"/>
              </w:rPr>
            </w:pPr>
            <w:r w:rsidRPr="003B4B66">
              <w:rPr>
                <w:rFonts w:ascii="Arial" w:hAnsi="Arial" w:cs="Arial"/>
                <w:color w:val="auto"/>
                <w:sz w:val="16"/>
                <w:szCs w:val="16"/>
              </w:rPr>
              <w:t xml:space="preserve">Interest on </w:t>
            </w:r>
            <w:proofErr w:type="spellStart"/>
            <w:r w:rsidRPr="003B4B66">
              <w:rPr>
                <w:rFonts w:ascii="Arial" w:hAnsi="Arial" w:cs="Arial"/>
                <w:color w:val="auto"/>
                <w:sz w:val="16"/>
                <w:szCs w:val="16"/>
              </w:rPr>
              <w:t>RoU</w:t>
            </w:r>
            <w:proofErr w:type="spellEnd"/>
          </w:p>
        </w:tc>
        <w:tc>
          <w:tcPr>
            <w:tcW w:w="900" w:type="dxa"/>
            <w:tcBorders>
              <w:top w:val="nil"/>
              <w:left w:val="nil"/>
              <w:bottom w:val="nil"/>
              <w:right w:val="nil"/>
            </w:tcBorders>
            <w:shd w:val="clear" w:color="auto" w:fill="auto"/>
            <w:noWrap/>
            <w:vAlign w:val="bottom"/>
            <w:hideMark/>
          </w:tcPr>
          <w:p w14:paraId="3B11F847" w14:textId="77777777" w:rsidR="003B4B66" w:rsidRPr="003B4B66" w:rsidRDefault="003B4B66" w:rsidP="003B4B66">
            <w:pPr>
              <w:spacing w:after="0"/>
              <w:jc w:val="right"/>
              <w:rPr>
                <w:rFonts w:ascii="Arial" w:hAnsi="Arial" w:cs="Arial"/>
                <w:color w:val="auto"/>
                <w:sz w:val="16"/>
                <w:szCs w:val="16"/>
              </w:rPr>
            </w:pPr>
            <w:r w:rsidRPr="003B4B66">
              <w:rPr>
                <w:rFonts w:ascii="Arial" w:hAnsi="Arial" w:cs="Arial"/>
                <w:color w:val="auto"/>
                <w:sz w:val="16"/>
                <w:szCs w:val="16"/>
              </w:rPr>
              <w:t>111</w:t>
            </w:r>
          </w:p>
        </w:tc>
        <w:tc>
          <w:tcPr>
            <w:tcW w:w="900" w:type="dxa"/>
            <w:tcBorders>
              <w:top w:val="nil"/>
              <w:left w:val="nil"/>
              <w:bottom w:val="nil"/>
              <w:right w:val="nil"/>
            </w:tcBorders>
            <w:shd w:val="clear" w:color="000000" w:fill="D9D9D9"/>
            <w:noWrap/>
            <w:vAlign w:val="bottom"/>
            <w:hideMark/>
          </w:tcPr>
          <w:p w14:paraId="3B6E903D" w14:textId="77777777" w:rsidR="003B4B66" w:rsidRPr="003B4B66" w:rsidRDefault="003B4B66" w:rsidP="003B4B66">
            <w:pPr>
              <w:spacing w:after="0"/>
              <w:jc w:val="right"/>
              <w:rPr>
                <w:rFonts w:ascii="Arial" w:hAnsi="Arial" w:cs="Arial"/>
                <w:color w:val="auto"/>
                <w:sz w:val="16"/>
                <w:szCs w:val="16"/>
              </w:rPr>
            </w:pPr>
            <w:r w:rsidRPr="003B4B66">
              <w:rPr>
                <w:rFonts w:ascii="Arial" w:hAnsi="Arial" w:cs="Arial"/>
                <w:color w:val="auto"/>
                <w:sz w:val="16"/>
                <w:szCs w:val="16"/>
              </w:rPr>
              <w:t>80</w:t>
            </w:r>
          </w:p>
        </w:tc>
        <w:tc>
          <w:tcPr>
            <w:tcW w:w="900" w:type="dxa"/>
            <w:tcBorders>
              <w:top w:val="nil"/>
              <w:left w:val="nil"/>
              <w:bottom w:val="nil"/>
              <w:right w:val="nil"/>
            </w:tcBorders>
            <w:shd w:val="clear" w:color="auto" w:fill="auto"/>
            <w:noWrap/>
            <w:vAlign w:val="bottom"/>
            <w:hideMark/>
          </w:tcPr>
          <w:p w14:paraId="1BA042D6" w14:textId="77777777" w:rsidR="003B4B66" w:rsidRPr="003B4B66" w:rsidRDefault="003B4B66" w:rsidP="003B4B66">
            <w:pPr>
              <w:spacing w:after="0"/>
              <w:jc w:val="right"/>
              <w:rPr>
                <w:rFonts w:ascii="Arial" w:hAnsi="Arial" w:cs="Arial"/>
                <w:color w:val="auto"/>
                <w:sz w:val="16"/>
                <w:szCs w:val="16"/>
              </w:rPr>
            </w:pPr>
            <w:r w:rsidRPr="003B4B66">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6E30DAF0" w14:textId="77777777" w:rsidR="003B4B66" w:rsidRPr="003B4B66" w:rsidRDefault="003B4B66" w:rsidP="003B4B66">
            <w:pPr>
              <w:spacing w:after="0"/>
              <w:jc w:val="right"/>
              <w:rPr>
                <w:rFonts w:ascii="Arial" w:hAnsi="Arial" w:cs="Arial"/>
                <w:color w:val="auto"/>
                <w:sz w:val="16"/>
                <w:szCs w:val="16"/>
              </w:rPr>
            </w:pPr>
            <w:r w:rsidRPr="003B4B66">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634C292A" w14:textId="77777777" w:rsidR="003B4B66" w:rsidRPr="003B4B66" w:rsidRDefault="003B4B66" w:rsidP="003B4B66">
            <w:pPr>
              <w:spacing w:after="0"/>
              <w:jc w:val="right"/>
              <w:rPr>
                <w:rFonts w:ascii="Arial" w:hAnsi="Arial" w:cs="Arial"/>
                <w:color w:val="auto"/>
                <w:sz w:val="16"/>
                <w:szCs w:val="16"/>
              </w:rPr>
            </w:pPr>
            <w:r w:rsidRPr="003B4B66">
              <w:rPr>
                <w:rFonts w:ascii="Arial" w:hAnsi="Arial" w:cs="Arial"/>
                <w:color w:val="auto"/>
                <w:sz w:val="16"/>
                <w:szCs w:val="16"/>
              </w:rPr>
              <w:t>-</w:t>
            </w:r>
          </w:p>
        </w:tc>
      </w:tr>
      <w:tr w:rsidR="003B4B66" w:rsidRPr="003B4B66" w14:paraId="6D0ECCF2" w14:textId="77777777" w:rsidTr="008C5234">
        <w:trPr>
          <w:trHeight w:val="227"/>
        </w:trPr>
        <w:tc>
          <w:tcPr>
            <w:tcW w:w="2860" w:type="dxa"/>
            <w:tcBorders>
              <w:top w:val="nil"/>
              <w:left w:val="nil"/>
              <w:bottom w:val="nil"/>
              <w:right w:val="nil"/>
            </w:tcBorders>
            <w:shd w:val="clear" w:color="auto" w:fill="auto"/>
            <w:noWrap/>
            <w:vAlign w:val="bottom"/>
            <w:hideMark/>
          </w:tcPr>
          <w:p w14:paraId="11F8A2B8" w14:textId="77777777" w:rsidR="003B4B66" w:rsidRPr="003B4B66" w:rsidRDefault="003B4B66" w:rsidP="003B4B66">
            <w:pPr>
              <w:spacing w:after="0"/>
              <w:ind w:leftChars="75" w:left="143"/>
              <w:rPr>
                <w:rFonts w:ascii="Arial" w:hAnsi="Arial" w:cs="Arial"/>
                <w:b/>
                <w:bCs/>
                <w:color w:val="auto"/>
                <w:sz w:val="16"/>
                <w:szCs w:val="16"/>
              </w:rPr>
            </w:pPr>
            <w:r w:rsidRPr="003B4B66">
              <w:rPr>
                <w:rFonts w:ascii="Arial" w:hAnsi="Arial" w:cs="Arial"/>
                <w:b/>
                <w:bCs/>
                <w:color w:val="auto"/>
                <w:sz w:val="16"/>
                <w:szCs w:val="16"/>
              </w:rPr>
              <w:t>Total expenses</w:t>
            </w:r>
          </w:p>
        </w:tc>
        <w:tc>
          <w:tcPr>
            <w:tcW w:w="900" w:type="dxa"/>
            <w:tcBorders>
              <w:top w:val="nil"/>
              <w:left w:val="nil"/>
              <w:bottom w:val="single" w:sz="4" w:space="0" w:color="auto"/>
              <w:right w:val="nil"/>
            </w:tcBorders>
            <w:shd w:val="clear" w:color="auto" w:fill="auto"/>
            <w:noWrap/>
            <w:vAlign w:val="bottom"/>
            <w:hideMark/>
          </w:tcPr>
          <w:p w14:paraId="0A873A19" w14:textId="77777777" w:rsidR="003B4B66" w:rsidRPr="003B4B66" w:rsidRDefault="003B4B66" w:rsidP="003B4B66">
            <w:pPr>
              <w:spacing w:after="0"/>
              <w:jc w:val="right"/>
              <w:rPr>
                <w:rFonts w:ascii="Arial" w:hAnsi="Arial" w:cs="Arial"/>
                <w:b/>
                <w:bCs/>
                <w:color w:val="auto"/>
                <w:sz w:val="16"/>
                <w:szCs w:val="16"/>
              </w:rPr>
            </w:pPr>
            <w:r w:rsidRPr="003B4B66">
              <w:rPr>
                <w:rFonts w:ascii="Arial" w:hAnsi="Arial" w:cs="Arial"/>
                <w:b/>
                <w:bCs/>
                <w:color w:val="auto"/>
                <w:sz w:val="16"/>
                <w:szCs w:val="16"/>
              </w:rPr>
              <w:t>323,269</w:t>
            </w:r>
          </w:p>
        </w:tc>
        <w:tc>
          <w:tcPr>
            <w:tcW w:w="900" w:type="dxa"/>
            <w:tcBorders>
              <w:top w:val="nil"/>
              <w:left w:val="nil"/>
              <w:bottom w:val="single" w:sz="4" w:space="0" w:color="auto"/>
              <w:right w:val="nil"/>
            </w:tcBorders>
            <w:shd w:val="clear" w:color="000000" w:fill="D9D9D9"/>
            <w:noWrap/>
            <w:vAlign w:val="bottom"/>
            <w:hideMark/>
          </w:tcPr>
          <w:p w14:paraId="00CC8EFA" w14:textId="77777777" w:rsidR="003B4B66" w:rsidRPr="003B4B66" w:rsidRDefault="003B4B66" w:rsidP="003B4B66">
            <w:pPr>
              <w:spacing w:after="0"/>
              <w:jc w:val="right"/>
              <w:rPr>
                <w:rFonts w:ascii="Arial" w:hAnsi="Arial" w:cs="Arial"/>
                <w:b/>
                <w:bCs/>
                <w:color w:val="auto"/>
                <w:sz w:val="16"/>
                <w:szCs w:val="16"/>
              </w:rPr>
            </w:pPr>
            <w:r w:rsidRPr="003B4B66">
              <w:rPr>
                <w:rFonts w:ascii="Arial" w:hAnsi="Arial" w:cs="Arial"/>
                <w:b/>
                <w:bCs/>
                <w:color w:val="auto"/>
                <w:sz w:val="16"/>
                <w:szCs w:val="16"/>
              </w:rPr>
              <w:t>276,387</w:t>
            </w:r>
          </w:p>
        </w:tc>
        <w:tc>
          <w:tcPr>
            <w:tcW w:w="900" w:type="dxa"/>
            <w:tcBorders>
              <w:top w:val="nil"/>
              <w:left w:val="nil"/>
              <w:bottom w:val="single" w:sz="4" w:space="0" w:color="auto"/>
              <w:right w:val="nil"/>
            </w:tcBorders>
            <w:shd w:val="clear" w:color="auto" w:fill="auto"/>
            <w:noWrap/>
            <w:vAlign w:val="bottom"/>
            <w:hideMark/>
          </w:tcPr>
          <w:p w14:paraId="4295C1A5" w14:textId="77777777" w:rsidR="003B4B66" w:rsidRPr="003B4B66" w:rsidRDefault="003B4B66" w:rsidP="003B4B66">
            <w:pPr>
              <w:spacing w:after="0"/>
              <w:jc w:val="right"/>
              <w:rPr>
                <w:rFonts w:ascii="Arial" w:hAnsi="Arial" w:cs="Arial"/>
                <w:b/>
                <w:bCs/>
                <w:color w:val="auto"/>
                <w:sz w:val="16"/>
                <w:szCs w:val="16"/>
              </w:rPr>
            </w:pPr>
            <w:r w:rsidRPr="003B4B66">
              <w:rPr>
                <w:rFonts w:ascii="Arial" w:hAnsi="Arial" w:cs="Arial"/>
                <w:b/>
                <w:bCs/>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14:paraId="0632B2F5" w14:textId="77777777" w:rsidR="003B4B66" w:rsidRPr="003B4B66" w:rsidRDefault="003B4B66" w:rsidP="003B4B66">
            <w:pPr>
              <w:spacing w:after="0"/>
              <w:jc w:val="right"/>
              <w:rPr>
                <w:rFonts w:ascii="Arial" w:hAnsi="Arial" w:cs="Arial"/>
                <w:b/>
                <w:bCs/>
                <w:color w:val="auto"/>
                <w:sz w:val="16"/>
                <w:szCs w:val="16"/>
              </w:rPr>
            </w:pPr>
            <w:r w:rsidRPr="003B4B66">
              <w:rPr>
                <w:rFonts w:ascii="Arial" w:hAnsi="Arial" w:cs="Arial"/>
                <w:b/>
                <w:bCs/>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14:paraId="6208220A" w14:textId="77777777" w:rsidR="003B4B66" w:rsidRPr="003B4B66" w:rsidRDefault="003B4B66" w:rsidP="003B4B66">
            <w:pPr>
              <w:spacing w:after="0"/>
              <w:jc w:val="right"/>
              <w:rPr>
                <w:rFonts w:ascii="Arial" w:hAnsi="Arial" w:cs="Arial"/>
                <w:b/>
                <w:bCs/>
                <w:color w:val="auto"/>
                <w:sz w:val="16"/>
                <w:szCs w:val="16"/>
              </w:rPr>
            </w:pPr>
            <w:r w:rsidRPr="003B4B66">
              <w:rPr>
                <w:rFonts w:ascii="Arial" w:hAnsi="Arial" w:cs="Arial"/>
                <w:b/>
                <w:bCs/>
                <w:color w:val="auto"/>
                <w:sz w:val="16"/>
                <w:szCs w:val="16"/>
              </w:rPr>
              <w:t>-</w:t>
            </w:r>
          </w:p>
        </w:tc>
      </w:tr>
      <w:tr w:rsidR="003B4B66" w:rsidRPr="003B4B66" w14:paraId="17D3184D" w14:textId="77777777" w:rsidTr="008C5234">
        <w:trPr>
          <w:trHeight w:val="227"/>
        </w:trPr>
        <w:tc>
          <w:tcPr>
            <w:tcW w:w="2860" w:type="dxa"/>
            <w:tcBorders>
              <w:top w:val="nil"/>
              <w:left w:val="nil"/>
              <w:bottom w:val="nil"/>
              <w:right w:val="nil"/>
            </w:tcBorders>
            <w:shd w:val="clear" w:color="auto" w:fill="auto"/>
            <w:noWrap/>
            <w:vAlign w:val="bottom"/>
            <w:hideMark/>
          </w:tcPr>
          <w:p w14:paraId="6BD94EA8" w14:textId="77777777" w:rsidR="003B4B66" w:rsidRPr="003B4B66" w:rsidRDefault="003B4B66" w:rsidP="003B4B66">
            <w:pPr>
              <w:spacing w:after="0"/>
              <w:rPr>
                <w:rFonts w:ascii="Arial" w:hAnsi="Arial" w:cs="Arial"/>
                <w:b/>
                <w:bCs/>
                <w:color w:val="auto"/>
                <w:sz w:val="16"/>
                <w:szCs w:val="16"/>
              </w:rPr>
            </w:pPr>
            <w:r w:rsidRPr="003B4B66">
              <w:rPr>
                <w:rFonts w:ascii="Arial" w:hAnsi="Arial" w:cs="Arial"/>
                <w:b/>
                <w:bCs/>
                <w:color w:val="auto"/>
                <w:sz w:val="16"/>
                <w:szCs w:val="16"/>
              </w:rPr>
              <w:t xml:space="preserve">LESS: </w:t>
            </w:r>
          </w:p>
        </w:tc>
        <w:tc>
          <w:tcPr>
            <w:tcW w:w="900" w:type="dxa"/>
            <w:tcBorders>
              <w:top w:val="nil"/>
              <w:left w:val="nil"/>
              <w:bottom w:val="nil"/>
              <w:right w:val="nil"/>
            </w:tcBorders>
            <w:shd w:val="clear" w:color="auto" w:fill="auto"/>
            <w:noWrap/>
            <w:vAlign w:val="bottom"/>
            <w:hideMark/>
          </w:tcPr>
          <w:p w14:paraId="0AAB6EDB" w14:textId="77777777" w:rsidR="003B4B66" w:rsidRPr="003B4B66" w:rsidRDefault="003B4B66" w:rsidP="003B4B66">
            <w:pPr>
              <w:spacing w:after="0"/>
              <w:rPr>
                <w:rFonts w:ascii="Arial" w:hAnsi="Arial" w:cs="Arial"/>
                <w:b/>
                <w:bCs/>
                <w:color w:val="auto"/>
                <w:sz w:val="16"/>
                <w:szCs w:val="16"/>
              </w:rPr>
            </w:pPr>
          </w:p>
        </w:tc>
        <w:tc>
          <w:tcPr>
            <w:tcW w:w="900" w:type="dxa"/>
            <w:tcBorders>
              <w:top w:val="nil"/>
              <w:left w:val="nil"/>
              <w:bottom w:val="nil"/>
              <w:right w:val="nil"/>
            </w:tcBorders>
            <w:shd w:val="clear" w:color="000000" w:fill="D9D9D9"/>
            <w:noWrap/>
            <w:vAlign w:val="bottom"/>
            <w:hideMark/>
          </w:tcPr>
          <w:p w14:paraId="6DC889B8" w14:textId="77777777" w:rsidR="003B4B66" w:rsidRPr="003B4B66" w:rsidRDefault="003B4B66" w:rsidP="003B4B66">
            <w:pPr>
              <w:spacing w:after="0"/>
              <w:jc w:val="right"/>
              <w:rPr>
                <w:rFonts w:ascii="Arial" w:hAnsi="Arial" w:cs="Arial"/>
                <w:b/>
                <w:bCs/>
                <w:color w:val="auto"/>
                <w:sz w:val="16"/>
                <w:szCs w:val="16"/>
              </w:rPr>
            </w:pPr>
            <w:r w:rsidRPr="003B4B66">
              <w:rPr>
                <w:rFonts w:ascii="Arial" w:hAnsi="Arial" w:cs="Arial"/>
                <w:b/>
                <w:bCs/>
                <w:color w:val="auto"/>
                <w:sz w:val="16"/>
                <w:szCs w:val="16"/>
              </w:rPr>
              <w:t> </w:t>
            </w:r>
          </w:p>
        </w:tc>
        <w:tc>
          <w:tcPr>
            <w:tcW w:w="900" w:type="dxa"/>
            <w:tcBorders>
              <w:top w:val="nil"/>
              <w:left w:val="nil"/>
              <w:bottom w:val="nil"/>
              <w:right w:val="nil"/>
            </w:tcBorders>
            <w:shd w:val="clear" w:color="auto" w:fill="auto"/>
            <w:noWrap/>
            <w:vAlign w:val="bottom"/>
            <w:hideMark/>
          </w:tcPr>
          <w:p w14:paraId="41584098" w14:textId="77777777" w:rsidR="003B4B66" w:rsidRPr="003B4B66" w:rsidRDefault="003B4B66" w:rsidP="003B4B66">
            <w:pPr>
              <w:spacing w:after="0"/>
              <w:jc w:val="right"/>
              <w:rPr>
                <w:rFonts w:ascii="Arial" w:hAnsi="Arial" w:cs="Arial"/>
                <w:b/>
                <w:bCs/>
                <w:color w:val="auto"/>
                <w:sz w:val="16"/>
                <w:szCs w:val="16"/>
              </w:rPr>
            </w:pPr>
          </w:p>
        </w:tc>
        <w:tc>
          <w:tcPr>
            <w:tcW w:w="900" w:type="dxa"/>
            <w:tcBorders>
              <w:top w:val="nil"/>
              <w:left w:val="nil"/>
              <w:bottom w:val="nil"/>
              <w:right w:val="nil"/>
            </w:tcBorders>
            <w:shd w:val="clear" w:color="auto" w:fill="auto"/>
            <w:noWrap/>
            <w:vAlign w:val="bottom"/>
            <w:hideMark/>
          </w:tcPr>
          <w:p w14:paraId="71B2DEA8" w14:textId="77777777" w:rsidR="003B4B66" w:rsidRPr="003B4B66" w:rsidRDefault="003B4B66" w:rsidP="003B4B66">
            <w:pPr>
              <w:spacing w:after="0"/>
              <w:jc w:val="right"/>
              <w:rPr>
                <w:rFonts w:ascii="Times New Roman" w:hAnsi="Times New Roman"/>
                <w:color w:val="auto"/>
                <w:sz w:val="20"/>
              </w:rPr>
            </w:pPr>
          </w:p>
        </w:tc>
        <w:tc>
          <w:tcPr>
            <w:tcW w:w="900" w:type="dxa"/>
            <w:tcBorders>
              <w:top w:val="nil"/>
              <w:left w:val="nil"/>
              <w:bottom w:val="nil"/>
              <w:right w:val="nil"/>
            </w:tcBorders>
            <w:shd w:val="clear" w:color="auto" w:fill="auto"/>
            <w:noWrap/>
            <w:vAlign w:val="bottom"/>
            <w:hideMark/>
          </w:tcPr>
          <w:p w14:paraId="7614D242" w14:textId="77777777" w:rsidR="003B4B66" w:rsidRPr="003B4B66" w:rsidRDefault="003B4B66" w:rsidP="003B4B66">
            <w:pPr>
              <w:spacing w:after="0"/>
              <w:jc w:val="right"/>
              <w:rPr>
                <w:rFonts w:ascii="Times New Roman" w:hAnsi="Times New Roman"/>
                <w:color w:val="auto"/>
                <w:sz w:val="20"/>
              </w:rPr>
            </w:pPr>
          </w:p>
        </w:tc>
      </w:tr>
      <w:tr w:rsidR="003B4B66" w:rsidRPr="003B4B66" w14:paraId="4BB6ABCA" w14:textId="77777777" w:rsidTr="008C5234">
        <w:trPr>
          <w:trHeight w:val="227"/>
        </w:trPr>
        <w:tc>
          <w:tcPr>
            <w:tcW w:w="2860" w:type="dxa"/>
            <w:tcBorders>
              <w:top w:val="nil"/>
              <w:left w:val="nil"/>
              <w:bottom w:val="nil"/>
              <w:right w:val="nil"/>
            </w:tcBorders>
            <w:shd w:val="clear" w:color="auto" w:fill="auto"/>
            <w:noWrap/>
            <w:vAlign w:val="bottom"/>
            <w:hideMark/>
          </w:tcPr>
          <w:p w14:paraId="18581239" w14:textId="77777777" w:rsidR="003B4B66" w:rsidRPr="003B4B66" w:rsidRDefault="003B4B66" w:rsidP="003B4B66">
            <w:pPr>
              <w:spacing w:after="0"/>
              <w:rPr>
                <w:rFonts w:ascii="Arial" w:hAnsi="Arial" w:cs="Arial"/>
                <w:b/>
                <w:bCs/>
                <w:color w:val="auto"/>
                <w:sz w:val="16"/>
                <w:szCs w:val="16"/>
              </w:rPr>
            </w:pPr>
            <w:r w:rsidRPr="003B4B66">
              <w:rPr>
                <w:rFonts w:ascii="Arial" w:hAnsi="Arial" w:cs="Arial"/>
                <w:b/>
                <w:bCs/>
                <w:color w:val="auto"/>
                <w:sz w:val="16"/>
                <w:szCs w:val="16"/>
              </w:rPr>
              <w:t>OWN-SOURCE INCOME</w:t>
            </w:r>
          </w:p>
        </w:tc>
        <w:tc>
          <w:tcPr>
            <w:tcW w:w="900" w:type="dxa"/>
            <w:tcBorders>
              <w:top w:val="nil"/>
              <w:left w:val="nil"/>
              <w:bottom w:val="nil"/>
              <w:right w:val="nil"/>
            </w:tcBorders>
            <w:shd w:val="clear" w:color="auto" w:fill="auto"/>
            <w:noWrap/>
            <w:vAlign w:val="bottom"/>
            <w:hideMark/>
          </w:tcPr>
          <w:p w14:paraId="05BFDCCB" w14:textId="77777777" w:rsidR="003B4B66" w:rsidRPr="003B4B66" w:rsidRDefault="003B4B66" w:rsidP="003B4B66">
            <w:pPr>
              <w:spacing w:after="0"/>
              <w:rPr>
                <w:rFonts w:ascii="Arial" w:hAnsi="Arial" w:cs="Arial"/>
                <w:b/>
                <w:bCs/>
                <w:color w:val="auto"/>
                <w:sz w:val="16"/>
                <w:szCs w:val="16"/>
              </w:rPr>
            </w:pPr>
          </w:p>
        </w:tc>
        <w:tc>
          <w:tcPr>
            <w:tcW w:w="900" w:type="dxa"/>
            <w:tcBorders>
              <w:top w:val="nil"/>
              <w:left w:val="nil"/>
              <w:bottom w:val="nil"/>
              <w:right w:val="nil"/>
            </w:tcBorders>
            <w:shd w:val="clear" w:color="000000" w:fill="D9D9D9"/>
            <w:noWrap/>
            <w:vAlign w:val="bottom"/>
            <w:hideMark/>
          </w:tcPr>
          <w:p w14:paraId="2C86012F" w14:textId="77777777" w:rsidR="003B4B66" w:rsidRPr="003B4B66" w:rsidRDefault="003B4B66" w:rsidP="003B4B66">
            <w:pPr>
              <w:spacing w:after="0"/>
              <w:jc w:val="right"/>
              <w:rPr>
                <w:rFonts w:ascii="Arial" w:hAnsi="Arial" w:cs="Arial"/>
                <w:b/>
                <w:bCs/>
                <w:color w:val="auto"/>
                <w:sz w:val="16"/>
                <w:szCs w:val="16"/>
              </w:rPr>
            </w:pPr>
            <w:r w:rsidRPr="003B4B66">
              <w:rPr>
                <w:rFonts w:ascii="Arial" w:hAnsi="Arial" w:cs="Arial"/>
                <w:b/>
                <w:bCs/>
                <w:color w:val="auto"/>
                <w:sz w:val="16"/>
                <w:szCs w:val="16"/>
              </w:rPr>
              <w:t> </w:t>
            </w:r>
          </w:p>
        </w:tc>
        <w:tc>
          <w:tcPr>
            <w:tcW w:w="900" w:type="dxa"/>
            <w:tcBorders>
              <w:top w:val="nil"/>
              <w:left w:val="nil"/>
              <w:bottom w:val="nil"/>
              <w:right w:val="nil"/>
            </w:tcBorders>
            <w:shd w:val="clear" w:color="auto" w:fill="auto"/>
            <w:noWrap/>
            <w:vAlign w:val="bottom"/>
            <w:hideMark/>
          </w:tcPr>
          <w:p w14:paraId="2BE82CB6" w14:textId="77777777" w:rsidR="003B4B66" w:rsidRPr="003B4B66" w:rsidRDefault="003B4B66" w:rsidP="003B4B66">
            <w:pPr>
              <w:spacing w:after="0"/>
              <w:jc w:val="right"/>
              <w:rPr>
                <w:rFonts w:ascii="Arial" w:hAnsi="Arial" w:cs="Arial"/>
                <w:b/>
                <w:bCs/>
                <w:color w:val="auto"/>
                <w:sz w:val="16"/>
                <w:szCs w:val="16"/>
              </w:rPr>
            </w:pPr>
          </w:p>
        </w:tc>
        <w:tc>
          <w:tcPr>
            <w:tcW w:w="900" w:type="dxa"/>
            <w:tcBorders>
              <w:top w:val="nil"/>
              <w:left w:val="nil"/>
              <w:bottom w:val="nil"/>
              <w:right w:val="nil"/>
            </w:tcBorders>
            <w:shd w:val="clear" w:color="auto" w:fill="auto"/>
            <w:noWrap/>
            <w:vAlign w:val="bottom"/>
            <w:hideMark/>
          </w:tcPr>
          <w:p w14:paraId="05080448" w14:textId="77777777" w:rsidR="003B4B66" w:rsidRPr="003B4B66" w:rsidRDefault="003B4B66" w:rsidP="003B4B66">
            <w:pPr>
              <w:spacing w:after="0"/>
              <w:jc w:val="right"/>
              <w:rPr>
                <w:rFonts w:ascii="Times New Roman" w:hAnsi="Times New Roman"/>
                <w:color w:val="auto"/>
                <w:sz w:val="20"/>
              </w:rPr>
            </w:pPr>
          </w:p>
        </w:tc>
        <w:tc>
          <w:tcPr>
            <w:tcW w:w="900" w:type="dxa"/>
            <w:tcBorders>
              <w:top w:val="nil"/>
              <w:left w:val="nil"/>
              <w:bottom w:val="nil"/>
              <w:right w:val="nil"/>
            </w:tcBorders>
            <w:shd w:val="clear" w:color="auto" w:fill="auto"/>
            <w:noWrap/>
            <w:vAlign w:val="bottom"/>
            <w:hideMark/>
          </w:tcPr>
          <w:p w14:paraId="1F99008C" w14:textId="77777777" w:rsidR="003B4B66" w:rsidRPr="003B4B66" w:rsidRDefault="003B4B66" w:rsidP="003B4B66">
            <w:pPr>
              <w:spacing w:after="0"/>
              <w:jc w:val="right"/>
              <w:rPr>
                <w:rFonts w:ascii="Times New Roman" w:hAnsi="Times New Roman"/>
                <w:color w:val="auto"/>
                <w:sz w:val="20"/>
              </w:rPr>
            </w:pPr>
          </w:p>
        </w:tc>
      </w:tr>
      <w:tr w:rsidR="003B4B66" w:rsidRPr="003B4B66" w14:paraId="68A40D13" w14:textId="77777777" w:rsidTr="008C5234">
        <w:trPr>
          <w:trHeight w:val="227"/>
        </w:trPr>
        <w:tc>
          <w:tcPr>
            <w:tcW w:w="2860" w:type="dxa"/>
            <w:tcBorders>
              <w:top w:val="nil"/>
              <w:left w:val="nil"/>
              <w:bottom w:val="nil"/>
              <w:right w:val="nil"/>
            </w:tcBorders>
            <w:shd w:val="clear" w:color="auto" w:fill="auto"/>
            <w:noWrap/>
            <w:vAlign w:val="bottom"/>
            <w:hideMark/>
          </w:tcPr>
          <w:p w14:paraId="39E92F50" w14:textId="77777777" w:rsidR="003B4B66" w:rsidRPr="003B4B66" w:rsidRDefault="003B4B66" w:rsidP="003B4B66">
            <w:pPr>
              <w:spacing w:after="0"/>
              <w:ind w:firstLineChars="100" w:firstLine="160"/>
              <w:rPr>
                <w:rFonts w:ascii="Arial" w:hAnsi="Arial" w:cs="Arial"/>
                <w:b/>
                <w:bCs/>
                <w:color w:val="auto"/>
                <w:sz w:val="16"/>
                <w:szCs w:val="16"/>
              </w:rPr>
            </w:pPr>
            <w:r w:rsidRPr="003B4B66">
              <w:rPr>
                <w:rFonts w:ascii="Arial" w:hAnsi="Arial" w:cs="Arial"/>
                <w:b/>
                <w:bCs/>
                <w:color w:val="auto"/>
                <w:sz w:val="16"/>
                <w:szCs w:val="16"/>
              </w:rPr>
              <w:t>Revenue</w:t>
            </w:r>
          </w:p>
        </w:tc>
        <w:tc>
          <w:tcPr>
            <w:tcW w:w="900" w:type="dxa"/>
            <w:tcBorders>
              <w:top w:val="nil"/>
              <w:left w:val="nil"/>
              <w:bottom w:val="nil"/>
              <w:right w:val="nil"/>
            </w:tcBorders>
            <w:shd w:val="clear" w:color="auto" w:fill="auto"/>
            <w:noWrap/>
            <w:vAlign w:val="bottom"/>
            <w:hideMark/>
          </w:tcPr>
          <w:p w14:paraId="41C8DC1D" w14:textId="77777777" w:rsidR="003B4B66" w:rsidRPr="003B4B66" w:rsidRDefault="003B4B66" w:rsidP="003B4B66">
            <w:pPr>
              <w:spacing w:after="0"/>
              <w:ind w:firstLineChars="100" w:firstLine="160"/>
              <w:rPr>
                <w:rFonts w:ascii="Arial" w:hAnsi="Arial" w:cs="Arial"/>
                <w:b/>
                <w:bCs/>
                <w:color w:val="auto"/>
                <w:sz w:val="16"/>
                <w:szCs w:val="16"/>
              </w:rPr>
            </w:pPr>
          </w:p>
        </w:tc>
        <w:tc>
          <w:tcPr>
            <w:tcW w:w="900" w:type="dxa"/>
            <w:tcBorders>
              <w:top w:val="nil"/>
              <w:left w:val="nil"/>
              <w:bottom w:val="nil"/>
              <w:right w:val="nil"/>
            </w:tcBorders>
            <w:shd w:val="clear" w:color="000000" w:fill="D9D9D9"/>
            <w:noWrap/>
            <w:vAlign w:val="bottom"/>
            <w:hideMark/>
          </w:tcPr>
          <w:p w14:paraId="51B12C63" w14:textId="77777777" w:rsidR="003B4B66" w:rsidRPr="003B4B66" w:rsidRDefault="003B4B66" w:rsidP="003B4B66">
            <w:pPr>
              <w:spacing w:after="0"/>
              <w:jc w:val="right"/>
              <w:rPr>
                <w:rFonts w:ascii="Arial" w:hAnsi="Arial" w:cs="Arial"/>
                <w:b/>
                <w:bCs/>
                <w:color w:val="auto"/>
                <w:sz w:val="16"/>
                <w:szCs w:val="16"/>
              </w:rPr>
            </w:pPr>
            <w:r w:rsidRPr="003B4B66">
              <w:rPr>
                <w:rFonts w:ascii="Arial" w:hAnsi="Arial" w:cs="Arial"/>
                <w:b/>
                <w:bCs/>
                <w:color w:val="auto"/>
                <w:sz w:val="16"/>
                <w:szCs w:val="16"/>
              </w:rPr>
              <w:t> </w:t>
            </w:r>
          </w:p>
        </w:tc>
        <w:tc>
          <w:tcPr>
            <w:tcW w:w="900" w:type="dxa"/>
            <w:tcBorders>
              <w:top w:val="nil"/>
              <w:left w:val="nil"/>
              <w:bottom w:val="nil"/>
              <w:right w:val="nil"/>
            </w:tcBorders>
            <w:shd w:val="clear" w:color="auto" w:fill="auto"/>
            <w:noWrap/>
            <w:vAlign w:val="bottom"/>
            <w:hideMark/>
          </w:tcPr>
          <w:p w14:paraId="1500A25E" w14:textId="77777777" w:rsidR="003B4B66" w:rsidRPr="003B4B66" w:rsidRDefault="003B4B66" w:rsidP="003B4B66">
            <w:pPr>
              <w:spacing w:after="0"/>
              <w:jc w:val="right"/>
              <w:rPr>
                <w:rFonts w:ascii="Arial" w:hAnsi="Arial" w:cs="Arial"/>
                <w:b/>
                <w:bCs/>
                <w:color w:val="auto"/>
                <w:sz w:val="16"/>
                <w:szCs w:val="16"/>
              </w:rPr>
            </w:pPr>
          </w:p>
        </w:tc>
        <w:tc>
          <w:tcPr>
            <w:tcW w:w="900" w:type="dxa"/>
            <w:tcBorders>
              <w:top w:val="nil"/>
              <w:left w:val="nil"/>
              <w:bottom w:val="nil"/>
              <w:right w:val="nil"/>
            </w:tcBorders>
            <w:shd w:val="clear" w:color="auto" w:fill="auto"/>
            <w:noWrap/>
            <w:vAlign w:val="bottom"/>
            <w:hideMark/>
          </w:tcPr>
          <w:p w14:paraId="54619FCD" w14:textId="77777777" w:rsidR="003B4B66" w:rsidRPr="003B4B66" w:rsidRDefault="003B4B66" w:rsidP="003B4B66">
            <w:pPr>
              <w:spacing w:after="0"/>
              <w:jc w:val="right"/>
              <w:rPr>
                <w:rFonts w:ascii="Times New Roman" w:hAnsi="Times New Roman"/>
                <w:color w:val="auto"/>
                <w:sz w:val="20"/>
              </w:rPr>
            </w:pPr>
          </w:p>
        </w:tc>
        <w:tc>
          <w:tcPr>
            <w:tcW w:w="900" w:type="dxa"/>
            <w:tcBorders>
              <w:top w:val="nil"/>
              <w:left w:val="nil"/>
              <w:bottom w:val="nil"/>
              <w:right w:val="nil"/>
            </w:tcBorders>
            <w:shd w:val="clear" w:color="auto" w:fill="auto"/>
            <w:noWrap/>
            <w:vAlign w:val="bottom"/>
            <w:hideMark/>
          </w:tcPr>
          <w:p w14:paraId="403C6965" w14:textId="77777777" w:rsidR="003B4B66" w:rsidRPr="003B4B66" w:rsidRDefault="003B4B66" w:rsidP="003B4B66">
            <w:pPr>
              <w:spacing w:after="0"/>
              <w:jc w:val="right"/>
              <w:rPr>
                <w:rFonts w:ascii="Times New Roman" w:hAnsi="Times New Roman"/>
                <w:color w:val="auto"/>
                <w:sz w:val="20"/>
              </w:rPr>
            </w:pPr>
          </w:p>
        </w:tc>
      </w:tr>
      <w:tr w:rsidR="003B4B66" w:rsidRPr="003B4B66" w14:paraId="16087D8F" w14:textId="77777777" w:rsidTr="008C5234">
        <w:trPr>
          <w:trHeight w:val="227"/>
        </w:trPr>
        <w:tc>
          <w:tcPr>
            <w:tcW w:w="2860" w:type="dxa"/>
            <w:tcBorders>
              <w:top w:val="nil"/>
              <w:left w:val="nil"/>
              <w:bottom w:val="nil"/>
              <w:right w:val="nil"/>
            </w:tcBorders>
            <w:shd w:val="clear" w:color="auto" w:fill="auto"/>
            <w:noWrap/>
            <w:vAlign w:val="bottom"/>
            <w:hideMark/>
          </w:tcPr>
          <w:p w14:paraId="78967362" w14:textId="77777777" w:rsidR="003B4B66" w:rsidRPr="003B4B66" w:rsidRDefault="003B4B66" w:rsidP="003B4B66">
            <w:pPr>
              <w:spacing w:after="0"/>
              <w:ind w:firstLineChars="200" w:firstLine="320"/>
              <w:rPr>
                <w:rFonts w:ascii="Arial" w:hAnsi="Arial" w:cs="Arial"/>
                <w:color w:val="auto"/>
                <w:sz w:val="16"/>
                <w:szCs w:val="16"/>
              </w:rPr>
            </w:pPr>
            <w:r w:rsidRPr="003B4B66">
              <w:rPr>
                <w:rFonts w:ascii="Arial" w:hAnsi="Arial" w:cs="Arial"/>
                <w:color w:val="auto"/>
                <w:sz w:val="16"/>
                <w:szCs w:val="16"/>
              </w:rPr>
              <w:t>Interest</w:t>
            </w:r>
          </w:p>
        </w:tc>
        <w:tc>
          <w:tcPr>
            <w:tcW w:w="900" w:type="dxa"/>
            <w:tcBorders>
              <w:top w:val="nil"/>
              <w:left w:val="nil"/>
              <w:bottom w:val="nil"/>
              <w:right w:val="nil"/>
            </w:tcBorders>
            <w:shd w:val="clear" w:color="auto" w:fill="auto"/>
            <w:noWrap/>
            <w:vAlign w:val="bottom"/>
            <w:hideMark/>
          </w:tcPr>
          <w:p w14:paraId="3ED55C81" w14:textId="77777777" w:rsidR="003B4B66" w:rsidRPr="003B4B66" w:rsidRDefault="003B4B66" w:rsidP="003B4B66">
            <w:pPr>
              <w:spacing w:after="0"/>
              <w:jc w:val="right"/>
              <w:rPr>
                <w:rFonts w:ascii="Arial" w:hAnsi="Arial" w:cs="Arial"/>
                <w:color w:val="auto"/>
                <w:sz w:val="16"/>
                <w:szCs w:val="16"/>
              </w:rPr>
            </w:pPr>
            <w:r w:rsidRPr="003B4B66">
              <w:rPr>
                <w:rFonts w:ascii="Arial" w:hAnsi="Arial" w:cs="Arial"/>
                <w:color w:val="auto"/>
                <w:sz w:val="16"/>
                <w:szCs w:val="16"/>
              </w:rPr>
              <w:t>64</w:t>
            </w:r>
          </w:p>
        </w:tc>
        <w:tc>
          <w:tcPr>
            <w:tcW w:w="900" w:type="dxa"/>
            <w:tcBorders>
              <w:top w:val="nil"/>
              <w:left w:val="nil"/>
              <w:bottom w:val="nil"/>
              <w:right w:val="nil"/>
            </w:tcBorders>
            <w:shd w:val="clear" w:color="000000" w:fill="D9D9D9"/>
            <w:noWrap/>
            <w:vAlign w:val="bottom"/>
            <w:hideMark/>
          </w:tcPr>
          <w:p w14:paraId="1A4A9BE7" w14:textId="77777777" w:rsidR="003B4B66" w:rsidRPr="003B4B66" w:rsidRDefault="003B4B66" w:rsidP="003B4B66">
            <w:pPr>
              <w:spacing w:after="0"/>
              <w:jc w:val="right"/>
              <w:rPr>
                <w:rFonts w:ascii="Arial" w:hAnsi="Arial" w:cs="Arial"/>
                <w:color w:val="auto"/>
                <w:sz w:val="16"/>
                <w:szCs w:val="16"/>
              </w:rPr>
            </w:pPr>
            <w:r w:rsidRPr="003B4B66">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3B4BBAFE" w14:textId="77777777" w:rsidR="003B4B66" w:rsidRPr="003B4B66" w:rsidRDefault="003B4B66" w:rsidP="003B4B66">
            <w:pPr>
              <w:spacing w:after="0"/>
              <w:jc w:val="right"/>
              <w:rPr>
                <w:rFonts w:ascii="Arial" w:hAnsi="Arial" w:cs="Arial"/>
                <w:color w:val="auto"/>
                <w:sz w:val="16"/>
                <w:szCs w:val="16"/>
              </w:rPr>
            </w:pPr>
            <w:r w:rsidRPr="003B4B66">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63518673" w14:textId="77777777" w:rsidR="003B4B66" w:rsidRPr="003B4B66" w:rsidRDefault="003B4B66" w:rsidP="003B4B66">
            <w:pPr>
              <w:spacing w:after="0"/>
              <w:jc w:val="right"/>
              <w:rPr>
                <w:rFonts w:ascii="Arial" w:hAnsi="Arial" w:cs="Arial"/>
                <w:color w:val="auto"/>
                <w:sz w:val="16"/>
                <w:szCs w:val="16"/>
              </w:rPr>
            </w:pPr>
            <w:r w:rsidRPr="003B4B66">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499FE45C" w14:textId="77777777" w:rsidR="003B4B66" w:rsidRPr="003B4B66" w:rsidRDefault="003B4B66" w:rsidP="003B4B66">
            <w:pPr>
              <w:spacing w:after="0"/>
              <w:jc w:val="right"/>
              <w:rPr>
                <w:rFonts w:ascii="Arial" w:hAnsi="Arial" w:cs="Arial"/>
                <w:color w:val="auto"/>
                <w:sz w:val="16"/>
                <w:szCs w:val="16"/>
              </w:rPr>
            </w:pPr>
            <w:r w:rsidRPr="003B4B66">
              <w:rPr>
                <w:rFonts w:ascii="Arial" w:hAnsi="Arial" w:cs="Arial"/>
                <w:color w:val="auto"/>
                <w:sz w:val="16"/>
                <w:szCs w:val="16"/>
              </w:rPr>
              <w:t>-</w:t>
            </w:r>
          </w:p>
        </w:tc>
      </w:tr>
      <w:tr w:rsidR="003B4B66" w:rsidRPr="003B4B66" w14:paraId="43146071" w14:textId="77777777" w:rsidTr="008C5234">
        <w:trPr>
          <w:trHeight w:val="227"/>
        </w:trPr>
        <w:tc>
          <w:tcPr>
            <w:tcW w:w="2860" w:type="dxa"/>
            <w:tcBorders>
              <w:top w:val="nil"/>
              <w:left w:val="nil"/>
              <w:bottom w:val="nil"/>
              <w:right w:val="nil"/>
            </w:tcBorders>
            <w:shd w:val="clear" w:color="auto" w:fill="auto"/>
            <w:noWrap/>
            <w:vAlign w:val="bottom"/>
            <w:hideMark/>
          </w:tcPr>
          <w:p w14:paraId="5EC58C26" w14:textId="77777777" w:rsidR="003B4B66" w:rsidRPr="003B4B66" w:rsidRDefault="003B4B66" w:rsidP="003B4B66">
            <w:pPr>
              <w:spacing w:after="0"/>
              <w:ind w:firstLineChars="200" w:firstLine="320"/>
              <w:rPr>
                <w:rFonts w:ascii="Arial" w:hAnsi="Arial" w:cs="Arial"/>
                <w:color w:val="auto"/>
                <w:sz w:val="16"/>
                <w:szCs w:val="16"/>
              </w:rPr>
            </w:pPr>
            <w:r w:rsidRPr="003B4B66">
              <w:rPr>
                <w:rFonts w:ascii="Arial" w:hAnsi="Arial" w:cs="Arial"/>
                <w:color w:val="auto"/>
                <w:sz w:val="16"/>
                <w:szCs w:val="16"/>
              </w:rPr>
              <w:t>Other revenue</w:t>
            </w:r>
          </w:p>
        </w:tc>
        <w:tc>
          <w:tcPr>
            <w:tcW w:w="900" w:type="dxa"/>
            <w:tcBorders>
              <w:top w:val="nil"/>
              <w:left w:val="nil"/>
              <w:bottom w:val="nil"/>
              <w:right w:val="nil"/>
            </w:tcBorders>
            <w:shd w:val="clear" w:color="auto" w:fill="auto"/>
            <w:noWrap/>
            <w:vAlign w:val="bottom"/>
            <w:hideMark/>
          </w:tcPr>
          <w:p w14:paraId="5B9E664B" w14:textId="77777777" w:rsidR="003B4B66" w:rsidRPr="003B4B66" w:rsidRDefault="003B4B66" w:rsidP="003B4B66">
            <w:pPr>
              <w:spacing w:after="0"/>
              <w:jc w:val="right"/>
              <w:rPr>
                <w:rFonts w:ascii="Arial" w:hAnsi="Arial" w:cs="Arial"/>
                <w:color w:val="auto"/>
                <w:sz w:val="16"/>
                <w:szCs w:val="16"/>
              </w:rPr>
            </w:pPr>
            <w:r w:rsidRPr="003B4B66">
              <w:rPr>
                <w:rFonts w:ascii="Arial" w:hAnsi="Arial" w:cs="Arial"/>
                <w:color w:val="auto"/>
                <w:sz w:val="16"/>
                <w:szCs w:val="16"/>
              </w:rPr>
              <w:t>54,868</w:t>
            </w:r>
          </w:p>
        </w:tc>
        <w:tc>
          <w:tcPr>
            <w:tcW w:w="900" w:type="dxa"/>
            <w:tcBorders>
              <w:top w:val="nil"/>
              <w:left w:val="nil"/>
              <w:bottom w:val="nil"/>
              <w:right w:val="nil"/>
            </w:tcBorders>
            <w:shd w:val="clear" w:color="000000" w:fill="D9D9D9"/>
            <w:noWrap/>
            <w:vAlign w:val="bottom"/>
            <w:hideMark/>
          </w:tcPr>
          <w:p w14:paraId="66C738F0" w14:textId="77777777" w:rsidR="003B4B66" w:rsidRPr="003B4B66" w:rsidRDefault="003B4B66" w:rsidP="003B4B66">
            <w:pPr>
              <w:spacing w:after="0"/>
              <w:jc w:val="right"/>
              <w:rPr>
                <w:rFonts w:ascii="Arial" w:hAnsi="Arial" w:cs="Arial"/>
                <w:color w:val="auto"/>
                <w:sz w:val="16"/>
                <w:szCs w:val="16"/>
              </w:rPr>
            </w:pPr>
            <w:r w:rsidRPr="003B4B66">
              <w:rPr>
                <w:rFonts w:ascii="Arial" w:hAnsi="Arial" w:cs="Arial"/>
                <w:color w:val="auto"/>
                <w:sz w:val="16"/>
                <w:szCs w:val="16"/>
              </w:rPr>
              <w:t>32,250</w:t>
            </w:r>
          </w:p>
        </w:tc>
        <w:tc>
          <w:tcPr>
            <w:tcW w:w="900" w:type="dxa"/>
            <w:tcBorders>
              <w:top w:val="nil"/>
              <w:left w:val="nil"/>
              <w:bottom w:val="nil"/>
              <w:right w:val="nil"/>
            </w:tcBorders>
            <w:shd w:val="clear" w:color="auto" w:fill="auto"/>
            <w:noWrap/>
            <w:vAlign w:val="bottom"/>
            <w:hideMark/>
          </w:tcPr>
          <w:p w14:paraId="03E04C66" w14:textId="77777777" w:rsidR="003B4B66" w:rsidRPr="003B4B66" w:rsidRDefault="003B4B66" w:rsidP="003B4B66">
            <w:pPr>
              <w:spacing w:after="0"/>
              <w:jc w:val="right"/>
              <w:rPr>
                <w:rFonts w:ascii="Arial" w:hAnsi="Arial" w:cs="Arial"/>
                <w:color w:val="auto"/>
                <w:sz w:val="16"/>
                <w:szCs w:val="16"/>
              </w:rPr>
            </w:pPr>
            <w:r w:rsidRPr="003B4B66">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4EDF862C" w14:textId="77777777" w:rsidR="003B4B66" w:rsidRPr="003B4B66" w:rsidRDefault="003B4B66" w:rsidP="003B4B66">
            <w:pPr>
              <w:spacing w:after="0"/>
              <w:jc w:val="right"/>
              <w:rPr>
                <w:rFonts w:ascii="Arial" w:hAnsi="Arial" w:cs="Arial"/>
                <w:color w:val="auto"/>
                <w:sz w:val="16"/>
                <w:szCs w:val="16"/>
              </w:rPr>
            </w:pPr>
            <w:r w:rsidRPr="003B4B66">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702B2AC3" w14:textId="77777777" w:rsidR="003B4B66" w:rsidRPr="003B4B66" w:rsidRDefault="003B4B66" w:rsidP="003B4B66">
            <w:pPr>
              <w:spacing w:after="0"/>
              <w:jc w:val="right"/>
              <w:rPr>
                <w:rFonts w:ascii="Arial" w:hAnsi="Arial" w:cs="Arial"/>
                <w:color w:val="auto"/>
                <w:sz w:val="16"/>
                <w:szCs w:val="16"/>
              </w:rPr>
            </w:pPr>
            <w:r w:rsidRPr="003B4B66">
              <w:rPr>
                <w:rFonts w:ascii="Arial" w:hAnsi="Arial" w:cs="Arial"/>
                <w:color w:val="auto"/>
                <w:sz w:val="16"/>
                <w:szCs w:val="16"/>
              </w:rPr>
              <w:t>-</w:t>
            </w:r>
          </w:p>
        </w:tc>
      </w:tr>
      <w:tr w:rsidR="003B4B66" w:rsidRPr="003B4B66" w14:paraId="6D53598E" w14:textId="77777777" w:rsidTr="008C5234">
        <w:trPr>
          <w:trHeight w:val="227"/>
        </w:trPr>
        <w:tc>
          <w:tcPr>
            <w:tcW w:w="2860" w:type="dxa"/>
            <w:tcBorders>
              <w:top w:val="nil"/>
              <w:left w:val="nil"/>
              <w:bottom w:val="nil"/>
              <w:right w:val="nil"/>
            </w:tcBorders>
            <w:shd w:val="clear" w:color="auto" w:fill="auto"/>
            <w:noWrap/>
            <w:vAlign w:val="bottom"/>
            <w:hideMark/>
          </w:tcPr>
          <w:p w14:paraId="7FC4B493" w14:textId="77777777" w:rsidR="003B4B66" w:rsidRPr="003B4B66" w:rsidRDefault="003B4B66" w:rsidP="003B4B66">
            <w:pPr>
              <w:spacing w:after="0"/>
              <w:ind w:firstLineChars="200" w:firstLine="320"/>
              <w:rPr>
                <w:rFonts w:ascii="Arial" w:hAnsi="Arial" w:cs="Arial"/>
                <w:b/>
                <w:bCs/>
                <w:color w:val="auto"/>
                <w:sz w:val="16"/>
                <w:szCs w:val="16"/>
              </w:rPr>
            </w:pPr>
            <w:r w:rsidRPr="003B4B66">
              <w:rPr>
                <w:rFonts w:ascii="Arial" w:hAnsi="Arial" w:cs="Arial"/>
                <w:b/>
                <w:bCs/>
                <w:color w:val="auto"/>
                <w:sz w:val="16"/>
                <w:szCs w:val="16"/>
              </w:rPr>
              <w:t>Total revenue</w:t>
            </w:r>
          </w:p>
        </w:tc>
        <w:tc>
          <w:tcPr>
            <w:tcW w:w="900" w:type="dxa"/>
            <w:tcBorders>
              <w:top w:val="nil"/>
              <w:left w:val="nil"/>
              <w:bottom w:val="single" w:sz="4" w:space="0" w:color="auto"/>
              <w:right w:val="nil"/>
            </w:tcBorders>
            <w:shd w:val="clear" w:color="auto" w:fill="auto"/>
            <w:noWrap/>
            <w:vAlign w:val="bottom"/>
            <w:hideMark/>
          </w:tcPr>
          <w:p w14:paraId="38507053" w14:textId="77777777" w:rsidR="003B4B66" w:rsidRPr="003B4B66" w:rsidRDefault="003B4B66" w:rsidP="003B4B66">
            <w:pPr>
              <w:spacing w:after="0"/>
              <w:jc w:val="right"/>
              <w:rPr>
                <w:rFonts w:ascii="Arial" w:hAnsi="Arial" w:cs="Arial"/>
                <w:b/>
                <w:bCs/>
                <w:color w:val="auto"/>
                <w:sz w:val="16"/>
                <w:szCs w:val="16"/>
              </w:rPr>
            </w:pPr>
            <w:r w:rsidRPr="003B4B66">
              <w:rPr>
                <w:rFonts w:ascii="Arial" w:hAnsi="Arial" w:cs="Arial"/>
                <w:b/>
                <w:bCs/>
                <w:color w:val="auto"/>
                <w:sz w:val="16"/>
                <w:szCs w:val="16"/>
              </w:rPr>
              <w:t>54,932</w:t>
            </w:r>
          </w:p>
        </w:tc>
        <w:tc>
          <w:tcPr>
            <w:tcW w:w="900" w:type="dxa"/>
            <w:tcBorders>
              <w:top w:val="nil"/>
              <w:left w:val="nil"/>
              <w:bottom w:val="single" w:sz="4" w:space="0" w:color="auto"/>
              <w:right w:val="nil"/>
            </w:tcBorders>
            <w:shd w:val="clear" w:color="000000" w:fill="D9D9D9"/>
            <w:noWrap/>
            <w:vAlign w:val="bottom"/>
            <w:hideMark/>
          </w:tcPr>
          <w:p w14:paraId="00F202FD" w14:textId="77777777" w:rsidR="003B4B66" w:rsidRPr="003B4B66" w:rsidRDefault="003B4B66" w:rsidP="003B4B66">
            <w:pPr>
              <w:spacing w:after="0"/>
              <w:jc w:val="right"/>
              <w:rPr>
                <w:rFonts w:ascii="Arial" w:hAnsi="Arial" w:cs="Arial"/>
                <w:b/>
                <w:bCs/>
                <w:color w:val="auto"/>
                <w:sz w:val="16"/>
                <w:szCs w:val="16"/>
              </w:rPr>
            </w:pPr>
            <w:r w:rsidRPr="003B4B66">
              <w:rPr>
                <w:rFonts w:ascii="Arial" w:hAnsi="Arial" w:cs="Arial"/>
                <w:b/>
                <w:bCs/>
                <w:color w:val="auto"/>
                <w:sz w:val="16"/>
                <w:szCs w:val="16"/>
              </w:rPr>
              <w:t>32,250</w:t>
            </w:r>
          </w:p>
        </w:tc>
        <w:tc>
          <w:tcPr>
            <w:tcW w:w="900" w:type="dxa"/>
            <w:tcBorders>
              <w:top w:val="nil"/>
              <w:left w:val="nil"/>
              <w:bottom w:val="single" w:sz="4" w:space="0" w:color="auto"/>
              <w:right w:val="nil"/>
            </w:tcBorders>
            <w:shd w:val="clear" w:color="auto" w:fill="auto"/>
            <w:noWrap/>
            <w:vAlign w:val="bottom"/>
            <w:hideMark/>
          </w:tcPr>
          <w:p w14:paraId="5F69476D" w14:textId="77777777" w:rsidR="003B4B66" w:rsidRPr="003B4B66" w:rsidRDefault="003B4B66" w:rsidP="003B4B66">
            <w:pPr>
              <w:spacing w:after="0"/>
              <w:jc w:val="right"/>
              <w:rPr>
                <w:rFonts w:ascii="Arial" w:hAnsi="Arial" w:cs="Arial"/>
                <w:b/>
                <w:bCs/>
                <w:color w:val="auto"/>
                <w:sz w:val="16"/>
                <w:szCs w:val="16"/>
              </w:rPr>
            </w:pPr>
            <w:r w:rsidRPr="003B4B66">
              <w:rPr>
                <w:rFonts w:ascii="Arial" w:hAnsi="Arial" w:cs="Arial"/>
                <w:b/>
                <w:bCs/>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14:paraId="64E5FE2F" w14:textId="77777777" w:rsidR="003B4B66" w:rsidRPr="003B4B66" w:rsidRDefault="003B4B66" w:rsidP="003B4B66">
            <w:pPr>
              <w:spacing w:after="0"/>
              <w:jc w:val="right"/>
              <w:rPr>
                <w:rFonts w:ascii="Arial" w:hAnsi="Arial" w:cs="Arial"/>
                <w:b/>
                <w:bCs/>
                <w:color w:val="auto"/>
                <w:sz w:val="16"/>
                <w:szCs w:val="16"/>
              </w:rPr>
            </w:pPr>
            <w:r w:rsidRPr="003B4B66">
              <w:rPr>
                <w:rFonts w:ascii="Arial" w:hAnsi="Arial" w:cs="Arial"/>
                <w:b/>
                <w:bCs/>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14:paraId="6655315B" w14:textId="77777777" w:rsidR="003B4B66" w:rsidRPr="003B4B66" w:rsidRDefault="003B4B66" w:rsidP="003B4B66">
            <w:pPr>
              <w:spacing w:after="0"/>
              <w:jc w:val="right"/>
              <w:rPr>
                <w:rFonts w:ascii="Arial" w:hAnsi="Arial" w:cs="Arial"/>
                <w:b/>
                <w:bCs/>
                <w:color w:val="auto"/>
                <w:sz w:val="16"/>
                <w:szCs w:val="16"/>
              </w:rPr>
            </w:pPr>
            <w:r w:rsidRPr="003B4B66">
              <w:rPr>
                <w:rFonts w:ascii="Arial" w:hAnsi="Arial" w:cs="Arial"/>
                <w:b/>
                <w:bCs/>
                <w:color w:val="auto"/>
                <w:sz w:val="16"/>
                <w:szCs w:val="16"/>
              </w:rPr>
              <w:t>-</w:t>
            </w:r>
          </w:p>
        </w:tc>
      </w:tr>
      <w:tr w:rsidR="003B4B66" w:rsidRPr="003B4B66" w14:paraId="4D0EF0F2" w14:textId="77777777" w:rsidTr="008C5234">
        <w:trPr>
          <w:trHeight w:val="227"/>
        </w:trPr>
        <w:tc>
          <w:tcPr>
            <w:tcW w:w="2860" w:type="dxa"/>
            <w:tcBorders>
              <w:top w:val="nil"/>
              <w:left w:val="nil"/>
              <w:bottom w:val="nil"/>
              <w:right w:val="nil"/>
            </w:tcBorders>
            <w:shd w:val="clear" w:color="auto" w:fill="auto"/>
            <w:noWrap/>
            <w:vAlign w:val="bottom"/>
            <w:hideMark/>
          </w:tcPr>
          <w:p w14:paraId="319F9333" w14:textId="77777777" w:rsidR="003B4B66" w:rsidRPr="003B4B66" w:rsidRDefault="003B4B66" w:rsidP="003B4B66">
            <w:pPr>
              <w:spacing w:after="0"/>
              <w:ind w:firstLineChars="100" w:firstLine="160"/>
              <w:rPr>
                <w:rFonts w:ascii="Arial" w:hAnsi="Arial" w:cs="Arial"/>
                <w:b/>
                <w:bCs/>
                <w:color w:val="auto"/>
                <w:sz w:val="16"/>
                <w:szCs w:val="16"/>
              </w:rPr>
            </w:pPr>
            <w:r w:rsidRPr="003B4B66">
              <w:rPr>
                <w:rFonts w:ascii="Arial" w:hAnsi="Arial" w:cs="Arial"/>
                <w:b/>
                <w:bCs/>
                <w:color w:val="auto"/>
                <w:sz w:val="16"/>
                <w:szCs w:val="16"/>
              </w:rPr>
              <w:t>Gains</w:t>
            </w:r>
          </w:p>
        </w:tc>
        <w:tc>
          <w:tcPr>
            <w:tcW w:w="900" w:type="dxa"/>
            <w:tcBorders>
              <w:top w:val="nil"/>
              <w:left w:val="nil"/>
              <w:bottom w:val="nil"/>
              <w:right w:val="nil"/>
            </w:tcBorders>
            <w:shd w:val="clear" w:color="auto" w:fill="auto"/>
            <w:noWrap/>
            <w:vAlign w:val="bottom"/>
            <w:hideMark/>
          </w:tcPr>
          <w:p w14:paraId="51DED3AF" w14:textId="77777777" w:rsidR="003B4B66" w:rsidRPr="003B4B66" w:rsidRDefault="003B4B66" w:rsidP="003B4B66">
            <w:pPr>
              <w:spacing w:after="0"/>
              <w:ind w:firstLineChars="100" w:firstLine="160"/>
              <w:rPr>
                <w:rFonts w:ascii="Arial" w:hAnsi="Arial" w:cs="Arial"/>
                <w:b/>
                <w:bCs/>
                <w:color w:val="auto"/>
                <w:sz w:val="16"/>
                <w:szCs w:val="16"/>
              </w:rPr>
            </w:pPr>
          </w:p>
        </w:tc>
        <w:tc>
          <w:tcPr>
            <w:tcW w:w="900" w:type="dxa"/>
            <w:tcBorders>
              <w:top w:val="nil"/>
              <w:left w:val="nil"/>
              <w:bottom w:val="nil"/>
              <w:right w:val="nil"/>
            </w:tcBorders>
            <w:shd w:val="clear" w:color="000000" w:fill="D9D9D9"/>
            <w:noWrap/>
            <w:vAlign w:val="bottom"/>
            <w:hideMark/>
          </w:tcPr>
          <w:p w14:paraId="6C6BB757" w14:textId="77777777" w:rsidR="003B4B66" w:rsidRPr="003B4B66" w:rsidRDefault="003B4B66" w:rsidP="003B4B66">
            <w:pPr>
              <w:spacing w:after="0"/>
              <w:jc w:val="right"/>
              <w:rPr>
                <w:rFonts w:ascii="Arial" w:hAnsi="Arial" w:cs="Arial"/>
                <w:b/>
                <w:bCs/>
                <w:color w:val="auto"/>
                <w:sz w:val="16"/>
                <w:szCs w:val="16"/>
              </w:rPr>
            </w:pPr>
            <w:r w:rsidRPr="003B4B66">
              <w:rPr>
                <w:rFonts w:ascii="Arial" w:hAnsi="Arial" w:cs="Arial"/>
                <w:b/>
                <w:bCs/>
                <w:color w:val="auto"/>
                <w:sz w:val="16"/>
                <w:szCs w:val="16"/>
              </w:rPr>
              <w:t> </w:t>
            </w:r>
          </w:p>
        </w:tc>
        <w:tc>
          <w:tcPr>
            <w:tcW w:w="900" w:type="dxa"/>
            <w:tcBorders>
              <w:top w:val="nil"/>
              <w:left w:val="nil"/>
              <w:bottom w:val="nil"/>
              <w:right w:val="nil"/>
            </w:tcBorders>
            <w:shd w:val="clear" w:color="auto" w:fill="auto"/>
            <w:noWrap/>
            <w:vAlign w:val="bottom"/>
            <w:hideMark/>
          </w:tcPr>
          <w:p w14:paraId="7B656B7B" w14:textId="77777777" w:rsidR="003B4B66" w:rsidRPr="003B4B66" w:rsidRDefault="003B4B66" w:rsidP="003B4B66">
            <w:pPr>
              <w:spacing w:after="0"/>
              <w:jc w:val="right"/>
              <w:rPr>
                <w:rFonts w:ascii="Arial" w:hAnsi="Arial" w:cs="Arial"/>
                <w:b/>
                <w:bCs/>
                <w:color w:val="auto"/>
                <w:sz w:val="16"/>
                <w:szCs w:val="16"/>
              </w:rPr>
            </w:pPr>
          </w:p>
        </w:tc>
        <w:tc>
          <w:tcPr>
            <w:tcW w:w="900" w:type="dxa"/>
            <w:tcBorders>
              <w:top w:val="nil"/>
              <w:left w:val="nil"/>
              <w:bottom w:val="nil"/>
              <w:right w:val="nil"/>
            </w:tcBorders>
            <w:shd w:val="clear" w:color="auto" w:fill="auto"/>
            <w:noWrap/>
            <w:vAlign w:val="bottom"/>
            <w:hideMark/>
          </w:tcPr>
          <w:p w14:paraId="7CD936A8" w14:textId="77777777" w:rsidR="003B4B66" w:rsidRPr="003B4B66" w:rsidRDefault="003B4B66" w:rsidP="003B4B66">
            <w:pPr>
              <w:spacing w:after="0"/>
              <w:jc w:val="right"/>
              <w:rPr>
                <w:rFonts w:ascii="Times New Roman" w:hAnsi="Times New Roman"/>
                <w:color w:val="auto"/>
                <w:sz w:val="20"/>
              </w:rPr>
            </w:pPr>
          </w:p>
        </w:tc>
        <w:tc>
          <w:tcPr>
            <w:tcW w:w="900" w:type="dxa"/>
            <w:tcBorders>
              <w:top w:val="nil"/>
              <w:left w:val="nil"/>
              <w:bottom w:val="nil"/>
              <w:right w:val="nil"/>
            </w:tcBorders>
            <w:shd w:val="clear" w:color="auto" w:fill="auto"/>
            <w:noWrap/>
            <w:vAlign w:val="bottom"/>
            <w:hideMark/>
          </w:tcPr>
          <w:p w14:paraId="3412B74E" w14:textId="77777777" w:rsidR="003B4B66" w:rsidRPr="003B4B66" w:rsidRDefault="003B4B66" w:rsidP="003B4B66">
            <w:pPr>
              <w:spacing w:after="0"/>
              <w:jc w:val="right"/>
              <w:rPr>
                <w:rFonts w:ascii="Times New Roman" w:hAnsi="Times New Roman"/>
                <w:color w:val="auto"/>
                <w:sz w:val="20"/>
              </w:rPr>
            </w:pPr>
          </w:p>
        </w:tc>
      </w:tr>
      <w:tr w:rsidR="003B4B66" w:rsidRPr="003B4B66" w14:paraId="5E0285C0" w14:textId="77777777" w:rsidTr="008C5234">
        <w:trPr>
          <w:trHeight w:val="227"/>
        </w:trPr>
        <w:tc>
          <w:tcPr>
            <w:tcW w:w="2860" w:type="dxa"/>
            <w:tcBorders>
              <w:top w:val="nil"/>
              <w:left w:val="nil"/>
              <w:bottom w:val="nil"/>
              <w:right w:val="nil"/>
            </w:tcBorders>
            <w:shd w:val="clear" w:color="auto" w:fill="auto"/>
            <w:noWrap/>
            <w:vAlign w:val="bottom"/>
            <w:hideMark/>
          </w:tcPr>
          <w:p w14:paraId="513E43F0" w14:textId="77777777" w:rsidR="003B4B66" w:rsidRPr="003B4B66" w:rsidRDefault="003B4B66" w:rsidP="003B4B66">
            <w:pPr>
              <w:spacing w:after="0"/>
              <w:ind w:firstLineChars="200" w:firstLine="320"/>
              <w:rPr>
                <w:rFonts w:ascii="Arial" w:hAnsi="Arial" w:cs="Arial"/>
                <w:color w:val="auto"/>
                <w:sz w:val="16"/>
                <w:szCs w:val="16"/>
              </w:rPr>
            </w:pPr>
            <w:r w:rsidRPr="003B4B66">
              <w:rPr>
                <w:rFonts w:ascii="Arial" w:hAnsi="Arial" w:cs="Arial"/>
                <w:color w:val="auto"/>
                <w:sz w:val="16"/>
                <w:szCs w:val="16"/>
              </w:rPr>
              <w:t>Other</w:t>
            </w:r>
          </w:p>
        </w:tc>
        <w:tc>
          <w:tcPr>
            <w:tcW w:w="900" w:type="dxa"/>
            <w:tcBorders>
              <w:top w:val="nil"/>
              <w:left w:val="nil"/>
              <w:bottom w:val="nil"/>
              <w:right w:val="nil"/>
            </w:tcBorders>
            <w:shd w:val="clear" w:color="auto" w:fill="auto"/>
            <w:noWrap/>
            <w:vAlign w:val="bottom"/>
            <w:hideMark/>
          </w:tcPr>
          <w:p w14:paraId="5CC127BA" w14:textId="77777777" w:rsidR="003B4B66" w:rsidRPr="003B4B66" w:rsidRDefault="003B4B66" w:rsidP="003B4B66">
            <w:pPr>
              <w:spacing w:after="0"/>
              <w:jc w:val="right"/>
              <w:rPr>
                <w:rFonts w:ascii="Arial" w:hAnsi="Arial" w:cs="Arial"/>
                <w:color w:val="auto"/>
                <w:sz w:val="16"/>
                <w:szCs w:val="16"/>
              </w:rPr>
            </w:pPr>
            <w:r w:rsidRPr="003B4B66">
              <w:rPr>
                <w:rFonts w:ascii="Arial" w:hAnsi="Arial" w:cs="Arial"/>
                <w:color w:val="auto"/>
                <w:sz w:val="16"/>
                <w:szCs w:val="16"/>
              </w:rPr>
              <w:t>90</w:t>
            </w:r>
          </w:p>
        </w:tc>
        <w:tc>
          <w:tcPr>
            <w:tcW w:w="900" w:type="dxa"/>
            <w:tcBorders>
              <w:top w:val="nil"/>
              <w:left w:val="nil"/>
              <w:bottom w:val="nil"/>
              <w:right w:val="nil"/>
            </w:tcBorders>
            <w:shd w:val="clear" w:color="000000" w:fill="D9D9D9"/>
            <w:noWrap/>
            <w:vAlign w:val="bottom"/>
            <w:hideMark/>
          </w:tcPr>
          <w:p w14:paraId="791DE6BB" w14:textId="77777777" w:rsidR="003B4B66" w:rsidRPr="003B4B66" w:rsidRDefault="003B4B66" w:rsidP="003B4B66">
            <w:pPr>
              <w:spacing w:after="0"/>
              <w:jc w:val="right"/>
              <w:rPr>
                <w:rFonts w:ascii="Arial" w:hAnsi="Arial" w:cs="Arial"/>
                <w:color w:val="auto"/>
                <w:sz w:val="16"/>
                <w:szCs w:val="16"/>
              </w:rPr>
            </w:pPr>
            <w:r w:rsidRPr="003B4B66">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0B297DD0" w14:textId="77777777" w:rsidR="003B4B66" w:rsidRPr="003B4B66" w:rsidRDefault="003B4B66" w:rsidP="003B4B66">
            <w:pPr>
              <w:spacing w:after="0"/>
              <w:jc w:val="right"/>
              <w:rPr>
                <w:rFonts w:ascii="Arial" w:hAnsi="Arial" w:cs="Arial"/>
                <w:color w:val="auto"/>
                <w:sz w:val="16"/>
                <w:szCs w:val="16"/>
              </w:rPr>
            </w:pPr>
            <w:r w:rsidRPr="003B4B66">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51CC3B00" w14:textId="77777777" w:rsidR="003B4B66" w:rsidRPr="003B4B66" w:rsidRDefault="003B4B66" w:rsidP="003B4B66">
            <w:pPr>
              <w:spacing w:after="0"/>
              <w:jc w:val="right"/>
              <w:rPr>
                <w:rFonts w:ascii="Arial" w:hAnsi="Arial" w:cs="Arial"/>
                <w:color w:val="auto"/>
                <w:sz w:val="16"/>
                <w:szCs w:val="16"/>
              </w:rPr>
            </w:pPr>
            <w:r w:rsidRPr="003B4B66">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23004FCF" w14:textId="77777777" w:rsidR="003B4B66" w:rsidRPr="003B4B66" w:rsidRDefault="003B4B66" w:rsidP="003B4B66">
            <w:pPr>
              <w:spacing w:after="0"/>
              <w:jc w:val="right"/>
              <w:rPr>
                <w:rFonts w:ascii="Arial" w:hAnsi="Arial" w:cs="Arial"/>
                <w:color w:val="auto"/>
                <w:sz w:val="16"/>
                <w:szCs w:val="16"/>
              </w:rPr>
            </w:pPr>
            <w:r w:rsidRPr="003B4B66">
              <w:rPr>
                <w:rFonts w:ascii="Arial" w:hAnsi="Arial" w:cs="Arial"/>
                <w:color w:val="auto"/>
                <w:sz w:val="16"/>
                <w:szCs w:val="16"/>
              </w:rPr>
              <w:t>-</w:t>
            </w:r>
          </w:p>
        </w:tc>
      </w:tr>
      <w:tr w:rsidR="003B4B66" w:rsidRPr="003B4B66" w14:paraId="642C76D6" w14:textId="77777777" w:rsidTr="008C5234">
        <w:trPr>
          <w:trHeight w:val="227"/>
        </w:trPr>
        <w:tc>
          <w:tcPr>
            <w:tcW w:w="2860" w:type="dxa"/>
            <w:tcBorders>
              <w:top w:val="nil"/>
              <w:left w:val="nil"/>
              <w:bottom w:val="nil"/>
              <w:right w:val="nil"/>
            </w:tcBorders>
            <w:shd w:val="clear" w:color="auto" w:fill="auto"/>
            <w:noWrap/>
            <w:vAlign w:val="bottom"/>
            <w:hideMark/>
          </w:tcPr>
          <w:p w14:paraId="21D1F084" w14:textId="77777777" w:rsidR="003B4B66" w:rsidRPr="003B4B66" w:rsidRDefault="003B4B66" w:rsidP="003B4B66">
            <w:pPr>
              <w:spacing w:after="0"/>
              <w:ind w:firstLineChars="200" w:firstLine="320"/>
              <w:rPr>
                <w:rFonts w:ascii="Arial" w:hAnsi="Arial" w:cs="Arial"/>
                <w:b/>
                <w:bCs/>
                <w:color w:val="auto"/>
                <w:sz w:val="16"/>
                <w:szCs w:val="16"/>
              </w:rPr>
            </w:pPr>
            <w:r w:rsidRPr="003B4B66">
              <w:rPr>
                <w:rFonts w:ascii="Arial" w:hAnsi="Arial" w:cs="Arial"/>
                <w:b/>
                <w:bCs/>
                <w:color w:val="auto"/>
                <w:sz w:val="16"/>
                <w:szCs w:val="16"/>
              </w:rPr>
              <w:t>Total gains</w:t>
            </w:r>
          </w:p>
        </w:tc>
        <w:tc>
          <w:tcPr>
            <w:tcW w:w="900" w:type="dxa"/>
            <w:tcBorders>
              <w:top w:val="nil"/>
              <w:left w:val="nil"/>
              <w:bottom w:val="single" w:sz="4" w:space="0" w:color="auto"/>
              <w:right w:val="nil"/>
            </w:tcBorders>
            <w:shd w:val="clear" w:color="auto" w:fill="auto"/>
            <w:noWrap/>
            <w:vAlign w:val="bottom"/>
            <w:hideMark/>
          </w:tcPr>
          <w:p w14:paraId="0E04C2A9" w14:textId="77777777" w:rsidR="003B4B66" w:rsidRPr="003B4B66" w:rsidRDefault="003B4B66" w:rsidP="003B4B66">
            <w:pPr>
              <w:spacing w:after="0"/>
              <w:jc w:val="right"/>
              <w:rPr>
                <w:rFonts w:ascii="Arial" w:hAnsi="Arial" w:cs="Arial"/>
                <w:b/>
                <w:bCs/>
                <w:color w:val="auto"/>
                <w:sz w:val="16"/>
                <w:szCs w:val="16"/>
              </w:rPr>
            </w:pPr>
            <w:r w:rsidRPr="003B4B66">
              <w:rPr>
                <w:rFonts w:ascii="Arial" w:hAnsi="Arial" w:cs="Arial"/>
                <w:b/>
                <w:bCs/>
                <w:color w:val="auto"/>
                <w:sz w:val="16"/>
                <w:szCs w:val="16"/>
              </w:rPr>
              <w:t>90</w:t>
            </w:r>
          </w:p>
        </w:tc>
        <w:tc>
          <w:tcPr>
            <w:tcW w:w="900" w:type="dxa"/>
            <w:tcBorders>
              <w:top w:val="nil"/>
              <w:left w:val="nil"/>
              <w:bottom w:val="single" w:sz="4" w:space="0" w:color="auto"/>
              <w:right w:val="nil"/>
            </w:tcBorders>
            <w:shd w:val="clear" w:color="000000" w:fill="D9D9D9"/>
            <w:noWrap/>
            <w:vAlign w:val="bottom"/>
            <w:hideMark/>
          </w:tcPr>
          <w:p w14:paraId="67AC848A" w14:textId="77777777" w:rsidR="003B4B66" w:rsidRPr="003B4B66" w:rsidRDefault="003B4B66" w:rsidP="003B4B66">
            <w:pPr>
              <w:spacing w:after="0"/>
              <w:jc w:val="right"/>
              <w:rPr>
                <w:rFonts w:ascii="Arial" w:hAnsi="Arial" w:cs="Arial"/>
                <w:b/>
                <w:bCs/>
                <w:color w:val="auto"/>
                <w:sz w:val="16"/>
                <w:szCs w:val="16"/>
              </w:rPr>
            </w:pPr>
            <w:r w:rsidRPr="003B4B66">
              <w:rPr>
                <w:rFonts w:ascii="Arial" w:hAnsi="Arial" w:cs="Arial"/>
                <w:b/>
                <w:bCs/>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14:paraId="60659658" w14:textId="77777777" w:rsidR="003B4B66" w:rsidRPr="003B4B66" w:rsidRDefault="003B4B66" w:rsidP="003B4B66">
            <w:pPr>
              <w:spacing w:after="0"/>
              <w:jc w:val="right"/>
              <w:rPr>
                <w:rFonts w:ascii="Arial" w:hAnsi="Arial" w:cs="Arial"/>
                <w:b/>
                <w:bCs/>
                <w:color w:val="auto"/>
                <w:sz w:val="16"/>
                <w:szCs w:val="16"/>
              </w:rPr>
            </w:pPr>
            <w:r w:rsidRPr="003B4B66">
              <w:rPr>
                <w:rFonts w:ascii="Arial" w:hAnsi="Arial" w:cs="Arial"/>
                <w:b/>
                <w:bCs/>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14:paraId="3445A39B" w14:textId="77777777" w:rsidR="003B4B66" w:rsidRPr="003B4B66" w:rsidRDefault="003B4B66" w:rsidP="003B4B66">
            <w:pPr>
              <w:spacing w:after="0"/>
              <w:jc w:val="right"/>
              <w:rPr>
                <w:rFonts w:ascii="Arial" w:hAnsi="Arial" w:cs="Arial"/>
                <w:b/>
                <w:bCs/>
                <w:color w:val="auto"/>
                <w:sz w:val="16"/>
                <w:szCs w:val="16"/>
              </w:rPr>
            </w:pPr>
            <w:r w:rsidRPr="003B4B66">
              <w:rPr>
                <w:rFonts w:ascii="Arial" w:hAnsi="Arial" w:cs="Arial"/>
                <w:b/>
                <w:bCs/>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14:paraId="6EA251E3" w14:textId="77777777" w:rsidR="003B4B66" w:rsidRPr="003B4B66" w:rsidRDefault="003B4B66" w:rsidP="003B4B66">
            <w:pPr>
              <w:spacing w:after="0"/>
              <w:jc w:val="right"/>
              <w:rPr>
                <w:rFonts w:ascii="Arial" w:hAnsi="Arial" w:cs="Arial"/>
                <w:b/>
                <w:bCs/>
                <w:color w:val="auto"/>
                <w:sz w:val="16"/>
                <w:szCs w:val="16"/>
              </w:rPr>
            </w:pPr>
            <w:r w:rsidRPr="003B4B66">
              <w:rPr>
                <w:rFonts w:ascii="Arial" w:hAnsi="Arial" w:cs="Arial"/>
                <w:b/>
                <w:bCs/>
                <w:color w:val="auto"/>
                <w:sz w:val="16"/>
                <w:szCs w:val="16"/>
              </w:rPr>
              <w:t>-</w:t>
            </w:r>
          </w:p>
        </w:tc>
      </w:tr>
      <w:tr w:rsidR="003B4B66" w:rsidRPr="003B4B66" w14:paraId="3C62E147" w14:textId="77777777" w:rsidTr="008C5234">
        <w:trPr>
          <w:trHeight w:val="227"/>
        </w:trPr>
        <w:tc>
          <w:tcPr>
            <w:tcW w:w="2860" w:type="dxa"/>
            <w:tcBorders>
              <w:top w:val="nil"/>
              <w:left w:val="nil"/>
              <w:bottom w:val="nil"/>
              <w:right w:val="nil"/>
            </w:tcBorders>
            <w:shd w:val="clear" w:color="auto" w:fill="auto"/>
            <w:noWrap/>
            <w:vAlign w:val="bottom"/>
            <w:hideMark/>
          </w:tcPr>
          <w:p w14:paraId="18D7D5DF" w14:textId="77777777" w:rsidR="003B4B66" w:rsidRPr="003B4B66" w:rsidRDefault="003B4B66" w:rsidP="008C5234">
            <w:pPr>
              <w:spacing w:after="0"/>
              <w:ind w:leftChars="75" w:left="143"/>
              <w:rPr>
                <w:rFonts w:ascii="Arial" w:hAnsi="Arial" w:cs="Arial"/>
                <w:b/>
                <w:bCs/>
                <w:color w:val="auto"/>
                <w:sz w:val="16"/>
                <w:szCs w:val="16"/>
              </w:rPr>
            </w:pPr>
            <w:r w:rsidRPr="003B4B66">
              <w:rPr>
                <w:rFonts w:ascii="Arial" w:hAnsi="Arial" w:cs="Arial"/>
                <w:b/>
                <w:bCs/>
                <w:color w:val="auto"/>
                <w:sz w:val="16"/>
                <w:szCs w:val="16"/>
              </w:rPr>
              <w:t>Total own-source income</w:t>
            </w:r>
          </w:p>
        </w:tc>
        <w:tc>
          <w:tcPr>
            <w:tcW w:w="900" w:type="dxa"/>
            <w:tcBorders>
              <w:top w:val="nil"/>
              <w:left w:val="nil"/>
              <w:bottom w:val="single" w:sz="4" w:space="0" w:color="auto"/>
              <w:right w:val="nil"/>
            </w:tcBorders>
            <w:shd w:val="clear" w:color="auto" w:fill="auto"/>
            <w:noWrap/>
            <w:vAlign w:val="bottom"/>
            <w:hideMark/>
          </w:tcPr>
          <w:p w14:paraId="2B349598" w14:textId="77777777" w:rsidR="003B4B66" w:rsidRPr="003B4B66" w:rsidRDefault="003B4B66" w:rsidP="003B4B66">
            <w:pPr>
              <w:spacing w:after="0"/>
              <w:jc w:val="right"/>
              <w:rPr>
                <w:rFonts w:ascii="Arial" w:hAnsi="Arial" w:cs="Arial"/>
                <w:b/>
                <w:bCs/>
                <w:color w:val="auto"/>
                <w:sz w:val="16"/>
                <w:szCs w:val="16"/>
              </w:rPr>
            </w:pPr>
            <w:r w:rsidRPr="003B4B66">
              <w:rPr>
                <w:rFonts w:ascii="Arial" w:hAnsi="Arial" w:cs="Arial"/>
                <w:b/>
                <w:bCs/>
                <w:color w:val="auto"/>
                <w:sz w:val="16"/>
                <w:szCs w:val="16"/>
              </w:rPr>
              <w:t>55,022</w:t>
            </w:r>
          </w:p>
        </w:tc>
        <w:tc>
          <w:tcPr>
            <w:tcW w:w="900" w:type="dxa"/>
            <w:tcBorders>
              <w:top w:val="nil"/>
              <w:left w:val="nil"/>
              <w:bottom w:val="single" w:sz="4" w:space="0" w:color="auto"/>
              <w:right w:val="nil"/>
            </w:tcBorders>
            <w:shd w:val="clear" w:color="000000" w:fill="D9D9D9"/>
            <w:noWrap/>
            <w:vAlign w:val="bottom"/>
            <w:hideMark/>
          </w:tcPr>
          <w:p w14:paraId="1B5BA9EF" w14:textId="77777777" w:rsidR="003B4B66" w:rsidRPr="003B4B66" w:rsidRDefault="003B4B66" w:rsidP="003B4B66">
            <w:pPr>
              <w:spacing w:after="0"/>
              <w:jc w:val="right"/>
              <w:rPr>
                <w:rFonts w:ascii="Arial" w:hAnsi="Arial" w:cs="Arial"/>
                <w:b/>
                <w:bCs/>
                <w:color w:val="auto"/>
                <w:sz w:val="16"/>
                <w:szCs w:val="16"/>
              </w:rPr>
            </w:pPr>
            <w:r w:rsidRPr="003B4B66">
              <w:rPr>
                <w:rFonts w:ascii="Arial" w:hAnsi="Arial" w:cs="Arial"/>
                <w:b/>
                <w:bCs/>
                <w:color w:val="auto"/>
                <w:sz w:val="16"/>
                <w:szCs w:val="16"/>
              </w:rPr>
              <w:t>32,250</w:t>
            </w:r>
          </w:p>
        </w:tc>
        <w:tc>
          <w:tcPr>
            <w:tcW w:w="900" w:type="dxa"/>
            <w:tcBorders>
              <w:top w:val="nil"/>
              <w:left w:val="nil"/>
              <w:bottom w:val="single" w:sz="4" w:space="0" w:color="auto"/>
              <w:right w:val="nil"/>
            </w:tcBorders>
            <w:shd w:val="clear" w:color="auto" w:fill="auto"/>
            <w:noWrap/>
            <w:vAlign w:val="bottom"/>
            <w:hideMark/>
          </w:tcPr>
          <w:p w14:paraId="2692F4C4" w14:textId="77777777" w:rsidR="003B4B66" w:rsidRPr="003B4B66" w:rsidRDefault="003B4B66" w:rsidP="003B4B66">
            <w:pPr>
              <w:spacing w:after="0"/>
              <w:jc w:val="right"/>
              <w:rPr>
                <w:rFonts w:ascii="Arial" w:hAnsi="Arial" w:cs="Arial"/>
                <w:b/>
                <w:bCs/>
                <w:color w:val="auto"/>
                <w:sz w:val="16"/>
                <w:szCs w:val="16"/>
              </w:rPr>
            </w:pPr>
            <w:r w:rsidRPr="003B4B66">
              <w:rPr>
                <w:rFonts w:ascii="Arial" w:hAnsi="Arial" w:cs="Arial"/>
                <w:b/>
                <w:bCs/>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14:paraId="6EC4CCDB" w14:textId="77777777" w:rsidR="003B4B66" w:rsidRPr="003B4B66" w:rsidRDefault="003B4B66" w:rsidP="003B4B66">
            <w:pPr>
              <w:spacing w:after="0"/>
              <w:jc w:val="right"/>
              <w:rPr>
                <w:rFonts w:ascii="Arial" w:hAnsi="Arial" w:cs="Arial"/>
                <w:b/>
                <w:bCs/>
                <w:color w:val="auto"/>
                <w:sz w:val="16"/>
                <w:szCs w:val="16"/>
              </w:rPr>
            </w:pPr>
            <w:r w:rsidRPr="003B4B66">
              <w:rPr>
                <w:rFonts w:ascii="Arial" w:hAnsi="Arial" w:cs="Arial"/>
                <w:b/>
                <w:bCs/>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14:paraId="0EF3DC9B" w14:textId="77777777" w:rsidR="003B4B66" w:rsidRPr="003B4B66" w:rsidRDefault="003B4B66" w:rsidP="003B4B66">
            <w:pPr>
              <w:spacing w:after="0"/>
              <w:jc w:val="right"/>
              <w:rPr>
                <w:rFonts w:ascii="Arial" w:hAnsi="Arial" w:cs="Arial"/>
                <w:b/>
                <w:bCs/>
                <w:color w:val="auto"/>
                <w:sz w:val="16"/>
                <w:szCs w:val="16"/>
              </w:rPr>
            </w:pPr>
            <w:r w:rsidRPr="003B4B66">
              <w:rPr>
                <w:rFonts w:ascii="Arial" w:hAnsi="Arial" w:cs="Arial"/>
                <w:b/>
                <w:bCs/>
                <w:color w:val="auto"/>
                <w:sz w:val="16"/>
                <w:szCs w:val="16"/>
              </w:rPr>
              <w:t>-</w:t>
            </w:r>
          </w:p>
        </w:tc>
      </w:tr>
      <w:tr w:rsidR="003B4B66" w:rsidRPr="003B4B66" w14:paraId="25270819" w14:textId="77777777" w:rsidTr="008C5234">
        <w:trPr>
          <w:trHeight w:val="227"/>
        </w:trPr>
        <w:tc>
          <w:tcPr>
            <w:tcW w:w="2860" w:type="dxa"/>
            <w:tcBorders>
              <w:top w:val="nil"/>
              <w:left w:val="nil"/>
              <w:bottom w:val="nil"/>
              <w:right w:val="nil"/>
            </w:tcBorders>
            <w:shd w:val="clear" w:color="auto" w:fill="auto"/>
            <w:vAlign w:val="bottom"/>
            <w:hideMark/>
          </w:tcPr>
          <w:p w14:paraId="386938C2" w14:textId="77777777" w:rsidR="003B4B66" w:rsidRPr="003B4B66" w:rsidRDefault="003B4B66" w:rsidP="003B4B66">
            <w:pPr>
              <w:spacing w:after="0"/>
              <w:rPr>
                <w:rFonts w:ascii="Arial" w:hAnsi="Arial" w:cs="Arial"/>
                <w:b/>
                <w:bCs/>
                <w:color w:val="auto"/>
                <w:sz w:val="16"/>
                <w:szCs w:val="16"/>
              </w:rPr>
            </w:pPr>
            <w:r w:rsidRPr="003B4B66">
              <w:rPr>
                <w:rFonts w:ascii="Arial" w:hAnsi="Arial" w:cs="Arial"/>
                <w:b/>
                <w:bCs/>
                <w:color w:val="auto"/>
                <w:sz w:val="16"/>
                <w:szCs w:val="16"/>
              </w:rPr>
              <w:t xml:space="preserve">Net cost of (contribution by) services </w:t>
            </w:r>
          </w:p>
        </w:tc>
        <w:tc>
          <w:tcPr>
            <w:tcW w:w="900" w:type="dxa"/>
            <w:tcBorders>
              <w:top w:val="nil"/>
              <w:left w:val="nil"/>
              <w:bottom w:val="single" w:sz="4" w:space="0" w:color="auto"/>
              <w:right w:val="nil"/>
            </w:tcBorders>
            <w:shd w:val="clear" w:color="auto" w:fill="auto"/>
            <w:noWrap/>
            <w:vAlign w:val="bottom"/>
            <w:hideMark/>
          </w:tcPr>
          <w:p w14:paraId="37B34DC2" w14:textId="77777777" w:rsidR="003B4B66" w:rsidRPr="003B4B66" w:rsidRDefault="003B4B66" w:rsidP="003B4B66">
            <w:pPr>
              <w:spacing w:after="0"/>
              <w:jc w:val="right"/>
              <w:rPr>
                <w:rFonts w:ascii="Arial" w:hAnsi="Arial" w:cs="Arial"/>
                <w:b/>
                <w:bCs/>
                <w:color w:val="auto"/>
                <w:sz w:val="16"/>
                <w:szCs w:val="16"/>
              </w:rPr>
            </w:pPr>
            <w:r w:rsidRPr="003B4B66">
              <w:rPr>
                <w:rFonts w:ascii="Arial" w:hAnsi="Arial" w:cs="Arial"/>
                <w:b/>
                <w:bCs/>
                <w:color w:val="auto"/>
                <w:sz w:val="16"/>
                <w:szCs w:val="16"/>
              </w:rPr>
              <w:t>268,247</w:t>
            </w:r>
          </w:p>
        </w:tc>
        <w:tc>
          <w:tcPr>
            <w:tcW w:w="900" w:type="dxa"/>
            <w:tcBorders>
              <w:top w:val="nil"/>
              <w:left w:val="nil"/>
              <w:bottom w:val="single" w:sz="4" w:space="0" w:color="auto"/>
              <w:right w:val="nil"/>
            </w:tcBorders>
            <w:shd w:val="clear" w:color="000000" w:fill="D9D9D9"/>
            <w:noWrap/>
            <w:vAlign w:val="bottom"/>
            <w:hideMark/>
          </w:tcPr>
          <w:p w14:paraId="74BAD8CD" w14:textId="77777777" w:rsidR="003B4B66" w:rsidRPr="003B4B66" w:rsidRDefault="003B4B66" w:rsidP="003B4B66">
            <w:pPr>
              <w:spacing w:after="0"/>
              <w:jc w:val="right"/>
              <w:rPr>
                <w:rFonts w:ascii="Arial" w:hAnsi="Arial" w:cs="Arial"/>
                <w:b/>
                <w:bCs/>
                <w:color w:val="auto"/>
                <w:sz w:val="16"/>
                <w:szCs w:val="16"/>
              </w:rPr>
            </w:pPr>
            <w:r w:rsidRPr="003B4B66">
              <w:rPr>
                <w:rFonts w:ascii="Arial" w:hAnsi="Arial" w:cs="Arial"/>
                <w:b/>
                <w:bCs/>
                <w:color w:val="auto"/>
                <w:sz w:val="16"/>
                <w:szCs w:val="16"/>
              </w:rPr>
              <w:t>244,137</w:t>
            </w:r>
          </w:p>
        </w:tc>
        <w:tc>
          <w:tcPr>
            <w:tcW w:w="900" w:type="dxa"/>
            <w:tcBorders>
              <w:top w:val="nil"/>
              <w:left w:val="nil"/>
              <w:bottom w:val="single" w:sz="4" w:space="0" w:color="auto"/>
              <w:right w:val="nil"/>
            </w:tcBorders>
            <w:shd w:val="clear" w:color="auto" w:fill="auto"/>
            <w:noWrap/>
            <w:vAlign w:val="bottom"/>
            <w:hideMark/>
          </w:tcPr>
          <w:p w14:paraId="3F1C1BB2" w14:textId="77777777" w:rsidR="003B4B66" w:rsidRPr="003B4B66" w:rsidRDefault="003B4B66" w:rsidP="003B4B66">
            <w:pPr>
              <w:spacing w:after="0"/>
              <w:jc w:val="right"/>
              <w:rPr>
                <w:rFonts w:ascii="Arial" w:hAnsi="Arial" w:cs="Arial"/>
                <w:b/>
                <w:bCs/>
                <w:color w:val="auto"/>
                <w:sz w:val="16"/>
                <w:szCs w:val="16"/>
              </w:rPr>
            </w:pPr>
            <w:r w:rsidRPr="003B4B66">
              <w:rPr>
                <w:rFonts w:ascii="Arial" w:hAnsi="Arial" w:cs="Arial"/>
                <w:b/>
                <w:bCs/>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14:paraId="345F52CF" w14:textId="77777777" w:rsidR="003B4B66" w:rsidRPr="003B4B66" w:rsidRDefault="003B4B66" w:rsidP="003B4B66">
            <w:pPr>
              <w:spacing w:after="0"/>
              <w:jc w:val="right"/>
              <w:rPr>
                <w:rFonts w:ascii="Arial" w:hAnsi="Arial" w:cs="Arial"/>
                <w:b/>
                <w:bCs/>
                <w:color w:val="auto"/>
                <w:sz w:val="16"/>
                <w:szCs w:val="16"/>
              </w:rPr>
            </w:pPr>
            <w:r w:rsidRPr="003B4B66">
              <w:rPr>
                <w:rFonts w:ascii="Arial" w:hAnsi="Arial" w:cs="Arial"/>
                <w:b/>
                <w:bCs/>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14:paraId="47F88C31" w14:textId="77777777" w:rsidR="003B4B66" w:rsidRPr="003B4B66" w:rsidRDefault="003B4B66" w:rsidP="003B4B66">
            <w:pPr>
              <w:spacing w:after="0"/>
              <w:jc w:val="right"/>
              <w:rPr>
                <w:rFonts w:ascii="Arial" w:hAnsi="Arial" w:cs="Arial"/>
                <w:b/>
                <w:bCs/>
                <w:color w:val="auto"/>
                <w:sz w:val="16"/>
                <w:szCs w:val="16"/>
              </w:rPr>
            </w:pPr>
            <w:r w:rsidRPr="003B4B66">
              <w:rPr>
                <w:rFonts w:ascii="Arial" w:hAnsi="Arial" w:cs="Arial"/>
                <w:b/>
                <w:bCs/>
                <w:color w:val="auto"/>
                <w:sz w:val="16"/>
                <w:szCs w:val="16"/>
              </w:rPr>
              <w:t>-</w:t>
            </w:r>
          </w:p>
        </w:tc>
      </w:tr>
      <w:tr w:rsidR="003B4B66" w:rsidRPr="003B4B66" w14:paraId="56D1EBA0" w14:textId="77777777" w:rsidTr="008C5234">
        <w:trPr>
          <w:trHeight w:val="227"/>
        </w:trPr>
        <w:tc>
          <w:tcPr>
            <w:tcW w:w="2860" w:type="dxa"/>
            <w:tcBorders>
              <w:top w:val="nil"/>
              <w:left w:val="nil"/>
              <w:bottom w:val="nil"/>
              <w:right w:val="nil"/>
            </w:tcBorders>
            <w:shd w:val="clear" w:color="auto" w:fill="auto"/>
            <w:noWrap/>
            <w:vAlign w:val="bottom"/>
            <w:hideMark/>
          </w:tcPr>
          <w:p w14:paraId="656E67D1" w14:textId="77777777" w:rsidR="003B4B66" w:rsidRPr="003B4B66" w:rsidRDefault="003B4B66" w:rsidP="003B4B66">
            <w:pPr>
              <w:spacing w:after="0"/>
              <w:ind w:leftChars="75" w:left="143"/>
              <w:rPr>
                <w:rFonts w:ascii="Arial" w:hAnsi="Arial" w:cs="Arial"/>
                <w:color w:val="auto"/>
                <w:sz w:val="16"/>
                <w:szCs w:val="16"/>
              </w:rPr>
            </w:pPr>
            <w:r w:rsidRPr="003B4B66">
              <w:rPr>
                <w:rFonts w:ascii="Arial" w:hAnsi="Arial" w:cs="Arial"/>
                <w:color w:val="auto"/>
                <w:sz w:val="16"/>
                <w:szCs w:val="16"/>
              </w:rPr>
              <w:t>Revenue from Government</w:t>
            </w:r>
          </w:p>
        </w:tc>
        <w:tc>
          <w:tcPr>
            <w:tcW w:w="900" w:type="dxa"/>
            <w:tcBorders>
              <w:top w:val="nil"/>
              <w:left w:val="nil"/>
              <w:bottom w:val="nil"/>
              <w:right w:val="nil"/>
            </w:tcBorders>
            <w:shd w:val="clear" w:color="auto" w:fill="auto"/>
            <w:noWrap/>
            <w:vAlign w:val="bottom"/>
            <w:hideMark/>
          </w:tcPr>
          <w:p w14:paraId="5791BABB" w14:textId="77777777" w:rsidR="003B4B66" w:rsidRPr="003B4B66" w:rsidRDefault="003B4B66" w:rsidP="003B4B66">
            <w:pPr>
              <w:spacing w:after="0"/>
              <w:jc w:val="right"/>
              <w:rPr>
                <w:rFonts w:ascii="Arial" w:hAnsi="Arial" w:cs="Arial"/>
                <w:color w:val="auto"/>
                <w:sz w:val="16"/>
                <w:szCs w:val="16"/>
              </w:rPr>
            </w:pPr>
            <w:r w:rsidRPr="003B4B66">
              <w:rPr>
                <w:rFonts w:ascii="Arial" w:hAnsi="Arial" w:cs="Arial"/>
                <w:color w:val="auto"/>
                <w:sz w:val="16"/>
                <w:szCs w:val="16"/>
              </w:rPr>
              <w:t>223,345</w:t>
            </w:r>
          </w:p>
        </w:tc>
        <w:tc>
          <w:tcPr>
            <w:tcW w:w="900" w:type="dxa"/>
            <w:tcBorders>
              <w:top w:val="nil"/>
              <w:left w:val="nil"/>
              <w:bottom w:val="nil"/>
              <w:right w:val="nil"/>
            </w:tcBorders>
            <w:shd w:val="clear" w:color="000000" w:fill="D9D9D9"/>
            <w:noWrap/>
            <w:vAlign w:val="bottom"/>
            <w:hideMark/>
          </w:tcPr>
          <w:p w14:paraId="0CB570CD" w14:textId="77777777" w:rsidR="003B4B66" w:rsidRPr="003B4B66" w:rsidRDefault="003B4B66" w:rsidP="003B4B66">
            <w:pPr>
              <w:spacing w:after="0"/>
              <w:jc w:val="right"/>
              <w:rPr>
                <w:rFonts w:ascii="Arial" w:hAnsi="Arial" w:cs="Arial"/>
                <w:color w:val="auto"/>
                <w:sz w:val="16"/>
                <w:szCs w:val="16"/>
              </w:rPr>
            </w:pPr>
            <w:r w:rsidRPr="003B4B66">
              <w:rPr>
                <w:rFonts w:ascii="Arial" w:hAnsi="Arial" w:cs="Arial"/>
                <w:color w:val="auto"/>
                <w:sz w:val="16"/>
                <w:szCs w:val="16"/>
              </w:rPr>
              <w:t>208,259</w:t>
            </w:r>
          </w:p>
        </w:tc>
        <w:tc>
          <w:tcPr>
            <w:tcW w:w="900" w:type="dxa"/>
            <w:tcBorders>
              <w:top w:val="nil"/>
              <w:left w:val="nil"/>
              <w:bottom w:val="nil"/>
              <w:right w:val="nil"/>
            </w:tcBorders>
            <w:shd w:val="clear" w:color="auto" w:fill="auto"/>
            <w:noWrap/>
            <w:vAlign w:val="bottom"/>
            <w:hideMark/>
          </w:tcPr>
          <w:p w14:paraId="27B52C49" w14:textId="77777777" w:rsidR="003B4B66" w:rsidRPr="003B4B66" w:rsidRDefault="003B4B66" w:rsidP="003B4B66">
            <w:pPr>
              <w:spacing w:after="0"/>
              <w:jc w:val="right"/>
              <w:rPr>
                <w:rFonts w:ascii="Arial" w:hAnsi="Arial" w:cs="Arial"/>
                <w:color w:val="auto"/>
                <w:sz w:val="16"/>
                <w:szCs w:val="16"/>
              </w:rPr>
            </w:pPr>
            <w:r w:rsidRPr="003B4B66">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6C70AEC1" w14:textId="77777777" w:rsidR="003B4B66" w:rsidRPr="003B4B66" w:rsidRDefault="003B4B66" w:rsidP="003B4B66">
            <w:pPr>
              <w:spacing w:after="0"/>
              <w:jc w:val="right"/>
              <w:rPr>
                <w:rFonts w:ascii="Arial" w:hAnsi="Arial" w:cs="Arial"/>
                <w:color w:val="auto"/>
                <w:sz w:val="16"/>
                <w:szCs w:val="16"/>
              </w:rPr>
            </w:pPr>
            <w:r w:rsidRPr="003B4B66">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39ED11D5" w14:textId="77777777" w:rsidR="003B4B66" w:rsidRPr="003B4B66" w:rsidRDefault="003B4B66" w:rsidP="003B4B66">
            <w:pPr>
              <w:spacing w:after="0"/>
              <w:jc w:val="right"/>
              <w:rPr>
                <w:rFonts w:ascii="Arial" w:hAnsi="Arial" w:cs="Arial"/>
                <w:color w:val="auto"/>
                <w:sz w:val="16"/>
                <w:szCs w:val="16"/>
              </w:rPr>
            </w:pPr>
            <w:r w:rsidRPr="003B4B66">
              <w:rPr>
                <w:rFonts w:ascii="Arial" w:hAnsi="Arial" w:cs="Arial"/>
                <w:color w:val="auto"/>
                <w:sz w:val="16"/>
                <w:szCs w:val="16"/>
              </w:rPr>
              <w:t>-</w:t>
            </w:r>
          </w:p>
        </w:tc>
      </w:tr>
      <w:tr w:rsidR="003B4B66" w:rsidRPr="003B4B66" w14:paraId="0984E2C5" w14:textId="77777777" w:rsidTr="008C5234">
        <w:trPr>
          <w:trHeight w:val="227"/>
        </w:trPr>
        <w:tc>
          <w:tcPr>
            <w:tcW w:w="2860" w:type="dxa"/>
            <w:tcBorders>
              <w:top w:val="nil"/>
              <w:left w:val="nil"/>
              <w:bottom w:val="nil"/>
              <w:right w:val="nil"/>
            </w:tcBorders>
            <w:shd w:val="clear" w:color="auto" w:fill="auto"/>
            <w:noWrap/>
            <w:vAlign w:val="bottom"/>
            <w:hideMark/>
          </w:tcPr>
          <w:p w14:paraId="4E492B65" w14:textId="77777777" w:rsidR="003B4B66" w:rsidRPr="003B4B66" w:rsidRDefault="003B4B66" w:rsidP="003B4B66">
            <w:pPr>
              <w:spacing w:after="0"/>
              <w:rPr>
                <w:rFonts w:ascii="Arial" w:hAnsi="Arial" w:cs="Arial"/>
                <w:b/>
                <w:bCs/>
                <w:color w:val="auto"/>
                <w:sz w:val="16"/>
                <w:szCs w:val="16"/>
              </w:rPr>
            </w:pPr>
            <w:r w:rsidRPr="003B4B66">
              <w:rPr>
                <w:rFonts w:ascii="Arial" w:hAnsi="Arial" w:cs="Arial"/>
                <w:b/>
                <w:bCs/>
                <w:color w:val="auto"/>
                <w:sz w:val="16"/>
                <w:szCs w:val="16"/>
              </w:rPr>
              <w:t>Surplus (deficit)</w:t>
            </w:r>
          </w:p>
        </w:tc>
        <w:tc>
          <w:tcPr>
            <w:tcW w:w="900" w:type="dxa"/>
            <w:tcBorders>
              <w:top w:val="nil"/>
              <w:left w:val="nil"/>
              <w:bottom w:val="single" w:sz="4" w:space="0" w:color="auto"/>
              <w:right w:val="nil"/>
            </w:tcBorders>
            <w:shd w:val="clear" w:color="auto" w:fill="auto"/>
            <w:noWrap/>
            <w:vAlign w:val="bottom"/>
            <w:hideMark/>
          </w:tcPr>
          <w:p w14:paraId="6812AC76" w14:textId="77777777" w:rsidR="003B4B66" w:rsidRPr="003B4B66" w:rsidRDefault="003B4B66" w:rsidP="003B4B66">
            <w:pPr>
              <w:spacing w:after="0"/>
              <w:jc w:val="right"/>
              <w:rPr>
                <w:rFonts w:ascii="Arial" w:hAnsi="Arial" w:cs="Arial"/>
                <w:b/>
                <w:bCs/>
                <w:color w:val="auto"/>
                <w:sz w:val="16"/>
                <w:szCs w:val="16"/>
              </w:rPr>
            </w:pPr>
            <w:r w:rsidRPr="003B4B66">
              <w:rPr>
                <w:rFonts w:ascii="Arial" w:hAnsi="Arial" w:cs="Arial"/>
                <w:b/>
                <w:bCs/>
                <w:color w:val="auto"/>
                <w:sz w:val="16"/>
                <w:szCs w:val="16"/>
              </w:rPr>
              <w:t>(44,902)</w:t>
            </w:r>
          </w:p>
        </w:tc>
        <w:tc>
          <w:tcPr>
            <w:tcW w:w="900" w:type="dxa"/>
            <w:tcBorders>
              <w:top w:val="nil"/>
              <w:left w:val="nil"/>
              <w:bottom w:val="single" w:sz="4" w:space="0" w:color="auto"/>
              <w:right w:val="nil"/>
            </w:tcBorders>
            <w:shd w:val="clear" w:color="000000" w:fill="D9D9D9"/>
            <w:noWrap/>
            <w:vAlign w:val="bottom"/>
            <w:hideMark/>
          </w:tcPr>
          <w:p w14:paraId="2F6F24DA" w14:textId="77777777" w:rsidR="003B4B66" w:rsidRPr="003B4B66" w:rsidRDefault="003B4B66" w:rsidP="003B4B66">
            <w:pPr>
              <w:spacing w:after="0"/>
              <w:jc w:val="right"/>
              <w:rPr>
                <w:rFonts w:ascii="Arial" w:hAnsi="Arial" w:cs="Arial"/>
                <w:b/>
                <w:bCs/>
                <w:color w:val="auto"/>
                <w:sz w:val="16"/>
                <w:szCs w:val="16"/>
              </w:rPr>
            </w:pPr>
            <w:r w:rsidRPr="003B4B66">
              <w:rPr>
                <w:rFonts w:ascii="Arial" w:hAnsi="Arial" w:cs="Arial"/>
                <w:b/>
                <w:bCs/>
                <w:color w:val="auto"/>
                <w:sz w:val="16"/>
                <w:szCs w:val="16"/>
              </w:rPr>
              <w:t>(35,878)</w:t>
            </w:r>
          </w:p>
        </w:tc>
        <w:tc>
          <w:tcPr>
            <w:tcW w:w="900" w:type="dxa"/>
            <w:tcBorders>
              <w:top w:val="nil"/>
              <w:left w:val="nil"/>
              <w:bottom w:val="single" w:sz="4" w:space="0" w:color="auto"/>
              <w:right w:val="nil"/>
            </w:tcBorders>
            <w:shd w:val="clear" w:color="auto" w:fill="auto"/>
            <w:noWrap/>
            <w:vAlign w:val="bottom"/>
            <w:hideMark/>
          </w:tcPr>
          <w:p w14:paraId="55E58DF2" w14:textId="77777777" w:rsidR="003B4B66" w:rsidRPr="003B4B66" w:rsidRDefault="003B4B66" w:rsidP="003B4B66">
            <w:pPr>
              <w:spacing w:after="0"/>
              <w:jc w:val="right"/>
              <w:rPr>
                <w:rFonts w:ascii="Arial" w:hAnsi="Arial" w:cs="Arial"/>
                <w:b/>
                <w:bCs/>
                <w:color w:val="auto"/>
                <w:sz w:val="16"/>
                <w:szCs w:val="16"/>
              </w:rPr>
            </w:pPr>
            <w:r w:rsidRPr="003B4B66">
              <w:rPr>
                <w:rFonts w:ascii="Arial" w:hAnsi="Arial" w:cs="Arial"/>
                <w:b/>
                <w:bCs/>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14:paraId="62835314" w14:textId="77777777" w:rsidR="003B4B66" w:rsidRPr="003B4B66" w:rsidRDefault="003B4B66" w:rsidP="003B4B66">
            <w:pPr>
              <w:spacing w:after="0"/>
              <w:jc w:val="right"/>
              <w:rPr>
                <w:rFonts w:ascii="Arial" w:hAnsi="Arial" w:cs="Arial"/>
                <w:b/>
                <w:bCs/>
                <w:color w:val="auto"/>
                <w:sz w:val="16"/>
                <w:szCs w:val="16"/>
              </w:rPr>
            </w:pPr>
            <w:r w:rsidRPr="003B4B66">
              <w:rPr>
                <w:rFonts w:ascii="Arial" w:hAnsi="Arial" w:cs="Arial"/>
                <w:b/>
                <w:bCs/>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14:paraId="6317221F" w14:textId="77777777" w:rsidR="003B4B66" w:rsidRPr="003B4B66" w:rsidRDefault="003B4B66" w:rsidP="003B4B66">
            <w:pPr>
              <w:spacing w:after="0"/>
              <w:jc w:val="right"/>
              <w:rPr>
                <w:rFonts w:ascii="Arial" w:hAnsi="Arial" w:cs="Arial"/>
                <w:b/>
                <w:bCs/>
                <w:color w:val="auto"/>
                <w:sz w:val="16"/>
                <w:szCs w:val="16"/>
              </w:rPr>
            </w:pPr>
            <w:r w:rsidRPr="003B4B66">
              <w:rPr>
                <w:rFonts w:ascii="Arial" w:hAnsi="Arial" w:cs="Arial"/>
                <w:b/>
                <w:bCs/>
                <w:color w:val="auto"/>
                <w:sz w:val="16"/>
                <w:szCs w:val="16"/>
              </w:rPr>
              <w:t>-</w:t>
            </w:r>
          </w:p>
        </w:tc>
      </w:tr>
      <w:tr w:rsidR="003B4B66" w:rsidRPr="003B4B66" w14:paraId="2E0775D3" w14:textId="77777777" w:rsidTr="008C5234">
        <w:trPr>
          <w:trHeight w:val="227"/>
        </w:trPr>
        <w:tc>
          <w:tcPr>
            <w:tcW w:w="2860" w:type="dxa"/>
            <w:tcBorders>
              <w:top w:val="nil"/>
              <w:left w:val="nil"/>
              <w:bottom w:val="nil"/>
              <w:right w:val="nil"/>
            </w:tcBorders>
            <w:shd w:val="clear" w:color="auto" w:fill="auto"/>
            <w:vAlign w:val="bottom"/>
            <w:hideMark/>
          </w:tcPr>
          <w:p w14:paraId="49FC5B6F" w14:textId="77777777" w:rsidR="003B4B66" w:rsidRPr="003B4B66" w:rsidRDefault="003B4B66" w:rsidP="003B4B66">
            <w:pPr>
              <w:spacing w:after="0"/>
              <w:rPr>
                <w:rFonts w:ascii="Arial" w:hAnsi="Arial" w:cs="Arial"/>
                <w:b/>
                <w:bCs/>
                <w:color w:val="auto"/>
                <w:sz w:val="16"/>
                <w:szCs w:val="16"/>
              </w:rPr>
            </w:pPr>
            <w:r w:rsidRPr="003B4B66">
              <w:rPr>
                <w:rFonts w:ascii="Arial" w:hAnsi="Arial" w:cs="Arial"/>
                <w:b/>
                <w:bCs/>
                <w:color w:val="auto"/>
                <w:sz w:val="16"/>
                <w:szCs w:val="16"/>
              </w:rPr>
              <w:t>Surplus (deficit) attributable to the Australian Government</w:t>
            </w:r>
          </w:p>
        </w:tc>
        <w:tc>
          <w:tcPr>
            <w:tcW w:w="900" w:type="dxa"/>
            <w:tcBorders>
              <w:top w:val="nil"/>
              <w:left w:val="nil"/>
              <w:bottom w:val="single" w:sz="4" w:space="0" w:color="auto"/>
              <w:right w:val="nil"/>
            </w:tcBorders>
            <w:shd w:val="clear" w:color="auto" w:fill="auto"/>
            <w:noWrap/>
            <w:vAlign w:val="bottom"/>
            <w:hideMark/>
          </w:tcPr>
          <w:p w14:paraId="714C902E" w14:textId="77777777" w:rsidR="003B4B66" w:rsidRPr="003B4B66" w:rsidRDefault="003B4B66" w:rsidP="003B4B66">
            <w:pPr>
              <w:spacing w:after="0"/>
              <w:jc w:val="right"/>
              <w:rPr>
                <w:rFonts w:ascii="Arial" w:hAnsi="Arial" w:cs="Arial"/>
                <w:b/>
                <w:bCs/>
                <w:color w:val="auto"/>
                <w:sz w:val="16"/>
                <w:szCs w:val="16"/>
              </w:rPr>
            </w:pPr>
            <w:r w:rsidRPr="003B4B66">
              <w:rPr>
                <w:rFonts w:ascii="Arial" w:hAnsi="Arial" w:cs="Arial"/>
                <w:b/>
                <w:bCs/>
                <w:color w:val="auto"/>
                <w:sz w:val="16"/>
                <w:szCs w:val="16"/>
              </w:rPr>
              <w:t>(44,902)</w:t>
            </w:r>
          </w:p>
        </w:tc>
        <w:tc>
          <w:tcPr>
            <w:tcW w:w="900" w:type="dxa"/>
            <w:tcBorders>
              <w:top w:val="nil"/>
              <w:left w:val="nil"/>
              <w:bottom w:val="single" w:sz="4" w:space="0" w:color="auto"/>
              <w:right w:val="nil"/>
            </w:tcBorders>
            <w:shd w:val="clear" w:color="000000" w:fill="D9D9D9"/>
            <w:noWrap/>
            <w:vAlign w:val="bottom"/>
            <w:hideMark/>
          </w:tcPr>
          <w:p w14:paraId="21443344" w14:textId="77777777" w:rsidR="003B4B66" w:rsidRPr="003B4B66" w:rsidRDefault="003B4B66" w:rsidP="003B4B66">
            <w:pPr>
              <w:spacing w:after="0"/>
              <w:jc w:val="right"/>
              <w:rPr>
                <w:rFonts w:ascii="Arial" w:hAnsi="Arial" w:cs="Arial"/>
                <w:b/>
                <w:bCs/>
                <w:color w:val="auto"/>
                <w:sz w:val="16"/>
                <w:szCs w:val="16"/>
              </w:rPr>
            </w:pPr>
            <w:r w:rsidRPr="003B4B66">
              <w:rPr>
                <w:rFonts w:ascii="Arial" w:hAnsi="Arial" w:cs="Arial"/>
                <w:b/>
                <w:bCs/>
                <w:color w:val="auto"/>
                <w:sz w:val="16"/>
                <w:szCs w:val="16"/>
              </w:rPr>
              <w:t>(35,878)</w:t>
            </w:r>
          </w:p>
        </w:tc>
        <w:tc>
          <w:tcPr>
            <w:tcW w:w="900" w:type="dxa"/>
            <w:tcBorders>
              <w:top w:val="nil"/>
              <w:left w:val="nil"/>
              <w:bottom w:val="single" w:sz="4" w:space="0" w:color="auto"/>
              <w:right w:val="nil"/>
            </w:tcBorders>
            <w:shd w:val="clear" w:color="auto" w:fill="auto"/>
            <w:noWrap/>
            <w:vAlign w:val="bottom"/>
            <w:hideMark/>
          </w:tcPr>
          <w:p w14:paraId="506F8999" w14:textId="77777777" w:rsidR="003B4B66" w:rsidRPr="003B4B66" w:rsidRDefault="003B4B66" w:rsidP="003B4B66">
            <w:pPr>
              <w:spacing w:after="0"/>
              <w:jc w:val="right"/>
              <w:rPr>
                <w:rFonts w:ascii="Arial" w:hAnsi="Arial" w:cs="Arial"/>
                <w:b/>
                <w:bCs/>
                <w:color w:val="auto"/>
                <w:sz w:val="16"/>
                <w:szCs w:val="16"/>
              </w:rPr>
            </w:pPr>
            <w:r w:rsidRPr="003B4B66">
              <w:rPr>
                <w:rFonts w:ascii="Arial" w:hAnsi="Arial" w:cs="Arial"/>
                <w:b/>
                <w:bCs/>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14:paraId="61FEA0E0" w14:textId="77777777" w:rsidR="003B4B66" w:rsidRPr="003B4B66" w:rsidRDefault="003B4B66" w:rsidP="003B4B66">
            <w:pPr>
              <w:spacing w:after="0"/>
              <w:jc w:val="right"/>
              <w:rPr>
                <w:rFonts w:ascii="Arial" w:hAnsi="Arial" w:cs="Arial"/>
                <w:b/>
                <w:bCs/>
                <w:color w:val="auto"/>
                <w:sz w:val="16"/>
                <w:szCs w:val="16"/>
              </w:rPr>
            </w:pPr>
            <w:r w:rsidRPr="003B4B66">
              <w:rPr>
                <w:rFonts w:ascii="Arial" w:hAnsi="Arial" w:cs="Arial"/>
                <w:b/>
                <w:bCs/>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14:paraId="006E999B" w14:textId="77777777" w:rsidR="003B4B66" w:rsidRPr="003B4B66" w:rsidRDefault="003B4B66" w:rsidP="003B4B66">
            <w:pPr>
              <w:spacing w:after="0"/>
              <w:jc w:val="right"/>
              <w:rPr>
                <w:rFonts w:ascii="Arial" w:hAnsi="Arial" w:cs="Arial"/>
                <w:b/>
                <w:bCs/>
                <w:color w:val="auto"/>
                <w:sz w:val="16"/>
                <w:szCs w:val="16"/>
              </w:rPr>
            </w:pPr>
            <w:r w:rsidRPr="003B4B66">
              <w:rPr>
                <w:rFonts w:ascii="Arial" w:hAnsi="Arial" w:cs="Arial"/>
                <w:b/>
                <w:bCs/>
                <w:color w:val="auto"/>
                <w:sz w:val="16"/>
                <w:szCs w:val="16"/>
              </w:rPr>
              <w:t>-</w:t>
            </w:r>
          </w:p>
        </w:tc>
      </w:tr>
      <w:tr w:rsidR="003B4B66" w:rsidRPr="003B4B66" w14:paraId="59B06B1E" w14:textId="77777777" w:rsidTr="008C5234">
        <w:trPr>
          <w:trHeight w:val="227"/>
        </w:trPr>
        <w:tc>
          <w:tcPr>
            <w:tcW w:w="2860" w:type="dxa"/>
            <w:tcBorders>
              <w:top w:val="nil"/>
              <w:left w:val="nil"/>
              <w:bottom w:val="nil"/>
              <w:right w:val="nil"/>
            </w:tcBorders>
            <w:shd w:val="clear" w:color="auto" w:fill="auto"/>
            <w:noWrap/>
            <w:vAlign w:val="bottom"/>
            <w:hideMark/>
          </w:tcPr>
          <w:p w14:paraId="6F3FE110" w14:textId="77777777" w:rsidR="003B4B66" w:rsidRPr="003B4B66" w:rsidRDefault="003B4B66" w:rsidP="003B4B66">
            <w:pPr>
              <w:spacing w:after="0"/>
              <w:rPr>
                <w:rFonts w:ascii="Arial" w:hAnsi="Arial" w:cs="Arial"/>
                <w:b/>
                <w:bCs/>
                <w:color w:val="auto"/>
                <w:sz w:val="16"/>
                <w:szCs w:val="16"/>
              </w:rPr>
            </w:pPr>
            <w:r w:rsidRPr="003B4B66">
              <w:rPr>
                <w:rFonts w:ascii="Arial" w:hAnsi="Arial" w:cs="Arial"/>
                <w:b/>
                <w:bCs/>
                <w:color w:val="auto"/>
                <w:sz w:val="16"/>
                <w:szCs w:val="16"/>
              </w:rPr>
              <w:t>OTHER COMPREHENSIVE INCOME</w:t>
            </w:r>
          </w:p>
        </w:tc>
        <w:tc>
          <w:tcPr>
            <w:tcW w:w="900" w:type="dxa"/>
            <w:tcBorders>
              <w:top w:val="nil"/>
              <w:left w:val="nil"/>
              <w:bottom w:val="nil"/>
              <w:right w:val="nil"/>
            </w:tcBorders>
            <w:shd w:val="clear" w:color="auto" w:fill="auto"/>
            <w:noWrap/>
            <w:vAlign w:val="bottom"/>
            <w:hideMark/>
          </w:tcPr>
          <w:p w14:paraId="00AA1E1C" w14:textId="77777777" w:rsidR="003B4B66" w:rsidRPr="003B4B66" w:rsidRDefault="003B4B66" w:rsidP="003B4B66">
            <w:pPr>
              <w:spacing w:after="0"/>
              <w:rPr>
                <w:rFonts w:ascii="Arial" w:hAnsi="Arial" w:cs="Arial"/>
                <w:b/>
                <w:bCs/>
                <w:color w:val="auto"/>
                <w:sz w:val="16"/>
                <w:szCs w:val="16"/>
              </w:rPr>
            </w:pPr>
          </w:p>
        </w:tc>
        <w:tc>
          <w:tcPr>
            <w:tcW w:w="900" w:type="dxa"/>
            <w:tcBorders>
              <w:top w:val="nil"/>
              <w:left w:val="nil"/>
              <w:bottom w:val="nil"/>
              <w:right w:val="nil"/>
            </w:tcBorders>
            <w:shd w:val="clear" w:color="000000" w:fill="D9D9D9"/>
            <w:noWrap/>
            <w:vAlign w:val="bottom"/>
            <w:hideMark/>
          </w:tcPr>
          <w:p w14:paraId="1951DAA3" w14:textId="77777777" w:rsidR="003B4B66" w:rsidRPr="003B4B66" w:rsidRDefault="003B4B66" w:rsidP="003B4B66">
            <w:pPr>
              <w:spacing w:after="0"/>
              <w:jc w:val="right"/>
              <w:rPr>
                <w:rFonts w:ascii="Arial" w:hAnsi="Arial" w:cs="Arial"/>
                <w:b/>
                <w:bCs/>
                <w:color w:val="auto"/>
                <w:sz w:val="16"/>
                <w:szCs w:val="16"/>
              </w:rPr>
            </w:pPr>
            <w:r w:rsidRPr="003B4B66">
              <w:rPr>
                <w:rFonts w:ascii="Arial" w:hAnsi="Arial" w:cs="Arial"/>
                <w:b/>
                <w:bCs/>
                <w:color w:val="auto"/>
                <w:sz w:val="16"/>
                <w:szCs w:val="16"/>
              </w:rPr>
              <w:t> </w:t>
            </w:r>
          </w:p>
        </w:tc>
        <w:tc>
          <w:tcPr>
            <w:tcW w:w="900" w:type="dxa"/>
            <w:tcBorders>
              <w:top w:val="nil"/>
              <w:left w:val="nil"/>
              <w:bottom w:val="nil"/>
              <w:right w:val="nil"/>
            </w:tcBorders>
            <w:shd w:val="clear" w:color="auto" w:fill="auto"/>
            <w:noWrap/>
            <w:vAlign w:val="bottom"/>
            <w:hideMark/>
          </w:tcPr>
          <w:p w14:paraId="743D571C" w14:textId="77777777" w:rsidR="003B4B66" w:rsidRPr="003B4B66" w:rsidRDefault="003B4B66" w:rsidP="003B4B66">
            <w:pPr>
              <w:spacing w:after="0"/>
              <w:jc w:val="right"/>
              <w:rPr>
                <w:rFonts w:ascii="Arial" w:hAnsi="Arial" w:cs="Arial"/>
                <w:b/>
                <w:bCs/>
                <w:color w:val="auto"/>
                <w:sz w:val="16"/>
                <w:szCs w:val="16"/>
              </w:rPr>
            </w:pPr>
          </w:p>
        </w:tc>
        <w:tc>
          <w:tcPr>
            <w:tcW w:w="900" w:type="dxa"/>
            <w:tcBorders>
              <w:top w:val="nil"/>
              <w:left w:val="nil"/>
              <w:bottom w:val="nil"/>
              <w:right w:val="nil"/>
            </w:tcBorders>
            <w:shd w:val="clear" w:color="auto" w:fill="auto"/>
            <w:noWrap/>
            <w:vAlign w:val="bottom"/>
            <w:hideMark/>
          </w:tcPr>
          <w:p w14:paraId="7043C5D7" w14:textId="77777777" w:rsidR="003B4B66" w:rsidRPr="003B4B66" w:rsidRDefault="003B4B66" w:rsidP="003B4B66">
            <w:pPr>
              <w:spacing w:after="0"/>
              <w:jc w:val="right"/>
              <w:rPr>
                <w:rFonts w:ascii="Times New Roman" w:hAnsi="Times New Roman"/>
                <w:color w:val="auto"/>
                <w:sz w:val="20"/>
              </w:rPr>
            </w:pPr>
          </w:p>
        </w:tc>
        <w:tc>
          <w:tcPr>
            <w:tcW w:w="900" w:type="dxa"/>
            <w:tcBorders>
              <w:top w:val="nil"/>
              <w:left w:val="nil"/>
              <w:bottom w:val="nil"/>
              <w:right w:val="nil"/>
            </w:tcBorders>
            <w:shd w:val="clear" w:color="auto" w:fill="auto"/>
            <w:noWrap/>
            <w:vAlign w:val="bottom"/>
            <w:hideMark/>
          </w:tcPr>
          <w:p w14:paraId="7309CAA7" w14:textId="77777777" w:rsidR="003B4B66" w:rsidRPr="003B4B66" w:rsidRDefault="003B4B66" w:rsidP="003B4B66">
            <w:pPr>
              <w:spacing w:after="0"/>
              <w:jc w:val="right"/>
              <w:rPr>
                <w:rFonts w:ascii="Times New Roman" w:hAnsi="Times New Roman"/>
                <w:color w:val="auto"/>
                <w:sz w:val="20"/>
              </w:rPr>
            </w:pPr>
          </w:p>
        </w:tc>
      </w:tr>
      <w:tr w:rsidR="003B4B66" w:rsidRPr="003B4B66" w14:paraId="13309C8D" w14:textId="77777777" w:rsidTr="008C5234">
        <w:trPr>
          <w:trHeight w:val="227"/>
        </w:trPr>
        <w:tc>
          <w:tcPr>
            <w:tcW w:w="2860" w:type="dxa"/>
            <w:tcBorders>
              <w:top w:val="nil"/>
              <w:left w:val="nil"/>
              <w:bottom w:val="nil"/>
              <w:right w:val="nil"/>
            </w:tcBorders>
            <w:shd w:val="clear" w:color="auto" w:fill="auto"/>
            <w:vAlign w:val="bottom"/>
            <w:hideMark/>
          </w:tcPr>
          <w:p w14:paraId="600A40E1" w14:textId="77777777" w:rsidR="003B4B66" w:rsidRPr="003B4B66" w:rsidRDefault="003B4B66" w:rsidP="003B4B66">
            <w:pPr>
              <w:spacing w:after="0"/>
              <w:ind w:leftChars="75" w:left="143"/>
              <w:rPr>
                <w:rFonts w:ascii="Arial" w:hAnsi="Arial" w:cs="Arial"/>
                <w:color w:val="auto"/>
                <w:sz w:val="16"/>
                <w:szCs w:val="16"/>
              </w:rPr>
            </w:pPr>
            <w:r w:rsidRPr="003B4B66">
              <w:rPr>
                <w:rFonts w:ascii="Arial" w:hAnsi="Arial" w:cs="Arial"/>
                <w:color w:val="auto"/>
                <w:sz w:val="16"/>
                <w:szCs w:val="16"/>
              </w:rPr>
              <w:t>Changes in asset revaluation reserves</w:t>
            </w:r>
          </w:p>
        </w:tc>
        <w:tc>
          <w:tcPr>
            <w:tcW w:w="900" w:type="dxa"/>
            <w:tcBorders>
              <w:top w:val="nil"/>
              <w:left w:val="nil"/>
              <w:bottom w:val="nil"/>
              <w:right w:val="nil"/>
            </w:tcBorders>
            <w:shd w:val="clear" w:color="auto" w:fill="auto"/>
            <w:noWrap/>
            <w:vAlign w:val="bottom"/>
            <w:hideMark/>
          </w:tcPr>
          <w:p w14:paraId="0467CF8F" w14:textId="77777777" w:rsidR="003B4B66" w:rsidRPr="003B4B66" w:rsidRDefault="003B4B66" w:rsidP="003B4B66">
            <w:pPr>
              <w:spacing w:after="0"/>
              <w:jc w:val="right"/>
              <w:rPr>
                <w:rFonts w:ascii="Arial" w:hAnsi="Arial" w:cs="Arial"/>
                <w:color w:val="auto"/>
                <w:sz w:val="16"/>
                <w:szCs w:val="16"/>
              </w:rPr>
            </w:pPr>
            <w:r w:rsidRPr="003B4B66">
              <w:rPr>
                <w:rFonts w:ascii="Arial" w:hAnsi="Arial" w:cs="Arial"/>
                <w:color w:val="auto"/>
                <w:sz w:val="16"/>
                <w:szCs w:val="16"/>
              </w:rPr>
              <w:t>-</w:t>
            </w:r>
          </w:p>
        </w:tc>
        <w:tc>
          <w:tcPr>
            <w:tcW w:w="900" w:type="dxa"/>
            <w:tcBorders>
              <w:top w:val="nil"/>
              <w:left w:val="nil"/>
              <w:bottom w:val="nil"/>
              <w:right w:val="nil"/>
            </w:tcBorders>
            <w:shd w:val="clear" w:color="000000" w:fill="D9D9D9"/>
            <w:noWrap/>
            <w:vAlign w:val="bottom"/>
            <w:hideMark/>
          </w:tcPr>
          <w:p w14:paraId="1D924FEF" w14:textId="77777777" w:rsidR="003B4B66" w:rsidRPr="003B4B66" w:rsidRDefault="003B4B66" w:rsidP="003B4B66">
            <w:pPr>
              <w:spacing w:after="0"/>
              <w:jc w:val="right"/>
              <w:rPr>
                <w:rFonts w:ascii="Arial" w:hAnsi="Arial" w:cs="Arial"/>
                <w:color w:val="auto"/>
                <w:sz w:val="16"/>
                <w:szCs w:val="16"/>
              </w:rPr>
            </w:pPr>
            <w:r w:rsidRPr="003B4B66">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11113308" w14:textId="77777777" w:rsidR="003B4B66" w:rsidRPr="003B4B66" w:rsidRDefault="003B4B66" w:rsidP="003B4B66">
            <w:pPr>
              <w:spacing w:after="0"/>
              <w:jc w:val="right"/>
              <w:rPr>
                <w:rFonts w:ascii="Arial" w:hAnsi="Arial" w:cs="Arial"/>
                <w:color w:val="auto"/>
                <w:sz w:val="16"/>
                <w:szCs w:val="16"/>
              </w:rPr>
            </w:pPr>
            <w:r w:rsidRPr="003B4B66">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5BDF7E04" w14:textId="77777777" w:rsidR="003B4B66" w:rsidRPr="003B4B66" w:rsidRDefault="003B4B66" w:rsidP="003B4B66">
            <w:pPr>
              <w:spacing w:after="0"/>
              <w:jc w:val="right"/>
              <w:rPr>
                <w:rFonts w:ascii="Arial" w:hAnsi="Arial" w:cs="Arial"/>
                <w:color w:val="auto"/>
                <w:sz w:val="16"/>
                <w:szCs w:val="16"/>
              </w:rPr>
            </w:pPr>
            <w:r w:rsidRPr="003B4B66">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27F23D91" w14:textId="77777777" w:rsidR="003B4B66" w:rsidRPr="003B4B66" w:rsidRDefault="003B4B66" w:rsidP="003B4B66">
            <w:pPr>
              <w:spacing w:after="0"/>
              <w:jc w:val="right"/>
              <w:rPr>
                <w:rFonts w:ascii="Arial" w:hAnsi="Arial" w:cs="Arial"/>
                <w:color w:val="auto"/>
                <w:sz w:val="16"/>
                <w:szCs w:val="16"/>
              </w:rPr>
            </w:pPr>
            <w:r w:rsidRPr="003B4B66">
              <w:rPr>
                <w:rFonts w:ascii="Arial" w:hAnsi="Arial" w:cs="Arial"/>
                <w:color w:val="auto"/>
                <w:sz w:val="16"/>
                <w:szCs w:val="16"/>
              </w:rPr>
              <w:t>-</w:t>
            </w:r>
          </w:p>
        </w:tc>
      </w:tr>
      <w:tr w:rsidR="003B4B66" w:rsidRPr="003B4B66" w14:paraId="5DECB75D" w14:textId="77777777" w:rsidTr="008C5234">
        <w:trPr>
          <w:trHeight w:val="227"/>
        </w:trPr>
        <w:tc>
          <w:tcPr>
            <w:tcW w:w="2860" w:type="dxa"/>
            <w:tcBorders>
              <w:top w:val="nil"/>
              <w:left w:val="nil"/>
              <w:bottom w:val="nil"/>
              <w:right w:val="nil"/>
            </w:tcBorders>
            <w:shd w:val="clear" w:color="auto" w:fill="auto"/>
            <w:vAlign w:val="bottom"/>
            <w:hideMark/>
          </w:tcPr>
          <w:p w14:paraId="4AF27B87" w14:textId="77777777" w:rsidR="003B4B66" w:rsidRPr="003B4B66" w:rsidRDefault="003B4B66" w:rsidP="008C5234">
            <w:pPr>
              <w:spacing w:after="0"/>
              <w:ind w:leftChars="75" w:left="143"/>
              <w:rPr>
                <w:rFonts w:ascii="Arial" w:hAnsi="Arial" w:cs="Arial"/>
                <w:b/>
                <w:bCs/>
                <w:color w:val="auto"/>
                <w:sz w:val="16"/>
                <w:szCs w:val="16"/>
              </w:rPr>
            </w:pPr>
            <w:r w:rsidRPr="003B4B66">
              <w:rPr>
                <w:rFonts w:ascii="Arial" w:hAnsi="Arial" w:cs="Arial"/>
                <w:b/>
                <w:bCs/>
                <w:color w:val="auto"/>
                <w:sz w:val="16"/>
                <w:szCs w:val="16"/>
              </w:rPr>
              <w:t>Total other comprehensive income (loss)</w:t>
            </w:r>
          </w:p>
        </w:tc>
        <w:tc>
          <w:tcPr>
            <w:tcW w:w="900" w:type="dxa"/>
            <w:tcBorders>
              <w:top w:val="nil"/>
              <w:left w:val="nil"/>
              <w:bottom w:val="single" w:sz="4" w:space="0" w:color="auto"/>
              <w:right w:val="nil"/>
            </w:tcBorders>
            <w:shd w:val="clear" w:color="auto" w:fill="auto"/>
            <w:noWrap/>
            <w:vAlign w:val="bottom"/>
            <w:hideMark/>
          </w:tcPr>
          <w:p w14:paraId="5379CD9F" w14:textId="77777777" w:rsidR="003B4B66" w:rsidRPr="003B4B66" w:rsidRDefault="003B4B66" w:rsidP="003B4B66">
            <w:pPr>
              <w:spacing w:after="0"/>
              <w:jc w:val="right"/>
              <w:rPr>
                <w:rFonts w:ascii="Arial" w:hAnsi="Arial" w:cs="Arial"/>
                <w:b/>
                <w:bCs/>
                <w:color w:val="auto"/>
                <w:sz w:val="16"/>
                <w:szCs w:val="16"/>
              </w:rPr>
            </w:pPr>
            <w:r w:rsidRPr="003B4B66">
              <w:rPr>
                <w:rFonts w:ascii="Arial" w:hAnsi="Arial" w:cs="Arial"/>
                <w:b/>
                <w:bCs/>
                <w:color w:val="auto"/>
                <w:sz w:val="16"/>
                <w:szCs w:val="16"/>
              </w:rPr>
              <w:t>-</w:t>
            </w:r>
          </w:p>
        </w:tc>
        <w:tc>
          <w:tcPr>
            <w:tcW w:w="900" w:type="dxa"/>
            <w:tcBorders>
              <w:top w:val="nil"/>
              <w:left w:val="nil"/>
              <w:bottom w:val="single" w:sz="4" w:space="0" w:color="auto"/>
              <w:right w:val="nil"/>
            </w:tcBorders>
            <w:shd w:val="clear" w:color="000000" w:fill="D9D9D9"/>
            <w:noWrap/>
            <w:vAlign w:val="bottom"/>
            <w:hideMark/>
          </w:tcPr>
          <w:p w14:paraId="02D235F7" w14:textId="77777777" w:rsidR="003B4B66" w:rsidRPr="003B4B66" w:rsidRDefault="003B4B66" w:rsidP="003B4B66">
            <w:pPr>
              <w:spacing w:after="0"/>
              <w:jc w:val="right"/>
              <w:rPr>
                <w:rFonts w:ascii="Arial" w:hAnsi="Arial" w:cs="Arial"/>
                <w:b/>
                <w:bCs/>
                <w:color w:val="auto"/>
                <w:sz w:val="16"/>
                <w:szCs w:val="16"/>
              </w:rPr>
            </w:pPr>
            <w:r w:rsidRPr="003B4B66">
              <w:rPr>
                <w:rFonts w:ascii="Arial" w:hAnsi="Arial" w:cs="Arial"/>
                <w:b/>
                <w:bCs/>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14:paraId="556CF91B" w14:textId="77777777" w:rsidR="003B4B66" w:rsidRPr="003B4B66" w:rsidRDefault="003B4B66" w:rsidP="003B4B66">
            <w:pPr>
              <w:spacing w:after="0"/>
              <w:jc w:val="right"/>
              <w:rPr>
                <w:rFonts w:ascii="Arial" w:hAnsi="Arial" w:cs="Arial"/>
                <w:b/>
                <w:bCs/>
                <w:color w:val="auto"/>
                <w:sz w:val="16"/>
                <w:szCs w:val="16"/>
              </w:rPr>
            </w:pPr>
            <w:r w:rsidRPr="003B4B66">
              <w:rPr>
                <w:rFonts w:ascii="Arial" w:hAnsi="Arial" w:cs="Arial"/>
                <w:b/>
                <w:bCs/>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14:paraId="509D5960" w14:textId="77777777" w:rsidR="003B4B66" w:rsidRPr="003B4B66" w:rsidRDefault="003B4B66" w:rsidP="003B4B66">
            <w:pPr>
              <w:spacing w:after="0"/>
              <w:jc w:val="right"/>
              <w:rPr>
                <w:rFonts w:ascii="Arial" w:hAnsi="Arial" w:cs="Arial"/>
                <w:b/>
                <w:bCs/>
                <w:color w:val="auto"/>
                <w:sz w:val="16"/>
                <w:szCs w:val="16"/>
              </w:rPr>
            </w:pPr>
            <w:r w:rsidRPr="003B4B66">
              <w:rPr>
                <w:rFonts w:ascii="Arial" w:hAnsi="Arial" w:cs="Arial"/>
                <w:b/>
                <w:bCs/>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14:paraId="3F7A9D2E" w14:textId="77777777" w:rsidR="003B4B66" w:rsidRPr="003B4B66" w:rsidRDefault="003B4B66" w:rsidP="003B4B66">
            <w:pPr>
              <w:spacing w:after="0"/>
              <w:jc w:val="right"/>
              <w:rPr>
                <w:rFonts w:ascii="Arial" w:hAnsi="Arial" w:cs="Arial"/>
                <w:b/>
                <w:bCs/>
                <w:color w:val="auto"/>
                <w:sz w:val="16"/>
                <w:szCs w:val="16"/>
              </w:rPr>
            </w:pPr>
            <w:r w:rsidRPr="003B4B66">
              <w:rPr>
                <w:rFonts w:ascii="Arial" w:hAnsi="Arial" w:cs="Arial"/>
                <w:b/>
                <w:bCs/>
                <w:color w:val="auto"/>
                <w:sz w:val="16"/>
                <w:szCs w:val="16"/>
              </w:rPr>
              <w:t>-</w:t>
            </w:r>
          </w:p>
        </w:tc>
      </w:tr>
      <w:tr w:rsidR="003B4B66" w:rsidRPr="003B4B66" w14:paraId="14807159" w14:textId="77777777" w:rsidTr="008C5234">
        <w:trPr>
          <w:trHeight w:val="227"/>
        </w:trPr>
        <w:tc>
          <w:tcPr>
            <w:tcW w:w="2860" w:type="dxa"/>
            <w:tcBorders>
              <w:top w:val="nil"/>
              <w:left w:val="nil"/>
              <w:bottom w:val="single" w:sz="4" w:space="0" w:color="auto"/>
              <w:right w:val="nil"/>
            </w:tcBorders>
            <w:shd w:val="clear" w:color="auto" w:fill="auto"/>
            <w:vAlign w:val="bottom"/>
            <w:hideMark/>
          </w:tcPr>
          <w:p w14:paraId="5D4359D4" w14:textId="77777777" w:rsidR="003B4B66" w:rsidRPr="003B4B66" w:rsidRDefault="003B4B66" w:rsidP="003B4B66">
            <w:pPr>
              <w:spacing w:after="0"/>
              <w:rPr>
                <w:rFonts w:ascii="Arial" w:hAnsi="Arial" w:cs="Arial"/>
                <w:b/>
                <w:bCs/>
                <w:color w:val="auto"/>
                <w:sz w:val="16"/>
                <w:szCs w:val="16"/>
              </w:rPr>
            </w:pPr>
            <w:r w:rsidRPr="003B4B66">
              <w:rPr>
                <w:rFonts w:ascii="Arial" w:hAnsi="Arial" w:cs="Arial"/>
                <w:b/>
                <w:bCs/>
                <w:color w:val="auto"/>
                <w:sz w:val="16"/>
                <w:szCs w:val="16"/>
              </w:rPr>
              <w:t xml:space="preserve">Total comprehensive income (loss) attributable to the Australian Government </w:t>
            </w:r>
            <w:r w:rsidRPr="003B4B66">
              <w:rPr>
                <w:rFonts w:ascii="Arial" w:hAnsi="Arial" w:cs="Arial"/>
                <w:b/>
                <w:bCs/>
                <w:color w:val="auto"/>
                <w:sz w:val="16"/>
                <w:szCs w:val="16"/>
                <w:vertAlign w:val="superscript"/>
              </w:rPr>
              <w:t>(a)</w:t>
            </w:r>
          </w:p>
        </w:tc>
        <w:tc>
          <w:tcPr>
            <w:tcW w:w="900" w:type="dxa"/>
            <w:tcBorders>
              <w:top w:val="nil"/>
              <w:left w:val="nil"/>
              <w:bottom w:val="single" w:sz="4" w:space="0" w:color="auto"/>
              <w:right w:val="nil"/>
            </w:tcBorders>
            <w:shd w:val="clear" w:color="auto" w:fill="auto"/>
            <w:noWrap/>
            <w:vAlign w:val="bottom"/>
            <w:hideMark/>
          </w:tcPr>
          <w:p w14:paraId="7BD9FB32" w14:textId="77777777" w:rsidR="003B4B66" w:rsidRPr="003B4B66" w:rsidRDefault="003B4B66" w:rsidP="003B4B66">
            <w:pPr>
              <w:spacing w:after="0"/>
              <w:jc w:val="right"/>
              <w:rPr>
                <w:rFonts w:ascii="Arial" w:hAnsi="Arial" w:cs="Arial"/>
                <w:b/>
                <w:bCs/>
                <w:color w:val="auto"/>
                <w:sz w:val="16"/>
                <w:szCs w:val="16"/>
              </w:rPr>
            </w:pPr>
            <w:r w:rsidRPr="003B4B66">
              <w:rPr>
                <w:rFonts w:ascii="Arial" w:hAnsi="Arial" w:cs="Arial"/>
                <w:b/>
                <w:bCs/>
                <w:color w:val="auto"/>
                <w:sz w:val="16"/>
                <w:szCs w:val="16"/>
              </w:rPr>
              <w:t>(44,902)</w:t>
            </w:r>
          </w:p>
        </w:tc>
        <w:tc>
          <w:tcPr>
            <w:tcW w:w="900" w:type="dxa"/>
            <w:tcBorders>
              <w:top w:val="nil"/>
              <w:left w:val="nil"/>
              <w:bottom w:val="single" w:sz="4" w:space="0" w:color="auto"/>
              <w:right w:val="nil"/>
            </w:tcBorders>
            <w:shd w:val="clear" w:color="000000" w:fill="D9D9D9"/>
            <w:noWrap/>
            <w:vAlign w:val="bottom"/>
            <w:hideMark/>
          </w:tcPr>
          <w:p w14:paraId="74869D8E" w14:textId="77777777" w:rsidR="003B4B66" w:rsidRPr="003B4B66" w:rsidRDefault="003B4B66" w:rsidP="003B4B66">
            <w:pPr>
              <w:spacing w:after="0"/>
              <w:jc w:val="right"/>
              <w:rPr>
                <w:rFonts w:ascii="Arial" w:hAnsi="Arial" w:cs="Arial"/>
                <w:b/>
                <w:bCs/>
                <w:color w:val="auto"/>
                <w:sz w:val="16"/>
                <w:szCs w:val="16"/>
              </w:rPr>
            </w:pPr>
            <w:r w:rsidRPr="003B4B66">
              <w:rPr>
                <w:rFonts w:ascii="Arial" w:hAnsi="Arial" w:cs="Arial"/>
                <w:b/>
                <w:bCs/>
                <w:color w:val="auto"/>
                <w:sz w:val="16"/>
                <w:szCs w:val="16"/>
              </w:rPr>
              <w:t>(35,878)</w:t>
            </w:r>
          </w:p>
        </w:tc>
        <w:tc>
          <w:tcPr>
            <w:tcW w:w="900" w:type="dxa"/>
            <w:tcBorders>
              <w:top w:val="nil"/>
              <w:left w:val="nil"/>
              <w:bottom w:val="single" w:sz="4" w:space="0" w:color="auto"/>
              <w:right w:val="nil"/>
            </w:tcBorders>
            <w:shd w:val="clear" w:color="auto" w:fill="auto"/>
            <w:noWrap/>
            <w:vAlign w:val="bottom"/>
            <w:hideMark/>
          </w:tcPr>
          <w:p w14:paraId="6B573C1B" w14:textId="77777777" w:rsidR="003B4B66" w:rsidRPr="003B4B66" w:rsidRDefault="003B4B66" w:rsidP="003B4B66">
            <w:pPr>
              <w:spacing w:after="0"/>
              <w:jc w:val="right"/>
              <w:rPr>
                <w:rFonts w:ascii="Arial" w:hAnsi="Arial" w:cs="Arial"/>
                <w:b/>
                <w:bCs/>
                <w:color w:val="auto"/>
                <w:sz w:val="16"/>
                <w:szCs w:val="16"/>
              </w:rPr>
            </w:pPr>
            <w:r w:rsidRPr="003B4B66">
              <w:rPr>
                <w:rFonts w:ascii="Arial" w:hAnsi="Arial" w:cs="Arial"/>
                <w:b/>
                <w:bCs/>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14:paraId="0CA9CAD4" w14:textId="77777777" w:rsidR="003B4B66" w:rsidRPr="003B4B66" w:rsidRDefault="003B4B66" w:rsidP="003B4B66">
            <w:pPr>
              <w:spacing w:after="0"/>
              <w:jc w:val="right"/>
              <w:rPr>
                <w:rFonts w:ascii="Arial" w:hAnsi="Arial" w:cs="Arial"/>
                <w:b/>
                <w:bCs/>
                <w:color w:val="auto"/>
                <w:sz w:val="16"/>
                <w:szCs w:val="16"/>
              </w:rPr>
            </w:pPr>
            <w:r w:rsidRPr="003B4B66">
              <w:rPr>
                <w:rFonts w:ascii="Arial" w:hAnsi="Arial" w:cs="Arial"/>
                <w:b/>
                <w:bCs/>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14:paraId="68D6D399" w14:textId="77777777" w:rsidR="003B4B66" w:rsidRPr="003B4B66" w:rsidRDefault="003B4B66" w:rsidP="003B4B66">
            <w:pPr>
              <w:spacing w:after="0"/>
              <w:jc w:val="right"/>
              <w:rPr>
                <w:rFonts w:ascii="Arial" w:hAnsi="Arial" w:cs="Arial"/>
                <w:b/>
                <w:bCs/>
                <w:color w:val="auto"/>
                <w:sz w:val="16"/>
                <w:szCs w:val="16"/>
              </w:rPr>
            </w:pPr>
            <w:r w:rsidRPr="003B4B66">
              <w:rPr>
                <w:rFonts w:ascii="Arial" w:hAnsi="Arial" w:cs="Arial"/>
                <w:b/>
                <w:bCs/>
                <w:color w:val="auto"/>
                <w:sz w:val="16"/>
                <w:szCs w:val="16"/>
              </w:rPr>
              <w:t>-</w:t>
            </w:r>
          </w:p>
        </w:tc>
      </w:tr>
      <w:tr w:rsidR="003B4B66" w:rsidRPr="003B4B66" w14:paraId="1BEFE845" w14:textId="77777777" w:rsidTr="008C5234">
        <w:trPr>
          <w:trHeight w:val="227"/>
        </w:trPr>
        <w:tc>
          <w:tcPr>
            <w:tcW w:w="2860" w:type="dxa"/>
            <w:tcBorders>
              <w:top w:val="nil"/>
              <w:left w:val="nil"/>
              <w:bottom w:val="nil"/>
              <w:right w:val="nil"/>
            </w:tcBorders>
            <w:shd w:val="clear" w:color="auto" w:fill="auto"/>
            <w:vAlign w:val="bottom"/>
            <w:hideMark/>
          </w:tcPr>
          <w:p w14:paraId="1E8911DD" w14:textId="77777777" w:rsidR="003B4B66" w:rsidRPr="003B4B66" w:rsidRDefault="003B4B66" w:rsidP="003B4B66">
            <w:pPr>
              <w:spacing w:after="0"/>
              <w:jc w:val="right"/>
              <w:rPr>
                <w:rFonts w:ascii="Arial" w:hAnsi="Arial" w:cs="Arial"/>
                <w:b/>
                <w:bCs/>
                <w:color w:val="auto"/>
                <w:sz w:val="16"/>
                <w:szCs w:val="16"/>
              </w:rPr>
            </w:pPr>
          </w:p>
        </w:tc>
        <w:tc>
          <w:tcPr>
            <w:tcW w:w="900" w:type="dxa"/>
            <w:tcBorders>
              <w:top w:val="nil"/>
              <w:left w:val="nil"/>
              <w:bottom w:val="nil"/>
              <w:right w:val="nil"/>
            </w:tcBorders>
            <w:shd w:val="clear" w:color="auto" w:fill="auto"/>
            <w:noWrap/>
            <w:vAlign w:val="bottom"/>
            <w:hideMark/>
          </w:tcPr>
          <w:p w14:paraId="0B7F1D69" w14:textId="77777777" w:rsidR="003B4B66" w:rsidRPr="003B4B66" w:rsidRDefault="003B4B66" w:rsidP="003B4B66">
            <w:pPr>
              <w:spacing w:after="0"/>
              <w:rPr>
                <w:rFonts w:ascii="Times New Roman" w:hAnsi="Times New Roman"/>
                <w:color w:val="auto"/>
                <w:sz w:val="20"/>
              </w:rPr>
            </w:pPr>
          </w:p>
        </w:tc>
        <w:tc>
          <w:tcPr>
            <w:tcW w:w="900" w:type="dxa"/>
            <w:tcBorders>
              <w:top w:val="nil"/>
              <w:left w:val="nil"/>
              <w:bottom w:val="nil"/>
              <w:right w:val="nil"/>
            </w:tcBorders>
            <w:shd w:val="clear" w:color="auto" w:fill="auto"/>
            <w:noWrap/>
            <w:vAlign w:val="bottom"/>
            <w:hideMark/>
          </w:tcPr>
          <w:p w14:paraId="2697FB9F" w14:textId="77777777" w:rsidR="003B4B66" w:rsidRPr="003B4B66" w:rsidRDefault="003B4B66" w:rsidP="003B4B66">
            <w:pPr>
              <w:spacing w:after="0"/>
              <w:jc w:val="right"/>
              <w:rPr>
                <w:rFonts w:ascii="Times New Roman" w:hAnsi="Times New Roman"/>
                <w:color w:val="auto"/>
                <w:sz w:val="20"/>
              </w:rPr>
            </w:pPr>
          </w:p>
        </w:tc>
        <w:tc>
          <w:tcPr>
            <w:tcW w:w="900" w:type="dxa"/>
            <w:tcBorders>
              <w:top w:val="nil"/>
              <w:left w:val="nil"/>
              <w:bottom w:val="nil"/>
              <w:right w:val="nil"/>
            </w:tcBorders>
            <w:shd w:val="clear" w:color="auto" w:fill="auto"/>
            <w:noWrap/>
            <w:vAlign w:val="bottom"/>
            <w:hideMark/>
          </w:tcPr>
          <w:p w14:paraId="2F9CB843" w14:textId="77777777" w:rsidR="003B4B66" w:rsidRPr="003B4B66" w:rsidRDefault="003B4B66" w:rsidP="003B4B66">
            <w:pPr>
              <w:spacing w:after="0"/>
              <w:jc w:val="right"/>
              <w:rPr>
                <w:rFonts w:ascii="Times New Roman" w:hAnsi="Times New Roman"/>
                <w:color w:val="auto"/>
                <w:sz w:val="20"/>
              </w:rPr>
            </w:pPr>
          </w:p>
        </w:tc>
        <w:tc>
          <w:tcPr>
            <w:tcW w:w="900" w:type="dxa"/>
            <w:tcBorders>
              <w:top w:val="nil"/>
              <w:left w:val="nil"/>
              <w:bottom w:val="nil"/>
              <w:right w:val="nil"/>
            </w:tcBorders>
            <w:shd w:val="clear" w:color="auto" w:fill="auto"/>
            <w:noWrap/>
            <w:vAlign w:val="bottom"/>
            <w:hideMark/>
          </w:tcPr>
          <w:p w14:paraId="2A55B058" w14:textId="77777777" w:rsidR="003B4B66" w:rsidRPr="003B4B66" w:rsidRDefault="003B4B66" w:rsidP="003B4B66">
            <w:pPr>
              <w:spacing w:after="0"/>
              <w:jc w:val="right"/>
              <w:rPr>
                <w:rFonts w:ascii="Times New Roman" w:hAnsi="Times New Roman"/>
                <w:color w:val="auto"/>
                <w:sz w:val="20"/>
              </w:rPr>
            </w:pPr>
          </w:p>
        </w:tc>
        <w:tc>
          <w:tcPr>
            <w:tcW w:w="900" w:type="dxa"/>
            <w:tcBorders>
              <w:top w:val="nil"/>
              <w:left w:val="nil"/>
              <w:bottom w:val="nil"/>
              <w:right w:val="nil"/>
            </w:tcBorders>
            <w:shd w:val="clear" w:color="auto" w:fill="auto"/>
            <w:noWrap/>
            <w:vAlign w:val="bottom"/>
            <w:hideMark/>
          </w:tcPr>
          <w:p w14:paraId="345AD6D1" w14:textId="77777777" w:rsidR="003B4B66" w:rsidRPr="003B4B66" w:rsidRDefault="003B4B66" w:rsidP="003B4B66">
            <w:pPr>
              <w:spacing w:after="0"/>
              <w:jc w:val="right"/>
              <w:rPr>
                <w:rFonts w:ascii="Times New Roman" w:hAnsi="Times New Roman"/>
                <w:color w:val="auto"/>
                <w:sz w:val="20"/>
              </w:rPr>
            </w:pPr>
          </w:p>
        </w:tc>
      </w:tr>
      <w:tr w:rsidR="003B4B66" w:rsidRPr="003B4B66" w14:paraId="048485F5" w14:textId="77777777" w:rsidTr="008C5234">
        <w:trPr>
          <w:trHeight w:val="227"/>
        </w:trPr>
        <w:tc>
          <w:tcPr>
            <w:tcW w:w="7360" w:type="dxa"/>
            <w:gridSpan w:val="6"/>
            <w:tcBorders>
              <w:top w:val="nil"/>
              <w:left w:val="nil"/>
              <w:bottom w:val="nil"/>
              <w:right w:val="nil"/>
            </w:tcBorders>
            <w:shd w:val="clear" w:color="auto" w:fill="auto"/>
            <w:noWrap/>
            <w:vAlign w:val="bottom"/>
            <w:hideMark/>
          </w:tcPr>
          <w:p w14:paraId="5DAE5876" w14:textId="77777777" w:rsidR="003B4B66" w:rsidRPr="003B4B66" w:rsidRDefault="003B4B66" w:rsidP="003B4B66">
            <w:pPr>
              <w:spacing w:after="0"/>
              <w:rPr>
                <w:rFonts w:ascii="Arial" w:hAnsi="Arial" w:cs="Arial"/>
                <w:b/>
                <w:bCs/>
                <w:sz w:val="16"/>
                <w:szCs w:val="16"/>
              </w:rPr>
            </w:pPr>
            <w:r w:rsidRPr="003B4B66">
              <w:rPr>
                <w:rFonts w:ascii="Arial" w:hAnsi="Arial" w:cs="Arial"/>
                <w:b/>
                <w:bCs/>
                <w:sz w:val="16"/>
                <w:szCs w:val="16"/>
              </w:rPr>
              <w:t>Note: Reconciliation of comprehensive income attributable to the agency</w:t>
            </w:r>
          </w:p>
        </w:tc>
      </w:tr>
      <w:tr w:rsidR="003B4B66" w:rsidRPr="003B4B66" w14:paraId="043D0772" w14:textId="77777777" w:rsidTr="008C5234">
        <w:trPr>
          <w:trHeight w:val="227"/>
        </w:trPr>
        <w:tc>
          <w:tcPr>
            <w:tcW w:w="2860" w:type="dxa"/>
            <w:tcBorders>
              <w:top w:val="single" w:sz="4" w:space="0" w:color="auto"/>
              <w:left w:val="nil"/>
              <w:bottom w:val="nil"/>
              <w:right w:val="nil"/>
            </w:tcBorders>
            <w:shd w:val="clear" w:color="auto" w:fill="auto"/>
            <w:vAlign w:val="bottom"/>
            <w:hideMark/>
          </w:tcPr>
          <w:p w14:paraId="6B13A85F" w14:textId="77777777" w:rsidR="003B4B66" w:rsidRPr="003B4B66" w:rsidRDefault="003B4B66" w:rsidP="00986CC6">
            <w:pPr>
              <w:spacing w:before="40" w:after="0"/>
              <w:jc w:val="right"/>
              <w:rPr>
                <w:rFonts w:ascii="Arial" w:hAnsi="Arial" w:cs="Arial"/>
                <w:color w:val="auto"/>
                <w:sz w:val="16"/>
                <w:szCs w:val="16"/>
              </w:rPr>
            </w:pPr>
            <w:r w:rsidRPr="003B4B66">
              <w:rPr>
                <w:rFonts w:ascii="Arial" w:hAnsi="Arial" w:cs="Arial"/>
                <w:color w:val="auto"/>
                <w:sz w:val="16"/>
                <w:szCs w:val="16"/>
              </w:rPr>
              <w:t> </w:t>
            </w:r>
          </w:p>
        </w:tc>
        <w:tc>
          <w:tcPr>
            <w:tcW w:w="900" w:type="dxa"/>
            <w:tcBorders>
              <w:top w:val="single" w:sz="4" w:space="0" w:color="000000"/>
              <w:left w:val="nil"/>
              <w:bottom w:val="single" w:sz="4" w:space="0" w:color="000000"/>
              <w:right w:val="nil"/>
            </w:tcBorders>
            <w:shd w:val="clear" w:color="auto" w:fill="auto"/>
            <w:vAlign w:val="bottom"/>
            <w:hideMark/>
          </w:tcPr>
          <w:p w14:paraId="6C2F3055" w14:textId="77777777" w:rsidR="003B4B66" w:rsidRPr="003B4B66" w:rsidRDefault="003B4B66" w:rsidP="00986CC6">
            <w:pPr>
              <w:spacing w:before="40" w:after="0"/>
              <w:jc w:val="right"/>
              <w:rPr>
                <w:rFonts w:ascii="Arial" w:hAnsi="Arial" w:cs="Arial"/>
                <w:b/>
                <w:bCs/>
                <w:color w:val="auto"/>
                <w:sz w:val="16"/>
                <w:szCs w:val="16"/>
              </w:rPr>
            </w:pPr>
            <w:r w:rsidRPr="003B4B66">
              <w:rPr>
                <w:rFonts w:ascii="Arial" w:hAnsi="Arial" w:cs="Arial"/>
                <w:b/>
                <w:bCs/>
                <w:color w:val="auto"/>
                <w:sz w:val="16"/>
                <w:szCs w:val="16"/>
              </w:rPr>
              <w:t>2021–22</w:t>
            </w:r>
            <w:r w:rsidRPr="003B4B66">
              <w:rPr>
                <w:rFonts w:ascii="Arial" w:hAnsi="Arial" w:cs="Arial"/>
                <w:b/>
                <w:bCs/>
                <w:color w:val="auto"/>
                <w:sz w:val="16"/>
                <w:szCs w:val="16"/>
              </w:rPr>
              <w:br/>
            </w:r>
            <w:r w:rsidRPr="003B4B66">
              <w:rPr>
                <w:rFonts w:ascii="Arial" w:hAnsi="Arial" w:cs="Arial"/>
                <w:color w:val="auto"/>
                <w:sz w:val="16"/>
                <w:szCs w:val="16"/>
              </w:rPr>
              <w:t>$'000</w:t>
            </w:r>
          </w:p>
        </w:tc>
        <w:tc>
          <w:tcPr>
            <w:tcW w:w="900" w:type="dxa"/>
            <w:tcBorders>
              <w:top w:val="single" w:sz="4" w:space="0" w:color="000000"/>
              <w:left w:val="nil"/>
              <w:bottom w:val="single" w:sz="4" w:space="0" w:color="000000"/>
              <w:right w:val="nil"/>
            </w:tcBorders>
            <w:shd w:val="clear" w:color="000000" w:fill="D9D9D9"/>
            <w:vAlign w:val="bottom"/>
            <w:hideMark/>
          </w:tcPr>
          <w:p w14:paraId="695E1567" w14:textId="77777777" w:rsidR="003B4B66" w:rsidRPr="003B4B66" w:rsidRDefault="003B4B66" w:rsidP="00986CC6">
            <w:pPr>
              <w:spacing w:before="40" w:after="0"/>
              <w:jc w:val="right"/>
              <w:rPr>
                <w:rFonts w:ascii="Arial" w:hAnsi="Arial" w:cs="Arial"/>
                <w:b/>
                <w:bCs/>
                <w:color w:val="auto"/>
                <w:sz w:val="16"/>
                <w:szCs w:val="16"/>
              </w:rPr>
            </w:pPr>
            <w:r w:rsidRPr="003B4B66">
              <w:rPr>
                <w:rFonts w:ascii="Arial" w:hAnsi="Arial" w:cs="Arial"/>
                <w:b/>
                <w:bCs/>
                <w:color w:val="auto"/>
                <w:sz w:val="16"/>
                <w:szCs w:val="16"/>
              </w:rPr>
              <w:t>2022–23</w:t>
            </w:r>
            <w:r w:rsidRPr="003B4B66">
              <w:rPr>
                <w:rFonts w:ascii="Arial" w:hAnsi="Arial" w:cs="Arial"/>
                <w:b/>
                <w:bCs/>
                <w:color w:val="auto"/>
                <w:sz w:val="16"/>
                <w:szCs w:val="16"/>
              </w:rPr>
              <w:br/>
            </w:r>
            <w:r w:rsidRPr="003B4B66">
              <w:rPr>
                <w:rFonts w:ascii="Arial" w:hAnsi="Arial" w:cs="Arial"/>
                <w:color w:val="auto"/>
                <w:sz w:val="16"/>
                <w:szCs w:val="16"/>
              </w:rPr>
              <w:t>$'000</w:t>
            </w:r>
          </w:p>
        </w:tc>
        <w:tc>
          <w:tcPr>
            <w:tcW w:w="900" w:type="dxa"/>
            <w:tcBorders>
              <w:top w:val="single" w:sz="4" w:space="0" w:color="000000"/>
              <w:left w:val="nil"/>
              <w:bottom w:val="single" w:sz="4" w:space="0" w:color="000000"/>
              <w:right w:val="nil"/>
            </w:tcBorders>
            <w:shd w:val="clear" w:color="auto" w:fill="auto"/>
            <w:vAlign w:val="bottom"/>
            <w:hideMark/>
          </w:tcPr>
          <w:p w14:paraId="5967F93E" w14:textId="77777777" w:rsidR="003B4B66" w:rsidRPr="003B4B66" w:rsidRDefault="003B4B66" w:rsidP="00986CC6">
            <w:pPr>
              <w:spacing w:before="40" w:after="0"/>
              <w:jc w:val="right"/>
              <w:rPr>
                <w:rFonts w:ascii="Arial" w:hAnsi="Arial" w:cs="Arial"/>
                <w:b/>
                <w:bCs/>
                <w:color w:val="auto"/>
                <w:sz w:val="16"/>
                <w:szCs w:val="16"/>
              </w:rPr>
            </w:pPr>
            <w:r w:rsidRPr="003B4B66">
              <w:rPr>
                <w:rFonts w:ascii="Arial" w:hAnsi="Arial" w:cs="Arial"/>
                <w:b/>
                <w:bCs/>
                <w:color w:val="auto"/>
                <w:sz w:val="16"/>
                <w:szCs w:val="16"/>
              </w:rPr>
              <w:t>2023–24</w:t>
            </w:r>
            <w:r w:rsidRPr="003B4B66">
              <w:rPr>
                <w:rFonts w:ascii="Arial" w:hAnsi="Arial" w:cs="Arial"/>
                <w:b/>
                <w:bCs/>
                <w:color w:val="auto"/>
                <w:sz w:val="16"/>
                <w:szCs w:val="16"/>
              </w:rPr>
              <w:br/>
            </w:r>
            <w:r w:rsidRPr="003B4B66">
              <w:rPr>
                <w:rFonts w:ascii="Arial" w:hAnsi="Arial" w:cs="Arial"/>
                <w:color w:val="auto"/>
                <w:sz w:val="16"/>
                <w:szCs w:val="16"/>
              </w:rPr>
              <w:t>$'000</w:t>
            </w:r>
          </w:p>
        </w:tc>
        <w:tc>
          <w:tcPr>
            <w:tcW w:w="900" w:type="dxa"/>
            <w:tcBorders>
              <w:top w:val="single" w:sz="4" w:space="0" w:color="000000"/>
              <w:left w:val="nil"/>
              <w:bottom w:val="single" w:sz="4" w:space="0" w:color="000000"/>
              <w:right w:val="nil"/>
            </w:tcBorders>
            <w:shd w:val="clear" w:color="auto" w:fill="auto"/>
            <w:vAlign w:val="bottom"/>
            <w:hideMark/>
          </w:tcPr>
          <w:p w14:paraId="04D19DCA" w14:textId="77777777" w:rsidR="003B4B66" w:rsidRPr="003B4B66" w:rsidRDefault="003B4B66" w:rsidP="00986CC6">
            <w:pPr>
              <w:spacing w:before="40" w:after="0"/>
              <w:jc w:val="right"/>
              <w:rPr>
                <w:rFonts w:ascii="Arial" w:hAnsi="Arial" w:cs="Arial"/>
                <w:b/>
                <w:bCs/>
                <w:color w:val="auto"/>
                <w:sz w:val="16"/>
                <w:szCs w:val="16"/>
              </w:rPr>
            </w:pPr>
            <w:r w:rsidRPr="003B4B66">
              <w:rPr>
                <w:rFonts w:ascii="Arial" w:hAnsi="Arial" w:cs="Arial"/>
                <w:b/>
                <w:bCs/>
                <w:color w:val="auto"/>
                <w:sz w:val="16"/>
                <w:szCs w:val="16"/>
              </w:rPr>
              <w:t>2024–25</w:t>
            </w:r>
            <w:r w:rsidRPr="003B4B66">
              <w:rPr>
                <w:rFonts w:ascii="Arial" w:hAnsi="Arial" w:cs="Arial"/>
                <w:b/>
                <w:bCs/>
                <w:color w:val="auto"/>
                <w:sz w:val="16"/>
                <w:szCs w:val="16"/>
              </w:rPr>
              <w:br/>
            </w:r>
            <w:r w:rsidRPr="003B4B66">
              <w:rPr>
                <w:rFonts w:ascii="Arial" w:hAnsi="Arial" w:cs="Arial"/>
                <w:color w:val="auto"/>
                <w:sz w:val="16"/>
                <w:szCs w:val="16"/>
              </w:rPr>
              <w:t>$'000</w:t>
            </w:r>
          </w:p>
        </w:tc>
        <w:tc>
          <w:tcPr>
            <w:tcW w:w="900" w:type="dxa"/>
            <w:tcBorders>
              <w:top w:val="single" w:sz="4" w:space="0" w:color="000000"/>
              <w:left w:val="nil"/>
              <w:bottom w:val="single" w:sz="4" w:space="0" w:color="000000"/>
              <w:right w:val="nil"/>
            </w:tcBorders>
            <w:shd w:val="clear" w:color="auto" w:fill="auto"/>
            <w:vAlign w:val="bottom"/>
            <w:hideMark/>
          </w:tcPr>
          <w:p w14:paraId="789EEED3" w14:textId="77777777" w:rsidR="003B4B66" w:rsidRPr="003B4B66" w:rsidRDefault="003B4B66" w:rsidP="00986CC6">
            <w:pPr>
              <w:spacing w:before="40" w:after="0"/>
              <w:jc w:val="right"/>
              <w:rPr>
                <w:rFonts w:ascii="Arial" w:hAnsi="Arial" w:cs="Arial"/>
                <w:b/>
                <w:bCs/>
                <w:color w:val="auto"/>
                <w:sz w:val="16"/>
                <w:szCs w:val="16"/>
              </w:rPr>
            </w:pPr>
            <w:r w:rsidRPr="003B4B66">
              <w:rPr>
                <w:rFonts w:ascii="Arial" w:hAnsi="Arial" w:cs="Arial"/>
                <w:b/>
                <w:bCs/>
                <w:color w:val="auto"/>
                <w:sz w:val="16"/>
                <w:szCs w:val="16"/>
              </w:rPr>
              <w:t>2025–26</w:t>
            </w:r>
            <w:r w:rsidRPr="003B4B66">
              <w:rPr>
                <w:rFonts w:ascii="Arial" w:hAnsi="Arial" w:cs="Arial"/>
                <w:b/>
                <w:bCs/>
                <w:color w:val="auto"/>
                <w:sz w:val="16"/>
                <w:szCs w:val="16"/>
              </w:rPr>
              <w:br/>
            </w:r>
            <w:r w:rsidRPr="003B4B66">
              <w:rPr>
                <w:rFonts w:ascii="Arial" w:hAnsi="Arial" w:cs="Arial"/>
                <w:color w:val="auto"/>
                <w:sz w:val="16"/>
                <w:szCs w:val="16"/>
              </w:rPr>
              <w:t>$'000</w:t>
            </w:r>
          </w:p>
        </w:tc>
      </w:tr>
      <w:tr w:rsidR="003B4B66" w:rsidRPr="003B4B66" w14:paraId="1438DF57" w14:textId="77777777" w:rsidTr="008C5234">
        <w:trPr>
          <w:trHeight w:val="227"/>
        </w:trPr>
        <w:tc>
          <w:tcPr>
            <w:tcW w:w="2860" w:type="dxa"/>
            <w:tcBorders>
              <w:top w:val="nil"/>
              <w:left w:val="nil"/>
              <w:bottom w:val="nil"/>
              <w:right w:val="nil"/>
            </w:tcBorders>
            <w:shd w:val="clear" w:color="auto" w:fill="auto"/>
            <w:vAlign w:val="bottom"/>
            <w:hideMark/>
          </w:tcPr>
          <w:p w14:paraId="34535E61" w14:textId="77777777" w:rsidR="003B4B66" w:rsidRPr="003B4B66" w:rsidRDefault="003B4B66" w:rsidP="003B4B66">
            <w:pPr>
              <w:spacing w:after="0"/>
              <w:rPr>
                <w:rFonts w:ascii="Arial" w:hAnsi="Arial" w:cs="Arial"/>
                <w:b/>
                <w:bCs/>
                <w:color w:val="auto"/>
                <w:sz w:val="16"/>
                <w:szCs w:val="16"/>
              </w:rPr>
            </w:pPr>
            <w:r w:rsidRPr="003B4B66">
              <w:rPr>
                <w:rFonts w:ascii="Arial" w:hAnsi="Arial" w:cs="Arial"/>
                <w:b/>
                <w:bCs/>
                <w:color w:val="auto"/>
                <w:sz w:val="16"/>
                <w:szCs w:val="16"/>
              </w:rPr>
              <w:t>Total comprehensive income (loss) attributable to the  Australian Government</w:t>
            </w:r>
          </w:p>
        </w:tc>
        <w:tc>
          <w:tcPr>
            <w:tcW w:w="900" w:type="dxa"/>
            <w:tcBorders>
              <w:top w:val="nil"/>
              <w:left w:val="nil"/>
              <w:bottom w:val="nil"/>
              <w:right w:val="nil"/>
            </w:tcBorders>
            <w:shd w:val="clear" w:color="auto" w:fill="auto"/>
            <w:noWrap/>
            <w:vAlign w:val="bottom"/>
            <w:hideMark/>
          </w:tcPr>
          <w:p w14:paraId="7D589164" w14:textId="77777777" w:rsidR="003B4B66" w:rsidRPr="003B4B66" w:rsidRDefault="003B4B66" w:rsidP="003B4B66">
            <w:pPr>
              <w:spacing w:after="0"/>
              <w:jc w:val="right"/>
              <w:rPr>
                <w:rFonts w:ascii="Arial" w:hAnsi="Arial" w:cs="Arial"/>
                <w:b/>
                <w:bCs/>
                <w:sz w:val="16"/>
                <w:szCs w:val="16"/>
              </w:rPr>
            </w:pPr>
            <w:r w:rsidRPr="003B4B66">
              <w:rPr>
                <w:rFonts w:ascii="Arial" w:hAnsi="Arial" w:cs="Arial"/>
                <w:b/>
                <w:bCs/>
                <w:sz w:val="16"/>
                <w:szCs w:val="16"/>
              </w:rPr>
              <w:t>(44,902)</w:t>
            </w:r>
          </w:p>
        </w:tc>
        <w:tc>
          <w:tcPr>
            <w:tcW w:w="900" w:type="dxa"/>
            <w:tcBorders>
              <w:top w:val="nil"/>
              <w:left w:val="nil"/>
              <w:bottom w:val="nil"/>
              <w:right w:val="nil"/>
            </w:tcBorders>
            <w:shd w:val="clear" w:color="000000" w:fill="D9D9D9"/>
            <w:vAlign w:val="bottom"/>
            <w:hideMark/>
          </w:tcPr>
          <w:p w14:paraId="49CEA795" w14:textId="77777777" w:rsidR="003B4B66" w:rsidRPr="003B4B66" w:rsidRDefault="003B4B66" w:rsidP="003B4B66">
            <w:pPr>
              <w:spacing w:after="0"/>
              <w:jc w:val="right"/>
              <w:rPr>
                <w:rFonts w:ascii="Arial" w:hAnsi="Arial" w:cs="Arial"/>
                <w:b/>
                <w:bCs/>
                <w:color w:val="auto"/>
                <w:sz w:val="16"/>
                <w:szCs w:val="16"/>
              </w:rPr>
            </w:pPr>
            <w:r w:rsidRPr="003B4B66">
              <w:rPr>
                <w:rFonts w:ascii="Arial" w:hAnsi="Arial" w:cs="Arial"/>
                <w:b/>
                <w:bCs/>
                <w:color w:val="auto"/>
                <w:sz w:val="16"/>
                <w:szCs w:val="16"/>
              </w:rPr>
              <w:t>(35,878)</w:t>
            </w:r>
          </w:p>
        </w:tc>
        <w:tc>
          <w:tcPr>
            <w:tcW w:w="900" w:type="dxa"/>
            <w:tcBorders>
              <w:top w:val="nil"/>
              <w:left w:val="nil"/>
              <w:bottom w:val="nil"/>
              <w:right w:val="nil"/>
            </w:tcBorders>
            <w:shd w:val="clear" w:color="auto" w:fill="auto"/>
            <w:vAlign w:val="bottom"/>
            <w:hideMark/>
          </w:tcPr>
          <w:p w14:paraId="17FFDB85" w14:textId="77777777" w:rsidR="003B4B66" w:rsidRPr="003B4B66" w:rsidRDefault="003B4B66" w:rsidP="003B4B66">
            <w:pPr>
              <w:spacing w:after="0"/>
              <w:jc w:val="right"/>
              <w:rPr>
                <w:rFonts w:ascii="Arial" w:hAnsi="Arial" w:cs="Arial"/>
                <w:b/>
                <w:bCs/>
                <w:color w:val="auto"/>
                <w:sz w:val="16"/>
                <w:szCs w:val="16"/>
              </w:rPr>
            </w:pPr>
            <w:r w:rsidRPr="003B4B66">
              <w:rPr>
                <w:rFonts w:ascii="Arial" w:hAnsi="Arial" w:cs="Arial"/>
                <w:b/>
                <w:bCs/>
                <w:color w:val="auto"/>
                <w:sz w:val="16"/>
                <w:szCs w:val="16"/>
              </w:rPr>
              <w:t>-</w:t>
            </w:r>
          </w:p>
        </w:tc>
        <w:tc>
          <w:tcPr>
            <w:tcW w:w="900" w:type="dxa"/>
            <w:tcBorders>
              <w:top w:val="nil"/>
              <w:left w:val="nil"/>
              <w:bottom w:val="nil"/>
              <w:right w:val="nil"/>
            </w:tcBorders>
            <w:shd w:val="clear" w:color="auto" w:fill="auto"/>
            <w:vAlign w:val="bottom"/>
            <w:hideMark/>
          </w:tcPr>
          <w:p w14:paraId="4D952F5E" w14:textId="77777777" w:rsidR="003B4B66" w:rsidRPr="003B4B66" w:rsidRDefault="003B4B66" w:rsidP="003B4B66">
            <w:pPr>
              <w:spacing w:after="0"/>
              <w:jc w:val="right"/>
              <w:rPr>
                <w:rFonts w:ascii="Arial" w:hAnsi="Arial" w:cs="Arial"/>
                <w:b/>
                <w:bCs/>
                <w:color w:val="auto"/>
                <w:sz w:val="16"/>
                <w:szCs w:val="16"/>
              </w:rPr>
            </w:pPr>
            <w:r w:rsidRPr="003B4B66">
              <w:rPr>
                <w:rFonts w:ascii="Arial" w:hAnsi="Arial" w:cs="Arial"/>
                <w:b/>
                <w:bCs/>
                <w:color w:val="auto"/>
                <w:sz w:val="16"/>
                <w:szCs w:val="16"/>
              </w:rPr>
              <w:t>-</w:t>
            </w:r>
          </w:p>
        </w:tc>
        <w:tc>
          <w:tcPr>
            <w:tcW w:w="900" w:type="dxa"/>
            <w:tcBorders>
              <w:top w:val="nil"/>
              <w:left w:val="nil"/>
              <w:bottom w:val="nil"/>
              <w:right w:val="nil"/>
            </w:tcBorders>
            <w:shd w:val="clear" w:color="auto" w:fill="auto"/>
            <w:vAlign w:val="bottom"/>
            <w:hideMark/>
          </w:tcPr>
          <w:p w14:paraId="6F470FDF" w14:textId="77777777" w:rsidR="003B4B66" w:rsidRPr="003B4B66" w:rsidRDefault="003B4B66" w:rsidP="003B4B66">
            <w:pPr>
              <w:spacing w:after="0"/>
              <w:jc w:val="right"/>
              <w:rPr>
                <w:rFonts w:ascii="Arial" w:hAnsi="Arial" w:cs="Arial"/>
                <w:b/>
                <w:bCs/>
                <w:color w:val="auto"/>
                <w:sz w:val="16"/>
                <w:szCs w:val="16"/>
              </w:rPr>
            </w:pPr>
            <w:r w:rsidRPr="003B4B66">
              <w:rPr>
                <w:rFonts w:ascii="Arial" w:hAnsi="Arial" w:cs="Arial"/>
                <w:b/>
                <w:bCs/>
                <w:color w:val="auto"/>
                <w:sz w:val="16"/>
                <w:szCs w:val="16"/>
              </w:rPr>
              <w:t>-</w:t>
            </w:r>
          </w:p>
        </w:tc>
      </w:tr>
      <w:tr w:rsidR="003B4B66" w:rsidRPr="003B4B66" w14:paraId="55C4E2F1" w14:textId="77777777" w:rsidTr="008C5234">
        <w:trPr>
          <w:trHeight w:val="227"/>
        </w:trPr>
        <w:tc>
          <w:tcPr>
            <w:tcW w:w="2860" w:type="dxa"/>
            <w:tcBorders>
              <w:top w:val="nil"/>
              <w:left w:val="nil"/>
              <w:bottom w:val="nil"/>
              <w:right w:val="nil"/>
            </w:tcBorders>
            <w:shd w:val="clear" w:color="auto" w:fill="auto"/>
            <w:vAlign w:val="bottom"/>
            <w:hideMark/>
          </w:tcPr>
          <w:p w14:paraId="64DCD3DC" w14:textId="77777777" w:rsidR="003B4B66" w:rsidRPr="003B4B66" w:rsidRDefault="003B4B66" w:rsidP="008C5234">
            <w:pPr>
              <w:spacing w:after="0"/>
              <w:ind w:leftChars="75" w:left="143"/>
              <w:rPr>
                <w:rFonts w:ascii="Arial" w:hAnsi="Arial" w:cs="Arial"/>
                <w:sz w:val="16"/>
                <w:szCs w:val="16"/>
              </w:rPr>
            </w:pPr>
            <w:r w:rsidRPr="003B4B66">
              <w:rPr>
                <w:rFonts w:ascii="Arial" w:hAnsi="Arial" w:cs="Arial"/>
                <w:sz w:val="16"/>
                <w:szCs w:val="16"/>
              </w:rPr>
              <w:t xml:space="preserve">plus depreciation and amortisation expenses for </w:t>
            </w:r>
            <w:proofErr w:type="spellStart"/>
            <w:r w:rsidRPr="003B4B66">
              <w:rPr>
                <w:rFonts w:ascii="Arial" w:hAnsi="Arial" w:cs="Arial"/>
                <w:sz w:val="16"/>
                <w:szCs w:val="16"/>
              </w:rPr>
              <w:t>RoU</w:t>
            </w:r>
            <w:proofErr w:type="spellEnd"/>
          </w:p>
        </w:tc>
        <w:tc>
          <w:tcPr>
            <w:tcW w:w="900" w:type="dxa"/>
            <w:tcBorders>
              <w:top w:val="nil"/>
              <w:left w:val="nil"/>
              <w:bottom w:val="nil"/>
              <w:right w:val="nil"/>
            </w:tcBorders>
            <w:shd w:val="clear" w:color="auto" w:fill="auto"/>
            <w:noWrap/>
            <w:vAlign w:val="bottom"/>
            <w:hideMark/>
          </w:tcPr>
          <w:p w14:paraId="06B8952A" w14:textId="77777777" w:rsidR="003B4B66" w:rsidRPr="003B4B66" w:rsidRDefault="003B4B66" w:rsidP="003B4B66">
            <w:pPr>
              <w:spacing w:after="0"/>
              <w:jc w:val="right"/>
              <w:rPr>
                <w:rFonts w:ascii="Arial" w:hAnsi="Arial" w:cs="Arial"/>
                <w:color w:val="auto"/>
                <w:sz w:val="16"/>
                <w:szCs w:val="16"/>
              </w:rPr>
            </w:pPr>
            <w:r w:rsidRPr="003B4B66">
              <w:rPr>
                <w:rFonts w:ascii="Arial" w:hAnsi="Arial" w:cs="Arial"/>
                <w:color w:val="auto"/>
                <w:sz w:val="16"/>
                <w:szCs w:val="16"/>
              </w:rPr>
              <w:t>4,407</w:t>
            </w:r>
          </w:p>
        </w:tc>
        <w:tc>
          <w:tcPr>
            <w:tcW w:w="900" w:type="dxa"/>
            <w:tcBorders>
              <w:top w:val="nil"/>
              <w:left w:val="nil"/>
              <w:bottom w:val="nil"/>
              <w:right w:val="nil"/>
            </w:tcBorders>
            <w:shd w:val="clear" w:color="000000" w:fill="D9D9D9"/>
            <w:noWrap/>
            <w:vAlign w:val="bottom"/>
            <w:hideMark/>
          </w:tcPr>
          <w:p w14:paraId="723F117F" w14:textId="77777777" w:rsidR="003B4B66" w:rsidRPr="003B4B66" w:rsidRDefault="003B4B66" w:rsidP="003B4B66">
            <w:pPr>
              <w:spacing w:after="0"/>
              <w:jc w:val="right"/>
              <w:rPr>
                <w:rFonts w:ascii="Arial" w:hAnsi="Arial" w:cs="Arial"/>
                <w:color w:val="auto"/>
                <w:sz w:val="16"/>
                <w:szCs w:val="16"/>
              </w:rPr>
            </w:pPr>
            <w:r w:rsidRPr="003B4B66">
              <w:rPr>
                <w:rFonts w:ascii="Arial" w:hAnsi="Arial" w:cs="Arial"/>
                <w:color w:val="auto"/>
                <w:sz w:val="16"/>
                <w:szCs w:val="16"/>
              </w:rPr>
              <w:t>3,783</w:t>
            </w:r>
          </w:p>
        </w:tc>
        <w:tc>
          <w:tcPr>
            <w:tcW w:w="900" w:type="dxa"/>
            <w:tcBorders>
              <w:top w:val="nil"/>
              <w:left w:val="nil"/>
              <w:bottom w:val="nil"/>
              <w:right w:val="nil"/>
            </w:tcBorders>
            <w:shd w:val="clear" w:color="auto" w:fill="auto"/>
            <w:noWrap/>
            <w:vAlign w:val="bottom"/>
            <w:hideMark/>
          </w:tcPr>
          <w:p w14:paraId="788F198A" w14:textId="77777777" w:rsidR="003B4B66" w:rsidRPr="003B4B66" w:rsidRDefault="003B4B66" w:rsidP="003B4B66">
            <w:pPr>
              <w:spacing w:after="0"/>
              <w:jc w:val="right"/>
              <w:rPr>
                <w:rFonts w:ascii="Arial" w:hAnsi="Arial" w:cs="Arial"/>
                <w:color w:val="auto"/>
                <w:sz w:val="16"/>
                <w:szCs w:val="16"/>
              </w:rPr>
            </w:pPr>
            <w:r w:rsidRPr="003B4B66">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24D3AC42" w14:textId="77777777" w:rsidR="003B4B66" w:rsidRPr="003B4B66" w:rsidRDefault="003B4B66" w:rsidP="003B4B66">
            <w:pPr>
              <w:spacing w:after="0"/>
              <w:jc w:val="right"/>
              <w:rPr>
                <w:rFonts w:ascii="Arial" w:hAnsi="Arial" w:cs="Arial"/>
                <w:color w:val="auto"/>
                <w:sz w:val="16"/>
                <w:szCs w:val="16"/>
              </w:rPr>
            </w:pPr>
            <w:r w:rsidRPr="003B4B66">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678433D2" w14:textId="77777777" w:rsidR="003B4B66" w:rsidRPr="003B4B66" w:rsidRDefault="003B4B66" w:rsidP="003B4B66">
            <w:pPr>
              <w:spacing w:after="0"/>
              <w:jc w:val="right"/>
              <w:rPr>
                <w:rFonts w:ascii="Arial" w:hAnsi="Arial" w:cs="Arial"/>
                <w:color w:val="auto"/>
                <w:sz w:val="16"/>
                <w:szCs w:val="16"/>
              </w:rPr>
            </w:pPr>
            <w:r w:rsidRPr="003B4B66">
              <w:rPr>
                <w:rFonts w:ascii="Arial" w:hAnsi="Arial" w:cs="Arial"/>
                <w:color w:val="auto"/>
                <w:sz w:val="16"/>
                <w:szCs w:val="16"/>
              </w:rPr>
              <w:t>-</w:t>
            </w:r>
          </w:p>
        </w:tc>
      </w:tr>
      <w:tr w:rsidR="003B4B66" w:rsidRPr="003B4B66" w14:paraId="41297CD2" w14:textId="77777777" w:rsidTr="008C5234">
        <w:trPr>
          <w:trHeight w:val="227"/>
        </w:trPr>
        <w:tc>
          <w:tcPr>
            <w:tcW w:w="2860" w:type="dxa"/>
            <w:tcBorders>
              <w:top w:val="nil"/>
              <w:left w:val="nil"/>
              <w:bottom w:val="nil"/>
              <w:right w:val="nil"/>
            </w:tcBorders>
            <w:shd w:val="clear" w:color="auto" w:fill="auto"/>
            <w:vAlign w:val="bottom"/>
            <w:hideMark/>
          </w:tcPr>
          <w:p w14:paraId="7D4327B7" w14:textId="77777777" w:rsidR="003B4B66" w:rsidRPr="003B4B66" w:rsidRDefault="003B4B66" w:rsidP="008C5234">
            <w:pPr>
              <w:spacing w:after="0"/>
              <w:ind w:leftChars="75" w:left="143"/>
              <w:rPr>
                <w:rFonts w:ascii="Arial" w:hAnsi="Arial" w:cs="Arial"/>
                <w:sz w:val="16"/>
                <w:szCs w:val="16"/>
              </w:rPr>
            </w:pPr>
            <w:r w:rsidRPr="003B4B66">
              <w:rPr>
                <w:rFonts w:ascii="Arial" w:hAnsi="Arial" w:cs="Arial"/>
                <w:sz w:val="16"/>
                <w:szCs w:val="16"/>
              </w:rPr>
              <w:t xml:space="preserve">less </w:t>
            </w:r>
            <w:r w:rsidRPr="003B4B66">
              <w:rPr>
                <w:rFonts w:ascii="Arial" w:hAnsi="Arial" w:cs="Arial"/>
                <w:color w:val="auto"/>
                <w:sz w:val="16"/>
                <w:szCs w:val="16"/>
              </w:rPr>
              <w:t>lease</w:t>
            </w:r>
            <w:r w:rsidRPr="003B4B66">
              <w:rPr>
                <w:rFonts w:ascii="Arial" w:hAnsi="Arial" w:cs="Arial"/>
                <w:sz w:val="16"/>
                <w:szCs w:val="16"/>
              </w:rPr>
              <w:t xml:space="preserve"> principal repayments</w:t>
            </w:r>
          </w:p>
        </w:tc>
        <w:tc>
          <w:tcPr>
            <w:tcW w:w="900" w:type="dxa"/>
            <w:tcBorders>
              <w:top w:val="nil"/>
              <w:left w:val="nil"/>
              <w:bottom w:val="nil"/>
              <w:right w:val="nil"/>
            </w:tcBorders>
            <w:shd w:val="clear" w:color="auto" w:fill="auto"/>
            <w:noWrap/>
            <w:vAlign w:val="bottom"/>
            <w:hideMark/>
          </w:tcPr>
          <w:p w14:paraId="14579477" w14:textId="77777777" w:rsidR="003B4B66" w:rsidRPr="003B4B66" w:rsidRDefault="003B4B66" w:rsidP="003B4B66">
            <w:pPr>
              <w:spacing w:after="0"/>
              <w:jc w:val="right"/>
              <w:rPr>
                <w:rFonts w:ascii="Arial" w:hAnsi="Arial" w:cs="Arial"/>
                <w:color w:val="auto"/>
                <w:sz w:val="16"/>
                <w:szCs w:val="16"/>
              </w:rPr>
            </w:pPr>
            <w:r w:rsidRPr="003B4B66">
              <w:rPr>
                <w:rFonts w:ascii="Arial" w:hAnsi="Arial" w:cs="Arial"/>
                <w:color w:val="auto"/>
                <w:sz w:val="16"/>
                <w:szCs w:val="16"/>
              </w:rPr>
              <w:t>(4,713)</w:t>
            </w:r>
          </w:p>
        </w:tc>
        <w:tc>
          <w:tcPr>
            <w:tcW w:w="900" w:type="dxa"/>
            <w:tcBorders>
              <w:top w:val="nil"/>
              <w:left w:val="nil"/>
              <w:bottom w:val="nil"/>
              <w:right w:val="nil"/>
            </w:tcBorders>
            <w:shd w:val="clear" w:color="000000" w:fill="D9D9D9"/>
            <w:noWrap/>
            <w:vAlign w:val="bottom"/>
            <w:hideMark/>
          </w:tcPr>
          <w:p w14:paraId="7EE74BCE" w14:textId="77777777" w:rsidR="003B4B66" w:rsidRPr="003B4B66" w:rsidRDefault="003B4B66" w:rsidP="003B4B66">
            <w:pPr>
              <w:spacing w:after="0"/>
              <w:jc w:val="right"/>
              <w:rPr>
                <w:rFonts w:ascii="Arial" w:hAnsi="Arial" w:cs="Arial"/>
                <w:color w:val="auto"/>
                <w:sz w:val="16"/>
                <w:szCs w:val="16"/>
              </w:rPr>
            </w:pPr>
            <w:r w:rsidRPr="003B4B66">
              <w:rPr>
                <w:rFonts w:ascii="Arial" w:hAnsi="Arial" w:cs="Arial"/>
                <w:color w:val="auto"/>
                <w:sz w:val="16"/>
                <w:szCs w:val="16"/>
              </w:rPr>
              <w:t>(4,618)</w:t>
            </w:r>
          </w:p>
        </w:tc>
        <w:tc>
          <w:tcPr>
            <w:tcW w:w="900" w:type="dxa"/>
            <w:tcBorders>
              <w:top w:val="nil"/>
              <w:left w:val="nil"/>
              <w:bottom w:val="nil"/>
              <w:right w:val="nil"/>
            </w:tcBorders>
            <w:shd w:val="clear" w:color="auto" w:fill="auto"/>
            <w:noWrap/>
            <w:vAlign w:val="bottom"/>
            <w:hideMark/>
          </w:tcPr>
          <w:p w14:paraId="0A540EFB" w14:textId="77777777" w:rsidR="003B4B66" w:rsidRPr="003B4B66" w:rsidRDefault="003B4B66" w:rsidP="003B4B66">
            <w:pPr>
              <w:spacing w:after="0"/>
              <w:jc w:val="right"/>
              <w:rPr>
                <w:rFonts w:ascii="Arial" w:hAnsi="Arial" w:cs="Arial"/>
                <w:color w:val="auto"/>
                <w:sz w:val="16"/>
                <w:szCs w:val="16"/>
              </w:rPr>
            </w:pPr>
            <w:r w:rsidRPr="003B4B66">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55CF7173" w14:textId="77777777" w:rsidR="003B4B66" w:rsidRPr="003B4B66" w:rsidRDefault="003B4B66" w:rsidP="003B4B66">
            <w:pPr>
              <w:spacing w:after="0"/>
              <w:jc w:val="right"/>
              <w:rPr>
                <w:rFonts w:ascii="Arial" w:hAnsi="Arial" w:cs="Arial"/>
                <w:color w:val="auto"/>
                <w:sz w:val="16"/>
                <w:szCs w:val="16"/>
              </w:rPr>
            </w:pPr>
            <w:r w:rsidRPr="003B4B66">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12402072" w14:textId="77777777" w:rsidR="003B4B66" w:rsidRPr="003B4B66" w:rsidRDefault="003B4B66" w:rsidP="003B4B66">
            <w:pPr>
              <w:spacing w:after="0"/>
              <w:jc w:val="right"/>
              <w:rPr>
                <w:rFonts w:ascii="Arial" w:hAnsi="Arial" w:cs="Arial"/>
                <w:color w:val="auto"/>
                <w:sz w:val="16"/>
                <w:szCs w:val="16"/>
              </w:rPr>
            </w:pPr>
            <w:r w:rsidRPr="003B4B66">
              <w:rPr>
                <w:rFonts w:ascii="Arial" w:hAnsi="Arial" w:cs="Arial"/>
                <w:color w:val="auto"/>
                <w:sz w:val="16"/>
                <w:szCs w:val="16"/>
              </w:rPr>
              <w:t>-</w:t>
            </w:r>
          </w:p>
        </w:tc>
      </w:tr>
      <w:tr w:rsidR="003B4B66" w:rsidRPr="003B4B66" w14:paraId="749EA905" w14:textId="77777777" w:rsidTr="008C5234">
        <w:trPr>
          <w:trHeight w:val="227"/>
        </w:trPr>
        <w:tc>
          <w:tcPr>
            <w:tcW w:w="2860" w:type="dxa"/>
            <w:tcBorders>
              <w:top w:val="nil"/>
              <w:left w:val="nil"/>
              <w:bottom w:val="single" w:sz="4" w:space="0" w:color="auto"/>
              <w:right w:val="nil"/>
            </w:tcBorders>
            <w:shd w:val="clear" w:color="auto" w:fill="auto"/>
            <w:vAlign w:val="bottom"/>
            <w:hideMark/>
          </w:tcPr>
          <w:p w14:paraId="6FA66219" w14:textId="77777777" w:rsidR="003B4B66" w:rsidRPr="003B4B66" w:rsidRDefault="003B4B66" w:rsidP="003B4B66">
            <w:pPr>
              <w:spacing w:after="0"/>
              <w:rPr>
                <w:rFonts w:ascii="Arial" w:hAnsi="Arial" w:cs="Arial"/>
                <w:b/>
                <w:bCs/>
                <w:color w:val="auto"/>
                <w:sz w:val="16"/>
                <w:szCs w:val="16"/>
              </w:rPr>
            </w:pPr>
            <w:r w:rsidRPr="003B4B66">
              <w:rPr>
                <w:rFonts w:ascii="Arial" w:hAnsi="Arial" w:cs="Arial"/>
                <w:b/>
                <w:bCs/>
                <w:color w:val="auto"/>
                <w:sz w:val="16"/>
                <w:szCs w:val="16"/>
              </w:rPr>
              <w:t>Total comprehensive income (loss) attributable to the agency</w:t>
            </w:r>
          </w:p>
        </w:tc>
        <w:tc>
          <w:tcPr>
            <w:tcW w:w="900" w:type="dxa"/>
            <w:tcBorders>
              <w:top w:val="nil"/>
              <w:left w:val="nil"/>
              <w:bottom w:val="single" w:sz="4" w:space="0" w:color="auto"/>
              <w:right w:val="nil"/>
            </w:tcBorders>
            <w:shd w:val="clear" w:color="auto" w:fill="auto"/>
            <w:noWrap/>
            <w:vAlign w:val="bottom"/>
            <w:hideMark/>
          </w:tcPr>
          <w:p w14:paraId="5D0E42CE" w14:textId="77777777" w:rsidR="003B4B66" w:rsidRPr="003B4B66" w:rsidRDefault="003B4B66" w:rsidP="003B4B66">
            <w:pPr>
              <w:spacing w:after="0"/>
              <w:jc w:val="right"/>
              <w:rPr>
                <w:rFonts w:ascii="Arial" w:hAnsi="Arial" w:cs="Arial"/>
                <w:b/>
                <w:bCs/>
                <w:color w:val="auto"/>
                <w:sz w:val="16"/>
                <w:szCs w:val="16"/>
              </w:rPr>
            </w:pPr>
            <w:r w:rsidRPr="003B4B66">
              <w:rPr>
                <w:rFonts w:ascii="Arial" w:hAnsi="Arial" w:cs="Arial"/>
                <w:b/>
                <w:bCs/>
                <w:color w:val="auto"/>
                <w:sz w:val="16"/>
                <w:szCs w:val="16"/>
              </w:rPr>
              <w:t>(45,208)</w:t>
            </w:r>
          </w:p>
        </w:tc>
        <w:tc>
          <w:tcPr>
            <w:tcW w:w="900" w:type="dxa"/>
            <w:tcBorders>
              <w:top w:val="nil"/>
              <w:left w:val="nil"/>
              <w:bottom w:val="single" w:sz="4" w:space="0" w:color="auto"/>
              <w:right w:val="nil"/>
            </w:tcBorders>
            <w:shd w:val="clear" w:color="000000" w:fill="D9D9D9"/>
            <w:noWrap/>
            <w:vAlign w:val="bottom"/>
            <w:hideMark/>
          </w:tcPr>
          <w:p w14:paraId="0725BE11" w14:textId="77777777" w:rsidR="003B4B66" w:rsidRPr="003B4B66" w:rsidRDefault="003B4B66" w:rsidP="003B4B66">
            <w:pPr>
              <w:spacing w:after="0"/>
              <w:jc w:val="right"/>
              <w:rPr>
                <w:rFonts w:ascii="Arial" w:hAnsi="Arial" w:cs="Arial"/>
                <w:b/>
                <w:bCs/>
                <w:color w:val="auto"/>
                <w:sz w:val="16"/>
                <w:szCs w:val="16"/>
              </w:rPr>
            </w:pPr>
            <w:r w:rsidRPr="003B4B66">
              <w:rPr>
                <w:rFonts w:ascii="Arial" w:hAnsi="Arial" w:cs="Arial"/>
                <w:b/>
                <w:bCs/>
                <w:color w:val="auto"/>
                <w:sz w:val="16"/>
                <w:szCs w:val="16"/>
              </w:rPr>
              <w:t>(36,713)</w:t>
            </w:r>
          </w:p>
        </w:tc>
        <w:tc>
          <w:tcPr>
            <w:tcW w:w="900" w:type="dxa"/>
            <w:tcBorders>
              <w:top w:val="nil"/>
              <w:left w:val="nil"/>
              <w:bottom w:val="single" w:sz="4" w:space="0" w:color="auto"/>
              <w:right w:val="nil"/>
            </w:tcBorders>
            <w:shd w:val="clear" w:color="auto" w:fill="auto"/>
            <w:noWrap/>
            <w:vAlign w:val="bottom"/>
            <w:hideMark/>
          </w:tcPr>
          <w:p w14:paraId="4DF954DD" w14:textId="77777777" w:rsidR="003B4B66" w:rsidRPr="003B4B66" w:rsidRDefault="003B4B66" w:rsidP="003B4B66">
            <w:pPr>
              <w:spacing w:after="0"/>
              <w:jc w:val="right"/>
              <w:rPr>
                <w:rFonts w:ascii="Arial" w:hAnsi="Arial" w:cs="Arial"/>
                <w:b/>
                <w:bCs/>
                <w:color w:val="auto"/>
                <w:sz w:val="16"/>
                <w:szCs w:val="16"/>
              </w:rPr>
            </w:pPr>
            <w:r w:rsidRPr="003B4B66">
              <w:rPr>
                <w:rFonts w:ascii="Arial" w:hAnsi="Arial" w:cs="Arial"/>
                <w:b/>
                <w:bCs/>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14:paraId="71396F15" w14:textId="77777777" w:rsidR="003B4B66" w:rsidRPr="003B4B66" w:rsidRDefault="003B4B66" w:rsidP="003B4B66">
            <w:pPr>
              <w:spacing w:after="0"/>
              <w:jc w:val="right"/>
              <w:rPr>
                <w:rFonts w:ascii="Arial" w:hAnsi="Arial" w:cs="Arial"/>
                <w:b/>
                <w:bCs/>
                <w:color w:val="auto"/>
                <w:sz w:val="16"/>
                <w:szCs w:val="16"/>
              </w:rPr>
            </w:pPr>
            <w:r w:rsidRPr="003B4B66">
              <w:rPr>
                <w:rFonts w:ascii="Arial" w:hAnsi="Arial" w:cs="Arial"/>
                <w:b/>
                <w:bCs/>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14:paraId="43677FCD" w14:textId="77777777" w:rsidR="003B4B66" w:rsidRPr="003B4B66" w:rsidRDefault="003B4B66" w:rsidP="003B4B66">
            <w:pPr>
              <w:spacing w:after="0"/>
              <w:jc w:val="right"/>
              <w:rPr>
                <w:rFonts w:ascii="Arial" w:hAnsi="Arial" w:cs="Arial"/>
                <w:b/>
                <w:bCs/>
                <w:color w:val="auto"/>
                <w:sz w:val="16"/>
                <w:szCs w:val="16"/>
              </w:rPr>
            </w:pPr>
            <w:r w:rsidRPr="003B4B66">
              <w:rPr>
                <w:rFonts w:ascii="Arial" w:hAnsi="Arial" w:cs="Arial"/>
                <w:b/>
                <w:bCs/>
                <w:color w:val="auto"/>
                <w:sz w:val="16"/>
                <w:szCs w:val="16"/>
              </w:rPr>
              <w:t>-</w:t>
            </w:r>
          </w:p>
        </w:tc>
      </w:tr>
    </w:tbl>
    <w:p w14:paraId="4E53849D" w14:textId="77777777" w:rsidR="008C5234" w:rsidRPr="008C5234" w:rsidRDefault="008C5234" w:rsidP="008C5234">
      <w:pPr>
        <w:pStyle w:val="FootnoteText"/>
        <w:spacing w:before="120"/>
        <w:rPr>
          <w:lang w:eastAsia="en-US"/>
        </w:rPr>
      </w:pPr>
      <w:proofErr w:type="spellStart"/>
      <w:r w:rsidRPr="008C5234">
        <w:rPr>
          <w:lang w:eastAsia="en-US"/>
        </w:rPr>
        <w:t>RoU</w:t>
      </w:r>
      <w:proofErr w:type="spellEnd"/>
      <w:r w:rsidRPr="008C5234">
        <w:rPr>
          <w:lang w:eastAsia="en-US"/>
        </w:rPr>
        <w:t xml:space="preserve"> = Right-of-Use asset</w:t>
      </w:r>
    </w:p>
    <w:p w14:paraId="0DF1A0D3" w14:textId="107CCCCD" w:rsidR="003B4B66" w:rsidRDefault="008C5234" w:rsidP="008C5234">
      <w:pPr>
        <w:pStyle w:val="FootnoteText"/>
        <w:rPr>
          <w:lang w:eastAsia="en-US"/>
        </w:rPr>
      </w:pPr>
      <w:r w:rsidRPr="008C5234">
        <w:rPr>
          <w:vertAlign w:val="superscript"/>
          <w:lang w:eastAsia="en-US"/>
        </w:rPr>
        <w:t>(a)</w:t>
      </w:r>
      <w:r>
        <w:rPr>
          <w:lang w:eastAsia="en-US"/>
        </w:rPr>
        <w:tab/>
      </w:r>
      <w:r w:rsidRPr="008C5234">
        <w:rPr>
          <w:lang w:eastAsia="en-US"/>
        </w:rPr>
        <w:t>Applies leases under AASB 16 - Leases.</w:t>
      </w:r>
      <w:r w:rsidR="003B4B66">
        <w:rPr>
          <w:lang w:eastAsia="en-US"/>
        </w:rPr>
        <w:br w:type="page"/>
      </w:r>
    </w:p>
    <w:p w14:paraId="36D3D837" w14:textId="586AA2BA" w:rsidR="00651990" w:rsidRPr="00651990" w:rsidRDefault="00651990" w:rsidP="00651990">
      <w:pPr>
        <w:rPr>
          <w:rFonts w:ascii="Arial" w:hAnsi="Arial" w:cs="Arial"/>
          <w:b/>
          <w:sz w:val="20"/>
          <w:szCs w:val="18"/>
          <w:lang w:eastAsia="en-US"/>
        </w:rPr>
      </w:pPr>
      <w:r w:rsidRPr="00651990">
        <w:rPr>
          <w:rFonts w:ascii="Arial" w:hAnsi="Arial" w:cs="Arial"/>
          <w:b/>
          <w:sz w:val="20"/>
          <w:szCs w:val="18"/>
          <w:lang w:eastAsia="en-US"/>
        </w:rPr>
        <w:lastRenderedPageBreak/>
        <w:t>Table 3.2: Budgeted departmental balance sheet (as at 30 June)</w:t>
      </w:r>
    </w:p>
    <w:tbl>
      <w:tblPr>
        <w:tblW w:w="7360" w:type="dxa"/>
        <w:tblLayout w:type="fixed"/>
        <w:tblLook w:val="04A0" w:firstRow="1" w:lastRow="0" w:firstColumn="1" w:lastColumn="0" w:noHBand="0" w:noVBand="1"/>
      </w:tblPr>
      <w:tblGrid>
        <w:gridCol w:w="2962"/>
        <w:gridCol w:w="886"/>
        <w:gridCol w:w="878"/>
        <w:gridCol w:w="878"/>
        <w:gridCol w:w="878"/>
        <w:gridCol w:w="878"/>
      </w:tblGrid>
      <w:tr w:rsidR="00C81AEA" w:rsidRPr="00C81AEA" w14:paraId="4D644122" w14:textId="77777777" w:rsidTr="008437C8">
        <w:trPr>
          <w:trHeight w:val="765"/>
        </w:trPr>
        <w:tc>
          <w:tcPr>
            <w:tcW w:w="2962" w:type="dxa"/>
            <w:tcBorders>
              <w:top w:val="single" w:sz="4" w:space="0" w:color="auto"/>
              <w:left w:val="nil"/>
              <w:bottom w:val="nil"/>
              <w:right w:val="nil"/>
            </w:tcBorders>
            <w:shd w:val="clear" w:color="auto" w:fill="auto"/>
            <w:tcMar>
              <w:left w:w="0" w:type="dxa"/>
            </w:tcMar>
            <w:hideMark/>
          </w:tcPr>
          <w:p w14:paraId="3683A0A5" w14:textId="77777777" w:rsidR="00C81AEA" w:rsidRPr="00C81AEA" w:rsidRDefault="00C81AEA" w:rsidP="00840AA6">
            <w:pPr>
              <w:spacing w:before="40" w:after="0"/>
              <w:jc w:val="right"/>
              <w:rPr>
                <w:rFonts w:ascii="Times New Roman" w:hAnsi="Times New Roman"/>
                <w:color w:val="auto"/>
                <w:sz w:val="20"/>
                <w:szCs w:val="24"/>
              </w:rPr>
            </w:pPr>
          </w:p>
        </w:tc>
        <w:tc>
          <w:tcPr>
            <w:tcW w:w="886" w:type="dxa"/>
            <w:tcBorders>
              <w:top w:val="single" w:sz="4" w:space="0" w:color="auto"/>
              <w:left w:val="nil"/>
              <w:bottom w:val="single" w:sz="4" w:space="0" w:color="auto"/>
              <w:right w:val="nil"/>
            </w:tcBorders>
            <w:shd w:val="clear" w:color="auto" w:fill="auto"/>
            <w:tcMar>
              <w:left w:w="0" w:type="dxa"/>
            </w:tcMar>
            <w:hideMark/>
          </w:tcPr>
          <w:p w14:paraId="72B6AFF5" w14:textId="77777777" w:rsidR="00C81AEA" w:rsidRPr="00C81AEA" w:rsidRDefault="00C81AEA" w:rsidP="00840AA6">
            <w:pPr>
              <w:spacing w:before="40" w:after="0"/>
              <w:jc w:val="right"/>
              <w:rPr>
                <w:rFonts w:ascii="Arial" w:hAnsi="Arial" w:cs="Arial"/>
                <w:b/>
                <w:bCs/>
                <w:color w:val="auto"/>
                <w:sz w:val="16"/>
                <w:szCs w:val="16"/>
              </w:rPr>
            </w:pPr>
            <w:r w:rsidRPr="00C81AEA">
              <w:rPr>
                <w:rFonts w:ascii="Arial" w:hAnsi="Arial" w:cs="Arial"/>
                <w:b/>
                <w:bCs/>
                <w:color w:val="auto"/>
                <w:sz w:val="16"/>
                <w:szCs w:val="16"/>
              </w:rPr>
              <w:t>2021–22 Estimated actual</w:t>
            </w:r>
            <w:r w:rsidRPr="00C81AEA">
              <w:rPr>
                <w:rFonts w:ascii="Arial" w:hAnsi="Arial" w:cs="Arial"/>
                <w:b/>
                <w:bCs/>
                <w:color w:val="auto"/>
                <w:sz w:val="16"/>
                <w:szCs w:val="16"/>
              </w:rPr>
              <w:br/>
            </w:r>
            <w:r w:rsidRPr="00C81AEA">
              <w:rPr>
                <w:rFonts w:ascii="Arial" w:hAnsi="Arial" w:cs="Arial"/>
                <w:color w:val="auto"/>
                <w:sz w:val="16"/>
                <w:szCs w:val="16"/>
              </w:rPr>
              <w:t>$'000</w:t>
            </w:r>
          </w:p>
        </w:tc>
        <w:tc>
          <w:tcPr>
            <w:tcW w:w="878" w:type="dxa"/>
            <w:tcBorders>
              <w:top w:val="single" w:sz="4" w:space="0" w:color="auto"/>
              <w:left w:val="nil"/>
              <w:bottom w:val="single" w:sz="4" w:space="0" w:color="auto"/>
              <w:right w:val="nil"/>
            </w:tcBorders>
            <w:shd w:val="clear" w:color="000000" w:fill="D9D9D9"/>
            <w:tcMar>
              <w:left w:w="0" w:type="dxa"/>
            </w:tcMar>
            <w:hideMark/>
          </w:tcPr>
          <w:p w14:paraId="658937EC" w14:textId="77777777" w:rsidR="00C81AEA" w:rsidRPr="00C81AEA" w:rsidRDefault="00C81AEA" w:rsidP="00840AA6">
            <w:pPr>
              <w:spacing w:before="40" w:after="0"/>
              <w:jc w:val="right"/>
              <w:rPr>
                <w:rFonts w:ascii="Arial" w:hAnsi="Arial" w:cs="Arial"/>
                <w:b/>
                <w:bCs/>
                <w:color w:val="auto"/>
                <w:sz w:val="16"/>
                <w:szCs w:val="16"/>
              </w:rPr>
            </w:pPr>
            <w:r w:rsidRPr="00C81AEA">
              <w:rPr>
                <w:rFonts w:ascii="Arial" w:hAnsi="Arial" w:cs="Arial"/>
                <w:b/>
                <w:bCs/>
                <w:color w:val="auto"/>
                <w:sz w:val="16"/>
                <w:szCs w:val="16"/>
              </w:rPr>
              <w:t>2022–23</w:t>
            </w:r>
            <w:r w:rsidRPr="00C81AEA">
              <w:rPr>
                <w:rFonts w:ascii="Arial" w:hAnsi="Arial" w:cs="Arial"/>
                <w:b/>
                <w:bCs/>
                <w:color w:val="auto"/>
                <w:sz w:val="16"/>
                <w:szCs w:val="16"/>
              </w:rPr>
              <w:br/>
              <w:t>Budget</w:t>
            </w:r>
            <w:r w:rsidRPr="00C81AEA">
              <w:rPr>
                <w:rFonts w:ascii="Arial" w:hAnsi="Arial" w:cs="Arial"/>
                <w:b/>
                <w:bCs/>
                <w:color w:val="auto"/>
                <w:sz w:val="16"/>
                <w:szCs w:val="16"/>
              </w:rPr>
              <w:br/>
            </w:r>
            <w:r w:rsidRPr="00C81AEA">
              <w:rPr>
                <w:rFonts w:ascii="Arial" w:hAnsi="Arial" w:cs="Arial"/>
                <w:b/>
                <w:bCs/>
                <w:color w:val="auto"/>
                <w:sz w:val="16"/>
                <w:szCs w:val="16"/>
              </w:rPr>
              <w:br/>
            </w:r>
            <w:r w:rsidRPr="00C81AEA">
              <w:rPr>
                <w:rFonts w:ascii="Arial" w:hAnsi="Arial" w:cs="Arial"/>
                <w:color w:val="auto"/>
                <w:sz w:val="16"/>
                <w:szCs w:val="16"/>
              </w:rPr>
              <w:t>$'000</w:t>
            </w:r>
          </w:p>
        </w:tc>
        <w:tc>
          <w:tcPr>
            <w:tcW w:w="878" w:type="dxa"/>
            <w:tcBorders>
              <w:top w:val="single" w:sz="4" w:space="0" w:color="auto"/>
              <w:left w:val="nil"/>
              <w:bottom w:val="single" w:sz="4" w:space="0" w:color="auto"/>
              <w:right w:val="nil"/>
            </w:tcBorders>
            <w:shd w:val="clear" w:color="auto" w:fill="auto"/>
            <w:tcMar>
              <w:left w:w="0" w:type="dxa"/>
            </w:tcMar>
            <w:hideMark/>
          </w:tcPr>
          <w:p w14:paraId="5C33448E" w14:textId="77777777" w:rsidR="00C81AEA" w:rsidRPr="00C81AEA" w:rsidRDefault="00C81AEA" w:rsidP="00840AA6">
            <w:pPr>
              <w:spacing w:before="40" w:after="0"/>
              <w:jc w:val="right"/>
              <w:rPr>
                <w:rFonts w:ascii="Arial" w:hAnsi="Arial" w:cs="Arial"/>
                <w:b/>
                <w:bCs/>
                <w:color w:val="auto"/>
                <w:sz w:val="16"/>
                <w:szCs w:val="16"/>
              </w:rPr>
            </w:pPr>
            <w:r w:rsidRPr="00C81AEA">
              <w:rPr>
                <w:rFonts w:ascii="Arial" w:hAnsi="Arial" w:cs="Arial"/>
                <w:b/>
                <w:bCs/>
                <w:color w:val="auto"/>
                <w:sz w:val="16"/>
                <w:szCs w:val="16"/>
              </w:rPr>
              <w:t>2023–24 Forward estimate</w:t>
            </w:r>
            <w:r w:rsidRPr="00C81AEA">
              <w:rPr>
                <w:rFonts w:ascii="Arial" w:hAnsi="Arial" w:cs="Arial"/>
                <w:b/>
                <w:bCs/>
                <w:color w:val="auto"/>
                <w:sz w:val="16"/>
                <w:szCs w:val="16"/>
              </w:rPr>
              <w:br/>
            </w:r>
            <w:r w:rsidRPr="00C81AEA">
              <w:rPr>
                <w:rFonts w:ascii="Arial" w:hAnsi="Arial" w:cs="Arial"/>
                <w:color w:val="auto"/>
                <w:sz w:val="16"/>
                <w:szCs w:val="16"/>
              </w:rPr>
              <w:t>$'000</w:t>
            </w:r>
          </w:p>
        </w:tc>
        <w:tc>
          <w:tcPr>
            <w:tcW w:w="878" w:type="dxa"/>
            <w:tcBorders>
              <w:top w:val="single" w:sz="4" w:space="0" w:color="auto"/>
              <w:left w:val="nil"/>
              <w:bottom w:val="single" w:sz="4" w:space="0" w:color="auto"/>
              <w:right w:val="nil"/>
            </w:tcBorders>
            <w:shd w:val="clear" w:color="auto" w:fill="auto"/>
            <w:tcMar>
              <w:left w:w="0" w:type="dxa"/>
            </w:tcMar>
            <w:hideMark/>
          </w:tcPr>
          <w:p w14:paraId="35D9E409" w14:textId="77777777" w:rsidR="00C81AEA" w:rsidRPr="00C81AEA" w:rsidRDefault="00C81AEA" w:rsidP="00840AA6">
            <w:pPr>
              <w:spacing w:before="40" w:after="0"/>
              <w:jc w:val="right"/>
              <w:rPr>
                <w:rFonts w:ascii="Arial" w:hAnsi="Arial" w:cs="Arial"/>
                <w:b/>
                <w:bCs/>
                <w:color w:val="auto"/>
                <w:sz w:val="16"/>
                <w:szCs w:val="16"/>
              </w:rPr>
            </w:pPr>
            <w:r w:rsidRPr="00C81AEA">
              <w:rPr>
                <w:rFonts w:ascii="Arial" w:hAnsi="Arial" w:cs="Arial"/>
                <w:b/>
                <w:bCs/>
                <w:color w:val="auto"/>
                <w:sz w:val="16"/>
                <w:szCs w:val="16"/>
              </w:rPr>
              <w:t>2024–25</w:t>
            </w:r>
            <w:r w:rsidRPr="00C81AEA">
              <w:rPr>
                <w:rFonts w:ascii="Arial" w:hAnsi="Arial" w:cs="Arial"/>
                <w:b/>
                <w:bCs/>
                <w:color w:val="auto"/>
                <w:sz w:val="16"/>
                <w:szCs w:val="16"/>
              </w:rPr>
              <w:br/>
              <w:t>Forward estimate</w:t>
            </w:r>
            <w:r w:rsidRPr="00C81AEA">
              <w:rPr>
                <w:rFonts w:ascii="Arial" w:hAnsi="Arial" w:cs="Arial"/>
                <w:b/>
                <w:bCs/>
                <w:color w:val="auto"/>
                <w:sz w:val="16"/>
                <w:szCs w:val="16"/>
              </w:rPr>
              <w:br/>
            </w:r>
            <w:r w:rsidRPr="00C81AEA">
              <w:rPr>
                <w:rFonts w:ascii="Arial" w:hAnsi="Arial" w:cs="Arial"/>
                <w:color w:val="auto"/>
                <w:sz w:val="16"/>
                <w:szCs w:val="16"/>
              </w:rPr>
              <w:t>$'000</w:t>
            </w:r>
          </w:p>
        </w:tc>
        <w:tc>
          <w:tcPr>
            <w:tcW w:w="878" w:type="dxa"/>
            <w:tcBorders>
              <w:top w:val="single" w:sz="4" w:space="0" w:color="auto"/>
              <w:left w:val="nil"/>
              <w:bottom w:val="single" w:sz="4" w:space="0" w:color="auto"/>
              <w:right w:val="nil"/>
            </w:tcBorders>
            <w:shd w:val="clear" w:color="auto" w:fill="auto"/>
            <w:tcMar>
              <w:left w:w="0" w:type="dxa"/>
            </w:tcMar>
            <w:hideMark/>
          </w:tcPr>
          <w:p w14:paraId="030E0F0E" w14:textId="77777777" w:rsidR="00C81AEA" w:rsidRPr="00C81AEA" w:rsidRDefault="00C81AEA" w:rsidP="00840AA6">
            <w:pPr>
              <w:spacing w:before="40" w:after="0"/>
              <w:jc w:val="right"/>
              <w:rPr>
                <w:rFonts w:ascii="Arial" w:hAnsi="Arial" w:cs="Arial"/>
                <w:b/>
                <w:bCs/>
                <w:color w:val="auto"/>
                <w:sz w:val="16"/>
                <w:szCs w:val="16"/>
              </w:rPr>
            </w:pPr>
            <w:r w:rsidRPr="00C81AEA">
              <w:rPr>
                <w:rFonts w:ascii="Arial" w:hAnsi="Arial" w:cs="Arial"/>
                <w:b/>
                <w:bCs/>
                <w:color w:val="auto"/>
                <w:sz w:val="16"/>
                <w:szCs w:val="16"/>
              </w:rPr>
              <w:t>2025–26</w:t>
            </w:r>
            <w:r w:rsidRPr="00C81AEA">
              <w:rPr>
                <w:rFonts w:ascii="Arial" w:hAnsi="Arial" w:cs="Arial"/>
                <w:b/>
                <w:bCs/>
                <w:color w:val="auto"/>
                <w:sz w:val="16"/>
                <w:szCs w:val="16"/>
              </w:rPr>
              <w:br/>
              <w:t>Forward estimate</w:t>
            </w:r>
            <w:r w:rsidRPr="00C81AEA">
              <w:rPr>
                <w:rFonts w:ascii="Arial" w:hAnsi="Arial" w:cs="Arial"/>
                <w:b/>
                <w:bCs/>
                <w:color w:val="auto"/>
                <w:sz w:val="16"/>
                <w:szCs w:val="16"/>
              </w:rPr>
              <w:br/>
            </w:r>
            <w:r w:rsidRPr="00C81AEA">
              <w:rPr>
                <w:rFonts w:ascii="Arial" w:hAnsi="Arial" w:cs="Arial"/>
                <w:color w:val="auto"/>
                <w:sz w:val="16"/>
                <w:szCs w:val="16"/>
              </w:rPr>
              <w:t>$'000</w:t>
            </w:r>
          </w:p>
        </w:tc>
      </w:tr>
      <w:tr w:rsidR="00C81AEA" w:rsidRPr="00C81AEA" w14:paraId="75B23FE1" w14:textId="77777777" w:rsidTr="00C6624C">
        <w:trPr>
          <w:trHeight w:val="225"/>
        </w:trPr>
        <w:tc>
          <w:tcPr>
            <w:tcW w:w="2962" w:type="dxa"/>
            <w:tcBorders>
              <w:top w:val="nil"/>
              <w:left w:val="nil"/>
              <w:bottom w:val="nil"/>
              <w:right w:val="nil"/>
            </w:tcBorders>
            <w:shd w:val="clear" w:color="auto" w:fill="auto"/>
            <w:noWrap/>
            <w:vAlign w:val="bottom"/>
            <w:hideMark/>
          </w:tcPr>
          <w:p w14:paraId="1A23A646" w14:textId="77777777" w:rsidR="00C81AEA" w:rsidRPr="00C81AEA" w:rsidRDefault="00C81AEA" w:rsidP="00C81AEA">
            <w:pPr>
              <w:spacing w:after="0"/>
              <w:rPr>
                <w:rFonts w:ascii="Arial" w:hAnsi="Arial" w:cs="Arial"/>
                <w:b/>
                <w:bCs/>
                <w:sz w:val="16"/>
                <w:szCs w:val="16"/>
              </w:rPr>
            </w:pPr>
            <w:r w:rsidRPr="00C81AEA">
              <w:rPr>
                <w:rFonts w:ascii="Arial" w:hAnsi="Arial" w:cs="Arial"/>
                <w:b/>
                <w:bCs/>
                <w:sz w:val="16"/>
                <w:szCs w:val="16"/>
              </w:rPr>
              <w:t>ASSETS</w:t>
            </w:r>
          </w:p>
        </w:tc>
        <w:tc>
          <w:tcPr>
            <w:tcW w:w="886" w:type="dxa"/>
            <w:tcBorders>
              <w:top w:val="nil"/>
              <w:left w:val="nil"/>
              <w:bottom w:val="nil"/>
              <w:right w:val="nil"/>
            </w:tcBorders>
            <w:shd w:val="clear" w:color="auto" w:fill="auto"/>
            <w:noWrap/>
            <w:tcMar>
              <w:left w:w="0" w:type="dxa"/>
            </w:tcMar>
            <w:vAlign w:val="bottom"/>
            <w:hideMark/>
          </w:tcPr>
          <w:p w14:paraId="64AE8BA4" w14:textId="77777777" w:rsidR="00C81AEA" w:rsidRPr="00C81AEA" w:rsidRDefault="00C81AEA" w:rsidP="00C81AEA">
            <w:pPr>
              <w:spacing w:after="0"/>
              <w:rPr>
                <w:rFonts w:ascii="Arial" w:hAnsi="Arial" w:cs="Arial"/>
                <w:b/>
                <w:bCs/>
                <w:sz w:val="16"/>
                <w:szCs w:val="16"/>
              </w:rPr>
            </w:pPr>
          </w:p>
        </w:tc>
        <w:tc>
          <w:tcPr>
            <w:tcW w:w="878" w:type="dxa"/>
            <w:tcBorders>
              <w:top w:val="nil"/>
              <w:left w:val="nil"/>
              <w:bottom w:val="nil"/>
              <w:right w:val="nil"/>
            </w:tcBorders>
            <w:shd w:val="clear" w:color="000000" w:fill="D9D9D9"/>
            <w:noWrap/>
            <w:tcMar>
              <w:left w:w="0" w:type="dxa"/>
            </w:tcMar>
            <w:vAlign w:val="bottom"/>
            <w:hideMark/>
          </w:tcPr>
          <w:p w14:paraId="173005F8" w14:textId="77777777" w:rsidR="00C81AEA" w:rsidRPr="00C81AEA" w:rsidRDefault="00C81AEA" w:rsidP="00C81AEA">
            <w:pPr>
              <w:spacing w:after="0"/>
              <w:jc w:val="right"/>
              <w:rPr>
                <w:rFonts w:ascii="Arial" w:hAnsi="Arial" w:cs="Arial"/>
                <w:sz w:val="16"/>
                <w:szCs w:val="16"/>
              </w:rPr>
            </w:pPr>
            <w:r w:rsidRPr="00C81AEA">
              <w:rPr>
                <w:rFonts w:ascii="Arial" w:hAnsi="Arial" w:cs="Arial"/>
                <w:sz w:val="16"/>
                <w:szCs w:val="16"/>
              </w:rPr>
              <w:t> </w:t>
            </w:r>
          </w:p>
        </w:tc>
        <w:tc>
          <w:tcPr>
            <w:tcW w:w="878" w:type="dxa"/>
            <w:tcBorders>
              <w:top w:val="nil"/>
              <w:left w:val="nil"/>
              <w:bottom w:val="nil"/>
              <w:right w:val="nil"/>
            </w:tcBorders>
            <w:shd w:val="clear" w:color="auto" w:fill="auto"/>
            <w:noWrap/>
            <w:tcMar>
              <w:left w:w="0" w:type="dxa"/>
            </w:tcMar>
            <w:vAlign w:val="bottom"/>
            <w:hideMark/>
          </w:tcPr>
          <w:p w14:paraId="2861CA72" w14:textId="77777777" w:rsidR="00C81AEA" w:rsidRPr="00C81AEA" w:rsidRDefault="00C81AEA" w:rsidP="00C81AEA">
            <w:pPr>
              <w:spacing w:after="0"/>
              <w:jc w:val="right"/>
              <w:rPr>
                <w:rFonts w:ascii="Arial" w:hAnsi="Arial" w:cs="Arial"/>
                <w:sz w:val="16"/>
                <w:szCs w:val="16"/>
              </w:rPr>
            </w:pPr>
          </w:p>
        </w:tc>
        <w:tc>
          <w:tcPr>
            <w:tcW w:w="878" w:type="dxa"/>
            <w:tcBorders>
              <w:top w:val="nil"/>
              <w:left w:val="nil"/>
              <w:bottom w:val="nil"/>
              <w:right w:val="nil"/>
            </w:tcBorders>
            <w:shd w:val="clear" w:color="auto" w:fill="auto"/>
            <w:noWrap/>
            <w:tcMar>
              <w:left w:w="0" w:type="dxa"/>
            </w:tcMar>
            <w:vAlign w:val="bottom"/>
            <w:hideMark/>
          </w:tcPr>
          <w:p w14:paraId="4AA0389A" w14:textId="77777777" w:rsidR="00C81AEA" w:rsidRPr="00C81AEA" w:rsidRDefault="00C81AEA" w:rsidP="00C81AEA">
            <w:pPr>
              <w:spacing w:after="0"/>
              <w:jc w:val="right"/>
              <w:rPr>
                <w:rFonts w:ascii="Times New Roman" w:hAnsi="Times New Roman"/>
                <w:color w:val="auto"/>
                <w:sz w:val="20"/>
              </w:rPr>
            </w:pPr>
          </w:p>
        </w:tc>
        <w:tc>
          <w:tcPr>
            <w:tcW w:w="878" w:type="dxa"/>
            <w:tcBorders>
              <w:top w:val="nil"/>
              <w:left w:val="nil"/>
              <w:bottom w:val="nil"/>
              <w:right w:val="nil"/>
            </w:tcBorders>
            <w:shd w:val="clear" w:color="auto" w:fill="auto"/>
            <w:noWrap/>
            <w:tcMar>
              <w:left w:w="0" w:type="dxa"/>
            </w:tcMar>
            <w:vAlign w:val="bottom"/>
            <w:hideMark/>
          </w:tcPr>
          <w:p w14:paraId="7FA846D4" w14:textId="77777777" w:rsidR="00C81AEA" w:rsidRPr="00C81AEA" w:rsidRDefault="00C81AEA" w:rsidP="00C81AEA">
            <w:pPr>
              <w:spacing w:after="0"/>
              <w:jc w:val="right"/>
              <w:rPr>
                <w:rFonts w:ascii="Times New Roman" w:hAnsi="Times New Roman"/>
                <w:color w:val="auto"/>
                <w:sz w:val="20"/>
              </w:rPr>
            </w:pPr>
          </w:p>
        </w:tc>
      </w:tr>
      <w:tr w:rsidR="00C81AEA" w:rsidRPr="00C81AEA" w14:paraId="691C13E9" w14:textId="77777777" w:rsidTr="00C6624C">
        <w:trPr>
          <w:trHeight w:val="225"/>
        </w:trPr>
        <w:tc>
          <w:tcPr>
            <w:tcW w:w="2962" w:type="dxa"/>
            <w:tcBorders>
              <w:top w:val="nil"/>
              <w:left w:val="nil"/>
              <w:bottom w:val="nil"/>
              <w:right w:val="nil"/>
            </w:tcBorders>
            <w:shd w:val="clear" w:color="auto" w:fill="auto"/>
            <w:noWrap/>
            <w:vAlign w:val="bottom"/>
            <w:hideMark/>
          </w:tcPr>
          <w:p w14:paraId="52498729" w14:textId="77777777" w:rsidR="00C81AEA" w:rsidRPr="00C81AEA" w:rsidRDefault="00C81AEA" w:rsidP="00C81AEA">
            <w:pPr>
              <w:spacing w:after="0"/>
              <w:ind w:firstLineChars="100" w:firstLine="160"/>
              <w:rPr>
                <w:rFonts w:ascii="Arial" w:hAnsi="Arial" w:cs="Arial"/>
                <w:b/>
                <w:bCs/>
                <w:sz w:val="16"/>
                <w:szCs w:val="16"/>
              </w:rPr>
            </w:pPr>
            <w:r w:rsidRPr="00C81AEA">
              <w:rPr>
                <w:rFonts w:ascii="Arial" w:hAnsi="Arial" w:cs="Arial"/>
                <w:b/>
                <w:bCs/>
                <w:sz w:val="16"/>
                <w:szCs w:val="16"/>
              </w:rPr>
              <w:t>Financial assets</w:t>
            </w:r>
          </w:p>
        </w:tc>
        <w:tc>
          <w:tcPr>
            <w:tcW w:w="886" w:type="dxa"/>
            <w:tcBorders>
              <w:top w:val="nil"/>
              <w:left w:val="nil"/>
              <w:bottom w:val="nil"/>
              <w:right w:val="nil"/>
            </w:tcBorders>
            <w:shd w:val="clear" w:color="auto" w:fill="auto"/>
            <w:noWrap/>
            <w:tcMar>
              <w:left w:w="0" w:type="dxa"/>
            </w:tcMar>
            <w:vAlign w:val="bottom"/>
            <w:hideMark/>
          </w:tcPr>
          <w:p w14:paraId="69D30370" w14:textId="77777777" w:rsidR="00C81AEA" w:rsidRPr="00C81AEA" w:rsidRDefault="00C81AEA" w:rsidP="00C81AEA">
            <w:pPr>
              <w:spacing w:after="0"/>
              <w:ind w:firstLineChars="100" w:firstLine="160"/>
              <w:rPr>
                <w:rFonts w:ascii="Arial" w:hAnsi="Arial" w:cs="Arial"/>
                <w:b/>
                <w:bCs/>
                <w:sz w:val="16"/>
                <w:szCs w:val="16"/>
              </w:rPr>
            </w:pPr>
          </w:p>
        </w:tc>
        <w:tc>
          <w:tcPr>
            <w:tcW w:w="878" w:type="dxa"/>
            <w:tcBorders>
              <w:top w:val="nil"/>
              <w:left w:val="nil"/>
              <w:bottom w:val="nil"/>
              <w:right w:val="nil"/>
            </w:tcBorders>
            <w:shd w:val="clear" w:color="000000" w:fill="D9D9D9"/>
            <w:noWrap/>
            <w:tcMar>
              <w:left w:w="0" w:type="dxa"/>
            </w:tcMar>
            <w:vAlign w:val="bottom"/>
            <w:hideMark/>
          </w:tcPr>
          <w:p w14:paraId="5F37CDD5" w14:textId="77777777" w:rsidR="00C81AEA" w:rsidRPr="00C81AEA" w:rsidRDefault="00C81AEA" w:rsidP="00C81AEA">
            <w:pPr>
              <w:spacing w:after="0"/>
              <w:jc w:val="right"/>
              <w:rPr>
                <w:rFonts w:ascii="Arial" w:hAnsi="Arial" w:cs="Arial"/>
                <w:sz w:val="16"/>
                <w:szCs w:val="16"/>
              </w:rPr>
            </w:pPr>
            <w:r w:rsidRPr="00C81AEA">
              <w:rPr>
                <w:rFonts w:ascii="Arial" w:hAnsi="Arial" w:cs="Arial"/>
                <w:sz w:val="16"/>
                <w:szCs w:val="16"/>
              </w:rPr>
              <w:t> </w:t>
            </w:r>
          </w:p>
        </w:tc>
        <w:tc>
          <w:tcPr>
            <w:tcW w:w="878" w:type="dxa"/>
            <w:tcBorders>
              <w:top w:val="nil"/>
              <w:left w:val="nil"/>
              <w:bottom w:val="nil"/>
              <w:right w:val="nil"/>
            </w:tcBorders>
            <w:shd w:val="clear" w:color="auto" w:fill="auto"/>
            <w:noWrap/>
            <w:tcMar>
              <w:left w:w="0" w:type="dxa"/>
            </w:tcMar>
            <w:vAlign w:val="bottom"/>
            <w:hideMark/>
          </w:tcPr>
          <w:p w14:paraId="7AE03EAA" w14:textId="77777777" w:rsidR="00C81AEA" w:rsidRPr="00C81AEA" w:rsidRDefault="00C81AEA" w:rsidP="00C81AEA">
            <w:pPr>
              <w:spacing w:after="0"/>
              <w:jc w:val="right"/>
              <w:rPr>
                <w:rFonts w:ascii="Arial" w:hAnsi="Arial" w:cs="Arial"/>
                <w:sz w:val="16"/>
                <w:szCs w:val="16"/>
              </w:rPr>
            </w:pPr>
          </w:p>
        </w:tc>
        <w:tc>
          <w:tcPr>
            <w:tcW w:w="878" w:type="dxa"/>
            <w:tcBorders>
              <w:top w:val="nil"/>
              <w:left w:val="nil"/>
              <w:bottom w:val="nil"/>
              <w:right w:val="nil"/>
            </w:tcBorders>
            <w:shd w:val="clear" w:color="auto" w:fill="auto"/>
            <w:noWrap/>
            <w:tcMar>
              <w:left w:w="0" w:type="dxa"/>
            </w:tcMar>
            <w:vAlign w:val="bottom"/>
            <w:hideMark/>
          </w:tcPr>
          <w:p w14:paraId="07D0FB3E" w14:textId="77777777" w:rsidR="00C81AEA" w:rsidRPr="00C81AEA" w:rsidRDefault="00C81AEA" w:rsidP="00C81AEA">
            <w:pPr>
              <w:spacing w:after="0"/>
              <w:jc w:val="right"/>
              <w:rPr>
                <w:rFonts w:ascii="Times New Roman" w:hAnsi="Times New Roman"/>
                <w:color w:val="auto"/>
                <w:sz w:val="20"/>
              </w:rPr>
            </w:pPr>
          </w:p>
        </w:tc>
        <w:tc>
          <w:tcPr>
            <w:tcW w:w="878" w:type="dxa"/>
            <w:tcBorders>
              <w:top w:val="nil"/>
              <w:left w:val="nil"/>
              <w:bottom w:val="nil"/>
              <w:right w:val="nil"/>
            </w:tcBorders>
            <w:shd w:val="clear" w:color="auto" w:fill="auto"/>
            <w:noWrap/>
            <w:tcMar>
              <w:left w:w="0" w:type="dxa"/>
            </w:tcMar>
            <w:vAlign w:val="bottom"/>
            <w:hideMark/>
          </w:tcPr>
          <w:p w14:paraId="77433A2F" w14:textId="77777777" w:rsidR="00C81AEA" w:rsidRPr="00C81AEA" w:rsidRDefault="00C81AEA" w:rsidP="00C81AEA">
            <w:pPr>
              <w:spacing w:after="0"/>
              <w:jc w:val="right"/>
              <w:rPr>
                <w:rFonts w:ascii="Times New Roman" w:hAnsi="Times New Roman"/>
                <w:color w:val="auto"/>
                <w:sz w:val="20"/>
              </w:rPr>
            </w:pPr>
          </w:p>
        </w:tc>
      </w:tr>
      <w:tr w:rsidR="00C81AEA" w:rsidRPr="00C81AEA" w14:paraId="24C80AEA" w14:textId="77777777" w:rsidTr="00C6624C">
        <w:trPr>
          <w:trHeight w:val="225"/>
        </w:trPr>
        <w:tc>
          <w:tcPr>
            <w:tcW w:w="2962" w:type="dxa"/>
            <w:tcBorders>
              <w:top w:val="nil"/>
              <w:left w:val="nil"/>
              <w:bottom w:val="nil"/>
              <w:right w:val="nil"/>
            </w:tcBorders>
            <w:shd w:val="clear" w:color="auto" w:fill="auto"/>
            <w:noWrap/>
            <w:vAlign w:val="bottom"/>
            <w:hideMark/>
          </w:tcPr>
          <w:p w14:paraId="7534AEC7" w14:textId="77777777" w:rsidR="00C81AEA" w:rsidRPr="00C81AEA" w:rsidRDefault="00C81AEA" w:rsidP="00C81AEA">
            <w:pPr>
              <w:spacing w:after="0"/>
              <w:ind w:firstLineChars="200" w:firstLine="320"/>
              <w:rPr>
                <w:rFonts w:ascii="Arial" w:hAnsi="Arial" w:cs="Arial"/>
                <w:sz w:val="16"/>
                <w:szCs w:val="16"/>
              </w:rPr>
            </w:pPr>
            <w:r w:rsidRPr="00C81AEA">
              <w:rPr>
                <w:rFonts w:ascii="Arial" w:hAnsi="Arial" w:cs="Arial"/>
                <w:sz w:val="16"/>
                <w:szCs w:val="16"/>
              </w:rPr>
              <w:t>Cash and cash equivalents</w:t>
            </w:r>
          </w:p>
        </w:tc>
        <w:tc>
          <w:tcPr>
            <w:tcW w:w="886" w:type="dxa"/>
            <w:tcBorders>
              <w:top w:val="nil"/>
              <w:left w:val="nil"/>
              <w:bottom w:val="nil"/>
              <w:right w:val="nil"/>
            </w:tcBorders>
            <w:shd w:val="clear" w:color="auto" w:fill="auto"/>
            <w:noWrap/>
            <w:tcMar>
              <w:left w:w="0" w:type="dxa"/>
            </w:tcMar>
            <w:vAlign w:val="bottom"/>
            <w:hideMark/>
          </w:tcPr>
          <w:p w14:paraId="01220008" w14:textId="77777777" w:rsidR="00C81AEA" w:rsidRPr="00C81AEA" w:rsidRDefault="00C81AEA" w:rsidP="00C81AEA">
            <w:pPr>
              <w:spacing w:after="0"/>
              <w:jc w:val="right"/>
              <w:rPr>
                <w:rFonts w:ascii="Arial" w:hAnsi="Arial" w:cs="Arial"/>
                <w:color w:val="auto"/>
                <w:sz w:val="16"/>
                <w:szCs w:val="16"/>
              </w:rPr>
            </w:pPr>
            <w:r w:rsidRPr="00C81AEA">
              <w:rPr>
                <w:rFonts w:ascii="Arial" w:hAnsi="Arial" w:cs="Arial"/>
                <w:color w:val="auto"/>
                <w:sz w:val="16"/>
                <w:szCs w:val="16"/>
              </w:rPr>
              <w:t>103,253</w:t>
            </w:r>
          </w:p>
        </w:tc>
        <w:tc>
          <w:tcPr>
            <w:tcW w:w="878" w:type="dxa"/>
            <w:tcBorders>
              <w:top w:val="nil"/>
              <w:left w:val="nil"/>
              <w:bottom w:val="nil"/>
              <w:right w:val="nil"/>
            </w:tcBorders>
            <w:shd w:val="clear" w:color="000000" w:fill="D9D9D9"/>
            <w:noWrap/>
            <w:tcMar>
              <w:left w:w="0" w:type="dxa"/>
            </w:tcMar>
            <w:vAlign w:val="bottom"/>
            <w:hideMark/>
          </w:tcPr>
          <w:p w14:paraId="1067F093" w14:textId="77777777" w:rsidR="00C81AEA" w:rsidRPr="00C81AEA" w:rsidRDefault="00C81AEA" w:rsidP="00C81AEA">
            <w:pPr>
              <w:spacing w:after="0"/>
              <w:jc w:val="right"/>
              <w:rPr>
                <w:rFonts w:ascii="Arial" w:hAnsi="Arial" w:cs="Arial"/>
                <w:color w:val="auto"/>
                <w:sz w:val="16"/>
                <w:szCs w:val="16"/>
              </w:rPr>
            </w:pPr>
            <w:r w:rsidRPr="00C81AEA">
              <w:rPr>
                <w:rFonts w:ascii="Arial" w:hAnsi="Arial" w:cs="Arial"/>
                <w:color w:val="auto"/>
                <w:sz w:val="16"/>
                <w:szCs w:val="16"/>
              </w:rPr>
              <w:t>103,253</w:t>
            </w:r>
          </w:p>
        </w:tc>
        <w:tc>
          <w:tcPr>
            <w:tcW w:w="878" w:type="dxa"/>
            <w:tcBorders>
              <w:top w:val="nil"/>
              <w:left w:val="nil"/>
              <w:bottom w:val="nil"/>
              <w:right w:val="nil"/>
            </w:tcBorders>
            <w:shd w:val="clear" w:color="auto" w:fill="auto"/>
            <w:noWrap/>
            <w:tcMar>
              <w:left w:w="0" w:type="dxa"/>
            </w:tcMar>
            <w:vAlign w:val="bottom"/>
            <w:hideMark/>
          </w:tcPr>
          <w:p w14:paraId="7E84FDAF" w14:textId="77777777" w:rsidR="00C81AEA" w:rsidRPr="00C81AEA" w:rsidRDefault="00C81AEA" w:rsidP="00C81AEA">
            <w:pPr>
              <w:spacing w:after="0"/>
              <w:jc w:val="right"/>
              <w:rPr>
                <w:rFonts w:ascii="Arial" w:hAnsi="Arial" w:cs="Arial"/>
                <w:color w:val="auto"/>
                <w:sz w:val="16"/>
                <w:szCs w:val="16"/>
              </w:rPr>
            </w:pPr>
            <w:r w:rsidRPr="00C81AEA">
              <w:rPr>
                <w:rFonts w:ascii="Arial" w:hAnsi="Arial" w:cs="Arial"/>
                <w:color w:val="auto"/>
                <w:sz w:val="16"/>
                <w:szCs w:val="16"/>
              </w:rPr>
              <w:t>103,253</w:t>
            </w:r>
          </w:p>
        </w:tc>
        <w:tc>
          <w:tcPr>
            <w:tcW w:w="878" w:type="dxa"/>
            <w:tcBorders>
              <w:top w:val="nil"/>
              <w:left w:val="nil"/>
              <w:bottom w:val="nil"/>
              <w:right w:val="nil"/>
            </w:tcBorders>
            <w:shd w:val="clear" w:color="auto" w:fill="auto"/>
            <w:noWrap/>
            <w:tcMar>
              <w:left w:w="0" w:type="dxa"/>
            </w:tcMar>
            <w:vAlign w:val="bottom"/>
            <w:hideMark/>
          </w:tcPr>
          <w:p w14:paraId="4F051673" w14:textId="77777777" w:rsidR="00C81AEA" w:rsidRPr="00C81AEA" w:rsidRDefault="00C81AEA" w:rsidP="00C81AEA">
            <w:pPr>
              <w:spacing w:after="0"/>
              <w:jc w:val="right"/>
              <w:rPr>
                <w:rFonts w:ascii="Arial" w:hAnsi="Arial" w:cs="Arial"/>
                <w:color w:val="auto"/>
                <w:sz w:val="16"/>
                <w:szCs w:val="16"/>
              </w:rPr>
            </w:pPr>
            <w:r w:rsidRPr="00C81AEA">
              <w:rPr>
                <w:rFonts w:ascii="Arial" w:hAnsi="Arial" w:cs="Arial"/>
                <w:color w:val="auto"/>
                <w:sz w:val="16"/>
                <w:szCs w:val="16"/>
              </w:rPr>
              <w:t>103,253</w:t>
            </w:r>
          </w:p>
        </w:tc>
        <w:tc>
          <w:tcPr>
            <w:tcW w:w="878" w:type="dxa"/>
            <w:tcBorders>
              <w:top w:val="nil"/>
              <w:left w:val="nil"/>
              <w:bottom w:val="nil"/>
              <w:right w:val="nil"/>
            </w:tcBorders>
            <w:shd w:val="clear" w:color="auto" w:fill="auto"/>
            <w:noWrap/>
            <w:tcMar>
              <w:left w:w="0" w:type="dxa"/>
            </w:tcMar>
            <w:vAlign w:val="bottom"/>
            <w:hideMark/>
          </w:tcPr>
          <w:p w14:paraId="113B235B" w14:textId="77777777" w:rsidR="00C81AEA" w:rsidRPr="00C81AEA" w:rsidRDefault="00C81AEA" w:rsidP="00C81AEA">
            <w:pPr>
              <w:spacing w:after="0"/>
              <w:jc w:val="right"/>
              <w:rPr>
                <w:rFonts w:ascii="Arial" w:hAnsi="Arial" w:cs="Arial"/>
                <w:color w:val="auto"/>
                <w:sz w:val="16"/>
                <w:szCs w:val="16"/>
              </w:rPr>
            </w:pPr>
            <w:r w:rsidRPr="00C81AEA">
              <w:rPr>
                <w:rFonts w:ascii="Arial" w:hAnsi="Arial" w:cs="Arial"/>
                <w:color w:val="auto"/>
                <w:sz w:val="16"/>
                <w:szCs w:val="16"/>
              </w:rPr>
              <w:t>103,253</w:t>
            </w:r>
          </w:p>
        </w:tc>
      </w:tr>
      <w:tr w:rsidR="00C81AEA" w:rsidRPr="00C81AEA" w14:paraId="0CE1EC57" w14:textId="77777777" w:rsidTr="00C6624C">
        <w:trPr>
          <w:trHeight w:val="225"/>
        </w:trPr>
        <w:tc>
          <w:tcPr>
            <w:tcW w:w="2962" w:type="dxa"/>
            <w:tcBorders>
              <w:top w:val="nil"/>
              <w:left w:val="nil"/>
              <w:bottom w:val="nil"/>
              <w:right w:val="nil"/>
            </w:tcBorders>
            <w:shd w:val="clear" w:color="auto" w:fill="auto"/>
            <w:noWrap/>
            <w:vAlign w:val="bottom"/>
            <w:hideMark/>
          </w:tcPr>
          <w:p w14:paraId="295776F8" w14:textId="77777777" w:rsidR="00C81AEA" w:rsidRPr="00C81AEA" w:rsidRDefault="00C81AEA" w:rsidP="00C81AEA">
            <w:pPr>
              <w:spacing w:after="0"/>
              <w:ind w:firstLineChars="200" w:firstLine="320"/>
              <w:rPr>
                <w:rFonts w:ascii="Arial" w:hAnsi="Arial" w:cs="Arial"/>
                <w:sz w:val="16"/>
                <w:szCs w:val="16"/>
              </w:rPr>
            </w:pPr>
            <w:r w:rsidRPr="00C81AEA">
              <w:rPr>
                <w:rFonts w:ascii="Arial" w:hAnsi="Arial" w:cs="Arial"/>
                <w:sz w:val="16"/>
                <w:szCs w:val="16"/>
              </w:rPr>
              <w:t>Trade and other receivables</w:t>
            </w:r>
          </w:p>
        </w:tc>
        <w:tc>
          <w:tcPr>
            <w:tcW w:w="886" w:type="dxa"/>
            <w:tcBorders>
              <w:top w:val="nil"/>
              <w:left w:val="nil"/>
              <w:bottom w:val="nil"/>
              <w:right w:val="nil"/>
            </w:tcBorders>
            <w:shd w:val="clear" w:color="auto" w:fill="auto"/>
            <w:noWrap/>
            <w:tcMar>
              <w:left w:w="0" w:type="dxa"/>
            </w:tcMar>
            <w:vAlign w:val="bottom"/>
            <w:hideMark/>
          </w:tcPr>
          <w:p w14:paraId="1B7BD845" w14:textId="77777777" w:rsidR="00C81AEA" w:rsidRPr="00C81AEA" w:rsidRDefault="00C81AEA" w:rsidP="00C81AEA">
            <w:pPr>
              <w:spacing w:after="0"/>
              <w:jc w:val="right"/>
              <w:rPr>
                <w:rFonts w:ascii="Arial" w:hAnsi="Arial" w:cs="Arial"/>
                <w:color w:val="auto"/>
                <w:sz w:val="16"/>
                <w:szCs w:val="16"/>
              </w:rPr>
            </w:pPr>
            <w:r w:rsidRPr="00C81AEA">
              <w:rPr>
                <w:rFonts w:ascii="Arial" w:hAnsi="Arial" w:cs="Arial"/>
                <w:color w:val="auto"/>
                <w:sz w:val="16"/>
                <w:szCs w:val="16"/>
              </w:rPr>
              <w:t>11,481</w:t>
            </w:r>
          </w:p>
        </w:tc>
        <w:tc>
          <w:tcPr>
            <w:tcW w:w="878" w:type="dxa"/>
            <w:tcBorders>
              <w:top w:val="nil"/>
              <w:left w:val="nil"/>
              <w:bottom w:val="nil"/>
              <w:right w:val="nil"/>
            </w:tcBorders>
            <w:shd w:val="clear" w:color="000000" w:fill="D9D9D9"/>
            <w:noWrap/>
            <w:tcMar>
              <w:left w:w="0" w:type="dxa"/>
            </w:tcMar>
            <w:vAlign w:val="bottom"/>
            <w:hideMark/>
          </w:tcPr>
          <w:p w14:paraId="7924902D" w14:textId="77777777" w:rsidR="00C81AEA" w:rsidRPr="00C81AEA" w:rsidRDefault="00C81AEA" w:rsidP="00C81AEA">
            <w:pPr>
              <w:spacing w:after="0"/>
              <w:jc w:val="right"/>
              <w:rPr>
                <w:rFonts w:ascii="Arial" w:hAnsi="Arial" w:cs="Arial"/>
                <w:color w:val="auto"/>
                <w:sz w:val="16"/>
                <w:szCs w:val="16"/>
              </w:rPr>
            </w:pPr>
            <w:r w:rsidRPr="00C81AEA">
              <w:rPr>
                <w:rFonts w:ascii="Arial" w:hAnsi="Arial" w:cs="Arial"/>
                <w:color w:val="auto"/>
                <w:sz w:val="16"/>
                <w:szCs w:val="16"/>
              </w:rPr>
              <w:t>11,481</w:t>
            </w:r>
          </w:p>
        </w:tc>
        <w:tc>
          <w:tcPr>
            <w:tcW w:w="878" w:type="dxa"/>
            <w:tcBorders>
              <w:top w:val="nil"/>
              <w:left w:val="nil"/>
              <w:bottom w:val="nil"/>
              <w:right w:val="nil"/>
            </w:tcBorders>
            <w:shd w:val="clear" w:color="auto" w:fill="auto"/>
            <w:noWrap/>
            <w:tcMar>
              <w:left w:w="0" w:type="dxa"/>
            </w:tcMar>
            <w:vAlign w:val="bottom"/>
            <w:hideMark/>
          </w:tcPr>
          <w:p w14:paraId="0ABC08A2" w14:textId="77777777" w:rsidR="00C81AEA" w:rsidRPr="00C81AEA" w:rsidRDefault="00C81AEA" w:rsidP="00C81AEA">
            <w:pPr>
              <w:spacing w:after="0"/>
              <w:jc w:val="right"/>
              <w:rPr>
                <w:rFonts w:ascii="Arial" w:hAnsi="Arial" w:cs="Arial"/>
                <w:color w:val="auto"/>
                <w:sz w:val="16"/>
                <w:szCs w:val="16"/>
              </w:rPr>
            </w:pPr>
            <w:r w:rsidRPr="00C81AEA">
              <w:rPr>
                <w:rFonts w:ascii="Arial" w:hAnsi="Arial" w:cs="Arial"/>
                <w:color w:val="auto"/>
                <w:sz w:val="16"/>
                <w:szCs w:val="16"/>
              </w:rPr>
              <w:t>11,481</w:t>
            </w:r>
          </w:p>
        </w:tc>
        <w:tc>
          <w:tcPr>
            <w:tcW w:w="878" w:type="dxa"/>
            <w:tcBorders>
              <w:top w:val="nil"/>
              <w:left w:val="nil"/>
              <w:bottom w:val="nil"/>
              <w:right w:val="nil"/>
            </w:tcBorders>
            <w:shd w:val="clear" w:color="auto" w:fill="auto"/>
            <w:noWrap/>
            <w:tcMar>
              <w:left w:w="0" w:type="dxa"/>
            </w:tcMar>
            <w:vAlign w:val="bottom"/>
            <w:hideMark/>
          </w:tcPr>
          <w:p w14:paraId="6AA3F31C" w14:textId="77777777" w:rsidR="00C81AEA" w:rsidRPr="00C81AEA" w:rsidRDefault="00C81AEA" w:rsidP="00C81AEA">
            <w:pPr>
              <w:spacing w:after="0"/>
              <w:jc w:val="right"/>
              <w:rPr>
                <w:rFonts w:ascii="Arial" w:hAnsi="Arial" w:cs="Arial"/>
                <w:color w:val="auto"/>
                <w:sz w:val="16"/>
                <w:szCs w:val="16"/>
              </w:rPr>
            </w:pPr>
            <w:r w:rsidRPr="00C81AEA">
              <w:rPr>
                <w:rFonts w:ascii="Arial" w:hAnsi="Arial" w:cs="Arial"/>
                <w:color w:val="auto"/>
                <w:sz w:val="16"/>
                <w:szCs w:val="16"/>
              </w:rPr>
              <w:t>11,481</w:t>
            </w:r>
          </w:p>
        </w:tc>
        <w:tc>
          <w:tcPr>
            <w:tcW w:w="878" w:type="dxa"/>
            <w:tcBorders>
              <w:top w:val="nil"/>
              <w:left w:val="nil"/>
              <w:bottom w:val="nil"/>
              <w:right w:val="nil"/>
            </w:tcBorders>
            <w:shd w:val="clear" w:color="auto" w:fill="auto"/>
            <w:noWrap/>
            <w:tcMar>
              <w:left w:w="0" w:type="dxa"/>
            </w:tcMar>
            <w:vAlign w:val="bottom"/>
            <w:hideMark/>
          </w:tcPr>
          <w:p w14:paraId="2EB26538" w14:textId="77777777" w:rsidR="00C81AEA" w:rsidRPr="00C81AEA" w:rsidRDefault="00C81AEA" w:rsidP="00C81AEA">
            <w:pPr>
              <w:spacing w:after="0"/>
              <w:jc w:val="right"/>
              <w:rPr>
                <w:rFonts w:ascii="Arial" w:hAnsi="Arial" w:cs="Arial"/>
                <w:color w:val="auto"/>
                <w:sz w:val="16"/>
                <w:szCs w:val="16"/>
              </w:rPr>
            </w:pPr>
            <w:r w:rsidRPr="00C81AEA">
              <w:rPr>
                <w:rFonts w:ascii="Arial" w:hAnsi="Arial" w:cs="Arial"/>
                <w:color w:val="auto"/>
                <w:sz w:val="16"/>
                <w:szCs w:val="16"/>
              </w:rPr>
              <w:t>11,481</w:t>
            </w:r>
          </w:p>
        </w:tc>
      </w:tr>
      <w:tr w:rsidR="00C81AEA" w:rsidRPr="00C81AEA" w14:paraId="09BDEC06" w14:textId="77777777" w:rsidTr="00C6624C">
        <w:trPr>
          <w:trHeight w:val="225"/>
        </w:trPr>
        <w:tc>
          <w:tcPr>
            <w:tcW w:w="2962" w:type="dxa"/>
            <w:tcBorders>
              <w:top w:val="nil"/>
              <w:left w:val="nil"/>
              <w:bottom w:val="nil"/>
              <w:right w:val="nil"/>
            </w:tcBorders>
            <w:shd w:val="clear" w:color="auto" w:fill="auto"/>
            <w:noWrap/>
            <w:vAlign w:val="bottom"/>
            <w:hideMark/>
          </w:tcPr>
          <w:p w14:paraId="523474A9" w14:textId="77777777" w:rsidR="00C81AEA" w:rsidRPr="00C81AEA" w:rsidRDefault="00C81AEA" w:rsidP="00C81AEA">
            <w:pPr>
              <w:spacing w:after="0"/>
              <w:ind w:firstLineChars="200" w:firstLine="320"/>
              <w:rPr>
                <w:rFonts w:ascii="Arial" w:hAnsi="Arial" w:cs="Arial"/>
                <w:b/>
                <w:bCs/>
                <w:sz w:val="16"/>
                <w:szCs w:val="16"/>
              </w:rPr>
            </w:pPr>
            <w:r w:rsidRPr="00C81AEA">
              <w:rPr>
                <w:rFonts w:ascii="Arial" w:hAnsi="Arial" w:cs="Arial"/>
                <w:b/>
                <w:bCs/>
                <w:sz w:val="16"/>
                <w:szCs w:val="16"/>
              </w:rPr>
              <w:t>Total financial assets</w:t>
            </w:r>
          </w:p>
        </w:tc>
        <w:tc>
          <w:tcPr>
            <w:tcW w:w="886" w:type="dxa"/>
            <w:tcBorders>
              <w:top w:val="nil"/>
              <w:left w:val="nil"/>
              <w:bottom w:val="single" w:sz="4" w:space="0" w:color="auto"/>
              <w:right w:val="nil"/>
            </w:tcBorders>
            <w:shd w:val="clear" w:color="auto" w:fill="auto"/>
            <w:noWrap/>
            <w:tcMar>
              <w:left w:w="0" w:type="dxa"/>
            </w:tcMar>
            <w:vAlign w:val="bottom"/>
            <w:hideMark/>
          </w:tcPr>
          <w:p w14:paraId="416C53EE" w14:textId="77777777" w:rsidR="00C81AEA" w:rsidRPr="00C81AEA" w:rsidRDefault="00C81AEA" w:rsidP="00C81AEA">
            <w:pPr>
              <w:spacing w:after="0"/>
              <w:jc w:val="right"/>
              <w:rPr>
                <w:rFonts w:ascii="Arial" w:hAnsi="Arial" w:cs="Arial"/>
                <w:b/>
                <w:bCs/>
                <w:sz w:val="16"/>
                <w:szCs w:val="16"/>
              </w:rPr>
            </w:pPr>
            <w:r w:rsidRPr="00C81AEA">
              <w:rPr>
                <w:rFonts w:ascii="Arial" w:hAnsi="Arial" w:cs="Arial"/>
                <w:b/>
                <w:bCs/>
                <w:sz w:val="16"/>
                <w:szCs w:val="16"/>
              </w:rPr>
              <w:t>114,734</w:t>
            </w:r>
          </w:p>
        </w:tc>
        <w:tc>
          <w:tcPr>
            <w:tcW w:w="878" w:type="dxa"/>
            <w:tcBorders>
              <w:top w:val="nil"/>
              <w:left w:val="nil"/>
              <w:bottom w:val="single" w:sz="4" w:space="0" w:color="auto"/>
              <w:right w:val="nil"/>
            </w:tcBorders>
            <w:shd w:val="clear" w:color="000000" w:fill="D9D9D9"/>
            <w:noWrap/>
            <w:tcMar>
              <w:left w:w="0" w:type="dxa"/>
            </w:tcMar>
            <w:vAlign w:val="bottom"/>
            <w:hideMark/>
          </w:tcPr>
          <w:p w14:paraId="73DCB7CF" w14:textId="77777777" w:rsidR="00C81AEA" w:rsidRPr="00C81AEA" w:rsidRDefault="00C81AEA" w:rsidP="00C81AEA">
            <w:pPr>
              <w:spacing w:after="0"/>
              <w:jc w:val="right"/>
              <w:rPr>
                <w:rFonts w:ascii="Arial" w:hAnsi="Arial" w:cs="Arial"/>
                <w:b/>
                <w:bCs/>
                <w:sz w:val="16"/>
                <w:szCs w:val="16"/>
              </w:rPr>
            </w:pPr>
            <w:r w:rsidRPr="00C81AEA">
              <w:rPr>
                <w:rFonts w:ascii="Arial" w:hAnsi="Arial" w:cs="Arial"/>
                <w:b/>
                <w:bCs/>
                <w:sz w:val="16"/>
                <w:szCs w:val="16"/>
              </w:rPr>
              <w:t>114,734</w:t>
            </w:r>
          </w:p>
        </w:tc>
        <w:tc>
          <w:tcPr>
            <w:tcW w:w="878" w:type="dxa"/>
            <w:tcBorders>
              <w:top w:val="nil"/>
              <w:left w:val="nil"/>
              <w:bottom w:val="single" w:sz="4" w:space="0" w:color="auto"/>
              <w:right w:val="nil"/>
            </w:tcBorders>
            <w:shd w:val="clear" w:color="auto" w:fill="auto"/>
            <w:noWrap/>
            <w:tcMar>
              <w:left w:w="0" w:type="dxa"/>
            </w:tcMar>
            <w:vAlign w:val="bottom"/>
            <w:hideMark/>
          </w:tcPr>
          <w:p w14:paraId="7584850B" w14:textId="77777777" w:rsidR="00C81AEA" w:rsidRPr="00C81AEA" w:rsidRDefault="00C81AEA" w:rsidP="00C81AEA">
            <w:pPr>
              <w:spacing w:after="0"/>
              <w:jc w:val="right"/>
              <w:rPr>
                <w:rFonts w:ascii="Arial" w:hAnsi="Arial" w:cs="Arial"/>
                <w:b/>
                <w:bCs/>
                <w:sz w:val="16"/>
                <w:szCs w:val="16"/>
              </w:rPr>
            </w:pPr>
            <w:r w:rsidRPr="00C81AEA">
              <w:rPr>
                <w:rFonts w:ascii="Arial" w:hAnsi="Arial" w:cs="Arial"/>
                <w:b/>
                <w:bCs/>
                <w:sz w:val="16"/>
                <w:szCs w:val="16"/>
              </w:rPr>
              <w:t>114,734</w:t>
            </w:r>
          </w:p>
        </w:tc>
        <w:tc>
          <w:tcPr>
            <w:tcW w:w="878" w:type="dxa"/>
            <w:tcBorders>
              <w:top w:val="nil"/>
              <w:left w:val="nil"/>
              <w:bottom w:val="single" w:sz="4" w:space="0" w:color="auto"/>
              <w:right w:val="nil"/>
            </w:tcBorders>
            <w:shd w:val="clear" w:color="auto" w:fill="auto"/>
            <w:noWrap/>
            <w:tcMar>
              <w:left w:w="0" w:type="dxa"/>
            </w:tcMar>
            <w:vAlign w:val="bottom"/>
            <w:hideMark/>
          </w:tcPr>
          <w:p w14:paraId="77F0F925" w14:textId="77777777" w:rsidR="00C81AEA" w:rsidRPr="00C81AEA" w:rsidRDefault="00C81AEA" w:rsidP="00C81AEA">
            <w:pPr>
              <w:spacing w:after="0"/>
              <w:jc w:val="right"/>
              <w:rPr>
                <w:rFonts w:ascii="Arial" w:hAnsi="Arial" w:cs="Arial"/>
                <w:b/>
                <w:bCs/>
                <w:sz w:val="16"/>
                <w:szCs w:val="16"/>
              </w:rPr>
            </w:pPr>
            <w:r w:rsidRPr="00C81AEA">
              <w:rPr>
                <w:rFonts w:ascii="Arial" w:hAnsi="Arial" w:cs="Arial"/>
                <w:b/>
                <w:bCs/>
                <w:sz w:val="16"/>
                <w:szCs w:val="16"/>
              </w:rPr>
              <w:t>114,734</w:t>
            </w:r>
          </w:p>
        </w:tc>
        <w:tc>
          <w:tcPr>
            <w:tcW w:w="878" w:type="dxa"/>
            <w:tcBorders>
              <w:top w:val="nil"/>
              <w:left w:val="nil"/>
              <w:bottom w:val="single" w:sz="4" w:space="0" w:color="auto"/>
              <w:right w:val="nil"/>
            </w:tcBorders>
            <w:shd w:val="clear" w:color="auto" w:fill="auto"/>
            <w:noWrap/>
            <w:tcMar>
              <w:left w:w="0" w:type="dxa"/>
            </w:tcMar>
            <w:vAlign w:val="bottom"/>
            <w:hideMark/>
          </w:tcPr>
          <w:p w14:paraId="7292EDE9" w14:textId="77777777" w:rsidR="00C81AEA" w:rsidRPr="00C81AEA" w:rsidRDefault="00C81AEA" w:rsidP="00C81AEA">
            <w:pPr>
              <w:spacing w:after="0"/>
              <w:jc w:val="right"/>
              <w:rPr>
                <w:rFonts w:ascii="Arial" w:hAnsi="Arial" w:cs="Arial"/>
                <w:b/>
                <w:bCs/>
                <w:sz w:val="16"/>
                <w:szCs w:val="16"/>
              </w:rPr>
            </w:pPr>
            <w:r w:rsidRPr="00C81AEA">
              <w:rPr>
                <w:rFonts w:ascii="Arial" w:hAnsi="Arial" w:cs="Arial"/>
                <w:b/>
                <w:bCs/>
                <w:sz w:val="16"/>
                <w:szCs w:val="16"/>
              </w:rPr>
              <w:t>114,734</w:t>
            </w:r>
          </w:p>
        </w:tc>
      </w:tr>
      <w:tr w:rsidR="00C81AEA" w:rsidRPr="00C81AEA" w14:paraId="34D267D1" w14:textId="77777777" w:rsidTr="00C6624C">
        <w:trPr>
          <w:trHeight w:val="300"/>
        </w:trPr>
        <w:tc>
          <w:tcPr>
            <w:tcW w:w="2962" w:type="dxa"/>
            <w:tcBorders>
              <w:top w:val="nil"/>
              <w:left w:val="nil"/>
              <w:bottom w:val="nil"/>
              <w:right w:val="nil"/>
            </w:tcBorders>
            <w:shd w:val="clear" w:color="auto" w:fill="auto"/>
            <w:noWrap/>
            <w:vAlign w:val="bottom"/>
            <w:hideMark/>
          </w:tcPr>
          <w:p w14:paraId="561456B4" w14:textId="77777777" w:rsidR="00C81AEA" w:rsidRPr="00C81AEA" w:rsidRDefault="00C81AEA" w:rsidP="00C81AEA">
            <w:pPr>
              <w:spacing w:after="0"/>
              <w:ind w:firstLineChars="100" w:firstLine="160"/>
              <w:rPr>
                <w:rFonts w:ascii="Arial" w:hAnsi="Arial" w:cs="Arial"/>
                <w:b/>
                <w:bCs/>
                <w:sz w:val="16"/>
                <w:szCs w:val="16"/>
              </w:rPr>
            </w:pPr>
            <w:r w:rsidRPr="00C81AEA">
              <w:rPr>
                <w:rFonts w:ascii="Arial" w:hAnsi="Arial" w:cs="Arial"/>
                <w:b/>
                <w:bCs/>
                <w:sz w:val="16"/>
                <w:szCs w:val="16"/>
              </w:rPr>
              <w:t>Non-financial assets</w:t>
            </w:r>
          </w:p>
        </w:tc>
        <w:tc>
          <w:tcPr>
            <w:tcW w:w="886" w:type="dxa"/>
            <w:tcBorders>
              <w:top w:val="nil"/>
              <w:left w:val="nil"/>
              <w:bottom w:val="nil"/>
              <w:right w:val="nil"/>
            </w:tcBorders>
            <w:shd w:val="clear" w:color="auto" w:fill="auto"/>
            <w:noWrap/>
            <w:tcMar>
              <w:left w:w="0" w:type="dxa"/>
            </w:tcMar>
            <w:vAlign w:val="bottom"/>
            <w:hideMark/>
          </w:tcPr>
          <w:p w14:paraId="654F1DE4" w14:textId="77777777" w:rsidR="00C81AEA" w:rsidRPr="00C81AEA" w:rsidRDefault="00C81AEA" w:rsidP="00C81AEA">
            <w:pPr>
              <w:spacing w:after="0"/>
              <w:ind w:firstLineChars="100" w:firstLine="160"/>
              <w:rPr>
                <w:rFonts w:ascii="Arial" w:hAnsi="Arial" w:cs="Arial"/>
                <w:b/>
                <w:bCs/>
                <w:sz w:val="16"/>
                <w:szCs w:val="16"/>
              </w:rPr>
            </w:pPr>
          </w:p>
        </w:tc>
        <w:tc>
          <w:tcPr>
            <w:tcW w:w="878" w:type="dxa"/>
            <w:tcBorders>
              <w:top w:val="nil"/>
              <w:left w:val="nil"/>
              <w:bottom w:val="nil"/>
              <w:right w:val="nil"/>
            </w:tcBorders>
            <w:shd w:val="clear" w:color="000000" w:fill="D9D9D9"/>
            <w:noWrap/>
            <w:tcMar>
              <w:left w:w="0" w:type="dxa"/>
            </w:tcMar>
            <w:vAlign w:val="bottom"/>
            <w:hideMark/>
          </w:tcPr>
          <w:p w14:paraId="273AA040" w14:textId="77777777" w:rsidR="00C81AEA" w:rsidRPr="00C81AEA" w:rsidRDefault="00C81AEA" w:rsidP="00C81AEA">
            <w:pPr>
              <w:spacing w:after="0"/>
              <w:jc w:val="right"/>
              <w:rPr>
                <w:rFonts w:ascii="Arial" w:hAnsi="Arial" w:cs="Arial"/>
                <w:sz w:val="16"/>
                <w:szCs w:val="16"/>
              </w:rPr>
            </w:pPr>
            <w:r w:rsidRPr="00C81AEA">
              <w:rPr>
                <w:rFonts w:ascii="Arial" w:hAnsi="Arial" w:cs="Arial"/>
                <w:sz w:val="16"/>
                <w:szCs w:val="16"/>
              </w:rPr>
              <w:t> </w:t>
            </w:r>
          </w:p>
        </w:tc>
        <w:tc>
          <w:tcPr>
            <w:tcW w:w="878" w:type="dxa"/>
            <w:tcBorders>
              <w:top w:val="nil"/>
              <w:left w:val="nil"/>
              <w:bottom w:val="nil"/>
              <w:right w:val="nil"/>
            </w:tcBorders>
            <w:shd w:val="clear" w:color="auto" w:fill="auto"/>
            <w:noWrap/>
            <w:tcMar>
              <w:left w:w="0" w:type="dxa"/>
            </w:tcMar>
            <w:vAlign w:val="bottom"/>
            <w:hideMark/>
          </w:tcPr>
          <w:p w14:paraId="0F228AB9" w14:textId="77777777" w:rsidR="00C81AEA" w:rsidRPr="00C81AEA" w:rsidRDefault="00C81AEA" w:rsidP="00C81AEA">
            <w:pPr>
              <w:spacing w:after="0"/>
              <w:jc w:val="right"/>
              <w:rPr>
                <w:rFonts w:ascii="Arial" w:hAnsi="Arial" w:cs="Arial"/>
                <w:sz w:val="16"/>
                <w:szCs w:val="16"/>
              </w:rPr>
            </w:pPr>
          </w:p>
        </w:tc>
        <w:tc>
          <w:tcPr>
            <w:tcW w:w="878" w:type="dxa"/>
            <w:tcBorders>
              <w:top w:val="nil"/>
              <w:left w:val="nil"/>
              <w:bottom w:val="nil"/>
              <w:right w:val="nil"/>
            </w:tcBorders>
            <w:shd w:val="clear" w:color="auto" w:fill="auto"/>
            <w:noWrap/>
            <w:tcMar>
              <w:left w:w="0" w:type="dxa"/>
            </w:tcMar>
            <w:vAlign w:val="bottom"/>
            <w:hideMark/>
          </w:tcPr>
          <w:p w14:paraId="3B309C05" w14:textId="77777777" w:rsidR="00C81AEA" w:rsidRPr="00C81AEA" w:rsidRDefault="00C81AEA" w:rsidP="00C81AEA">
            <w:pPr>
              <w:spacing w:after="0"/>
              <w:jc w:val="right"/>
              <w:rPr>
                <w:rFonts w:ascii="Times New Roman" w:hAnsi="Times New Roman"/>
                <w:color w:val="auto"/>
                <w:sz w:val="20"/>
              </w:rPr>
            </w:pPr>
          </w:p>
        </w:tc>
        <w:tc>
          <w:tcPr>
            <w:tcW w:w="878" w:type="dxa"/>
            <w:tcBorders>
              <w:top w:val="nil"/>
              <w:left w:val="nil"/>
              <w:bottom w:val="nil"/>
              <w:right w:val="nil"/>
            </w:tcBorders>
            <w:shd w:val="clear" w:color="auto" w:fill="auto"/>
            <w:noWrap/>
            <w:tcMar>
              <w:left w:w="0" w:type="dxa"/>
            </w:tcMar>
            <w:vAlign w:val="bottom"/>
            <w:hideMark/>
          </w:tcPr>
          <w:p w14:paraId="52DE4A3A" w14:textId="77777777" w:rsidR="00C81AEA" w:rsidRPr="00C81AEA" w:rsidRDefault="00C81AEA" w:rsidP="00C81AEA">
            <w:pPr>
              <w:spacing w:after="0"/>
              <w:jc w:val="right"/>
              <w:rPr>
                <w:rFonts w:ascii="Times New Roman" w:hAnsi="Times New Roman"/>
                <w:color w:val="auto"/>
                <w:sz w:val="20"/>
              </w:rPr>
            </w:pPr>
          </w:p>
        </w:tc>
      </w:tr>
      <w:tr w:rsidR="00C81AEA" w:rsidRPr="00C81AEA" w14:paraId="742514BF" w14:textId="77777777" w:rsidTr="00C6624C">
        <w:trPr>
          <w:trHeight w:val="225"/>
        </w:trPr>
        <w:tc>
          <w:tcPr>
            <w:tcW w:w="2962" w:type="dxa"/>
            <w:tcBorders>
              <w:top w:val="nil"/>
              <w:left w:val="nil"/>
              <w:bottom w:val="nil"/>
              <w:right w:val="nil"/>
            </w:tcBorders>
            <w:shd w:val="clear" w:color="auto" w:fill="auto"/>
            <w:noWrap/>
            <w:vAlign w:val="bottom"/>
            <w:hideMark/>
          </w:tcPr>
          <w:p w14:paraId="06E5811D" w14:textId="77777777" w:rsidR="00C81AEA" w:rsidRPr="00C81AEA" w:rsidRDefault="00C81AEA" w:rsidP="00C81AEA">
            <w:pPr>
              <w:spacing w:after="0"/>
              <w:ind w:firstLineChars="200" w:firstLine="320"/>
              <w:rPr>
                <w:rFonts w:ascii="Arial" w:hAnsi="Arial" w:cs="Arial"/>
                <w:sz w:val="16"/>
                <w:szCs w:val="16"/>
              </w:rPr>
            </w:pPr>
            <w:r w:rsidRPr="00C81AEA">
              <w:rPr>
                <w:rFonts w:ascii="Arial" w:hAnsi="Arial" w:cs="Arial"/>
                <w:sz w:val="16"/>
                <w:szCs w:val="16"/>
              </w:rPr>
              <w:t>Land and buildings</w:t>
            </w:r>
          </w:p>
        </w:tc>
        <w:tc>
          <w:tcPr>
            <w:tcW w:w="886" w:type="dxa"/>
            <w:tcBorders>
              <w:top w:val="nil"/>
              <w:left w:val="nil"/>
              <w:bottom w:val="nil"/>
              <w:right w:val="nil"/>
            </w:tcBorders>
            <w:shd w:val="clear" w:color="auto" w:fill="auto"/>
            <w:noWrap/>
            <w:tcMar>
              <w:left w:w="0" w:type="dxa"/>
            </w:tcMar>
            <w:vAlign w:val="bottom"/>
            <w:hideMark/>
          </w:tcPr>
          <w:p w14:paraId="2D96F440" w14:textId="77777777" w:rsidR="00C81AEA" w:rsidRPr="00C81AEA" w:rsidRDefault="00C81AEA" w:rsidP="00C81AEA">
            <w:pPr>
              <w:spacing w:after="0"/>
              <w:jc w:val="right"/>
              <w:rPr>
                <w:rFonts w:ascii="Arial" w:hAnsi="Arial" w:cs="Arial"/>
                <w:color w:val="auto"/>
                <w:sz w:val="16"/>
                <w:szCs w:val="16"/>
              </w:rPr>
            </w:pPr>
            <w:r w:rsidRPr="00C81AEA">
              <w:rPr>
                <w:rFonts w:ascii="Arial" w:hAnsi="Arial" w:cs="Arial"/>
                <w:color w:val="auto"/>
                <w:sz w:val="16"/>
                <w:szCs w:val="16"/>
              </w:rPr>
              <w:t>13,232</w:t>
            </w:r>
          </w:p>
        </w:tc>
        <w:tc>
          <w:tcPr>
            <w:tcW w:w="878" w:type="dxa"/>
            <w:tcBorders>
              <w:top w:val="nil"/>
              <w:left w:val="nil"/>
              <w:bottom w:val="nil"/>
              <w:right w:val="nil"/>
            </w:tcBorders>
            <w:shd w:val="clear" w:color="000000" w:fill="D9D9D9"/>
            <w:noWrap/>
            <w:tcMar>
              <w:left w:w="0" w:type="dxa"/>
            </w:tcMar>
            <w:vAlign w:val="bottom"/>
            <w:hideMark/>
          </w:tcPr>
          <w:p w14:paraId="1325165E" w14:textId="77777777" w:rsidR="00C81AEA" w:rsidRPr="00C81AEA" w:rsidRDefault="00C81AEA" w:rsidP="00C81AEA">
            <w:pPr>
              <w:spacing w:after="0"/>
              <w:jc w:val="right"/>
              <w:rPr>
                <w:rFonts w:ascii="Arial" w:hAnsi="Arial" w:cs="Arial"/>
                <w:color w:val="auto"/>
                <w:sz w:val="16"/>
                <w:szCs w:val="16"/>
              </w:rPr>
            </w:pPr>
            <w:r w:rsidRPr="00C81AEA">
              <w:rPr>
                <w:rFonts w:ascii="Arial" w:hAnsi="Arial" w:cs="Arial"/>
                <w:color w:val="auto"/>
                <w:sz w:val="16"/>
                <w:szCs w:val="16"/>
              </w:rPr>
              <w:t>8,847</w:t>
            </w:r>
          </w:p>
        </w:tc>
        <w:tc>
          <w:tcPr>
            <w:tcW w:w="878" w:type="dxa"/>
            <w:tcBorders>
              <w:top w:val="nil"/>
              <w:left w:val="nil"/>
              <w:bottom w:val="nil"/>
              <w:right w:val="nil"/>
            </w:tcBorders>
            <w:shd w:val="clear" w:color="auto" w:fill="auto"/>
            <w:noWrap/>
            <w:tcMar>
              <w:left w:w="0" w:type="dxa"/>
            </w:tcMar>
            <w:vAlign w:val="bottom"/>
            <w:hideMark/>
          </w:tcPr>
          <w:p w14:paraId="10D7C2D5" w14:textId="77777777" w:rsidR="00C81AEA" w:rsidRPr="00C81AEA" w:rsidRDefault="00C81AEA" w:rsidP="00C81AEA">
            <w:pPr>
              <w:spacing w:after="0"/>
              <w:jc w:val="right"/>
              <w:rPr>
                <w:rFonts w:ascii="Arial" w:hAnsi="Arial" w:cs="Arial"/>
                <w:color w:val="auto"/>
                <w:sz w:val="16"/>
                <w:szCs w:val="16"/>
              </w:rPr>
            </w:pPr>
            <w:r w:rsidRPr="00C81AEA">
              <w:rPr>
                <w:rFonts w:ascii="Arial" w:hAnsi="Arial" w:cs="Arial"/>
                <w:color w:val="auto"/>
                <w:sz w:val="16"/>
                <w:szCs w:val="16"/>
              </w:rPr>
              <w:t>8,847</w:t>
            </w:r>
          </w:p>
        </w:tc>
        <w:tc>
          <w:tcPr>
            <w:tcW w:w="878" w:type="dxa"/>
            <w:tcBorders>
              <w:top w:val="nil"/>
              <w:left w:val="nil"/>
              <w:bottom w:val="nil"/>
              <w:right w:val="nil"/>
            </w:tcBorders>
            <w:shd w:val="clear" w:color="auto" w:fill="auto"/>
            <w:noWrap/>
            <w:tcMar>
              <w:left w:w="0" w:type="dxa"/>
            </w:tcMar>
            <w:vAlign w:val="bottom"/>
            <w:hideMark/>
          </w:tcPr>
          <w:p w14:paraId="405A1F13" w14:textId="77777777" w:rsidR="00C81AEA" w:rsidRPr="00C81AEA" w:rsidRDefault="00C81AEA" w:rsidP="00C81AEA">
            <w:pPr>
              <w:spacing w:after="0"/>
              <w:jc w:val="right"/>
              <w:rPr>
                <w:rFonts w:ascii="Arial" w:hAnsi="Arial" w:cs="Arial"/>
                <w:color w:val="auto"/>
                <w:sz w:val="16"/>
                <w:szCs w:val="16"/>
              </w:rPr>
            </w:pPr>
            <w:r w:rsidRPr="00C81AEA">
              <w:rPr>
                <w:rFonts w:ascii="Arial" w:hAnsi="Arial" w:cs="Arial"/>
                <w:color w:val="auto"/>
                <w:sz w:val="16"/>
                <w:szCs w:val="16"/>
              </w:rPr>
              <w:t>8,847</w:t>
            </w:r>
          </w:p>
        </w:tc>
        <w:tc>
          <w:tcPr>
            <w:tcW w:w="878" w:type="dxa"/>
            <w:tcBorders>
              <w:top w:val="nil"/>
              <w:left w:val="nil"/>
              <w:bottom w:val="nil"/>
              <w:right w:val="nil"/>
            </w:tcBorders>
            <w:shd w:val="clear" w:color="auto" w:fill="auto"/>
            <w:noWrap/>
            <w:tcMar>
              <w:left w:w="0" w:type="dxa"/>
            </w:tcMar>
            <w:vAlign w:val="bottom"/>
            <w:hideMark/>
          </w:tcPr>
          <w:p w14:paraId="5C66F07F" w14:textId="77777777" w:rsidR="00C81AEA" w:rsidRPr="00C81AEA" w:rsidRDefault="00C81AEA" w:rsidP="00C81AEA">
            <w:pPr>
              <w:spacing w:after="0"/>
              <w:jc w:val="right"/>
              <w:rPr>
                <w:rFonts w:ascii="Arial" w:hAnsi="Arial" w:cs="Arial"/>
                <w:color w:val="auto"/>
                <w:sz w:val="16"/>
                <w:szCs w:val="16"/>
              </w:rPr>
            </w:pPr>
            <w:r w:rsidRPr="00C81AEA">
              <w:rPr>
                <w:rFonts w:ascii="Arial" w:hAnsi="Arial" w:cs="Arial"/>
                <w:color w:val="auto"/>
                <w:sz w:val="16"/>
                <w:szCs w:val="16"/>
              </w:rPr>
              <w:t>8,847</w:t>
            </w:r>
          </w:p>
        </w:tc>
      </w:tr>
      <w:tr w:rsidR="00C81AEA" w:rsidRPr="00C81AEA" w14:paraId="7A310DF9" w14:textId="77777777" w:rsidTr="00C6624C">
        <w:trPr>
          <w:trHeight w:val="225"/>
        </w:trPr>
        <w:tc>
          <w:tcPr>
            <w:tcW w:w="2962" w:type="dxa"/>
            <w:tcBorders>
              <w:top w:val="nil"/>
              <w:left w:val="nil"/>
              <w:bottom w:val="nil"/>
              <w:right w:val="nil"/>
            </w:tcBorders>
            <w:shd w:val="clear" w:color="auto" w:fill="auto"/>
            <w:noWrap/>
            <w:vAlign w:val="bottom"/>
            <w:hideMark/>
          </w:tcPr>
          <w:p w14:paraId="4D99D0B5" w14:textId="77777777" w:rsidR="00C81AEA" w:rsidRPr="00C81AEA" w:rsidRDefault="00C81AEA" w:rsidP="00C81AEA">
            <w:pPr>
              <w:spacing w:after="0"/>
              <w:ind w:firstLineChars="200" w:firstLine="320"/>
              <w:rPr>
                <w:rFonts w:ascii="Arial" w:hAnsi="Arial" w:cs="Arial"/>
                <w:sz w:val="16"/>
                <w:szCs w:val="16"/>
              </w:rPr>
            </w:pPr>
            <w:r w:rsidRPr="00C81AEA">
              <w:rPr>
                <w:rFonts w:ascii="Arial" w:hAnsi="Arial" w:cs="Arial"/>
                <w:sz w:val="16"/>
                <w:szCs w:val="16"/>
              </w:rPr>
              <w:t>Property, plant and equipment</w:t>
            </w:r>
          </w:p>
        </w:tc>
        <w:tc>
          <w:tcPr>
            <w:tcW w:w="886" w:type="dxa"/>
            <w:tcBorders>
              <w:top w:val="nil"/>
              <w:left w:val="nil"/>
              <w:bottom w:val="nil"/>
              <w:right w:val="nil"/>
            </w:tcBorders>
            <w:shd w:val="clear" w:color="auto" w:fill="auto"/>
            <w:noWrap/>
            <w:tcMar>
              <w:left w:w="0" w:type="dxa"/>
            </w:tcMar>
            <w:vAlign w:val="bottom"/>
            <w:hideMark/>
          </w:tcPr>
          <w:p w14:paraId="20E88A32" w14:textId="77777777" w:rsidR="00C81AEA" w:rsidRPr="00C81AEA" w:rsidRDefault="00C81AEA" w:rsidP="00C81AEA">
            <w:pPr>
              <w:spacing w:after="0"/>
              <w:jc w:val="right"/>
              <w:rPr>
                <w:rFonts w:ascii="Arial" w:hAnsi="Arial" w:cs="Arial"/>
                <w:color w:val="auto"/>
                <w:sz w:val="16"/>
                <w:szCs w:val="16"/>
              </w:rPr>
            </w:pPr>
            <w:r w:rsidRPr="00C81AEA">
              <w:rPr>
                <w:rFonts w:ascii="Arial" w:hAnsi="Arial" w:cs="Arial"/>
                <w:color w:val="auto"/>
                <w:sz w:val="16"/>
                <w:szCs w:val="16"/>
              </w:rPr>
              <w:t>1,664</w:t>
            </w:r>
          </w:p>
        </w:tc>
        <w:tc>
          <w:tcPr>
            <w:tcW w:w="878" w:type="dxa"/>
            <w:tcBorders>
              <w:top w:val="nil"/>
              <w:left w:val="nil"/>
              <w:bottom w:val="nil"/>
              <w:right w:val="nil"/>
            </w:tcBorders>
            <w:shd w:val="clear" w:color="000000" w:fill="D9D9D9"/>
            <w:noWrap/>
            <w:tcMar>
              <w:left w:w="0" w:type="dxa"/>
            </w:tcMar>
            <w:vAlign w:val="bottom"/>
            <w:hideMark/>
          </w:tcPr>
          <w:p w14:paraId="140A5CDC" w14:textId="77777777" w:rsidR="00C81AEA" w:rsidRPr="00C81AEA" w:rsidRDefault="00C81AEA" w:rsidP="00C81AEA">
            <w:pPr>
              <w:spacing w:after="0"/>
              <w:jc w:val="right"/>
              <w:rPr>
                <w:rFonts w:ascii="Arial" w:hAnsi="Arial" w:cs="Arial"/>
                <w:color w:val="auto"/>
                <w:sz w:val="16"/>
                <w:szCs w:val="16"/>
              </w:rPr>
            </w:pPr>
            <w:r w:rsidRPr="00C81AEA">
              <w:rPr>
                <w:rFonts w:ascii="Arial" w:hAnsi="Arial" w:cs="Arial"/>
                <w:color w:val="auto"/>
                <w:sz w:val="16"/>
                <w:szCs w:val="16"/>
              </w:rPr>
              <w:t>3,018</w:t>
            </w:r>
          </w:p>
        </w:tc>
        <w:tc>
          <w:tcPr>
            <w:tcW w:w="878" w:type="dxa"/>
            <w:tcBorders>
              <w:top w:val="nil"/>
              <w:left w:val="nil"/>
              <w:bottom w:val="nil"/>
              <w:right w:val="nil"/>
            </w:tcBorders>
            <w:shd w:val="clear" w:color="auto" w:fill="auto"/>
            <w:noWrap/>
            <w:tcMar>
              <w:left w:w="0" w:type="dxa"/>
            </w:tcMar>
            <w:vAlign w:val="bottom"/>
            <w:hideMark/>
          </w:tcPr>
          <w:p w14:paraId="6C991C57" w14:textId="77777777" w:rsidR="00C81AEA" w:rsidRPr="00C81AEA" w:rsidRDefault="00C81AEA" w:rsidP="00C81AEA">
            <w:pPr>
              <w:spacing w:after="0"/>
              <w:jc w:val="right"/>
              <w:rPr>
                <w:rFonts w:ascii="Arial" w:hAnsi="Arial" w:cs="Arial"/>
                <w:color w:val="auto"/>
                <w:sz w:val="16"/>
                <w:szCs w:val="16"/>
              </w:rPr>
            </w:pPr>
            <w:r w:rsidRPr="00C81AEA">
              <w:rPr>
                <w:rFonts w:ascii="Arial" w:hAnsi="Arial" w:cs="Arial"/>
                <w:color w:val="auto"/>
                <w:sz w:val="16"/>
                <w:szCs w:val="16"/>
              </w:rPr>
              <w:t>3,018</w:t>
            </w:r>
          </w:p>
        </w:tc>
        <w:tc>
          <w:tcPr>
            <w:tcW w:w="878" w:type="dxa"/>
            <w:tcBorders>
              <w:top w:val="nil"/>
              <w:left w:val="nil"/>
              <w:bottom w:val="nil"/>
              <w:right w:val="nil"/>
            </w:tcBorders>
            <w:shd w:val="clear" w:color="auto" w:fill="auto"/>
            <w:noWrap/>
            <w:tcMar>
              <w:left w:w="0" w:type="dxa"/>
            </w:tcMar>
            <w:vAlign w:val="bottom"/>
            <w:hideMark/>
          </w:tcPr>
          <w:p w14:paraId="48E12D31" w14:textId="77777777" w:rsidR="00C81AEA" w:rsidRPr="00C81AEA" w:rsidRDefault="00C81AEA" w:rsidP="00C81AEA">
            <w:pPr>
              <w:spacing w:after="0"/>
              <w:jc w:val="right"/>
              <w:rPr>
                <w:rFonts w:ascii="Arial" w:hAnsi="Arial" w:cs="Arial"/>
                <w:color w:val="auto"/>
                <w:sz w:val="16"/>
                <w:szCs w:val="16"/>
              </w:rPr>
            </w:pPr>
            <w:r w:rsidRPr="00C81AEA">
              <w:rPr>
                <w:rFonts w:ascii="Arial" w:hAnsi="Arial" w:cs="Arial"/>
                <w:color w:val="auto"/>
                <w:sz w:val="16"/>
                <w:szCs w:val="16"/>
              </w:rPr>
              <w:t>3,018</w:t>
            </w:r>
          </w:p>
        </w:tc>
        <w:tc>
          <w:tcPr>
            <w:tcW w:w="878" w:type="dxa"/>
            <w:tcBorders>
              <w:top w:val="nil"/>
              <w:left w:val="nil"/>
              <w:bottom w:val="nil"/>
              <w:right w:val="nil"/>
            </w:tcBorders>
            <w:shd w:val="clear" w:color="auto" w:fill="auto"/>
            <w:noWrap/>
            <w:tcMar>
              <w:left w:w="0" w:type="dxa"/>
            </w:tcMar>
            <w:vAlign w:val="bottom"/>
            <w:hideMark/>
          </w:tcPr>
          <w:p w14:paraId="018F86BF" w14:textId="77777777" w:rsidR="00C81AEA" w:rsidRPr="00C81AEA" w:rsidRDefault="00C81AEA" w:rsidP="00C81AEA">
            <w:pPr>
              <w:spacing w:after="0"/>
              <w:jc w:val="right"/>
              <w:rPr>
                <w:rFonts w:ascii="Arial" w:hAnsi="Arial" w:cs="Arial"/>
                <w:color w:val="auto"/>
                <w:sz w:val="16"/>
                <w:szCs w:val="16"/>
              </w:rPr>
            </w:pPr>
            <w:r w:rsidRPr="00C81AEA">
              <w:rPr>
                <w:rFonts w:ascii="Arial" w:hAnsi="Arial" w:cs="Arial"/>
                <w:color w:val="auto"/>
                <w:sz w:val="16"/>
                <w:szCs w:val="16"/>
              </w:rPr>
              <w:t>3,018</w:t>
            </w:r>
          </w:p>
        </w:tc>
      </w:tr>
      <w:tr w:rsidR="00C81AEA" w:rsidRPr="00C81AEA" w14:paraId="785B2A93" w14:textId="77777777" w:rsidTr="00C6624C">
        <w:trPr>
          <w:trHeight w:val="225"/>
        </w:trPr>
        <w:tc>
          <w:tcPr>
            <w:tcW w:w="2962" w:type="dxa"/>
            <w:tcBorders>
              <w:top w:val="nil"/>
              <w:left w:val="nil"/>
              <w:bottom w:val="nil"/>
              <w:right w:val="nil"/>
            </w:tcBorders>
            <w:shd w:val="clear" w:color="auto" w:fill="auto"/>
            <w:noWrap/>
            <w:vAlign w:val="bottom"/>
            <w:hideMark/>
          </w:tcPr>
          <w:p w14:paraId="46F1F953" w14:textId="77777777" w:rsidR="00C81AEA" w:rsidRPr="00C81AEA" w:rsidRDefault="00C81AEA" w:rsidP="00C81AEA">
            <w:pPr>
              <w:spacing w:after="0"/>
              <w:ind w:firstLineChars="200" w:firstLine="320"/>
              <w:rPr>
                <w:rFonts w:ascii="Arial" w:hAnsi="Arial" w:cs="Arial"/>
                <w:sz w:val="16"/>
                <w:szCs w:val="16"/>
              </w:rPr>
            </w:pPr>
            <w:r w:rsidRPr="00C81AEA">
              <w:rPr>
                <w:rFonts w:ascii="Arial" w:hAnsi="Arial" w:cs="Arial"/>
                <w:sz w:val="16"/>
                <w:szCs w:val="16"/>
              </w:rPr>
              <w:t>Intangibles</w:t>
            </w:r>
          </w:p>
        </w:tc>
        <w:tc>
          <w:tcPr>
            <w:tcW w:w="886" w:type="dxa"/>
            <w:tcBorders>
              <w:top w:val="nil"/>
              <w:left w:val="nil"/>
              <w:bottom w:val="nil"/>
              <w:right w:val="nil"/>
            </w:tcBorders>
            <w:shd w:val="clear" w:color="auto" w:fill="auto"/>
            <w:noWrap/>
            <w:tcMar>
              <w:left w:w="0" w:type="dxa"/>
            </w:tcMar>
            <w:vAlign w:val="bottom"/>
            <w:hideMark/>
          </w:tcPr>
          <w:p w14:paraId="4BF6D1DF" w14:textId="77777777" w:rsidR="00C81AEA" w:rsidRPr="00C81AEA" w:rsidRDefault="00C81AEA" w:rsidP="00C81AEA">
            <w:pPr>
              <w:spacing w:after="0"/>
              <w:jc w:val="right"/>
              <w:rPr>
                <w:rFonts w:ascii="Arial" w:hAnsi="Arial" w:cs="Arial"/>
                <w:color w:val="auto"/>
                <w:sz w:val="16"/>
                <w:szCs w:val="16"/>
              </w:rPr>
            </w:pPr>
            <w:r w:rsidRPr="00C81AEA">
              <w:rPr>
                <w:rFonts w:ascii="Arial" w:hAnsi="Arial" w:cs="Arial"/>
                <w:color w:val="auto"/>
                <w:sz w:val="16"/>
                <w:szCs w:val="16"/>
              </w:rPr>
              <w:t>65,221</w:t>
            </w:r>
          </w:p>
        </w:tc>
        <w:tc>
          <w:tcPr>
            <w:tcW w:w="878" w:type="dxa"/>
            <w:tcBorders>
              <w:top w:val="nil"/>
              <w:left w:val="nil"/>
              <w:bottom w:val="nil"/>
              <w:right w:val="nil"/>
            </w:tcBorders>
            <w:shd w:val="clear" w:color="000000" w:fill="D9D9D9"/>
            <w:noWrap/>
            <w:tcMar>
              <w:left w:w="0" w:type="dxa"/>
            </w:tcMar>
            <w:vAlign w:val="bottom"/>
            <w:hideMark/>
          </w:tcPr>
          <w:p w14:paraId="56DE475B" w14:textId="77777777" w:rsidR="00C81AEA" w:rsidRPr="00C81AEA" w:rsidRDefault="00C81AEA" w:rsidP="00C81AEA">
            <w:pPr>
              <w:spacing w:after="0"/>
              <w:jc w:val="right"/>
              <w:rPr>
                <w:rFonts w:ascii="Arial" w:hAnsi="Arial" w:cs="Arial"/>
                <w:color w:val="auto"/>
                <w:sz w:val="16"/>
                <w:szCs w:val="16"/>
              </w:rPr>
            </w:pPr>
            <w:r w:rsidRPr="00C81AEA">
              <w:rPr>
                <w:rFonts w:ascii="Arial" w:hAnsi="Arial" w:cs="Arial"/>
                <w:color w:val="auto"/>
                <w:sz w:val="16"/>
                <w:szCs w:val="16"/>
              </w:rPr>
              <w:t>50,780</w:t>
            </w:r>
          </w:p>
        </w:tc>
        <w:tc>
          <w:tcPr>
            <w:tcW w:w="878" w:type="dxa"/>
            <w:tcBorders>
              <w:top w:val="nil"/>
              <w:left w:val="nil"/>
              <w:bottom w:val="nil"/>
              <w:right w:val="nil"/>
            </w:tcBorders>
            <w:shd w:val="clear" w:color="auto" w:fill="auto"/>
            <w:noWrap/>
            <w:tcMar>
              <w:left w:w="0" w:type="dxa"/>
            </w:tcMar>
            <w:vAlign w:val="bottom"/>
            <w:hideMark/>
          </w:tcPr>
          <w:p w14:paraId="286444C1" w14:textId="77777777" w:rsidR="00C81AEA" w:rsidRPr="00C81AEA" w:rsidRDefault="00C81AEA" w:rsidP="00C81AEA">
            <w:pPr>
              <w:spacing w:after="0"/>
              <w:jc w:val="right"/>
              <w:rPr>
                <w:rFonts w:ascii="Arial" w:hAnsi="Arial" w:cs="Arial"/>
                <w:color w:val="auto"/>
                <w:sz w:val="16"/>
                <w:szCs w:val="16"/>
              </w:rPr>
            </w:pPr>
            <w:r w:rsidRPr="00C81AEA">
              <w:rPr>
                <w:rFonts w:ascii="Arial" w:hAnsi="Arial" w:cs="Arial"/>
                <w:color w:val="auto"/>
                <w:sz w:val="16"/>
                <w:szCs w:val="16"/>
              </w:rPr>
              <w:t>50,780</w:t>
            </w:r>
          </w:p>
        </w:tc>
        <w:tc>
          <w:tcPr>
            <w:tcW w:w="878" w:type="dxa"/>
            <w:tcBorders>
              <w:top w:val="nil"/>
              <w:left w:val="nil"/>
              <w:bottom w:val="nil"/>
              <w:right w:val="nil"/>
            </w:tcBorders>
            <w:shd w:val="clear" w:color="auto" w:fill="auto"/>
            <w:noWrap/>
            <w:tcMar>
              <w:left w:w="0" w:type="dxa"/>
            </w:tcMar>
            <w:vAlign w:val="bottom"/>
            <w:hideMark/>
          </w:tcPr>
          <w:p w14:paraId="29AE59A9" w14:textId="77777777" w:rsidR="00C81AEA" w:rsidRPr="00C81AEA" w:rsidRDefault="00C81AEA" w:rsidP="00C81AEA">
            <w:pPr>
              <w:spacing w:after="0"/>
              <w:jc w:val="right"/>
              <w:rPr>
                <w:rFonts w:ascii="Arial" w:hAnsi="Arial" w:cs="Arial"/>
                <w:color w:val="auto"/>
                <w:sz w:val="16"/>
                <w:szCs w:val="16"/>
              </w:rPr>
            </w:pPr>
            <w:r w:rsidRPr="00C81AEA">
              <w:rPr>
                <w:rFonts w:ascii="Arial" w:hAnsi="Arial" w:cs="Arial"/>
                <w:color w:val="auto"/>
                <w:sz w:val="16"/>
                <w:szCs w:val="16"/>
              </w:rPr>
              <w:t>50,780</w:t>
            </w:r>
          </w:p>
        </w:tc>
        <w:tc>
          <w:tcPr>
            <w:tcW w:w="878" w:type="dxa"/>
            <w:tcBorders>
              <w:top w:val="nil"/>
              <w:left w:val="nil"/>
              <w:bottom w:val="nil"/>
              <w:right w:val="nil"/>
            </w:tcBorders>
            <w:shd w:val="clear" w:color="auto" w:fill="auto"/>
            <w:noWrap/>
            <w:tcMar>
              <w:left w:w="0" w:type="dxa"/>
            </w:tcMar>
            <w:vAlign w:val="bottom"/>
            <w:hideMark/>
          </w:tcPr>
          <w:p w14:paraId="20B26F0E" w14:textId="77777777" w:rsidR="00C81AEA" w:rsidRPr="00C81AEA" w:rsidRDefault="00C81AEA" w:rsidP="00C81AEA">
            <w:pPr>
              <w:spacing w:after="0"/>
              <w:jc w:val="right"/>
              <w:rPr>
                <w:rFonts w:ascii="Arial" w:hAnsi="Arial" w:cs="Arial"/>
                <w:color w:val="auto"/>
                <w:sz w:val="16"/>
                <w:szCs w:val="16"/>
              </w:rPr>
            </w:pPr>
            <w:r w:rsidRPr="00C81AEA">
              <w:rPr>
                <w:rFonts w:ascii="Arial" w:hAnsi="Arial" w:cs="Arial"/>
                <w:color w:val="auto"/>
                <w:sz w:val="16"/>
                <w:szCs w:val="16"/>
              </w:rPr>
              <w:t>50,780</w:t>
            </w:r>
          </w:p>
        </w:tc>
      </w:tr>
      <w:tr w:rsidR="00C81AEA" w:rsidRPr="00C81AEA" w14:paraId="128DD9D4" w14:textId="77777777" w:rsidTr="00C6624C">
        <w:trPr>
          <w:trHeight w:val="225"/>
        </w:trPr>
        <w:tc>
          <w:tcPr>
            <w:tcW w:w="2962" w:type="dxa"/>
            <w:tcBorders>
              <w:top w:val="nil"/>
              <w:left w:val="nil"/>
              <w:bottom w:val="nil"/>
              <w:right w:val="nil"/>
            </w:tcBorders>
            <w:shd w:val="clear" w:color="auto" w:fill="auto"/>
            <w:noWrap/>
            <w:vAlign w:val="bottom"/>
            <w:hideMark/>
          </w:tcPr>
          <w:p w14:paraId="5C7D35F9" w14:textId="77777777" w:rsidR="00C81AEA" w:rsidRPr="00C81AEA" w:rsidRDefault="00C81AEA" w:rsidP="00C81AEA">
            <w:pPr>
              <w:spacing w:after="0"/>
              <w:ind w:firstLineChars="200" w:firstLine="320"/>
              <w:rPr>
                <w:rFonts w:ascii="Arial" w:hAnsi="Arial" w:cs="Arial"/>
                <w:sz w:val="16"/>
                <w:szCs w:val="16"/>
              </w:rPr>
            </w:pPr>
            <w:r w:rsidRPr="00C81AEA">
              <w:rPr>
                <w:rFonts w:ascii="Arial" w:hAnsi="Arial" w:cs="Arial"/>
                <w:sz w:val="16"/>
                <w:szCs w:val="16"/>
              </w:rPr>
              <w:t>Other</w:t>
            </w:r>
          </w:p>
        </w:tc>
        <w:tc>
          <w:tcPr>
            <w:tcW w:w="886" w:type="dxa"/>
            <w:tcBorders>
              <w:top w:val="nil"/>
              <w:left w:val="nil"/>
              <w:bottom w:val="nil"/>
              <w:right w:val="nil"/>
            </w:tcBorders>
            <w:shd w:val="clear" w:color="auto" w:fill="auto"/>
            <w:noWrap/>
            <w:tcMar>
              <w:left w:w="0" w:type="dxa"/>
            </w:tcMar>
            <w:vAlign w:val="bottom"/>
            <w:hideMark/>
          </w:tcPr>
          <w:p w14:paraId="4A8C72F0" w14:textId="77777777" w:rsidR="00C81AEA" w:rsidRPr="00C81AEA" w:rsidRDefault="00C81AEA" w:rsidP="00C81AEA">
            <w:pPr>
              <w:spacing w:after="0"/>
              <w:jc w:val="right"/>
              <w:rPr>
                <w:rFonts w:ascii="Arial" w:hAnsi="Arial" w:cs="Arial"/>
                <w:color w:val="auto"/>
                <w:sz w:val="16"/>
                <w:szCs w:val="16"/>
              </w:rPr>
            </w:pPr>
            <w:r w:rsidRPr="00C81AEA">
              <w:rPr>
                <w:rFonts w:ascii="Arial" w:hAnsi="Arial" w:cs="Arial"/>
                <w:color w:val="auto"/>
                <w:sz w:val="16"/>
                <w:szCs w:val="16"/>
              </w:rPr>
              <w:t>5,977</w:t>
            </w:r>
          </w:p>
        </w:tc>
        <w:tc>
          <w:tcPr>
            <w:tcW w:w="878" w:type="dxa"/>
            <w:tcBorders>
              <w:top w:val="nil"/>
              <w:left w:val="nil"/>
              <w:bottom w:val="nil"/>
              <w:right w:val="nil"/>
            </w:tcBorders>
            <w:shd w:val="clear" w:color="000000" w:fill="D9D9D9"/>
            <w:noWrap/>
            <w:tcMar>
              <w:left w:w="0" w:type="dxa"/>
            </w:tcMar>
            <w:vAlign w:val="bottom"/>
            <w:hideMark/>
          </w:tcPr>
          <w:p w14:paraId="09224718" w14:textId="77777777" w:rsidR="00C81AEA" w:rsidRPr="00C81AEA" w:rsidRDefault="00C81AEA" w:rsidP="00C81AEA">
            <w:pPr>
              <w:spacing w:after="0"/>
              <w:jc w:val="right"/>
              <w:rPr>
                <w:rFonts w:ascii="Arial" w:hAnsi="Arial" w:cs="Arial"/>
                <w:color w:val="auto"/>
                <w:sz w:val="16"/>
                <w:szCs w:val="16"/>
              </w:rPr>
            </w:pPr>
            <w:r w:rsidRPr="00C81AEA">
              <w:rPr>
                <w:rFonts w:ascii="Arial" w:hAnsi="Arial" w:cs="Arial"/>
                <w:color w:val="auto"/>
                <w:sz w:val="16"/>
                <w:szCs w:val="16"/>
              </w:rPr>
              <w:t>5,977</w:t>
            </w:r>
          </w:p>
        </w:tc>
        <w:tc>
          <w:tcPr>
            <w:tcW w:w="878" w:type="dxa"/>
            <w:tcBorders>
              <w:top w:val="nil"/>
              <w:left w:val="nil"/>
              <w:bottom w:val="nil"/>
              <w:right w:val="nil"/>
            </w:tcBorders>
            <w:shd w:val="clear" w:color="auto" w:fill="auto"/>
            <w:noWrap/>
            <w:tcMar>
              <w:left w:w="0" w:type="dxa"/>
            </w:tcMar>
            <w:vAlign w:val="bottom"/>
            <w:hideMark/>
          </w:tcPr>
          <w:p w14:paraId="030E1866" w14:textId="77777777" w:rsidR="00C81AEA" w:rsidRPr="00C81AEA" w:rsidRDefault="00C81AEA" w:rsidP="00C81AEA">
            <w:pPr>
              <w:spacing w:after="0"/>
              <w:jc w:val="right"/>
              <w:rPr>
                <w:rFonts w:ascii="Arial" w:hAnsi="Arial" w:cs="Arial"/>
                <w:color w:val="auto"/>
                <w:sz w:val="16"/>
                <w:szCs w:val="16"/>
              </w:rPr>
            </w:pPr>
            <w:r w:rsidRPr="00C81AEA">
              <w:rPr>
                <w:rFonts w:ascii="Arial" w:hAnsi="Arial" w:cs="Arial"/>
                <w:color w:val="auto"/>
                <w:sz w:val="16"/>
                <w:szCs w:val="16"/>
              </w:rPr>
              <w:t>5,977</w:t>
            </w:r>
          </w:p>
        </w:tc>
        <w:tc>
          <w:tcPr>
            <w:tcW w:w="878" w:type="dxa"/>
            <w:tcBorders>
              <w:top w:val="nil"/>
              <w:left w:val="nil"/>
              <w:bottom w:val="nil"/>
              <w:right w:val="nil"/>
            </w:tcBorders>
            <w:shd w:val="clear" w:color="auto" w:fill="auto"/>
            <w:noWrap/>
            <w:tcMar>
              <w:left w:w="0" w:type="dxa"/>
            </w:tcMar>
            <w:vAlign w:val="bottom"/>
            <w:hideMark/>
          </w:tcPr>
          <w:p w14:paraId="4ECAA8C4" w14:textId="77777777" w:rsidR="00C81AEA" w:rsidRPr="00C81AEA" w:rsidRDefault="00C81AEA" w:rsidP="00C81AEA">
            <w:pPr>
              <w:spacing w:after="0"/>
              <w:jc w:val="right"/>
              <w:rPr>
                <w:rFonts w:ascii="Arial" w:hAnsi="Arial" w:cs="Arial"/>
                <w:color w:val="auto"/>
                <w:sz w:val="16"/>
                <w:szCs w:val="16"/>
              </w:rPr>
            </w:pPr>
            <w:r w:rsidRPr="00C81AEA">
              <w:rPr>
                <w:rFonts w:ascii="Arial" w:hAnsi="Arial" w:cs="Arial"/>
                <w:color w:val="auto"/>
                <w:sz w:val="16"/>
                <w:szCs w:val="16"/>
              </w:rPr>
              <w:t>5,977</w:t>
            </w:r>
          </w:p>
        </w:tc>
        <w:tc>
          <w:tcPr>
            <w:tcW w:w="878" w:type="dxa"/>
            <w:tcBorders>
              <w:top w:val="nil"/>
              <w:left w:val="nil"/>
              <w:bottom w:val="nil"/>
              <w:right w:val="nil"/>
            </w:tcBorders>
            <w:shd w:val="clear" w:color="auto" w:fill="auto"/>
            <w:noWrap/>
            <w:tcMar>
              <w:left w:w="0" w:type="dxa"/>
            </w:tcMar>
            <w:vAlign w:val="bottom"/>
            <w:hideMark/>
          </w:tcPr>
          <w:p w14:paraId="4FB94B62" w14:textId="77777777" w:rsidR="00C81AEA" w:rsidRPr="00C81AEA" w:rsidRDefault="00C81AEA" w:rsidP="00C81AEA">
            <w:pPr>
              <w:spacing w:after="0"/>
              <w:jc w:val="right"/>
              <w:rPr>
                <w:rFonts w:ascii="Arial" w:hAnsi="Arial" w:cs="Arial"/>
                <w:color w:val="auto"/>
                <w:sz w:val="16"/>
                <w:szCs w:val="16"/>
              </w:rPr>
            </w:pPr>
            <w:r w:rsidRPr="00C81AEA">
              <w:rPr>
                <w:rFonts w:ascii="Arial" w:hAnsi="Arial" w:cs="Arial"/>
                <w:color w:val="auto"/>
                <w:sz w:val="16"/>
                <w:szCs w:val="16"/>
              </w:rPr>
              <w:t>5,977</w:t>
            </w:r>
          </w:p>
        </w:tc>
      </w:tr>
      <w:tr w:rsidR="00C81AEA" w:rsidRPr="00C81AEA" w14:paraId="66679DB9" w14:textId="77777777" w:rsidTr="00C6624C">
        <w:trPr>
          <w:trHeight w:val="225"/>
        </w:trPr>
        <w:tc>
          <w:tcPr>
            <w:tcW w:w="2962" w:type="dxa"/>
            <w:tcBorders>
              <w:top w:val="nil"/>
              <w:left w:val="nil"/>
              <w:bottom w:val="nil"/>
              <w:right w:val="nil"/>
            </w:tcBorders>
            <w:shd w:val="clear" w:color="auto" w:fill="auto"/>
            <w:noWrap/>
            <w:vAlign w:val="bottom"/>
            <w:hideMark/>
          </w:tcPr>
          <w:p w14:paraId="66EA4AB8" w14:textId="77777777" w:rsidR="00C81AEA" w:rsidRPr="00C81AEA" w:rsidRDefault="00C81AEA" w:rsidP="00C81AEA">
            <w:pPr>
              <w:spacing w:after="0"/>
              <w:ind w:firstLineChars="200" w:firstLine="320"/>
              <w:rPr>
                <w:rFonts w:ascii="Arial" w:hAnsi="Arial" w:cs="Arial"/>
                <w:b/>
                <w:bCs/>
                <w:sz w:val="16"/>
                <w:szCs w:val="16"/>
              </w:rPr>
            </w:pPr>
            <w:r w:rsidRPr="00C81AEA">
              <w:rPr>
                <w:rFonts w:ascii="Arial" w:hAnsi="Arial" w:cs="Arial"/>
                <w:b/>
                <w:bCs/>
                <w:sz w:val="16"/>
                <w:szCs w:val="16"/>
              </w:rPr>
              <w:t>Total non-financial assets</w:t>
            </w:r>
          </w:p>
        </w:tc>
        <w:tc>
          <w:tcPr>
            <w:tcW w:w="886" w:type="dxa"/>
            <w:tcBorders>
              <w:top w:val="nil"/>
              <w:left w:val="nil"/>
              <w:bottom w:val="single" w:sz="4" w:space="0" w:color="auto"/>
              <w:right w:val="nil"/>
            </w:tcBorders>
            <w:shd w:val="clear" w:color="auto" w:fill="auto"/>
            <w:noWrap/>
            <w:tcMar>
              <w:left w:w="0" w:type="dxa"/>
            </w:tcMar>
            <w:vAlign w:val="bottom"/>
            <w:hideMark/>
          </w:tcPr>
          <w:p w14:paraId="4541513B" w14:textId="77777777" w:rsidR="00C81AEA" w:rsidRPr="00C81AEA" w:rsidRDefault="00C81AEA" w:rsidP="00C81AEA">
            <w:pPr>
              <w:spacing w:after="0"/>
              <w:jc w:val="right"/>
              <w:rPr>
                <w:rFonts w:ascii="Arial" w:hAnsi="Arial" w:cs="Arial"/>
                <w:b/>
                <w:bCs/>
                <w:sz w:val="16"/>
                <w:szCs w:val="16"/>
              </w:rPr>
            </w:pPr>
            <w:r w:rsidRPr="00C81AEA">
              <w:rPr>
                <w:rFonts w:ascii="Arial" w:hAnsi="Arial" w:cs="Arial"/>
                <w:b/>
                <w:bCs/>
                <w:sz w:val="16"/>
                <w:szCs w:val="16"/>
              </w:rPr>
              <w:t>86,094</w:t>
            </w:r>
          </w:p>
        </w:tc>
        <w:tc>
          <w:tcPr>
            <w:tcW w:w="878" w:type="dxa"/>
            <w:tcBorders>
              <w:top w:val="nil"/>
              <w:left w:val="nil"/>
              <w:bottom w:val="single" w:sz="4" w:space="0" w:color="auto"/>
              <w:right w:val="nil"/>
            </w:tcBorders>
            <w:shd w:val="clear" w:color="000000" w:fill="D9D9D9"/>
            <w:noWrap/>
            <w:tcMar>
              <w:left w:w="0" w:type="dxa"/>
            </w:tcMar>
            <w:vAlign w:val="bottom"/>
            <w:hideMark/>
          </w:tcPr>
          <w:p w14:paraId="75D61CD9" w14:textId="77777777" w:rsidR="00C81AEA" w:rsidRPr="00C81AEA" w:rsidRDefault="00C81AEA" w:rsidP="00C81AEA">
            <w:pPr>
              <w:spacing w:after="0"/>
              <w:jc w:val="right"/>
              <w:rPr>
                <w:rFonts w:ascii="Arial" w:hAnsi="Arial" w:cs="Arial"/>
                <w:b/>
                <w:bCs/>
                <w:sz w:val="16"/>
                <w:szCs w:val="16"/>
              </w:rPr>
            </w:pPr>
            <w:r w:rsidRPr="00C81AEA">
              <w:rPr>
                <w:rFonts w:ascii="Arial" w:hAnsi="Arial" w:cs="Arial"/>
                <w:b/>
                <w:bCs/>
                <w:sz w:val="16"/>
                <w:szCs w:val="16"/>
              </w:rPr>
              <w:t>68,622</w:t>
            </w:r>
          </w:p>
        </w:tc>
        <w:tc>
          <w:tcPr>
            <w:tcW w:w="878" w:type="dxa"/>
            <w:tcBorders>
              <w:top w:val="nil"/>
              <w:left w:val="nil"/>
              <w:bottom w:val="single" w:sz="4" w:space="0" w:color="auto"/>
              <w:right w:val="nil"/>
            </w:tcBorders>
            <w:shd w:val="clear" w:color="auto" w:fill="auto"/>
            <w:noWrap/>
            <w:tcMar>
              <w:left w:w="0" w:type="dxa"/>
            </w:tcMar>
            <w:vAlign w:val="bottom"/>
            <w:hideMark/>
          </w:tcPr>
          <w:p w14:paraId="321D978F" w14:textId="77777777" w:rsidR="00C81AEA" w:rsidRPr="00C81AEA" w:rsidRDefault="00C81AEA" w:rsidP="00C81AEA">
            <w:pPr>
              <w:spacing w:after="0"/>
              <w:jc w:val="right"/>
              <w:rPr>
                <w:rFonts w:ascii="Arial" w:hAnsi="Arial" w:cs="Arial"/>
                <w:b/>
                <w:bCs/>
                <w:sz w:val="16"/>
                <w:szCs w:val="16"/>
              </w:rPr>
            </w:pPr>
            <w:r w:rsidRPr="00C81AEA">
              <w:rPr>
                <w:rFonts w:ascii="Arial" w:hAnsi="Arial" w:cs="Arial"/>
                <w:b/>
                <w:bCs/>
                <w:sz w:val="16"/>
                <w:szCs w:val="16"/>
              </w:rPr>
              <w:t>68,622</w:t>
            </w:r>
          </w:p>
        </w:tc>
        <w:tc>
          <w:tcPr>
            <w:tcW w:w="878" w:type="dxa"/>
            <w:tcBorders>
              <w:top w:val="nil"/>
              <w:left w:val="nil"/>
              <w:bottom w:val="single" w:sz="4" w:space="0" w:color="auto"/>
              <w:right w:val="nil"/>
            </w:tcBorders>
            <w:shd w:val="clear" w:color="auto" w:fill="auto"/>
            <w:noWrap/>
            <w:tcMar>
              <w:left w:w="0" w:type="dxa"/>
            </w:tcMar>
            <w:vAlign w:val="bottom"/>
            <w:hideMark/>
          </w:tcPr>
          <w:p w14:paraId="344C23FD" w14:textId="77777777" w:rsidR="00C81AEA" w:rsidRPr="00C81AEA" w:rsidRDefault="00C81AEA" w:rsidP="00C81AEA">
            <w:pPr>
              <w:spacing w:after="0"/>
              <w:jc w:val="right"/>
              <w:rPr>
                <w:rFonts w:ascii="Arial" w:hAnsi="Arial" w:cs="Arial"/>
                <w:b/>
                <w:bCs/>
                <w:sz w:val="16"/>
                <w:szCs w:val="16"/>
              </w:rPr>
            </w:pPr>
            <w:r w:rsidRPr="00C81AEA">
              <w:rPr>
                <w:rFonts w:ascii="Arial" w:hAnsi="Arial" w:cs="Arial"/>
                <w:b/>
                <w:bCs/>
                <w:sz w:val="16"/>
                <w:szCs w:val="16"/>
              </w:rPr>
              <w:t>68,622</w:t>
            </w:r>
          </w:p>
        </w:tc>
        <w:tc>
          <w:tcPr>
            <w:tcW w:w="878" w:type="dxa"/>
            <w:tcBorders>
              <w:top w:val="nil"/>
              <w:left w:val="nil"/>
              <w:bottom w:val="single" w:sz="4" w:space="0" w:color="auto"/>
              <w:right w:val="nil"/>
            </w:tcBorders>
            <w:shd w:val="clear" w:color="auto" w:fill="auto"/>
            <w:noWrap/>
            <w:tcMar>
              <w:left w:w="0" w:type="dxa"/>
            </w:tcMar>
            <w:vAlign w:val="bottom"/>
            <w:hideMark/>
          </w:tcPr>
          <w:p w14:paraId="680D6EFC" w14:textId="77777777" w:rsidR="00C81AEA" w:rsidRPr="00C81AEA" w:rsidRDefault="00C81AEA" w:rsidP="00C81AEA">
            <w:pPr>
              <w:spacing w:after="0"/>
              <w:jc w:val="right"/>
              <w:rPr>
                <w:rFonts w:ascii="Arial" w:hAnsi="Arial" w:cs="Arial"/>
                <w:b/>
                <w:bCs/>
                <w:sz w:val="16"/>
                <w:szCs w:val="16"/>
              </w:rPr>
            </w:pPr>
            <w:r w:rsidRPr="00C81AEA">
              <w:rPr>
                <w:rFonts w:ascii="Arial" w:hAnsi="Arial" w:cs="Arial"/>
                <w:b/>
                <w:bCs/>
                <w:sz w:val="16"/>
                <w:szCs w:val="16"/>
              </w:rPr>
              <w:t>68,622</w:t>
            </w:r>
          </w:p>
        </w:tc>
      </w:tr>
      <w:tr w:rsidR="00C81AEA" w:rsidRPr="00C81AEA" w14:paraId="39DE08EA" w14:textId="77777777" w:rsidTr="00C6624C">
        <w:trPr>
          <w:trHeight w:val="225"/>
        </w:trPr>
        <w:tc>
          <w:tcPr>
            <w:tcW w:w="2962" w:type="dxa"/>
            <w:tcBorders>
              <w:top w:val="nil"/>
              <w:left w:val="nil"/>
              <w:bottom w:val="nil"/>
              <w:right w:val="nil"/>
            </w:tcBorders>
            <w:shd w:val="clear" w:color="auto" w:fill="auto"/>
            <w:noWrap/>
            <w:vAlign w:val="bottom"/>
            <w:hideMark/>
          </w:tcPr>
          <w:p w14:paraId="301ABCCA" w14:textId="77777777" w:rsidR="00C81AEA" w:rsidRPr="00C81AEA" w:rsidRDefault="00C81AEA" w:rsidP="00C81AEA">
            <w:pPr>
              <w:spacing w:after="0"/>
              <w:ind w:firstLineChars="100" w:firstLine="160"/>
              <w:rPr>
                <w:rFonts w:ascii="Arial" w:hAnsi="Arial" w:cs="Arial"/>
                <w:b/>
                <w:bCs/>
                <w:sz w:val="16"/>
                <w:szCs w:val="16"/>
              </w:rPr>
            </w:pPr>
            <w:r w:rsidRPr="00C81AEA">
              <w:rPr>
                <w:rFonts w:ascii="Arial" w:hAnsi="Arial" w:cs="Arial"/>
                <w:b/>
                <w:bCs/>
                <w:sz w:val="16"/>
                <w:szCs w:val="16"/>
              </w:rPr>
              <w:t>Total assets</w:t>
            </w:r>
          </w:p>
        </w:tc>
        <w:tc>
          <w:tcPr>
            <w:tcW w:w="886" w:type="dxa"/>
            <w:tcBorders>
              <w:top w:val="nil"/>
              <w:left w:val="nil"/>
              <w:bottom w:val="single" w:sz="4" w:space="0" w:color="auto"/>
              <w:right w:val="nil"/>
            </w:tcBorders>
            <w:shd w:val="clear" w:color="auto" w:fill="auto"/>
            <w:noWrap/>
            <w:tcMar>
              <w:left w:w="0" w:type="dxa"/>
            </w:tcMar>
            <w:vAlign w:val="bottom"/>
            <w:hideMark/>
          </w:tcPr>
          <w:p w14:paraId="0CC97185" w14:textId="77777777" w:rsidR="00C81AEA" w:rsidRPr="00C81AEA" w:rsidRDefault="00C81AEA" w:rsidP="00C81AEA">
            <w:pPr>
              <w:spacing w:after="0"/>
              <w:jc w:val="right"/>
              <w:rPr>
                <w:rFonts w:ascii="Arial" w:hAnsi="Arial" w:cs="Arial"/>
                <w:b/>
                <w:bCs/>
                <w:sz w:val="16"/>
                <w:szCs w:val="16"/>
              </w:rPr>
            </w:pPr>
            <w:r w:rsidRPr="00C81AEA">
              <w:rPr>
                <w:rFonts w:ascii="Arial" w:hAnsi="Arial" w:cs="Arial"/>
                <w:b/>
                <w:bCs/>
                <w:sz w:val="16"/>
                <w:szCs w:val="16"/>
              </w:rPr>
              <w:t>200,828</w:t>
            </w:r>
          </w:p>
        </w:tc>
        <w:tc>
          <w:tcPr>
            <w:tcW w:w="878" w:type="dxa"/>
            <w:tcBorders>
              <w:top w:val="nil"/>
              <w:left w:val="nil"/>
              <w:bottom w:val="single" w:sz="4" w:space="0" w:color="auto"/>
              <w:right w:val="nil"/>
            </w:tcBorders>
            <w:shd w:val="clear" w:color="000000" w:fill="D9D9D9"/>
            <w:noWrap/>
            <w:tcMar>
              <w:left w:w="0" w:type="dxa"/>
            </w:tcMar>
            <w:vAlign w:val="bottom"/>
            <w:hideMark/>
          </w:tcPr>
          <w:p w14:paraId="2714B084" w14:textId="77777777" w:rsidR="00C81AEA" w:rsidRPr="00C81AEA" w:rsidRDefault="00C81AEA" w:rsidP="00C81AEA">
            <w:pPr>
              <w:spacing w:after="0"/>
              <w:jc w:val="right"/>
              <w:rPr>
                <w:rFonts w:ascii="Arial" w:hAnsi="Arial" w:cs="Arial"/>
                <w:b/>
                <w:bCs/>
                <w:sz w:val="16"/>
                <w:szCs w:val="16"/>
              </w:rPr>
            </w:pPr>
            <w:r w:rsidRPr="00C81AEA">
              <w:rPr>
                <w:rFonts w:ascii="Arial" w:hAnsi="Arial" w:cs="Arial"/>
                <w:b/>
                <w:bCs/>
                <w:sz w:val="16"/>
                <w:szCs w:val="16"/>
              </w:rPr>
              <w:t>183,356</w:t>
            </w:r>
          </w:p>
        </w:tc>
        <w:tc>
          <w:tcPr>
            <w:tcW w:w="878" w:type="dxa"/>
            <w:tcBorders>
              <w:top w:val="nil"/>
              <w:left w:val="nil"/>
              <w:bottom w:val="single" w:sz="4" w:space="0" w:color="auto"/>
              <w:right w:val="nil"/>
            </w:tcBorders>
            <w:shd w:val="clear" w:color="auto" w:fill="auto"/>
            <w:noWrap/>
            <w:tcMar>
              <w:left w:w="0" w:type="dxa"/>
            </w:tcMar>
            <w:vAlign w:val="bottom"/>
            <w:hideMark/>
          </w:tcPr>
          <w:p w14:paraId="5FC49071" w14:textId="77777777" w:rsidR="00C81AEA" w:rsidRPr="00C81AEA" w:rsidRDefault="00C81AEA" w:rsidP="00C81AEA">
            <w:pPr>
              <w:spacing w:after="0"/>
              <w:jc w:val="right"/>
              <w:rPr>
                <w:rFonts w:ascii="Arial" w:hAnsi="Arial" w:cs="Arial"/>
                <w:b/>
                <w:bCs/>
                <w:sz w:val="16"/>
                <w:szCs w:val="16"/>
              </w:rPr>
            </w:pPr>
            <w:r w:rsidRPr="00C81AEA">
              <w:rPr>
                <w:rFonts w:ascii="Arial" w:hAnsi="Arial" w:cs="Arial"/>
                <w:b/>
                <w:bCs/>
                <w:sz w:val="16"/>
                <w:szCs w:val="16"/>
              </w:rPr>
              <w:t>183,356</w:t>
            </w:r>
          </w:p>
        </w:tc>
        <w:tc>
          <w:tcPr>
            <w:tcW w:w="878" w:type="dxa"/>
            <w:tcBorders>
              <w:top w:val="nil"/>
              <w:left w:val="nil"/>
              <w:bottom w:val="single" w:sz="4" w:space="0" w:color="auto"/>
              <w:right w:val="nil"/>
            </w:tcBorders>
            <w:shd w:val="clear" w:color="auto" w:fill="auto"/>
            <w:noWrap/>
            <w:tcMar>
              <w:left w:w="0" w:type="dxa"/>
            </w:tcMar>
            <w:vAlign w:val="bottom"/>
            <w:hideMark/>
          </w:tcPr>
          <w:p w14:paraId="12E62CC0" w14:textId="77777777" w:rsidR="00C81AEA" w:rsidRPr="00C81AEA" w:rsidRDefault="00C81AEA" w:rsidP="00C81AEA">
            <w:pPr>
              <w:spacing w:after="0"/>
              <w:jc w:val="right"/>
              <w:rPr>
                <w:rFonts w:ascii="Arial" w:hAnsi="Arial" w:cs="Arial"/>
                <w:b/>
                <w:bCs/>
                <w:sz w:val="16"/>
                <w:szCs w:val="16"/>
              </w:rPr>
            </w:pPr>
            <w:r w:rsidRPr="00C81AEA">
              <w:rPr>
                <w:rFonts w:ascii="Arial" w:hAnsi="Arial" w:cs="Arial"/>
                <w:b/>
                <w:bCs/>
                <w:sz w:val="16"/>
                <w:szCs w:val="16"/>
              </w:rPr>
              <w:t>183,356</w:t>
            </w:r>
          </w:p>
        </w:tc>
        <w:tc>
          <w:tcPr>
            <w:tcW w:w="878" w:type="dxa"/>
            <w:tcBorders>
              <w:top w:val="nil"/>
              <w:left w:val="nil"/>
              <w:bottom w:val="single" w:sz="4" w:space="0" w:color="auto"/>
              <w:right w:val="nil"/>
            </w:tcBorders>
            <w:shd w:val="clear" w:color="auto" w:fill="auto"/>
            <w:noWrap/>
            <w:tcMar>
              <w:left w:w="0" w:type="dxa"/>
            </w:tcMar>
            <w:vAlign w:val="bottom"/>
            <w:hideMark/>
          </w:tcPr>
          <w:p w14:paraId="234F723B" w14:textId="77777777" w:rsidR="00C81AEA" w:rsidRPr="00C81AEA" w:rsidRDefault="00C81AEA" w:rsidP="00C81AEA">
            <w:pPr>
              <w:spacing w:after="0"/>
              <w:jc w:val="right"/>
              <w:rPr>
                <w:rFonts w:ascii="Arial" w:hAnsi="Arial" w:cs="Arial"/>
                <w:b/>
                <w:bCs/>
                <w:sz w:val="16"/>
                <w:szCs w:val="16"/>
              </w:rPr>
            </w:pPr>
            <w:r w:rsidRPr="00C81AEA">
              <w:rPr>
                <w:rFonts w:ascii="Arial" w:hAnsi="Arial" w:cs="Arial"/>
                <w:b/>
                <w:bCs/>
                <w:sz w:val="16"/>
                <w:szCs w:val="16"/>
              </w:rPr>
              <w:t>183,356</w:t>
            </w:r>
          </w:p>
        </w:tc>
      </w:tr>
      <w:tr w:rsidR="00C81AEA" w:rsidRPr="00C81AEA" w14:paraId="29E495EF" w14:textId="77777777" w:rsidTr="00C6624C">
        <w:trPr>
          <w:trHeight w:val="300"/>
        </w:trPr>
        <w:tc>
          <w:tcPr>
            <w:tcW w:w="2962" w:type="dxa"/>
            <w:tcBorders>
              <w:top w:val="nil"/>
              <w:left w:val="nil"/>
              <w:bottom w:val="nil"/>
              <w:right w:val="nil"/>
            </w:tcBorders>
            <w:shd w:val="clear" w:color="auto" w:fill="auto"/>
            <w:noWrap/>
            <w:vAlign w:val="bottom"/>
            <w:hideMark/>
          </w:tcPr>
          <w:p w14:paraId="1608DDCA" w14:textId="77777777" w:rsidR="00C81AEA" w:rsidRPr="00C81AEA" w:rsidRDefault="00C81AEA" w:rsidP="00C81AEA">
            <w:pPr>
              <w:spacing w:after="0"/>
              <w:rPr>
                <w:rFonts w:ascii="Arial" w:hAnsi="Arial" w:cs="Arial"/>
                <w:b/>
                <w:bCs/>
                <w:sz w:val="16"/>
                <w:szCs w:val="16"/>
              </w:rPr>
            </w:pPr>
            <w:r w:rsidRPr="00C81AEA">
              <w:rPr>
                <w:rFonts w:ascii="Arial" w:hAnsi="Arial" w:cs="Arial"/>
                <w:b/>
                <w:bCs/>
                <w:sz w:val="16"/>
                <w:szCs w:val="16"/>
              </w:rPr>
              <w:t>LIABILITIES</w:t>
            </w:r>
          </w:p>
        </w:tc>
        <w:tc>
          <w:tcPr>
            <w:tcW w:w="886" w:type="dxa"/>
            <w:tcBorders>
              <w:top w:val="nil"/>
              <w:left w:val="nil"/>
              <w:bottom w:val="nil"/>
              <w:right w:val="nil"/>
            </w:tcBorders>
            <w:shd w:val="clear" w:color="auto" w:fill="auto"/>
            <w:noWrap/>
            <w:tcMar>
              <w:left w:w="0" w:type="dxa"/>
            </w:tcMar>
            <w:vAlign w:val="bottom"/>
            <w:hideMark/>
          </w:tcPr>
          <w:p w14:paraId="6D314D9F" w14:textId="77777777" w:rsidR="00C81AEA" w:rsidRPr="00C81AEA" w:rsidRDefault="00C81AEA" w:rsidP="00C81AEA">
            <w:pPr>
              <w:spacing w:after="0"/>
              <w:rPr>
                <w:rFonts w:ascii="Arial" w:hAnsi="Arial" w:cs="Arial"/>
                <w:b/>
                <w:bCs/>
                <w:sz w:val="16"/>
                <w:szCs w:val="16"/>
              </w:rPr>
            </w:pPr>
          </w:p>
        </w:tc>
        <w:tc>
          <w:tcPr>
            <w:tcW w:w="878" w:type="dxa"/>
            <w:tcBorders>
              <w:top w:val="nil"/>
              <w:left w:val="nil"/>
              <w:bottom w:val="nil"/>
              <w:right w:val="nil"/>
            </w:tcBorders>
            <w:shd w:val="clear" w:color="000000" w:fill="D9D9D9"/>
            <w:noWrap/>
            <w:tcMar>
              <w:left w:w="0" w:type="dxa"/>
            </w:tcMar>
            <w:vAlign w:val="bottom"/>
            <w:hideMark/>
          </w:tcPr>
          <w:p w14:paraId="177BB24B" w14:textId="77777777" w:rsidR="00C81AEA" w:rsidRPr="00C81AEA" w:rsidRDefault="00C81AEA" w:rsidP="00C81AEA">
            <w:pPr>
              <w:spacing w:after="0"/>
              <w:jc w:val="right"/>
              <w:rPr>
                <w:rFonts w:ascii="Arial" w:hAnsi="Arial" w:cs="Arial"/>
                <w:sz w:val="16"/>
                <w:szCs w:val="16"/>
              </w:rPr>
            </w:pPr>
            <w:r w:rsidRPr="00C81AEA">
              <w:rPr>
                <w:rFonts w:ascii="Arial" w:hAnsi="Arial" w:cs="Arial"/>
                <w:sz w:val="16"/>
                <w:szCs w:val="16"/>
              </w:rPr>
              <w:t> </w:t>
            </w:r>
          </w:p>
        </w:tc>
        <w:tc>
          <w:tcPr>
            <w:tcW w:w="878" w:type="dxa"/>
            <w:tcBorders>
              <w:top w:val="nil"/>
              <w:left w:val="nil"/>
              <w:bottom w:val="nil"/>
              <w:right w:val="nil"/>
            </w:tcBorders>
            <w:shd w:val="clear" w:color="auto" w:fill="auto"/>
            <w:noWrap/>
            <w:tcMar>
              <w:left w:w="0" w:type="dxa"/>
            </w:tcMar>
            <w:vAlign w:val="bottom"/>
            <w:hideMark/>
          </w:tcPr>
          <w:p w14:paraId="7F739F84" w14:textId="77777777" w:rsidR="00C81AEA" w:rsidRPr="00C81AEA" w:rsidRDefault="00C81AEA" w:rsidP="00C81AEA">
            <w:pPr>
              <w:spacing w:after="0"/>
              <w:jc w:val="right"/>
              <w:rPr>
                <w:rFonts w:ascii="Arial" w:hAnsi="Arial" w:cs="Arial"/>
                <w:sz w:val="16"/>
                <w:szCs w:val="16"/>
              </w:rPr>
            </w:pPr>
          </w:p>
        </w:tc>
        <w:tc>
          <w:tcPr>
            <w:tcW w:w="878" w:type="dxa"/>
            <w:tcBorders>
              <w:top w:val="nil"/>
              <w:left w:val="nil"/>
              <w:bottom w:val="nil"/>
              <w:right w:val="nil"/>
            </w:tcBorders>
            <w:shd w:val="clear" w:color="auto" w:fill="auto"/>
            <w:noWrap/>
            <w:tcMar>
              <w:left w:w="0" w:type="dxa"/>
            </w:tcMar>
            <w:vAlign w:val="bottom"/>
            <w:hideMark/>
          </w:tcPr>
          <w:p w14:paraId="11BB749B" w14:textId="77777777" w:rsidR="00C81AEA" w:rsidRPr="00C81AEA" w:rsidRDefault="00C81AEA" w:rsidP="00C81AEA">
            <w:pPr>
              <w:spacing w:after="0"/>
              <w:jc w:val="right"/>
              <w:rPr>
                <w:rFonts w:ascii="Times New Roman" w:hAnsi="Times New Roman"/>
                <w:color w:val="auto"/>
                <w:sz w:val="20"/>
              </w:rPr>
            </w:pPr>
          </w:p>
        </w:tc>
        <w:tc>
          <w:tcPr>
            <w:tcW w:w="878" w:type="dxa"/>
            <w:tcBorders>
              <w:top w:val="nil"/>
              <w:left w:val="nil"/>
              <w:bottom w:val="nil"/>
              <w:right w:val="nil"/>
            </w:tcBorders>
            <w:shd w:val="clear" w:color="auto" w:fill="auto"/>
            <w:noWrap/>
            <w:tcMar>
              <w:left w:w="0" w:type="dxa"/>
            </w:tcMar>
            <w:vAlign w:val="bottom"/>
            <w:hideMark/>
          </w:tcPr>
          <w:p w14:paraId="5F751647" w14:textId="77777777" w:rsidR="00C81AEA" w:rsidRPr="00C81AEA" w:rsidRDefault="00C81AEA" w:rsidP="00C81AEA">
            <w:pPr>
              <w:spacing w:after="0"/>
              <w:jc w:val="right"/>
              <w:rPr>
                <w:rFonts w:ascii="Times New Roman" w:hAnsi="Times New Roman"/>
                <w:color w:val="auto"/>
                <w:sz w:val="20"/>
              </w:rPr>
            </w:pPr>
          </w:p>
        </w:tc>
      </w:tr>
      <w:tr w:rsidR="00C81AEA" w:rsidRPr="00C81AEA" w14:paraId="795367B3" w14:textId="77777777" w:rsidTr="00C6624C">
        <w:trPr>
          <w:trHeight w:val="225"/>
        </w:trPr>
        <w:tc>
          <w:tcPr>
            <w:tcW w:w="2962" w:type="dxa"/>
            <w:tcBorders>
              <w:top w:val="nil"/>
              <w:left w:val="nil"/>
              <w:bottom w:val="nil"/>
              <w:right w:val="nil"/>
            </w:tcBorders>
            <w:shd w:val="clear" w:color="auto" w:fill="auto"/>
            <w:noWrap/>
            <w:vAlign w:val="bottom"/>
            <w:hideMark/>
          </w:tcPr>
          <w:p w14:paraId="4158BA21" w14:textId="77777777" w:rsidR="00C81AEA" w:rsidRPr="00C81AEA" w:rsidRDefault="00C81AEA" w:rsidP="00C81AEA">
            <w:pPr>
              <w:spacing w:after="0"/>
              <w:ind w:firstLineChars="100" w:firstLine="160"/>
              <w:rPr>
                <w:rFonts w:ascii="Arial" w:hAnsi="Arial" w:cs="Arial"/>
                <w:b/>
                <w:bCs/>
                <w:sz w:val="16"/>
                <w:szCs w:val="16"/>
              </w:rPr>
            </w:pPr>
            <w:r w:rsidRPr="00C81AEA">
              <w:rPr>
                <w:rFonts w:ascii="Arial" w:hAnsi="Arial" w:cs="Arial"/>
                <w:b/>
                <w:bCs/>
                <w:sz w:val="16"/>
                <w:szCs w:val="16"/>
              </w:rPr>
              <w:t>Payables</w:t>
            </w:r>
          </w:p>
        </w:tc>
        <w:tc>
          <w:tcPr>
            <w:tcW w:w="886" w:type="dxa"/>
            <w:tcBorders>
              <w:top w:val="nil"/>
              <w:left w:val="nil"/>
              <w:bottom w:val="nil"/>
              <w:right w:val="nil"/>
            </w:tcBorders>
            <w:shd w:val="clear" w:color="auto" w:fill="auto"/>
            <w:noWrap/>
            <w:tcMar>
              <w:left w:w="0" w:type="dxa"/>
            </w:tcMar>
            <w:vAlign w:val="bottom"/>
            <w:hideMark/>
          </w:tcPr>
          <w:p w14:paraId="03E968B2" w14:textId="77777777" w:rsidR="00C81AEA" w:rsidRPr="00C81AEA" w:rsidRDefault="00C81AEA" w:rsidP="00C81AEA">
            <w:pPr>
              <w:spacing w:after="0"/>
              <w:ind w:firstLineChars="100" w:firstLine="160"/>
              <w:rPr>
                <w:rFonts w:ascii="Arial" w:hAnsi="Arial" w:cs="Arial"/>
                <w:b/>
                <w:bCs/>
                <w:sz w:val="16"/>
                <w:szCs w:val="16"/>
              </w:rPr>
            </w:pPr>
          </w:p>
        </w:tc>
        <w:tc>
          <w:tcPr>
            <w:tcW w:w="878" w:type="dxa"/>
            <w:tcBorders>
              <w:top w:val="nil"/>
              <w:left w:val="nil"/>
              <w:bottom w:val="nil"/>
              <w:right w:val="nil"/>
            </w:tcBorders>
            <w:shd w:val="clear" w:color="000000" w:fill="D9D9D9"/>
            <w:noWrap/>
            <w:tcMar>
              <w:left w:w="0" w:type="dxa"/>
            </w:tcMar>
            <w:vAlign w:val="bottom"/>
            <w:hideMark/>
          </w:tcPr>
          <w:p w14:paraId="2C622CF0" w14:textId="77777777" w:rsidR="00C81AEA" w:rsidRPr="00C81AEA" w:rsidRDefault="00C81AEA" w:rsidP="00C81AEA">
            <w:pPr>
              <w:spacing w:after="0"/>
              <w:jc w:val="right"/>
              <w:rPr>
                <w:rFonts w:ascii="Arial" w:hAnsi="Arial" w:cs="Arial"/>
                <w:sz w:val="16"/>
                <w:szCs w:val="16"/>
              </w:rPr>
            </w:pPr>
            <w:r w:rsidRPr="00C81AEA">
              <w:rPr>
                <w:rFonts w:ascii="Arial" w:hAnsi="Arial" w:cs="Arial"/>
                <w:sz w:val="16"/>
                <w:szCs w:val="16"/>
              </w:rPr>
              <w:t> </w:t>
            </w:r>
          </w:p>
        </w:tc>
        <w:tc>
          <w:tcPr>
            <w:tcW w:w="878" w:type="dxa"/>
            <w:tcBorders>
              <w:top w:val="nil"/>
              <w:left w:val="nil"/>
              <w:bottom w:val="nil"/>
              <w:right w:val="nil"/>
            </w:tcBorders>
            <w:shd w:val="clear" w:color="auto" w:fill="auto"/>
            <w:noWrap/>
            <w:tcMar>
              <w:left w:w="0" w:type="dxa"/>
            </w:tcMar>
            <w:vAlign w:val="bottom"/>
            <w:hideMark/>
          </w:tcPr>
          <w:p w14:paraId="4D62B679" w14:textId="77777777" w:rsidR="00C81AEA" w:rsidRPr="00C81AEA" w:rsidRDefault="00C81AEA" w:rsidP="00C81AEA">
            <w:pPr>
              <w:spacing w:after="0"/>
              <w:jc w:val="right"/>
              <w:rPr>
                <w:rFonts w:ascii="Arial" w:hAnsi="Arial" w:cs="Arial"/>
                <w:sz w:val="16"/>
                <w:szCs w:val="16"/>
              </w:rPr>
            </w:pPr>
          </w:p>
        </w:tc>
        <w:tc>
          <w:tcPr>
            <w:tcW w:w="878" w:type="dxa"/>
            <w:tcBorders>
              <w:top w:val="nil"/>
              <w:left w:val="nil"/>
              <w:bottom w:val="nil"/>
              <w:right w:val="nil"/>
            </w:tcBorders>
            <w:shd w:val="clear" w:color="auto" w:fill="auto"/>
            <w:noWrap/>
            <w:tcMar>
              <w:left w:w="0" w:type="dxa"/>
            </w:tcMar>
            <w:vAlign w:val="bottom"/>
            <w:hideMark/>
          </w:tcPr>
          <w:p w14:paraId="5EFF1E24" w14:textId="77777777" w:rsidR="00C81AEA" w:rsidRPr="00C81AEA" w:rsidRDefault="00C81AEA" w:rsidP="00C81AEA">
            <w:pPr>
              <w:spacing w:after="0"/>
              <w:jc w:val="right"/>
              <w:rPr>
                <w:rFonts w:ascii="Times New Roman" w:hAnsi="Times New Roman"/>
                <w:color w:val="auto"/>
                <w:sz w:val="20"/>
              </w:rPr>
            </w:pPr>
          </w:p>
        </w:tc>
        <w:tc>
          <w:tcPr>
            <w:tcW w:w="878" w:type="dxa"/>
            <w:tcBorders>
              <w:top w:val="nil"/>
              <w:left w:val="nil"/>
              <w:bottom w:val="nil"/>
              <w:right w:val="nil"/>
            </w:tcBorders>
            <w:shd w:val="clear" w:color="auto" w:fill="auto"/>
            <w:noWrap/>
            <w:tcMar>
              <w:left w:w="0" w:type="dxa"/>
            </w:tcMar>
            <w:vAlign w:val="bottom"/>
            <w:hideMark/>
          </w:tcPr>
          <w:p w14:paraId="7C343147" w14:textId="77777777" w:rsidR="00C81AEA" w:rsidRPr="00C81AEA" w:rsidRDefault="00C81AEA" w:rsidP="00C81AEA">
            <w:pPr>
              <w:spacing w:after="0"/>
              <w:jc w:val="right"/>
              <w:rPr>
                <w:rFonts w:ascii="Times New Roman" w:hAnsi="Times New Roman"/>
                <w:color w:val="auto"/>
                <w:sz w:val="20"/>
              </w:rPr>
            </w:pPr>
          </w:p>
        </w:tc>
      </w:tr>
      <w:tr w:rsidR="00C81AEA" w:rsidRPr="00C81AEA" w14:paraId="4C0A7AEC" w14:textId="77777777" w:rsidTr="00C6624C">
        <w:trPr>
          <w:trHeight w:val="225"/>
        </w:trPr>
        <w:tc>
          <w:tcPr>
            <w:tcW w:w="2962" w:type="dxa"/>
            <w:tcBorders>
              <w:top w:val="nil"/>
              <w:left w:val="nil"/>
              <w:bottom w:val="nil"/>
              <w:right w:val="nil"/>
            </w:tcBorders>
            <w:shd w:val="clear" w:color="auto" w:fill="auto"/>
            <w:noWrap/>
            <w:vAlign w:val="bottom"/>
            <w:hideMark/>
          </w:tcPr>
          <w:p w14:paraId="0FBE486C" w14:textId="77777777" w:rsidR="00C81AEA" w:rsidRPr="00C81AEA" w:rsidRDefault="00C81AEA" w:rsidP="00C81AEA">
            <w:pPr>
              <w:spacing w:after="0"/>
              <w:ind w:firstLineChars="200" w:firstLine="320"/>
              <w:rPr>
                <w:rFonts w:ascii="Arial" w:hAnsi="Arial" w:cs="Arial"/>
                <w:sz w:val="16"/>
                <w:szCs w:val="16"/>
              </w:rPr>
            </w:pPr>
            <w:r w:rsidRPr="00C81AEA">
              <w:rPr>
                <w:rFonts w:ascii="Arial" w:hAnsi="Arial" w:cs="Arial"/>
                <w:sz w:val="16"/>
                <w:szCs w:val="16"/>
              </w:rPr>
              <w:t>Suppliers</w:t>
            </w:r>
          </w:p>
        </w:tc>
        <w:tc>
          <w:tcPr>
            <w:tcW w:w="886" w:type="dxa"/>
            <w:tcBorders>
              <w:top w:val="nil"/>
              <w:left w:val="nil"/>
              <w:bottom w:val="nil"/>
              <w:right w:val="nil"/>
            </w:tcBorders>
            <w:shd w:val="clear" w:color="auto" w:fill="auto"/>
            <w:noWrap/>
            <w:tcMar>
              <w:left w:w="0" w:type="dxa"/>
            </w:tcMar>
            <w:vAlign w:val="bottom"/>
            <w:hideMark/>
          </w:tcPr>
          <w:p w14:paraId="11ED1D98" w14:textId="77777777" w:rsidR="00C81AEA" w:rsidRPr="00C81AEA" w:rsidRDefault="00C81AEA" w:rsidP="00C81AEA">
            <w:pPr>
              <w:spacing w:after="0"/>
              <w:jc w:val="right"/>
              <w:rPr>
                <w:rFonts w:ascii="Arial" w:hAnsi="Arial" w:cs="Arial"/>
                <w:color w:val="auto"/>
                <w:sz w:val="16"/>
                <w:szCs w:val="16"/>
              </w:rPr>
            </w:pPr>
            <w:r w:rsidRPr="00C81AEA">
              <w:rPr>
                <w:rFonts w:ascii="Arial" w:hAnsi="Arial" w:cs="Arial"/>
                <w:color w:val="auto"/>
                <w:sz w:val="16"/>
                <w:szCs w:val="16"/>
              </w:rPr>
              <w:t>64,491</w:t>
            </w:r>
          </w:p>
        </w:tc>
        <w:tc>
          <w:tcPr>
            <w:tcW w:w="878" w:type="dxa"/>
            <w:tcBorders>
              <w:top w:val="nil"/>
              <w:left w:val="nil"/>
              <w:bottom w:val="nil"/>
              <w:right w:val="nil"/>
            </w:tcBorders>
            <w:shd w:val="clear" w:color="000000" w:fill="D9D9D9"/>
            <w:noWrap/>
            <w:tcMar>
              <w:left w:w="0" w:type="dxa"/>
            </w:tcMar>
            <w:vAlign w:val="bottom"/>
            <w:hideMark/>
          </w:tcPr>
          <w:p w14:paraId="50951933" w14:textId="77777777" w:rsidR="00C81AEA" w:rsidRPr="00C81AEA" w:rsidRDefault="00C81AEA" w:rsidP="00C81AEA">
            <w:pPr>
              <w:spacing w:after="0"/>
              <w:jc w:val="right"/>
              <w:rPr>
                <w:rFonts w:ascii="Arial" w:hAnsi="Arial" w:cs="Arial"/>
                <w:color w:val="auto"/>
                <w:sz w:val="16"/>
                <w:szCs w:val="16"/>
              </w:rPr>
            </w:pPr>
            <w:r w:rsidRPr="00C81AEA">
              <w:rPr>
                <w:rFonts w:ascii="Arial" w:hAnsi="Arial" w:cs="Arial"/>
                <w:color w:val="auto"/>
                <w:sz w:val="16"/>
                <w:szCs w:val="16"/>
              </w:rPr>
              <w:t>69,109</w:t>
            </w:r>
          </w:p>
        </w:tc>
        <w:tc>
          <w:tcPr>
            <w:tcW w:w="878" w:type="dxa"/>
            <w:tcBorders>
              <w:top w:val="nil"/>
              <w:left w:val="nil"/>
              <w:bottom w:val="nil"/>
              <w:right w:val="nil"/>
            </w:tcBorders>
            <w:shd w:val="clear" w:color="auto" w:fill="auto"/>
            <w:noWrap/>
            <w:tcMar>
              <w:left w:w="0" w:type="dxa"/>
            </w:tcMar>
            <w:vAlign w:val="bottom"/>
            <w:hideMark/>
          </w:tcPr>
          <w:p w14:paraId="02F49039" w14:textId="77777777" w:rsidR="00C81AEA" w:rsidRPr="00C81AEA" w:rsidRDefault="00C81AEA" w:rsidP="00C81AEA">
            <w:pPr>
              <w:spacing w:after="0"/>
              <w:jc w:val="right"/>
              <w:rPr>
                <w:rFonts w:ascii="Arial" w:hAnsi="Arial" w:cs="Arial"/>
                <w:color w:val="auto"/>
                <w:sz w:val="16"/>
                <w:szCs w:val="16"/>
              </w:rPr>
            </w:pPr>
            <w:r w:rsidRPr="00C81AEA">
              <w:rPr>
                <w:rFonts w:ascii="Arial" w:hAnsi="Arial" w:cs="Arial"/>
                <w:color w:val="auto"/>
                <w:sz w:val="16"/>
                <w:szCs w:val="16"/>
              </w:rPr>
              <w:t>69,109</w:t>
            </w:r>
          </w:p>
        </w:tc>
        <w:tc>
          <w:tcPr>
            <w:tcW w:w="878" w:type="dxa"/>
            <w:tcBorders>
              <w:top w:val="nil"/>
              <w:left w:val="nil"/>
              <w:bottom w:val="nil"/>
              <w:right w:val="nil"/>
            </w:tcBorders>
            <w:shd w:val="clear" w:color="auto" w:fill="auto"/>
            <w:noWrap/>
            <w:tcMar>
              <w:left w:w="0" w:type="dxa"/>
            </w:tcMar>
            <w:vAlign w:val="bottom"/>
            <w:hideMark/>
          </w:tcPr>
          <w:p w14:paraId="7B4D9440" w14:textId="77777777" w:rsidR="00C81AEA" w:rsidRPr="00C81AEA" w:rsidRDefault="00C81AEA" w:rsidP="00C81AEA">
            <w:pPr>
              <w:spacing w:after="0"/>
              <w:jc w:val="right"/>
              <w:rPr>
                <w:rFonts w:ascii="Arial" w:hAnsi="Arial" w:cs="Arial"/>
                <w:color w:val="auto"/>
                <w:sz w:val="16"/>
                <w:szCs w:val="16"/>
              </w:rPr>
            </w:pPr>
            <w:r w:rsidRPr="00C81AEA">
              <w:rPr>
                <w:rFonts w:ascii="Arial" w:hAnsi="Arial" w:cs="Arial"/>
                <w:color w:val="auto"/>
                <w:sz w:val="16"/>
                <w:szCs w:val="16"/>
              </w:rPr>
              <w:t>69,109</w:t>
            </w:r>
          </w:p>
        </w:tc>
        <w:tc>
          <w:tcPr>
            <w:tcW w:w="878" w:type="dxa"/>
            <w:tcBorders>
              <w:top w:val="nil"/>
              <w:left w:val="nil"/>
              <w:bottom w:val="nil"/>
              <w:right w:val="nil"/>
            </w:tcBorders>
            <w:shd w:val="clear" w:color="auto" w:fill="auto"/>
            <w:noWrap/>
            <w:tcMar>
              <w:left w:w="0" w:type="dxa"/>
            </w:tcMar>
            <w:vAlign w:val="bottom"/>
            <w:hideMark/>
          </w:tcPr>
          <w:p w14:paraId="6A3D4845" w14:textId="77777777" w:rsidR="00C81AEA" w:rsidRPr="00C81AEA" w:rsidRDefault="00C81AEA" w:rsidP="00C81AEA">
            <w:pPr>
              <w:spacing w:after="0"/>
              <w:jc w:val="right"/>
              <w:rPr>
                <w:rFonts w:ascii="Arial" w:hAnsi="Arial" w:cs="Arial"/>
                <w:color w:val="auto"/>
                <w:sz w:val="16"/>
                <w:szCs w:val="16"/>
              </w:rPr>
            </w:pPr>
            <w:r w:rsidRPr="00C81AEA">
              <w:rPr>
                <w:rFonts w:ascii="Arial" w:hAnsi="Arial" w:cs="Arial"/>
                <w:color w:val="auto"/>
                <w:sz w:val="16"/>
                <w:szCs w:val="16"/>
              </w:rPr>
              <w:t>69,109</w:t>
            </w:r>
          </w:p>
        </w:tc>
      </w:tr>
      <w:tr w:rsidR="00C81AEA" w:rsidRPr="00C81AEA" w14:paraId="0205BB88" w14:textId="77777777" w:rsidTr="00C6624C">
        <w:trPr>
          <w:trHeight w:val="225"/>
        </w:trPr>
        <w:tc>
          <w:tcPr>
            <w:tcW w:w="2962" w:type="dxa"/>
            <w:tcBorders>
              <w:top w:val="nil"/>
              <w:left w:val="nil"/>
              <w:bottom w:val="nil"/>
              <w:right w:val="nil"/>
            </w:tcBorders>
            <w:shd w:val="clear" w:color="auto" w:fill="auto"/>
            <w:noWrap/>
            <w:vAlign w:val="bottom"/>
            <w:hideMark/>
          </w:tcPr>
          <w:p w14:paraId="491A933D" w14:textId="77777777" w:rsidR="00C81AEA" w:rsidRPr="00C81AEA" w:rsidRDefault="00C81AEA" w:rsidP="00C81AEA">
            <w:pPr>
              <w:spacing w:after="0"/>
              <w:ind w:firstLineChars="200" w:firstLine="320"/>
              <w:rPr>
                <w:rFonts w:ascii="Arial" w:hAnsi="Arial" w:cs="Arial"/>
                <w:sz w:val="16"/>
                <w:szCs w:val="16"/>
              </w:rPr>
            </w:pPr>
            <w:r w:rsidRPr="00C81AEA">
              <w:rPr>
                <w:rFonts w:ascii="Arial" w:hAnsi="Arial" w:cs="Arial"/>
                <w:sz w:val="16"/>
                <w:szCs w:val="16"/>
              </w:rPr>
              <w:t>Other payables</w:t>
            </w:r>
          </w:p>
        </w:tc>
        <w:tc>
          <w:tcPr>
            <w:tcW w:w="886" w:type="dxa"/>
            <w:tcBorders>
              <w:top w:val="nil"/>
              <w:left w:val="nil"/>
              <w:bottom w:val="nil"/>
              <w:right w:val="nil"/>
            </w:tcBorders>
            <w:shd w:val="clear" w:color="auto" w:fill="auto"/>
            <w:noWrap/>
            <w:tcMar>
              <w:left w:w="0" w:type="dxa"/>
            </w:tcMar>
            <w:vAlign w:val="bottom"/>
            <w:hideMark/>
          </w:tcPr>
          <w:p w14:paraId="1B8F6D65" w14:textId="77777777" w:rsidR="00C81AEA" w:rsidRPr="00C81AEA" w:rsidRDefault="00C81AEA" w:rsidP="00C81AEA">
            <w:pPr>
              <w:spacing w:after="0"/>
              <w:jc w:val="right"/>
              <w:rPr>
                <w:rFonts w:ascii="Arial" w:hAnsi="Arial" w:cs="Arial"/>
                <w:color w:val="auto"/>
                <w:sz w:val="16"/>
                <w:szCs w:val="16"/>
              </w:rPr>
            </w:pPr>
            <w:r w:rsidRPr="00C81AEA">
              <w:rPr>
                <w:rFonts w:ascii="Arial" w:hAnsi="Arial" w:cs="Arial"/>
                <w:color w:val="auto"/>
                <w:sz w:val="16"/>
                <w:szCs w:val="16"/>
              </w:rPr>
              <w:t>1,273</w:t>
            </w:r>
          </w:p>
        </w:tc>
        <w:tc>
          <w:tcPr>
            <w:tcW w:w="878" w:type="dxa"/>
            <w:tcBorders>
              <w:top w:val="nil"/>
              <w:left w:val="nil"/>
              <w:bottom w:val="nil"/>
              <w:right w:val="nil"/>
            </w:tcBorders>
            <w:shd w:val="clear" w:color="000000" w:fill="D9D9D9"/>
            <w:noWrap/>
            <w:tcMar>
              <w:left w:w="0" w:type="dxa"/>
            </w:tcMar>
            <w:vAlign w:val="bottom"/>
            <w:hideMark/>
          </w:tcPr>
          <w:p w14:paraId="6864742F" w14:textId="77777777" w:rsidR="00C81AEA" w:rsidRPr="00C81AEA" w:rsidRDefault="00C81AEA" w:rsidP="00C81AEA">
            <w:pPr>
              <w:spacing w:after="0"/>
              <w:jc w:val="right"/>
              <w:rPr>
                <w:rFonts w:ascii="Arial" w:hAnsi="Arial" w:cs="Arial"/>
                <w:color w:val="auto"/>
                <w:sz w:val="16"/>
                <w:szCs w:val="16"/>
              </w:rPr>
            </w:pPr>
            <w:r w:rsidRPr="00C81AEA">
              <w:rPr>
                <w:rFonts w:ascii="Arial" w:hAnsi="Arial" w:cs="Arial"/>
                <w:color w:val="auto"/>
                <w:sz w:val="16"/>
                <w:szCs w:val="16"/>
              </w:rPr>
              <w:t>1,273</w:t>
            </w:r>
          </w:p>
        </w:tc>
        <w:tc>
          <w:tcPr>
            <w:tcW w:w="878" w:type="dxa"/>
            <w:tcBorders>
              <w:top w:val="nil"/>
              <w:left w:val="nil"/>
              <w:bottom w:val="nil"/>
              <w:right w:val="nil"/>
            </w:tcBorders>
            <w:shd w:val="clear" w:color="auto" w:fill="auto"/>
            <w:noWrap/>
            <w:tcMar>
              <w:left w:w="0" w:type="dxa"/>
            </w:tcMar>
            <w:vAlign w:val="bottom"/>
            <w:hideMark/>
          </w:tcPr>
          <w:p w14:paraId="70CA2DA0" w14:textId="77777777" w:rsidR="00C81AEA" w:rsidRPr="00C81AEA" w:rsidRDefault="00C81AEA" w:rsidP="00C81AEA">
            <w:pPr>
              <w:spacing w:after="0"/>
              <w:jc w:val="right"/>
              <w:rPr>
                <w:rFonts w:ascii="Arial" w:hAnsi="Arial" w:cs="Arial"/>
                <w:color w:val="auto"/>
                <w:sz w:val="16"/>
                <w:szCs w:val="16"/>
              </w:rPr>
            </w:pPr>
            <w:r w:rsidRPr="00C81AEA">
              <w:rPr>
                <w:rFonts w:ascii="Arial" w:hAnsi="Arial" w:cs="Arial"/>
                <w:color w:val="auto"/>
                <w:sz w:val="16"/>
                <w:szCs w:val="16"/>
              </w:rPr>
              <w:t>1,273</w:t>
            </w:r>
          </w:p>
        </w:tc>
        <w:tc>
          <w:tcPr>
            <w:tcW w:w="878" w:type="dxa"/>
            <w:tcBorders>
              <w:top w:val="nil"/>
              <w:left w:val="nil"/>
              <w:bottom w:val="nil"/>
              <w:right w:val="nil"/>
            </w:tcBorders>
            <w:shd w:val="clear" w:color="auto" w:fill="auto"/>
            <w:noWrap/>
            <w:tcMar>
              <w:left w:w="0" w:type="dxa"/>
            </w:tcMar>
            <w:vAlign w:val="bottom"/>
            <w:hideMark/>
          </w:tcPr>
          <w:p w14:paraId="17454B50" w14:textId="77777777" w:rsidR="00C81AEA" w:rsidRPr="00C81AEA" w:rsidRDefault="00C81AEA" w:rsidP="00C81AEA">
            <w:pPr>
              <w:spacing w:after="0"/>
              <w:jc w:val="right"/>
              <w:rPr>
                <w:rFonts w:ascii="Arial" w:hAnsi="Arial" w:cs="Arial"/>
                <w:color w:val="auto"/>
                <w:sz w:val="16"/>
                <w:szCs w:val="16"/>
              </w:rPr>
            </w:pPr>
            <w:r w:rsidRPr="00C81AEA">
              <w:rPr>
                <w:rFonts w:ascii="Arial" w:hAnsi="Arial" w:cs="Arial"/>
                <w:color w:val="auto"/>
                <w:sz w:val="16"/>
                <w:szCs w:val="16"/>
              </w:rPr>
              <w:t>1,273</w:t>
            </w:r>
          </w:p>
        </w:tc>
        <w:tc>
          <w:tcPr>
            <w:tcW w:w="878" w:type="dxa"/>
            <w:tcBorders>
              <w:top w:val="nil"/>
              <w:left w:val="nil"/>
              <w:bottom w:val="nil"/>
              <w:right w:val="nil"/>
            </w:tcBorders>
            <w:shd w:val="clear" w:color="auto" w:fill="auto"/>
            <w:noWrap/>
            <w:tcMar>
              <w:left w:w="0" w:type="dxa"/>
            </w:tcMar>
            <w:vAlign w:val="bottom"/>
            <w:hideMark/>
          </w:tcPr>
          <w:p w14:paraId="5866FD06" w14:textId="77777777" w:rsidR="00C81AEA" w:rsidRPr="00C81AEA" w:rsidRDefault="00C81AEA" w:rsidP="00C81AEA">
            <w:pPr>
              <w:spacing w:after="0"/>
              <w:jc w:val="right"/>
              <w:rPr>
                <w:rFonts w:ascii="Arial" w:hAnsi="Arial" w:cs="Arial"/>
                <w:color w:val="auto"/>
                <w:sz w:val="16"/>
                <w:szCs w:val="16"/>
              </w:rPr>
            </w:pPr>
            <w:r w:rsidRPr="00C81AEA">
              <w:rPr>
                <w:rFonts w:ascii="Arial" w:hAnsi="Arial" w:cs="Arial"/>
                <w:color w:val="auto"/>
                <w:sz w:val="16"/>
                <w:szCs w:val="16"/>
              </w:rPr>
              <w:t>1,273</w:t>
            </w:r>
          </w:p>
        </w:tc>
      </w:tr>
      <w:tr w:rsidR="00C81AEA" w:rsidRPr="00C81AEA" w14:paraId="7211B41A" w14:textId="77777777" w:rsidTr="00C6624C">
        <w:trPr>
          <w:trHeight w:val="225"/>
        </w:trPr>
        <w:tc>
          <w:tcPr>
            <w:tcW w:w="2962" w:type="dxa"/>
            <w:tcBorders>
              <w:top w:val="nil"/>
              <w:left w:val="nil"/>
              <w:bottom w:val="nil"/>
              <w:right w:val="nil"/>
            </w:tcBorders>
            <w:shd w:val="clear" w:color="auto" w:fill="auto"/>
            <w:noWrap/>
            <w:vAlign w:val="bottom"/>
            <w:hideMark/>
          </w:tcPr>
          <w:p w14:paraId="30F7F68C" w14:textId="77777777" w:rsidR="00C81AEA" w:rsidRPr="00C81AEA" w:rsidRDefault="00C81AEA" w:rsidP="00C81AEA">
            <w:pPr>
              <w:spacing w:after="0"/>
              <w:ind w:firstLineChars="200" w:firstLine="320"/>
              <w:rPr>
                <w:rFonts w:ascii="Arial" w:hAnsi="Arial" w:cs="Arial"/>
                <w:b/>
                <w:bCs/>
                <w:sz w:val="16"/>
                <w:szCs w:val="16"/>
              </w:rPr>
            </w:pPr>
            <w:r w:rsidRPr="00C81AEA">
              <w:rPr>
                <w:rFonts w:ascii="Arial" w:hAnsi="Arial" w:cs="Arial"/>
                <w:b/>
                <w:bCs/>
                <w:sz w:val="16"/>
                <w:szCs w:val="16"/>
              </w:rPr>
              <w:t>Total payables</w:t>
            </w:r>
          </w:p>
        </w:tc>
        <w:tc>
          <w:tcPr>
            <w:tcW w:w="886" w:type="dxa"/>
            <w:tcBorders>
              <w:top w:val="nil"/>
              <w:left w:val="nil"/>
              <w:bottom w:val="single" w:sz="4" w:space="0" w:color="auto"/>
              <w:right w:val="nil"/>
            </w:tcBorders>
            <w:shd w:val="clear" w:color="auto" w:fill="auto"/>
            <w:noWrap/>
            <w:tcMar>
              <w:left w:w="0" w:type="dxa"/>
            </w:tcMar>
            <w:vAlign w:val="bottom"/>
            <w:hideMark/>
          </w:tcPr>
          <w:p w14:paraId="33BA1DCC" w14:textId="77777777" w:rsidR="00C81AEA" w:rsidRPr="00C81AEA" w:rsidRDefault="00C81AEA" w:rsidP="00C81AEA">
            <w:pPr>
              <w:spacing w:after="0"/>
              <w:jc w:val="right"/>
              <w:rPr>
                <w:rFonts w:ascii="Arial" w:hAnsi="Arial" w:cs="Arial"/>
                <w:b/>
                <w:bCs/>
                <w:sz w:val="16"/>
                <w:szCs w:val="16"/>
              </w:rPr>
            </w:pPr>
            <w:r w:rsidRPr="00C81AEA">
              <w:rPr>
                <w:rFonts w:ascii="Arial" w:hAnsi="Arial" w:cs="Arial"/>
                <w:b/>
                <w:bCs/>
                <w:sz w:val="16"/>
                <w:szCs w:val="16"/>
              </w:rPr>
              <w:t>65,764</w:t>
            </w:r>
          </w:p>
        </w:tc>
        <w:tc>
          <w:tcPr>
            <w:tcW w:w="878" w:type="dxa"/>
            <w:tcBorders>
              <w:top w:val="nil"/>
              <w:left w:val="nil"/>
              <w:bottom w:val="single" w:sz="4" w:space="0" w:color="auto"/>
              <w:right w:val="nil"/>
            </w:tcBorders>
            <w:shd w:val="clear" w:color="000000" w:fill="D9D9D9"/>
            <w:noWrap/>
            <w:tcMar>
              <w:left w:w="0" w:type="dxa"/>
            </w:tcMar>
            <w:vAlign w:val="bottom"/>
            <w:hideMark/>
          </w:tcPr>
          <w:p w14:paraId="0615E9CA" w14:textId="77777777" w:rsidR="00C81AEA" w:rsidRPr="00C81AEA" w:rsidRDefault="00C81AEA" w:rsidP="00C81AEA">
            <w:pPr>
              <w:spacing w:after="0"/>
              <w:jc w:val="right"/>
              <w:rPr>
                <w:rFonts w:ascii="Arial" w:hAnsi="Arial" w:cs="Arial"/>
                <w:b/>
                <w:bCs/>
                <w:sz w:val="16"/>
                <w:szCs w:val="16"/>
              </w:rPr>
            </w:pPr>
            <w:r w:rsidRPr="00C81AEA">
              <w:rPr>
                <w:rFonts w:ascii="Arial" w:hAnsi="Arial" w:cs="Arial"/>
                <w:b/>
                <w:bCs/>
                <w:sz w:val="16"/>
                <w:szCs w:val="16"/>
              </w:rPr>
              <w:t>70,382</w:t>
            </w:r>
          </w:p>
        </w:tc>
        <w:tc>
          <w:tcPr>
            <w:tcW w:w="878" w:type="dxa"/>
            <w:tcBorders>
              <w:top w:val="nil"/>
              <w:left w:val="nil"/>
              <w:bottom w:val="single" w:sz="4" w:space="0" w:color="auto"/>
              <w:right w:val="nil"/>
            </w:tcBorders>
            <w:shd w:val="clear" w:color="auto" w:fill="auto"/>
            <w:noWrap/>
            <w:tcMar>
              <w:left w:w="0" w:type="dxa"/>
            </w:tcMar>
            <w:vAlign w:val="bottom"/>
            <w:hideMark/>
          </w:tcPr>
          <w:p w14:paraId="11B69339" w14:textId="77777777" w:rsidR="00C81AEA" w:rsidRPr="00C81AEA" w:rsidRDefault="00C81AEA" w:rsidP="00C81AEA">
            <w:pPr>
              <w:spacing w:after="0"/>
              <w:jc w:val="right"/>
              <w:rPr>
                <w:rFonts w:ascii="Arial" w:hAnsi="Arial" w:cs="Arial"/>
                <w:b/>
                <w:bCs/>
                <w:sz w:val="16"/>
                <w:szCs w:val="16"/>
              </w:rPr>
            </w:pPr>
            <w:r w:rsidRPr="00C81AEA">
              <w:rPr>
                <w:rFonts w:ascii="Arial" w:hAnsi="Arial" w:cs="Arial"/>
                <w:b/>
                <w:bCs/>
                <w:sz w:val="16"/>
                <w:szCs w:val="16"/>
              </w:rPr>
              <w:t>70,382</w:t>
            </w:r>
          </w:p>
        </w:tc>
        <w:tc>
          <w:tcPr>
            <w:tcW w:w="878" w:type="dxa"/>
            <w:tcBorders>
              <w:top w:val="nil"/>
              <w:left w:val="nil"/>
              <w:bottom w:val="single" w:sz="4" w:space="0" w:color="auto"/>
              <w:right w:val="nil"/>
            </w:tcBorders>
            <w:shd w:val="clear" w:color="auto" w:fill="auto"/>
            <w:noWrap/>
            <w:tcMar>
              <w:left w:w="0" w:type="dxa"/>
            </w:tcMar>
            <w:vAlign w:val="bottom"/>
            <w:hideMark/>
          </w:tcPr>
          <w:p w14:paraId="243AA4F6" w14:textId="77777777" w:rsidR="00C81AEA" w:rsidRPr="00C81AEA" w:rsidRDefault="00C81AEA" w:rsidP="00C81AEA">
            <w:pPr>
              <w:spacing w:after="0"/>
              <w:jc w:val="right"/>
              <w:rPr>
                <w:rFonts w:ascii="Arial" w:hAnsi="Arial" w:cs="Arial"/>
                <w:b/>
                <w:bCs/>
                <w:sz w:val="16"/>
                <w:szCs w:val="16"/>
              </w:rPr>
            </w:pPr>
            <w:r w:rsidRPr="00C81AEA">
              <w:rPr>
                <w:rFonts w:ascii="Arial" w:hAnsi="Arial" w:cs="Arial"/>
                <w:b/>
                <w:bCs/>
                <w:sz w:val="16"/>
                <w:szCs w:val="16"/>
              </w:rPr>
              <w:t>70,382</w:t>
            </w:r>
          </w:p>
        </w:tc>
        <w:tc>
          <w:tcPr>
            <w:tcW w:w="878" w:type="dxa"/>
            <w:tcBorders>
              <w:top w:val="nil"/>
              <w:left w:val="nil"/>
              <w:bottom w:val="single" w:sz="4" w:space="0" w:color="auto"/>
              <w:right w:val="nil"/>
            </w:tcBorders>
            <w:shd w:val="clear" w:color="auto" w:fill="auto"/>
            <w:noWrap/>
            <w:tcMar>
              <w:left w:w="0" w:type="dxa"/>
            </w:tcMar>
            <w:vAlign w:val="bottom"/>
            <w:hideMark/>
          </w:tcPr>
          <w:p w14:paraId="78D72E22" w14:textId="77777777" w:rsidR="00C81AEA" w:rsidRPr="00C81AEA" w:rsidRDefault="00C81AEA" w:rsidP="00C81AEA">
            <w:pPr>
              <w:spacing w:after="0"/>
              <w:jc w:val="right"/>
              <w:rPr>
                <w:rFonts w:ascii="Arial" w:hAnsi="Arial" w:cs="Arial"/>
                <w:b/>
                <w:bCs/>
                <w:sz w:val="16"/>
                <w:szCs w:val="16"/>
              </w:rPr>
            </w:pPr>
            <w:r w:rsidRPr="00C81AEA">
              <w:rPr>
                <w:rFonts w:ascii="Arial" w:hAnsi="Arial" w:cs="Arial"/>
                <w:b/>
                <w:bCs/>
                <w:sz w:val="16"/>
                <w:szCs w:val="16"/>
              </w:rPr>
              <w:t>70,382</w:t>
            </w:r>
          </w:p>
        </w:tc>
      </w:tr>
      <w:tr w:rsidR="00C81AEA" w:rsidRPr="00C81AEA" w14:paraId="77164269" w14:textId="77777777" w:rsidTr="00C6624C">
        <w:trPr>
          <w:trHeight w:val="300"/>
        </w:trPr>
        <w:tc>
          <w:tcPr>
            <w:tcW w:w="2962" w:type="dxa"/>
            <w:tcBorders>
              <w:top w:val="nil"/>
              <w:left w:val="nil"/>
              <w:bottom w:val="nil"/>
              <w:right w:val="nil"/>
            </w:tcBorders>
            <w:shd w:val="clear" w:color="auto" w:fill="auto"/>
            <w:noWrap/>
            <w:vAlign w:val="bottom"/>
            <w:hideMark/>
          </w:tcPr>
          <w:p w14:paraId="2C373D10" w14:textId="77777777" w:rsidR="00C81AEA" w:rsidRPr="00C81AEA" w:rsidRDefault="00C81AEA" w:rsidP="00C81AEA">
            <w:pPr>
              <w:spacing w:after="0"/>
              <w:ind w:firstLineChars="100" w:firstLine="160"/>
              <w:rPr>
                <w:rFonts w:ascii="Arial" w:hAnsi="Arial" w:cs="Arial"/>
                <w:b/>
                <w:bCs/>
                <w:sz w:val="16"/>
                <w:szCs w:val="16"/>
              </w:rPr>
            </w:pPr>
            <w:r w:rsidRPr="00C81AEA">
              <w:rPr>
                <w:rFonts w:ascii="Arial" w:hAnsi="Arial" w:cs="Arial"/>
                <w:b/>
                <w:bCs/>
                <w:sz w:val="16"/>
                <w:szCs w:val="16"/>
              </w:rPr>
              <w:t>Interest bearing liabilities</w:t>
            </w:r>
          </w:p>
        </w:tc>
        <w:tc>
          <w:tcPr>
            <w:tcW w:w="886" w:type="dxa"/>
            <w:tcBorders>
              <w:top w:val="nil"/>
              <w:left w:val="nil"/>
              <w:bottom w:val="nil"/>
              <w:right w:val="nil"/>
            </w:tcBorders>
            <w:shd w:val="clear" w:color="auto" w:fill="auto"/>
            <w:noWrap/>
            <w:tcMar>
              <w:left w:w="0" w:type="dxa"/>
            </w:tcMar>
            <w:vAlign w:val="bottom"/>
            <w:hideMark/>
          </w:tcPr>
          <w:p w14:paraId="5E2E4CC7" w14:textId="77777777" w:rsidR="00C81AEA" w:rsidRPr="00C81AEA" w:rsidRDefault="00C81AEA" w:rsidP="00C81AEA">
            <w:pPr>
              <w:spacing w:after="0"/>
              <w:ind w:firstLineChars="100" w:firstLine="160"/>
              <w:rPr>
                <w:rFonts w:ascii="Arial" w:hAnsi="Arial" w:cs="Arial"/>
                <w:b/>
                <w:bCs/>
                <w:sz w:val="16"/>
                <w:szCs w:val="16"/>
              </w:rPr>
            </w:pPr>
          </w:p>
        </w:tc>
        <w:tc>
          <w:tcPr>
            <w:tcW w:w="878" w:type="dxa"/>
            <w:tcBorders>
              <w:top w:val="nil"/>
              <w:left w:val="nil"/>
              <w:bottom w:val="nil"/>
              <w:right w:val="nil"/>
            </w:tcBorders>
            <w:shd w:val="clear" w:color="000000" w:fill="D9D9D9"/>
            <w:noWrap/>
            <w:tcMar>
              <w:left w:w="0" w:type="dxa"/>
            </w:tcMar>
            <w:vAlign w:val="bottom"/>
            <w:hideMark/>
          </w:tcPr>
          <w:p w14:paraId="31445073" w14:textId="77777777" w:rsidR="00C81AEA" w:rsidRPr="00C81AEA" w:rsidRDefault="00C81AEA" w:rsidP="00C81AEA">
            <w:pPr>
              <w:spacing w:after="0"/>
              <w:jc w:val="right"/>
              <w:rPr>
                <w:rFonts w:ascii="Arial" w:hAnsi="Arial" w:cs="Arial"/>
                <w:sz w:val="16"/>
                <w:szCs w:val="16"/>
              </w:rPr>
            </w:pPr>
            <w:r w:rsidRPr="00C81AEA">
              <w:rPr>
                <w:rFonts w:ascii="Arial" w:hAnsi="Arial" w:cs="Arial"/>
                <w:sz w:val="16"/>
                <w:szCs w:val="16"/>
              </w:rPr>
              <w:t> </w:t>
            </w:r>
          </w:p>
        </w:tc>
        <w:tc>
          <w:tcPr>
            <w:tcW w:w="878" w:type="dxa"/>
            <w:tcBorders>
              <w:top w:val="nil"/>
              <w:left w:val="nil"/>
              <w:bottom w:val="nil"/>
              <w:right w:val="nil"/>
            </w:tcBorders>
            <w:shd w:val="clear" w:color="auto" w:fill="auto"/>
            <w:noWrap/>
            <w:tcMar>
              <w:left w:w="0" w:type="dxa"/>
            </w:tcMar>
            <w:vAlign w:val="bottom"/>
            <w:hideMark/>
          </w:tcPr>
          <w:p w14:paraId="24CF23AC" w14:textId="77777777" w:rsidR="00C81AEA" w:rsidRPr="00C81AEA" w:rsidRDefault="00C81AEA" w:rsidP="00C81AEA">
            <w:pPr>
              <w:spacing w:after="0"/>
              <w:jc w:val="right"/>
              <w:rPr>
                <w:rFonts w:ascii="Arial" w:hAnsi="Arial" w:cs="Arial"/>
                <w:sz w:val="16"/>
                <w:szCs w:val="16"/>
              </w:rPr>
            </w:pPr>
          </w:p>
        </w:tc>
        <w:tc>
          <w:tcPr>
            <w:tcW w:w="878" w:type="dxa"/>
            <w:tcBorders>
              <w:top w:val="nil"/>
              <w:left w:val="nil"/>
              <w:bottom w:val="nil"/>
              <w:right w:val="nil"/>
            </w:tcBorders>
            <w:shd w:val="clear" w:color="auto" w:fill="auto"/>
            <w:noWrap/>
            <w:tcMar>
              <w:left w:w="0" w:type="dxa"/>
            </w:tcMar>
            <w:vAlign w:val="bottom"/>
            <w:hideMark/>
          </w:tcPr>
          <w:p w14:paraId="3998336F" w14:textId="77777777" w:rsidR="00C81AEA" w:rsidRPr="00C81AEA" w:rsidRDefault="00C81AEA" w:rsidP="00C81AEA">
            <w:pPr>
              <w:spacing w:after="0"/>
              <w:jc w:val="right"/>
              <w:rPr>
                <w:rFonts w:ascii="Times New Roman" w:hAnsi="Times New Roman"/>
                <w:color w:val="auto"/>
                <w:sz w:val="20"/>
              </w:rPr>
            </w:pPr>
          </w:p>
        </w:tc>
        <w:tc>
          <w:tcPr>
            <w:tcW w:w="878" w:type="dxa"/>
            <w:tcBorders>
              <w:top w:val="nil"/>
              <w:left w:val="nil"/>
              <w:bottom w:val="nil"/>
              <w:right w:val="nil"/>
            </w:tcBorders>
            <w:shd w:val="clear" w:color="auto" w:fill="auto"/>
            <w:noWrap/>
            <w:tcMar>
              <w:left w:w="0" w:type="dxa"/>
            </w:tcMar>
            <w:vAlign w:val="bottom"/>
            <w:hideMark/>
          </w:tcPr>
          <w:p w14:paraId="1EF9FAC6" w14:textId="77777777" w:rsidR="00C81AEA" w:rsidRPr="00C81AEA" w:rsidRDefault="00C81AEA" w:rsidP="00C81AEA">
            <w:pPr>
              <w:spacing w:after="0"/>
              <w:jc w:val="right"/>
              <w:rPr>
                <w:rFonts w:ascii="Times New Roman" w:hAnsi="Times New Roman"/>
                <w:color w:val="auto"/>
                <w:sz w:val="20"/>
              </w:rPr>
            </w:pPr>
          </w:p>
        </w:tc>
      </w:tr>
      <w:tr w:rsidR="00C81AEA" w:rsidRPr="00C81AEA" w14:paraId="2B4DEB64" w14:textId="77777777" w:rsidTr="00C6624C">
        <w:trPr>
          <w:trHeight w:val="225"/>
        </w:trPr>
        <w:tc>
          <w:tcPr>
            <w:tcW w:w="2962" w:type="dxa"/>
            <w:tcBorders>
              <w:top w:val="nil"/>
              <w:left w:val="nil"/>
              <w:bottom w:val="nil"/>
              <w:right w:val="nil"/>
            </w:tcBorders>
            <w:shd w:val="clear" w:color="auto" w:fill="auto"/>
            <w:noWrap/>
            <w:vAlign w:val="bottom"/>
            <w:hideMark/>
          </w:tcPr>
          <w:p w14:paraId="2BFEB719" w14:textId="77777777" w:rsidR="00C81AEA" w:rsidRPr="00C81AEA" w:rsidRDefault="00C81AEA" w:rsidP="00C81AEA">
            <w:pPr>
              <w:spacing w:after="0"/>
              <w:ind w:firstLineChars="200" w:firstLine="320"/>
              <w:rPr>
                <w:rFonts w:ascii="Arial" w:hAnsi="Arial" w:cs="Arial"/>
                <w:sz w:val="16"/>
                <w:szCs w:val="16"/>
              </w:rPr>
            </w:pPr>
            <w:r w:rsidRPr="00C81AEA">
              <w:rPr>
                <w:rFonts w:ascii="Arial" w:hAnsi="Arial" w:cs="Arial"/>
                <w:sz w:val="16"/>
                <w:szCs w:val="16"/>
              </w:rPr>
              <w:t>Leases</w:t>
            </w:r>
          </w:p>
        </w:tc>
        <w:tc>
          <w:tcPr>
            <w:tcW w:w="886" w:type="dxa"/>
            <w:tcBorders>
              <w:top w:val="nil"/>
              <w:left w:val="nil"/>
              <w:bottom w:val="nil"/>
              <w:right w:val="nil"/>
            </w:tcBorders>
            <w:shd w:val="clear" w:color="auto" w:fill="auto"/>
            <w:noWrap/>
            <w:tcMar>
              <w:left w:w="0" w:type="dxa"/>
            </w:tcMar>
            <w:vAlign w:val="bottom"/>
            <w:hideMark/>
          </w:tcPr>
          <w:p w14:paraId="65C304C9" w14:textId="77777777" w:rsidR="00C81AEA" w:rsidRPr="00C81AEA" w:rsidRDefault="00C81AEA" w:rsidP="00C81AEA">
            <w:pPr>
              <w:spacing w:after="0"/>
              <w:jc w:val="right"/>
              <w:rPr>
                <w:rFonts w:ascii="Arial" w:hAnsi="Arial" w:cs="Arial"/>
                <w:color w:val="auto"/>
                <w:sz w:val="16"/>
                <w:szCs w:val="16"/>
              </w:rPr>
            </w:pPr>
            <w:r w:rsidRPr="00C81AEA">
              <w:rPr>
                <w:rFonts w:ascii="Arial" w:hAnsi="Arial" w:cs="Arial"/>
                <w:color w:val="auto"/>
                <w:sz w:val="16"/>
                <w:szCs w:val="16"/>
              </w:rPr>
              <w:t>10,044</w:t>
            </w:r>
          </w:p>
        </w:tc>
        <w:tc>
          <w:tcPr>
            <w:tcW w:w="878" w:type="dxa"/>
            <w:tcBorders>
              <w:top w:val="nil"/>
              <w:left w:val="nil"/>
              <w:bottom w:val="nil"/>
              <w:right w:val="nil"/>
            </w:tcBorders>
            <w:shd w:val="clear" w:color="000000" w:fill="D9D9D9"/>
            <w:noWrap/>
            <w:tcMar>
              <w:left w:w="0" w:type="dxa"/>
            </w:tcMar>
            <w:vAlign w:val="bottom"/>
            <w:hideMark/>
          </w:tcPr>
          <w:p w14:paraId="059B7089" w14:textId="77777777" w:rsidR="00C81AEA" w:rsidRPr="00C81AEA" w:rsidRDefault="00C81AEA" w:rsidP="00C81AEA">
            <w:pPr>
              <w:spacing w:after="0"/>
              <w:jc w:val="right"/>
              <w:rPr>
                <w:rFonts w:ascii="Arial" w:hAnsi="Arial" w:cs="Arial"/>
                <w:color w:val="auto"/>
                <w:sz w:val="16"/>
                <w:szCs w:val="16"/>
              </w:rPr>
            </w:pPr>
            <w:r w:rsidRPr="00C81AEA">
              <w:rPr>
                <w:rFonts w:ascii="Arial" w:hAnsi="Arial" w:cs="Arial"/>
                <w:color w:val="auto"/>
                <w:sz w:val="16"/>
                <w:szCs w:val="16"/>
              </w:rPr>
              <w:t>5,426</w:t>
            </w:r>
          </w:p>
        </w:tc>
        <w:tc>
          <w:tcPr>
            <w:tcW w:w="878" w:type="dxa"/>
            <w:tcBorders>
              <w:top w:val="nil"/>
              <w:left w:val="nil"/>
              <w:bottom w:val="nil"/>
              <w:right w:val="nil"/>
            </w:tcBorders>
            <w:shd w:val="clear" w:color="auto" w:fill="auto"/>
            <w:noWrap/>
            <w:tcMar>
              <w:left w:w="0" w:type="dxa"/>
            </w:tcMar>
            <w:vAlign w:val="bottom"/>
            <w:hideMark/>
          </w:tcPr>
          <w:p w14:paraId="3738DF42" w14:textId="77777777" w:rsidR="00C81AEA" w:rsidRPr="00C81AEA" w:rsidRDefault="00C81AEA" w:rsidP="00C81AEA">
            <w:pPr>
              <w:spacing w:after="0"/>
              <w:jc w:val="right"/>
              <w:rPr>
                <w:rFonts w:ascii="Arial" w:hAnsi="Arial" w:cs="Arial"/>
                <w:color w:val="auto"/>
                <w:sz w:val="16"/>
                <w:szCs w:val="16"/>
              </w:rPr>
            </w:pPr>
            <w:r w:rsidRPr="00C81AEA">
              <w:rPr>
                <w:rFonts w:ascii="Arial" w:hAnsi="Arial" w:cs="Arial"/>
                <w:color w:val="auto"/>
                <w:sz w:val="16"/>
                <w:szCs w:val="16"/>
              </w:rPr>
              <w:t>5,426</w:t>
            </w:r>
          </w:p>
        </w:tc>
        <w:tc>
          <w:tcPr>
            <w:tcW w:w="878" w:type="dxa"/>
            <w:tcBorders>
              <w:top w:val="nil"/>
              <w:left w:val="nil"/>
              <w:bottom w:val="nil"/>
              <w:right w:val="nil"/>
            </w:tcBorders>
            <w:shd w:val="clear" w:color="auto" w:fill="auto"/>
            <w:noWrap/>
            <w:tcMar>
              <w:left w:w="0" w:type="dxa"/>
            </w:tcMar>
            <w:vAlign w:val="bottom"/>
            <w:hideMark/>
          </w:tcPr>
          <w:p w14:paraId="1BD9B641" w14:textId="77777777" w:rsidR="00C81AEA" w:rsidRPr="00C81AEA" w:rsidRDefault="00C81AEA" w:rsidP="00C81AEA">
            <w:pPr>
              <w:spacing w:after="0"/>
              <w:jc w:val="right"/>
              <w:rPr>
                <w:rFonts w:ascii="Arial" w:hAnsi="Arial" w:cs="Arial"/>
                <w:color w:val="auto"/>
                <w:sz w:val="16"/>
                <w:szCs w:val="16"/>
              </w:rPr>
            </w:pPr>
            <w:r w:rsidRPr="00C81AEA">
              <w:rPr>
                <w:rFonts w:ascii="Arial" w:hAnsi="Arial" w:cs="Arial"/>
                <w:color w:val="auto"/>
                <w:sz w:val="16"/>
                <w:szCs w:val="16"/>
              </w:rPr>
              <w:t>5,426</w:t>
            </w:r>
          </w:p>
        </w:tc>
        <w:tc>
          <w:tcPr>
            <w:tcW w:w="878" w:type="dxa"/>
            <w:tcBorders>
              <w:top w:val="nil"/>
              <w:left w:val="nil"/>
              <w:bottom w:val="nil"/>
              <w:right w:val="nil"/>
            </w:tcBorders>
            <w:shd w:val="clear" w:color="auto" w:fill="auto"/>
            <w:noWrap/>
            <w:tcMar>
              <w:left w:w="0" w:type="dxa"/>
            </w:tcMar>
            <w:vAlign w:val="bottom"/>
            <w:hideMark/>
          </w:tcPr>
          <w:p w14:paraId="0A3195D6" w14:textId="77777777" w:rsidR="00C81AEA" w:rsidRPr="00C81AEA" w:rsidRDefault="00C81AEA" w:rsidP="00C81AEA">
            <w:pPr>
              <w:spacing w:after="0"/>
              <w:jc w:val="right"/>
              <w:rPr>
                <w:rFonts w:ascii="Arial" w:hAnsi="Arial" w:cs="Arial"/>
                <w:color w:val="auto"/>
                <w:sz w:val="16"/>
                <w:szCs w:val="16"/>
              </w:rPr>
            </w:pPr>
            <w:r w:rsidRPr="00C81AEA">
              <w:rPr>
                <w:rFonts w:ascii="Arial" w:hAnsi="Arial" w:cs="Arial"/>
                <w:color w:val="auto"/>
                <w:sz w:val="16"/>
                <w:szCs w:val="16"/>
              </w:rPr>
              <w:t>5,426</w:t>
            </w:r>
          </w:p>
        </w:tc>
      </w:tr>
      <w:tr w:rsidR="00C81AEA" w:rsidRPr="00C81AEA" w14:paraId="43E543E6" w14:textId="77777777" w:rsidTr="00C6624C">
        <w:trPr>
          <w:trHeight w:val="225"/>
        </w:trPr>
        <w:tc>
          <w:tcPr>
            <w:tcW w:w="2962" w:type="dxa"/>
            <w:tcBorders>
              <w:top w:val="nil"/>
              <w:left w:val="nil"/>
              <w:bottom w:val="nil"/>
              <w:right w:val="nil"/>
            </w:tcBorders>
            <w:shd w:val="clear" w:color="auto" w:fill="auto"/>
            <w:noWrap/>
            <w:vAlign w:val="bottom"/>
            <w:hideMark/>
          </w:tcPr>
          <w:p w14:paraId="674C1B17" w14:textId="77777777" w:rsidR="00C81AEA" w:rsidRPr="00C81AEA" w:rsidRDefault="00C81AEA" w:rsidP="00C81AEA">
            <w:pPr>
              <w:spacing w:after="0"/>
              <w:ind w:firstLineChars="200" w:firstLine="320"/>
              <w:rPr>
                <w:rFonts w:ascii="Arial" w:hAnsi="Arial" w:cs="Arial"/>
                <w:b/>
                <w:bCs/>
                <w:sz w:val="16"/>
                <w:szCs w:val="16"/>
              </w:rPr>
            </w:pPr>
            <w:r w:rsidRPr="00C81AEA">
              <w:rPr>
                <w:rFonts w:ascii="Arial" w:hAnsi="Arial" w:cs="Arial"/>
                <w:b/>
                <w:bCs/>
                <w:sz w:val="16"/>
                <w:szCs w:val="16"/>
              </w:rPr>
              <w:t>Total interest bearing liabilities</w:t>
            </w:r>
          </w:p>
        </w:tc>
        <w:tc>
          <w:tcPr>
            <w:tcW w:w="886" w:type="dxa"/>
            <w:tcBorders>
              <w:top w:val="nil"/>
              <w:left w:val="nil"/>
              <w:bottom w:val="single" w:sz="4" w:space="0" w:color="auto"/>
              <w:right w:val="nil"/>
            </w:tcBorders>
            <w:shd w:val="clear" w:color="auto" w:fill="auto"/>
            <w:noWrap/>
            <w:tcMar>
              <w:left w:w="0" w:type="dxa"/>
            </w:tcMar>
            <w:vAlign w:val="bottom"/>
            <w:hideMark/>
          </w:tcPr>
          <w:p w14:paraId="6DB8314C" w14:textId="77777777" w:rsidR="00C81AEA" w:rsidRPr="00C81AEA" w:rsidRDefault="00C81AEA" w:rsidP="00C81AEA">
            <w:pPr>
              <w:spacing w:after="0"/>
              <w:jc w:val="right"/>
              <w:rPr>
                <w:rFonts w:ascii="Arial" w:hAnsi="Arial" w:cs="Arial"/>
                <w:b/>
                <w:bCs/>
                <w:sz w:val="16"/>
                <w:szCs w:val="16"/>
              </w:rPr>
            </w:pPr>
            <w:r w:rsidRPr="00C81AEA">
              <w:rPr>
                <w:rFonts w:ascii="Arial" w:hAnsi="Arial" w:cs="Arial"/>
                <w:b/>
                <w:bCs/>
                <w:sz w:val="16"/>
                <w:szCs w:val="16"/>
              </w:rPr>
              <w:t>10,044</w:t>
            </w:r>
          </w:p>
        </w:tc>
        <w:tc>
          <w:tcPr>
            <w:tcW w:w="878" w:type="dxa"/>
            <w:tcBorders>
              <w:top w:val="nil"/>
              <w:left w:val="nil"/>
              <w:bottom w:val="single" w:sz="4" w:space="0" w:color="auto"/>
              <w:right w:val="nil"/>
            </w:tcBorders>
            <w:shd w:val="clear" w:color="000000" w:fill="D9D9D9"/>
            <w:noWrap/>
            <w:tcMar>
              <w:left w:w="0" w:type="dxa"/>
            </w:tcMar>
            <w:vAlign w:val="bottom"/>
            <w:hideMark/>
          </w:tcPr>
          <w:p w14:paraId="4E4818AF" w14:textId="77777777" w:rsidR="00C81AEA" w:rsidRPr="00C81AEA" w:rsidRDefault="00C81AEA" w:rsidP="00C81AEA">
            <w:pPr>
              <w:spacing w:after="0"/>
              <w:jc w:val="right"/>
              <w:rPr>
                <w:rFonts w:ascii="Arial" w:hAnsi="Arial" w:cs="Arial"/>
                <w:b/>
                <w:bCs/>
                <w:sz w:val="16"/>
                <w:szCs w:val="16"/>
              </w:rPr>
            </w:pPr>
            <w:r w:rsidRPr="00C81AEA">
              <w:rPr>
                <w:rFonts w:ascii="Arial" w:hAnsi="Arial" w:cs="Arial"/>
                <w:b/>
                <w:bCs/>
                <w:sz w:val="16"/>
                <w:szCs w:val="16"/>
              </w:rPr>
              <w:t>5,426</w:t>
            </w:r>
          </w:p>
        </w:tc>
        <w:tc>
          <w:tcPr>
            <w:tcW w:w="878" w:type="dxa"/>
            <w:tcBorders>
              <w:top w:val="nil"/>
              <w:left w:val="nil"/>
              <w:bottom w:val="single" w:sz="4" w:space="0" w:color="auto"/>
              <w:right w:val="nil"/>
            </w:tcBorders>
            <w:shd w:val="clear" w:color="auto" w:fill="auto"/>
            <w:noWrap/>
            <w:tcMar>
              <w:left w:w="0" w:type="dxa"/>
            </w:tcMar>
            <w:vAlign w:val="bottom"/>
            <w:hideMark/>
          </w:tcPr>
          <w:p w14:paraId="3EE7D6F4" w14:textId="77777777" w:rsidR="00C81AEA" w:rsidRPr="00C81AEA" w:rsidRDefault="00C81AEA" w:rsidP="00C81AEA">
            <w:pPr>
              <w:spacing w:after="0"/>
              <w:jc w:val="right"/>
              <w:rPr>
                <w:rFonts w:ascii="Arial" w:hAnsi="Arial" w:cs="Arial"/>
                <w:b/>
                <w:bCs/>
                <w:sz w:val="16"/>
                <w:szCs w:val="16"/>
              </w:rPr>
            </w:pPr>
            <w:r w:rsidRPr="00C81AEA">
              <w:rPr>
                <w:rFonts w:ascii="Arial" w:hAnsi="Arial" w:cs="Arial"/>
                <w:b/>
                <w:bCs/>
                <w:sz w:val="16"/>
                <w:szCs w:val="16"/>
              </w:rPr>
              <w:t>5,426</w:t>
            </w:r>
          </w:p>
        </w:tc>
        <w:tc>
          <w:tcPr>
            <w:tcW w:w="878" w:type="dxa"/>
            <w:tcBorders>
              <w:top w:val="nil"/>
              <w:left w:val="nil"/>
              <w:bottom w:val="single" w:sz="4" w:space="0" w:color="auto"/>
              <w:right w:val="nil"/>
            </w:tcBorders>
            <w:shd w:val="clear" w:color="auto" w:fill="auto"/>
            <w:noWrap/>
            <w:tcMar>
              <w:left w:w="0" w:type="dxa"/>
            </w:tcMar>
            <w:vAlign w:val="bottom"/>
            <w:hideMark/>
          </w:tcPr>
          <w:p w14:paraId="5F2E1F43" w14:textId="77777777" w:rsidR="00C81AEA" w:rsidRPr="00C81AEA" w:rsidRDefault="00C81AEA" w:rsidP="00C81AEA">
            <w:pPr>
              <w:spacing w:after="0"/>
              <w:jc w:val="right"/>
              <w:rPr>
                <w:rFonts w:ascii="Arial" w:hAnsi="Arial" w:cs="Arial"/>
                <w:b/>
                <w:bCs/>
                <w:sz w:val="16"/>
                <w:szCs w:val="16"/>
              </w:rPr>
            </w:pPr>
            <w:r w:rsidRPr="00C81AEA">
              <w:rPr>
                <w:rFonts w:ascii="Arial" w:hAnsi="Arial" w:cs="Arial"/>
                <w:b/>
                <w:bCs/>
                <w:sz w:val="16"/>
                <w:szCs w:val="16"/>
              </w:rPr>
              <w:t>5,426</w:t>
            </w:r>
          </w:p>
        </w:tc>
        <w:tc>
          <w:tcPr>
            <w:tcW w:w="878" w:type="dxa"/>
            <w:tcBorders>
              <w:top w:val="nil"/>
              <w:left w:val="nil"/>
              <w:bottom w:val="single" w:sz="4" w:space="0" w:color="auto"/>
              <w:right w:val="nil"/>
            </w:tcBorders>
            <w:shd w:val="clear" w:color="auto" w:fill="auto"/>
            <w:noWrap/>
            <w:tcMar>
              <w:left w:w="0" w:type="dxa"/>
            </w:tcMar>
            <w:vAlign w:val="bottom"/>
            <w:hideMark/>
          </w:tcPr>
          <w:p w14:paraId="07723844" w14:textId="77777777" w:rsidR="00C81AEA" w:rsidRPr="00C81AEA" w:rsidRDefault="00C81AEA" w:rsidP="00C81AEA">
            <w:pPr>
              <w:spacing w:after="0"/>
              <w:jc w:val="right"/>
              <w:rPr>
                <w:rFonts w:ascii="Arial" w:hAnsi="Arial" w:cs="Arial"/>
                <w:b/>
                <w:bCs/>
                <w:sz w:val="16"/>
                <w:szCs w:val="16"/>
              </w:rPr>
            </w:pPr>
            <w:r w:rsidRPr="00C81AEA">
              <w:rPr>
                <w:rFonts w:ascii="Arial" w:hAnsi="Arial" w:cs="Arial"/>
                <w:b/>
                <w:bCs/>
                <w:sz w:val="16"/>
                <w:szCs w:val="16"/>
              </w:rPr>
              <w:t>5,426</w:t>
            </w:r>
          </w:p>
        </w:tc>
      </w:tr>
      <w:tr w:rsidR="00C81AEA" w:rsidRPr="00C81AEA" w14:paraId="519EE242" w14:textId="77777777" w:rsidTr="00C6624C">
        <w:trPr>
          <w:trHeight w:val="300"/>
        </w:trPr>
        <w:tc>
          <w:tcPr>
            <w:tcW w:w="2962" w:type="dxa"/>
            <w:tcBorders>
              <w:top w:val="nil"/>
              <w:left w:val="nil"/>
              <w:bottom w:val="nil"/>
              <w:right w:val="nil"/>
            </w:tcBorders>
            <w:shd w:val="clear" w:color="auto" w:fill="auto"/>
            <w:noWrap/>
            <w:vAlign w:val="bottom"/>
            <w:hideMark/>
          </w:tcPr>
          <w:p w14:paraId="4D6A9510" w14:textId="77777777" w:rsidR="00C81AEA" w:rsidRPr="00C81AEA" w:rsidRDefault="00C81AEA" w:rsidP="00C81AEA">
            <w:pPr>
              <w:spacing w:after="0"/>
              <w:ind w:firstLineChars="100" w:firstLine="160"/>
              <w:rPr>
                <w:rFonts w:ascii="Arial" w:hAnsi="Arial" w:cs="Arial"/>
                <w:b/>
                <w:bCs/>
                <w:sz w:val="16"/>
                <w:szCs w:val="16"/>
              </w:rPr>
            </w:pPr>
            <w:r w:rsidRPr="00C81AEA">
              <w:rPr>
                <w:rFonts w:ascii="Arial" w:hAnsi="Arial" w:cs="Arial"/>
                <w:b/>
                <w:bCs/>
                <w:sz w:val="16"/>
                <w:szCs w:val="16"/>
              </w:rPr>
              <w:t>Provisions</w:t>
            </w:r>
          </w:p>
        </w:tc>
        <w:tc>
          <w:tcPr>
            <w:tcW w:w="886" w:type="dxa"/>
            <w:tcBorders>
              <w:top w:val="nil"/>
              <w:left w:val="nil"/>
              <w:bottom w:val="nil"/>
              <w:right w:val="nil"/>
            </w:tcBorders>
            <w:shd w:val="clear" w:color="auto" w:fill="auto"/>
            <w:noWrap/>
            <w:tcMar>
              <w:left w:w="0" w:type="dxa"/>
            </w:tcMar>
            <w:vAlign w:val="bottom"/>
            <w:hideMark/>
          </w:tcPr>
          <w:p w14:paraId="0CE55DBC" w14:textId="77777777" w:rsidR="00C81AEA" w:rsidRPr="00C81AEA" w:rsidRDefault="00C81AEA" w:rsidP="00C81AEA">
            <w:pPr>
              <w:spacing w:after="0"/>
              <w:ind w:firstLineChars="100" w:firstLine="160"/>
              <w:rPr>
                <w:rFonts w:ascii="Arial" w:hAnsi="Arial" w:cs="Arial"/>
                <w:b/>
                <w:bCs/>
                <w:sz w:val="16"/>
                <w:szCs w:val="16"/>
              </w:rPr>
            </w:pPr>
          </w:p>
        </w:tc>
        <w:tc>
          <w:tcPr>
            <w:tcW w:w="878" w:type="dxa"/>
            <w:tcBorders>
              <w:top w:val="nil"/>
              <w:left w:val="nil"/>
              <w:bottom w:val="nil"/>
              <w:right w:val="nil"/>
            </w:tcBorders>
            <w:shd w:val="clear" w:color="000000" w:fill="D9D9D9"/>
            <w:noWrap/>
            <w:tcMar>
              <w:left w:w="0" w:type="dxa"/>
            </w:tcMar>
            <w:vAlign w:val="bottom"/>
            <w:hideMark/>
          </w:tcPr>
          <w:p w14:paraId="56499D62" w14:textId="77777777" w:rsidR="00C81AEA" w:rsidRPr="00C81AEA" w:rsidRDefault="00C81AEA" w:rsidP="00C81AEA">
            <w:pPr>
              <w:spacing w:after="0"/>
              <w:jc w:val="right"/>
              <w:rPr>
                <w:rFonts w:ascii="Arial" w:hAnsi="Arial" w:cs="Arial"/>
                <w:sz w:val="16"/>
                <w:szCs w:val="16"/>
              </w:rPr>
            </w:pPr>
            <w:r w:rsidRPr="00C81AEA">
              <w:rPr>
                <w:rFonts w:ascii="Arial" w:hAnsi="Arial" w:cs="Arial"/>
                <w:sz w:val="16"/>
                <w:szCs w:val="16"/>
              </w:rPr>
              <w:t> </w:t>
            </w:r>
          </w:p>
        </w:tc>
        <w:tc>
          <w:tcPr>
            <w:tcW w:w="878" w:type="dxa"/>
            <w:tcBorders>
              <w:top w:val="nil"/>
              <w:left w:val="nil"/>
              <w:bottom w:val="nil"/>
              <w:right w:val="nil"/>
            </w:tcBorders>
            <w:shd w:val="clear" w:color="auto" w:fill="auto"/>
            <w:noWrap/>
            <w:tcMar>
              <w:left w:w="0" w:type="dxa"/>
            </w:tcMar>
            <w:vAlign w:val="bottom"/>
            <w:hideMark/>
          </w:tcPr>
          <w:p w14:paraId="61279942" w14:textId="77777777" w:rsidR="00C81AEA" w:rsidRPr="00C81AEA" w:rsidRDefault="00C81AEA" w:rsidP="00C81AEA">
            <w:pPr>
              <w:spacing w:after="0"/>
              <w:jc w:val="right"/>
              <w:rPr>
                <w:rFonts w:ascii="Arial" w:hAnsi="Arial" w:cs="Arial"/>
                <w:sz w:val="16"/>
                <w:szCs w:val="16"/>
              </w:rPr>
            </w:pPr>
          </w:p>
        </w:tc>
        <w:tc>
          <w:tcPr>
            <w:tcW w:w="878" w:type="dxa"/>
            <w:tcBorders>
              <w:top w:val="nil"/>
              <w:left w:val="nil"/>
              <w:bottom w:val="nil"/>
              <w:right w:val="nil"/>
            </w:tcBorders>
            <w:shd w:val="clear" w:color="auto" w:fill="auto"/>
            <w:noWrap/>
            <w:tcMar>
              <w:left w:w="0" w:type="dxa"/>
            </w:tcMar>
            <w:vAlign w:val="bottom"/>
            <w:hideMark/>
          </w:tcPr>
          <w:p w14:paraId="472F5EF4" w14:textId="77777777" w:rsidR="00C81AEA" w:rsidRPr="00C81AEA" w:rsidRDefault="00C81AEA" w:rsidP="00C81AEA">
            <w:pPr>
              <w:spacing w:after="0"/>
              <w:jc w:val="right"/>
              <w:rPr>
                <w:rFonts w:ascii="Times New Roman" w:hAnsi="Times New Roman"/>
                <w:color w:val="auto"/>
                <w:sz w:val="20"/>
              </w:rPr>
            </w:pPr>
          </w:p>
        </w:tc>
        <w:tc>
          <w:tcPr>
            <w:tcW w:w="878" w:type="dxa"/>
            <w:tcBorders>
              <w:top w:val="nil"/>
              <w:left w:val="nil"/>
              <w:bottom w:val="nil"/>
              <w:right w:val="nil"/>
            </w:tcBorders>
            <w:shd w:val="clear" w:color="auto" w:fill="auto"/>
            <w:noWrap/>
            <w:tcMar>
              <w:left w:w="0" w:type="dxa"/>
            </w:tcMar>
            <w:vAlign w:val="bottom"/>
            <w:hideMark/>
          </w:tcPr>
          <w:p w14:paraId="7F5A98A5" w14:textId="77777777" w:rsidR="00C81AEA" w:rsidRPr="00C81AEA" w:rsidRDefault="00C81AEA" w:rsidP="00C81AEA">
            <w:pPr>
              <w:spacing w:after="0"/>
              <w:jc w:val="right"/>
              <w:rPr>
                <w:rFonts w:ascii="Times New Roman" w:hAnsi="Times New Roman"/>
                <w:color w:val="auto"/>
                <w:sz w:val="20"/>
              </w:rPr>
            </w:pPr>
          </w:p>
        </w:tc>
      </w:tr>
      <w:tr w:rsidR="00C81AEA" w:rsidRPr="00C81AEA" w14:paraId="6A4D01E5" w14:textId="77777777" w:rsidTr="00C6624C">
        <w:trPr>
          <w:trHeight w:val="225"/>
        </w:trPr>
        <w:tc>
          <w:tcPr>
            <w:tcW w:w="2962" w:type="dxa"/>
            <w:tcBorders>
              <w:top w:val="nil"/>
              <w:left w:val="nil"/>
              <w:bottom w:val="nil"/>
              <w:right w:val="nil"/>
            </w:tcBorders>
            <w:shd w:val="clear" w:color="auto" w:fill="auto"/>
            <w:noWrap/>
            <w:vAlign w:val="bottom"/>
            <w:hideMark/>
          </w:tcPr>
          <w:p w14:paraId="575AE29B" w14:textId="77777777" w:rsidR="00C81AEA" w:rsidRPr="00C81AEA" w:rsidRDefault="00C81AEA" w:rsidP="00C81AEA">
            <w:pPr>
              <w:spacing w:after="0"/>
              <w:ind w:firstLineChars="200" w:firstLine="320"/>
              <w:rPr>
                <w:rFonts w:ascii="Arial" w:hAnsi="Arial" w:cs="Arial"/>
                <w:sz w:val="16"/>
                <w:szCs w:val="16"/>
              </w:rPr>
            </w:pPr>
            <w:r w:rsidRPr="00C81AEA">
              <w:rPr>
                <w:rFonts w:ascii="Arial" w:hAnsi="Arial" w:cs="Arial"/>
                <w:sz w:val="16"/>
                <w:szCs w:val="16"/>
              </w:rPr>
              <w:t>Employees</w:t>
            </w:r>
          </w:p>
        </w:tc>
        <w:tc>
          <w:tcPr>
            <w:tcW w:w="886" w:type="dxa"/>
            <w:tcBorders>
              <w:top w:val="nil"/>
              <w:left w:val="nil"/>
              <w:bottom w:val="nil"/>
              <w:right w:val="nil"/>
            </w:tcBorders>
            <w:shd w:val="clear" w:color="auto" w:fill="auto"/>
            <w:noWrap/>
            <w:tcMar>
              <w:left w:w="0" w:type="dxa"/>
            </w:tcMar>
            <w:vAlign w:val="bottom"/>
            <w:hideMark/>
          </w:tcPr>
          <w:p w14:paraId="54B42BF9" w14:textId="77777777" w:rsidR="00C81AEA" w:rsidRPr="00C81AEA" w:rsidRDefault="00C81AEA" w:rsidP="00C81AEA">
            <w:pPr>
              <w:spacing w:after="0"/>
              <w:jc w:val="right"/>
              <w:rPr>
                <w:rFonts w:ascii="Arial" w:hAnsi="Arial" w:cs="Arial"/>
                <w:color w:val="auto"/>
                <w:sz w:val="16"/>
                <w:szCs w:val="16"/>
              </w:rPr>
            </w:pPr>
            <w:r w:rsidRPr="00C81AEA">
              <w:rPr>
                <w:rFonts w:ascii="Arial" w:hAnsi="Arial" w:cs="Arial"/>
                <w:color w:val="auto"/>
                <w:sz w:val="16"/>
                <w:szCs w:val="16"/>
              </w:rPr>
              <w:t>10,686</w:t>
            </w:r>
          </w:p>
        </w:tc>
        <w:tc>
          <w:tcPr>
            <w:tcW w:w="878" w:type="dxa"/>
            <w:tcBorders>
              <w:top w:val="nil"/>
              <w:left w:val="nil"/>
              <w:bottom w:val="nil"/>
              <w:right w:val="nil"/>
            </w:tcBorders>
            <w:shd w:val="clear" w:color="000000" w:fill="D9D9D9"/>
            <w:noWrap/>
            <w:tcMar>
              <w:left w:w="0" w:type="dxa"/>
            </w:tcMar>
            <w:vAlign w:val="bottom"/>
            <w:hideMark/>
          </w:tcPr>
          <w:p w14:paraId="1F07DD3B" w14:textId="77777777" w:rsidR="00C81AEA" w:rsidRPr="00C81AEA" w:rsidRDefault="00C81AEA" w:rsidP="00C81AEA">
            <w:pPr>
              <w:spacing w:after="0"/>
              <w:jc w:val="right"/>
              <w:rPr>
                <w:rFonts w:ascii="Arial" w:hAnsi="Arial" w:cs="Arial"/>
                <w:color w:val="auto"/>
                <w:sz w:val="16"/>
                <w:szCs w:val="16"/>
              </w:rPr>
            </w:pPr>
            <w:r w:rsidRPr="00C81AEA">
              <w:rPr>
                <w:rFonts w:ascii="Arial" w:hAnsi="Arial" w:cs="Arial"/>
                <w:color w:val="auto"/>
                <w:sz w:val="16"/>
                <w:szCs w:val="16"/>
              </w:rPr>
              <w:t>10,686</w:t>
            </w:r>
          </w:p>
        </w:tc>
        <w:tc>
          <w:tcPr>
            <w:tcW w:w="878" w:type="dxa"/>
            <w:tcBorders>
              <w:top w:val="nil"/>
              <w:left w:val="nil"/>
              <w:bottom w:val="nil"/>
              <w:right w:val="nil"/>
            </w:tcBorders>
            <w:shd w:val="clear" w:color="auto" w:fill="auto"/>
            <w:noWrap/>
            <w:tcMar>
              <w:left w:w="0" w:type="dxa"/>
            </w:tcMar>
            <w:vAlign w:val="bottom"/>
            <w:hideMark/>
          </w:tcPr>
          <w:p w14:paraId="0BBED7E2" w14:textId="77777777" w:rsidR="00C81AEA" w:rsidRPr="00C81AEA" w:rsidRDefault="00C81AEA" w:rsidP="00C81AEA">
            <w:pPr>
              <w:spacing w:after="0"/>
              <w:jc w:val="right"/>
              <w:rPr>
                <w:rFonts w:ascii="Arial" w:hAnsi="Arial" w:cs="Arial"/>
                <w:color w:val="auto"/>
                <w:sz w:val="16"/>
                <w:szCs w:val="16"/>
              </w:rPr>
            </w:pPr>
            <w:r w:rsidRPr="00C81AEA">
              <w:rPr>
                <w:rFonts w:ascii="Arial" w:hAnsi="Arial" w:cs="Arial"/>
                <w:color w:val="auto"/>
                <w:sz w:val="16"/>
                <w:szCs w:val="16"/>
              </w:rPr>
              <w:t>10,686</w:t>
            </w:r>
          </w:p>
        </w:tc>
        <w:tc>
          <w:tcPr>
            <w:tcW w:w="878" w:type="dxa"/>
            <w:tcBorders>
              <w:top w:val="nil"/>
              <w:left w:val="nil"/>
              <w:bottom w:val="nil"/>
              <w:right w:val="nil"/>
            </w:tcBorders>
            <w:shd w:val="clear" w:color="auto" w:fill="auto"/>
            <w:noWrap/>
            <w:tcMar>
              <w:left w:w="0" w:type="dxa"/>
            </w:tcMar>
            <w:vAlign w:val="bottom"/>
            <w:hideMark/>
          </w:tcPr>
          <w:p w14:paraId="336CBC77" w14:textId="77777777" w:rsidR="00C81AEA" w:rsidRPr="00C81AEA" w:rsidRDefault="00C81AEA" w:rsidP="00C81AEA">
            <w:pPr>
              <w:spacing w:after="0"/>
              <w:jc w:val="right"/>
              <w:rPr>
                <w:rFonts w:ascii="Arial" w:hAnsi="Arial" w:cs="Arial"/>
                <w:color w:val="auto"/>
                <w:sz w:val="16"/>
                <w:szCs w:val="16"/>
              </w:rPr>
            </w:pPr>
            <w:r w:rsidRPr="00C81AEA">
              <w:rPr>
                <w:rFonts w:ascii="Arial" w:hAnsi="Arial" w:cs="Arial"/>
                <w:color w:val="auto"/>
                <w:sz w:val="16"/>
                <w:szCs w:val="16"/>
              </w:rPr>
              <w:t>10,686</w:t>
            </w:r>
          </w:p>
        </w:tc>
        <w:tc>
          <w:tcPr>
            <w:tcW w:w="878" w:type="dxa"/>
            <w:tcBorders>
              <w:top w:val="nil"/>
              <w:left w:val="nil"/>
              <w:bottom w:val="nil"/>
              <w:right w:val="nil"/>
            </w:tcBorders>
            <w:shd w:val="clear" w:color="auto" w:fill="auto"/>
            <w:noWrap/>
            <w:tcMar>
              <w:left w:w="0" w:type="dxa"/>
            </w:tcMar>
            <w:vAlign w:val="bottom"/>
            <w:hideMark/>
          </w:tcPr>
          <w:p w14:paraId="6D86E005" w14:textId="77777777" w:rsidR="00C81AEA" w:rsidRPr="00C81AEA" w:rsidRDefault="00C81AEA" w:rsidP="00C81AEA">
            <w:pPr>
              <w:spacing w:after="0"/>
              <w:jc w:val="right"/>
              <w:rPr>
                <w:rFonts w:ascii="Arial" w:hAnsi="Arial" w:cs="Arial"/>
                <w:color w:val="auto"/>
                <w:sz w:val="16"/>
                <w:szCs w:val="16"/>
              </w:rPr>
            </w:pPr>
            <w:r w:rsidRPr="00C81AEA">
              <w:rPr>
                <w:rFonts w:ascii="Arial" w:hAnsi="Arial" w:cs="Arial"/>
                <w:color w:val="auto"/>
                <w:sz w:val="16"/>
                <w:szCs w:val="16"/>
              </w:rPr>
              <w:t>10,686</w:t>
            </w:r>
          </w:p>
        </w:tc>
      </w:tr>
      <w:tr w:rsidR="00C81AEA" w:rsidRPr="00C81AEA" w14:paraId="4B1C8DE2" w14:textId="77777777" w:rsidTr="00C6624C">
        <w:trPr>
          <w:trHeight w:val="225"/>
        </w:trPr>
        <w:tc>
          <w:tcPr>
            <w:tcW w:w="2962" w:type="dxa"/>
            <w:tcBorders>
              <w:top w:val="nil"/>
              <w:left w:val="nil"/>
              <w:bottom w:val="nil"/>
              <w:right w:val="nil"/>
            </w:tcBorders>
            <w:shd w:val="clear" w:color="auto" w:fill="auto"/>
            <w:noWrap/>
            <w:vAlign w:val="bottom"/>
            <w:hideMark/>
          </w:tcPr>
          <w:p w14:paraId="274EA58E" w14:textId="77777777" w:rsidR="00C81AEA" w:rsidRPr="00C81AEA" w:rsidRDefault="00C81AEA" w:rsidP="00C81AEA">
            <w:pPr>
              <w:spacing w:after="0"/>
              <w:ind w:firstLineChars="200" w:firstLine="320"/>
              <w:rPr>
                <w:rFonts w:ascii="Arial" w:hAnsi="Arial" w:cs="Arial"/>
                <w:sz w:val="16"/>
                <w:szCs w:val="16"/>
              </w:rPr>
            </w:pPr>
            <w:r w:rsidRPr="00C81AEA">
              <w:rPr>
                <w:rFonts w:ascii="Arial" w:hAnsi="Arial" w:cs="Arial"/>
                <w:sz w:val="16"/>
                <w:szCs w:val="16"/>
              </w:rPr>
              <w:t>Other provisions</w:t>
            </w:r>
          </w:p>
        </w:tc>
        <w:tc>
          <w:tcPr>
            <w:tcW w:w="886" w:type="dxa"/>
            <w:tcBorders>
              <w:top w:val="nil"/>
              <w:left w:val="nil"/>
              <w:bottom w:val="nil"/>
              <w:right w:val="nil"/>
            </w:tcBorders>
            <w:shd w:val="clear" w:color="auto" w:fill="auto"/>
            <w:noWrap/>
            <w:tcMar>
              <w:left w:w="0" w:type="dxa"/>
            </w:tcMar>
            <w:vAlign w:val="bottom"/>
            <w:hideMark/>
          </w:tcPr>
          <w:p w14:paraId="0F31F9A1" w14:textId="77777777" w:rsidR="00C81AEA" w:rsidRPr="00C81AEA" w:rsidRDefault="00C81AEA" w:rsidP="00C81AEA">
            <w:pPr>
              <w:spacing w:after="0"/>
              <w:jc w:val="right"/>
              <w:rPr>
                <w:rFonts w:ascii="Arial" w:hAnsi="Arial" w:cs="Arial"/>
                <w:color w:val="auto"/>
                <w:sz w:val="16"/>
                <w:szCs w:val="16"/>
              </w:rPr>
            </w:pPr>
            <w:r w:rsidRPr="00C81AEA">
              <w:rPr>
                <w:rFonts w:ascii="Arial" w:hAnsi="Arial" w:cs="Arial"/>
                <w:color w:val="auto"/>
                <w:sz w:val="16"/>
                <w:szCs w:val="16"/>
              </w:rPr>
              <w:t>356</w:t>
            </w:r>
          </w:p>
        </w:tc>
        <w:tc>
          <w:tcPr>
            <w:tcW w:w="878" w:type="dxa"/>
            <w:tcBorders>
              <w:top w:val="nil"/>
              <w:left w:val="nil"/>
              <w:bottom w:val="nil"/>
              <w:right w:val="nil"/>
            </w:tcBorders>
            <w:shd w:val="clear" w:color="000000" w:fill="D9D9D9"/>
            <w:noWrap/>
            <w:tcMar>
              <w:left w:w="0" w:type="dxa"/>
            </w:tcMar>
            <w:vAlign w:val="bottom"/>
            <w:hideMark/>
          </w:tcPr>
          <w:p w14:paraId="0B423C14" w14:textId="77777777" w:rsidR="00C81AEA" w:rsidRPr="00C81AEA" w:rsidRDefault="00C81AEA" w:rsidP="00C81AEA">
            <w:pPr>
              <w:spacing w:after="0"/>
              <w:jc w:val="right"/>
              <w:rPr>
                <w:rFonts w:ascii="Arial" w:hAnsi="Arial" w:cs="Arial"/>
                <w:color w:val="auto"/>
                <w:sz w:val="16"/>
                <w:szCs w:val="16"/>
              </w:rPr>
            </w:pPr>
            <w:r w:rsidRPr="00C81AEA">
              <w:rPr>
                <w:rFonts w:ascii="Arial" w:hAnsi="Arial" w:cs="Arial"/>
                <w:color w:val="auto"/>
                <w:sz w:val="16"/>
                <w:szCs w:val="16"/>
              </w:rPr>
              <w:t>356</w:t>
            </w:r>
          </w:p>
        </w:tc>
        <w:tc>
          <w:tcPr>
            <w:tcW w:w="878" w:type="dxa"/>
            <w:tcBorders>
              <w:top w:val="nil"/>
              <w:left w:val="nil"/>
              <w:bottom w:val="nil"/>
              <w:right w:val="nil"/>
            </w:tcBorders>
            <w:shd w:val="clear" w:color="auto" w:fill="auto"/>
            <w:noWrap/>
            <w:tcMar>
              <w:left w:w="0" w:type="dxa"/>
            </w:tcMar>
            <w:vAlign w:val="bottom"/>
            <w:hideMark/>
          </w:tcPr>
          <w:p w14:paraId="070793A6" w14:textId="77777777" w:rsidR="00C81AEA" w:rsidRPr="00C81AEA" w:rsidRDefault="00C81AEA" w:rsidP="00C81AEA">
            <w:pPr>
              <w:spacing w:after="0"/>
              <w:jc w:val="right"/>
              <w:rPr>
                <w:rFonts w:ascii="Arial" w:hAnsi="Arial" w:cs="Arial"/>
                <w:color w:val="auto"/>
                <w:sz w:val="16"/>
                <w:szCs w:val="16"/>
              </w:rPr>
            </w:pPr>
            <w:r w:rsidRPr="00C81AEA">
              <w:rPr>
                <w:rFonts w:ascii="Arial" w:hAnsi="Arial" w:cs="Arial"/>
                <w:color w:val="auto"/>
                <w:sz w:val="16"/>
                <w:szCs w:val="16"/>
              </w:rPr>
              <w:t>356</w:t>
            </w:r>
          </w:p>
        </w:tc>
        <w:tc>
          <w:tcPr>
            <w:tcW w:w="878" w:type="dxa"/>
            <w:tcBorders>
              <w:top w:val="nil"/>
              <w:left w:val="nil"/>
              <w:bottom w:val="nil"/>
              <w:right w:val="nil"/>
            </w:tcBorders>
            <w:shd w:val="clear" w:color="auto" w:fill="auto"/>
            <w:noWrap/>
            <w:tcMar>
              <w:left w:w="0" w:type="dxa"/>
            </w:tcMar>
            <w:vAlign w:val="bottom"/>
            <w:hideMark/>
          </w:tcPr>
          <w:p w14:paraId="48B80C9D" w14:textId="77777777" w:rsidR="00C81AEA" w:rsidRPr="00C81AEA" w:rsidRDefault="00C81AEA" w:rsidP="00C81AEA">
            <w:pPr>
              <w:spacing w:after="0"/>
              <w:jc w:val="right"/>
              <w:rPr>
                <w:rFonts w:ascii="Arial" w:hAnsi="Arial" w:cs="Arial"/>
                <w:color w:val="auto"/>
                <w:sz w:val="16"/>
                <w:szCs w:val="16"/>
              </w:rPr>
            </w:pPr>
            <w:r w:rsidRPr="00C81AEA">
              <w:rPr>
                <w:rFonts w:ascii="Arial" w:hAnsi="Arial" w:cs="Arial"/>
                <w:color w:val="auto"/>
                <w:sz w:val="16"/>
                <w:szCs w:val="16"/>
              </w:rPr>
              <w:t>356</w:t>
            </w:r>
          </w:p>
        </w:tc>
        <w:tc>
          <w:tcPr>
            <w:tcW w:w="878" w:type="dxa"/>
            <w:tcBorders>
              <w:top w:val="nil"/>
              <w:left w:val="nil"/>
              <w:bottom w:val="nil"/>
              <w:right w:val="nil"/>
            </w:tcBorders>
            <w:shd w:val="clear" w:color="auto" w:fill="auto"/>
            <w:noWrap/>
            <w:tcMar>
              <w:left w:w="0" w:type="dxa"/>
            </w:tcMar>
            <w:vAlign w:val="bottom"/>
            <w:hideMark/>
          </w:tcPr>
          <w:p w14:paraId="57C8BD8C" w14:textId="77777777" w:rsidR="00C81AEA" w:rsidRPr="00C81AEA" w:rsidRDefault="00C81AEA" w:rsidP="00C81AEA">
            <w:pPr>
              <w:spacing w:after="0"/>
              <w:jc w:val="right"/>
              <w:rPr>
                <w:rFonts w:ascii="Arial" w:hAnsi="Arial" w:cs="Arial"/>
                <w:color w:val="auto"/>
                <w:sz w:val="16"/>
                <w:szCs w:val="16"/>
              </w:rPr>
            </w:pPr>
            <w:r w:rsidRPr="00C81AEA">
              <w:rPr>
                <w:rFonts w:ascii="Arial" w:hAnsi="Arial" w:cs="Arial"/>
                <w:color w:val="auto"/>
                <w:sz w:val="16"/>
                <w:szCs w:val="16"/>
              </w:rPr>
              <w:t>356</w:t>
            </w:r>
          </w:p>
        </w:tc>
      </w:tr>
      <w:tr w:rsidR="00C81AEA" w:rsidRPr="00C81AEA" w14:paraId="27CAA17B" w14:textId="77777777" w:rsidTr="00C6624C">
        <w:trPr>
          <w:trHeight w:val="225"/>
        </w:trPr>
        <w:tc>
          <w:tcPr>
            <w:tcW w:w="2962" w:type="dxa"/>
            <w:tcBorders>
              <w:top w:val="nil"/>
              <w:left w:val="nil"/>
              <w:bottom w:val="nil"/>
              <w:right w:val="nil"/>
            </w:tcBorders>
            <w:shd w:val="clear" w:color="auto" w:fill="auto"/>
            <w:noWrap/>
            <w:vAlign w:val="bottom"/>
            <w:hideMark/>
          </w:tcPr>
          <w:p w14:paraId="217BF1C4" w14:textId="77777777" w:rsidR="00C81AEA" w:rsidRPr="00C81AEA" w:rsidRDefault="00C81AEA" w:rsidP="00C81AEA">
            <w:pPr>
              <w:spacing w:after="0"/>
              <w:ind w:firstLineChars="200" w:firstLine="320"/>
              <w:rPr>
                <w:rFonts w:ascii="Arial" w:hAnsi="Arial" w:cs="Arial"/>
                <w:b/>
                <w:bCs/>
                <w:sz w:val="16"/>
                <w:szCs w:val="16"/>
              </w:rPr>
            </w:pPr>
            <w:r w:rsidRPr="00C81AEA">
              <w:rPr>
                <w:rFonts w:ascii="Arial" w:hAnsi="Arial" w:cs="Arial"/>
                <w:b/>
                <w:bCs/>
                <w:sz w:val="16"/>
                <w:szCs w:val="16"/>
              </w:rPr>
              <w:t>Total provisions</w:t>
            </w:r>
          </w:p>
        </w:tc>
        <w:tc>
          <w:tcPr>
            <w:tcW w:w="886" w:type="dxa"/>
            <w:tcBorders>
              <w:top w:val="nil"/>
              <w:left w:val="nil"/>
              <w:bottom w:val="single" w:sz="4" w:space="0" w:color="auto"/>
              <w:right w:val="nil"/>
            </w:tcBorders>
            <w:shd w:val="clear" w:color="auto" w:fill="auto"/>
            <w:noWrap/>
            <w:tcMar>
              <w:left w:w="0" w:type="dxa"/>
            </w:tcMar>
            <w:vAlign w:val="bottom"/>
            <w:hideMark/>
          </w:tcPr>
          <w:p w14:paraId="2AF6BDCD" w14:textId="77777777" w:rsidR="00C81AEA" w:rsidRPr="00C81AEA" w:rsidRDefault="00C81AEA" w:rsidP="00C81AEA">
            <w:pPr>
              <w:spacing w:after="0"/>
              <w:jc w:val="right"/>
              <w:rPr>
                <w:rFonts w:ascii="Arial" w:hAnsi="Arial" w:cs="Arial"/>
                <w:b/>
                <w:bCs/>
                <w:sz w:val="16"/>
                <w:szCs w:val="16"/>
              </w:rPr>
            </w:pPr>
            <w:r w:rsidRPr="00C81AEA">
              <w:rPr>
                <w:rFonts w:ascii="Arial" w:hAnsi="Arial" w:cs="Arial"/>
                <w:b/>
                <w:bCs/>
                <w:sz w:val="16"/>
                <w:szCs w:val="16"/>
              </w:rPr>
              <w:t>11,042</w:t>
            </w:r>
          </w:p>
        </w:tc>
        <w:tc>
          <w:tcPr>
            <w:tcW w:w="878" w:type="dxa"/>
            <w:tcBorders>
              <w:top w:val="nil"/>
              <w:left w:val="nil"/>
              <w:bottom w:val="single" w:sz="4" w:space="0" w:color="auto"/>
              <w:right w:val="nil"/>
            </w:tcBorders>
            <w:shd w:val="clear" w:color="000000" w:fill="D9D9D9"/>
            <w:noWrap/>
            <w:tcMar>
              <w:left w:w="0" w:type="dxa"/>
            </w:tcMar>
            <w:vAlign w:val="bottom"/>
            <w:hideMark/>
          </w:tcPr>
          <w:p w14:paraId="56DC33E5" w14:textId="77777777" w:rsidR="00C81AEA" w:rsidRPr="00C81AEA" w:rsidRDefault="00C81AEA" w:rsidP="00C81AEA">
            <w:pPr>
              <w:spacing w:after="0"/>
              <w:jc w:val="right"/>
              <w:rPr>
                <w:rFonts w:ascii="Arial" w:hAnsi="Arial" w:cs="Arial"/>
                <w:b/>
                <w:bCs/>
                <w:sz w:val="16"/>
                <w:szCs w:val="16"/>
              </w:rPr>
            </w:pPr>
            <w:r w:rsidRPr="00C81AEA">
              <w:rPr>
                <w:rFonts w:ascii="Arial" w:hAnsi="Arial" w:cs="Arial"/>
                <w:b/>
                <w:bCs/>
                <w:sz w:val="16"/>
                <w:szCs w:val="16"/>
              </w:rPr>
              <w:t>11,042</w:t>
            </w:r>
          </w:p>
        </w:tc>
        <w:tc>
          <w:tcPr>
            <w:tcW w:w="878" w:type="dxa"/>
            <w:tcBorders>
              <w:top w:val="nil"/>
              <w:left w:val="nil"/>
              <w:bottom w:val="single" w:sz="4" w:space="0" w:color="auto"/>
              <w:right w:val="nil"/>
            </w:tcBorders>
            <w:shd w:val="clear" w:color="auto" w:fill="auto"/>
            <w:noWrap/>
            <w:tcMar>
              <w:left w:w="0" w:type="dxa"/>
            </w:tcMar>
            <w:vAlign w:val="bottom"/>
            <w:hideMark/>
          </w:tcPr>
          <w:p w14:paraId="58BFAA89" w14:textId="77777777" w:rsidR="00C81AEA" w:rsidRPr="00C81AEA" w:rsidRDefault="00C81AEA" w:rsidP="00C81AEA">
            <w:pPr>
              <w:spacing w:after="0"/>
              <w:jc w:val="right"/>
              <w:rPr>
                <w:rFonts w:ascii="Arial" w:hAnsi="Arial" w:cs="Arial"/>
                <w:b/>
                <w:bCs/>
                <w:sz w:val="16"/>
                <w:szCs w:val="16"/>
              </w:rPr>
            </w:pPr>
            <w:r w:rsidRPr="00C81AEA">
              <w:rPr>
                <w:rFonts w:ascii="Arial" w:hAnsi="Arial" w:cs="Arial"/>
                <w:b/>
                <w:bCs/>
                <w:sz w:val="16"/>
                <w:szCs w:val="16"/>
              </w:rPr>
              <w:t>11,042</w:t>
            </w:r>
          </w:p>
        </w:tc>
        <w:tc>
          <w:tcPr>
            <w:tcW w:w="878" w:type="dxa"/>
            <w:tcBorders>
              <w:top w:val="nil"/>
              <w:left w:val="nil"/>
              <w:bottom w:val="single" w:sz="4" w:space="0" w:color="auto"/>
              <w:right w:val="nil"/>
            </w:tcBorders>
            <w:shd w:val="clear" w:color="auto" w:fill="auto"/>
            <w:noWrap/>
            <w:tcMar>
              <w:left w:w="0" w:type="dxa"/>
            </w:tcMar>
            <w:vAlign w:val="bottom"/>
            <w:hideMark/>
          </w:tcPr>
          <w:p w14:paraId="4BFE3B83" w14:textId="77777777" w:rsidR="00C81AEA" w:rsidRPr="00C81AEA" w:rsidRDefault="00C81AEA" w:rsidP="00C81AEA">
            <w:pPr>
              <w:spacing w:after="0"/>
              <w:jc w:val="right"/>
              <w:rPr>
                <w:rFonts w:ascii="Arial" w:hAnsi="Arial" w:cs="Arial"/>
                <w:b/>
                <w:bCs/>
                <w:sz w:val="16"/>
                <w:szCs w:val="16"/>
              </w:rPr>
            </w:pPr>
            <w:r w:rsidRPr="00C81AEA">
              <w:rPr>
                <w:rFonts w:ascii="Arial" w:hAnsi="Arial" w:cs="Arial"/>
                <w:b/>
                <w:bCs/>
                <w:sz w:val="16"/>
                <w:szCs w:val="16"/>
              </w:rPr>
              <w:t>11,042</w:t>
            </w:r>
          </w:p>
        </w:tc>
        <w:tc>
          <w:tcPr>
            <w:tcW w:w="878" w:type="dxa"/>
            <w:tcBorders>
              <w:top w:val="nil"/>
              <w:left w:val="nil"/>
              <w:bottom w:val="single" w:sz="4" w:space="0" w:color="auto"/>
              <w:right w:val="nil"/>
            </w:tcBorders>
            <w:shd w:val="clear" w:color="auto" w:fill="auto"/>
            <w:noWrap/>
            <w:tcMar>
              <w:left w:w="0" w:type="dxa"/>
            </w:tcMar>
            <w:vAlign w:val="bottom"/>
            <w:hideMark/>
          </w:tcPr>
          <w:p w14:paraId="733DE016" w14:textId="77777777" w:rsidR="00C81AEA" w:rsidRPr="00C81AEA" w:rsidRDefault="00C81AEA" w:rsidP="00C81AEA">
            <w:pPr>
              <w:spacing w:after="0"/>
              <w:jc w:val="right"/>
              <w:rPr>
                <w:rFonts w:ascii="Arial" w:hAnsi="Arial" w:cs="Arial"/>
                <w:b/>
                <w:bCs/>
                <w:sz w:val="16"/>
                <w:szCs w:val="16"/>
              </w:rPr>
            </w:pPr>
            <w:r w:rsidRPr="00C81AEA">
              <w:rPr>
                <w:rFonts w:ascii="Arial" w:hAnsi="Arial" w:cs="Arial"/>
                <w:b/>
                <w:bCs/>
                <w:sz w:val="16"/>
                <w:szCs w:val="16"/>
              </w:rPr>
              <w:t>11,042</w:t>
            </w:r>
          </w:p>
        </w:tc>
      </w:tr>
      <w:tr w:rsidR="00C81AEA" w:rsidRPr="00C81AEA" w14:paraId="55F22381" w14:textId="77777777" w:rsidTr="00C6624C">
        <w:trPr>
          <w:trHeight w:val="225"/>
        </w:trPr>
        <w:tc>
          <w:tcPr>
            <w:tcW w:w="2962" w:type="dxa"/>
            <w:tcBorders>
              <w:top w:val="nil"/>
              <w:left w:val="nil"/>
              <w:bottom w:val="nil"/>
              <w:right w:val="nil"/>
            </w:tcBorders>
            <w:shd w:val="clear" w:color="auto" w:fill="auto"/>
            <w:noWrap/>
            <w:vAlign w:val="bottom"/>
            <w:hideMark/>
          </w:tcPr>
          <w:p w14:paraId="23A1BE55" w14:textId="77777777" w:rsidR="00C81AEA" w:rsidRPr="00C81AEA" w:rsidRDefault="00C81AEA" w:rsidP="00C81AEA">
            <w:pPr>
              <w:spacing w:after="0"/>
              <w:ind w:firstLineChars="100" w:firstLine="160"/>
              <w:rPr>
                <w:rFonts w:ascii="Arial" w:hAnsi="Arial" w:cs="Arial"/>
                <w:b/>
                <w:bCs/>
                <w:sz w:val="16"/>
                <w:szCs w:val="16"/>
              </w:rPr>
            </w:pPr>
            <w:r w:rsidRPr="00C81AEA">
              <w:rPr>
                <w:rFonts w:ascii="Arial" w:hAnsi="Arial" w:cs="Arial"/>
                <w:b/>
                <w:bCs/>
                <w:sz w:val="16"/>
                <w:szCs w:val="16"/>
              </w:rPr>
              <w:t>Total liabilities</w:t>
            </w:r>
          </w:p>
        </w:tc>
        <w:tc>
          <w:tcPr>
            <w:tcW w:w="886" w:type="dxa"/>
            <w:tcBorders>
              <w:top w:val="nil"/>
              <w:left w:val="nil"/>
              <w:bottom w:val="single" w:sz="4" w:space="0" w:color="auto"/>
              <w:right w:val="nil"/>
            </w:tcBorders>
            <w:shd w:val="clear" w:color="auto" w:fill="auto"/>
            <w:noWrap/>
            <w:tcMar>
              <w:left w:w="0" w:type="dxa"/>
            </w:tcMar>
            <w:vAlign w:val="bottom"/>
            <w:hideMark/>
          </w:tcPr>
          <w:p w14:paraId="0F0F83C5" w14:textId="77777777" w:rsidR="00C81AEA" w:rsidRPr="00C81AEA" w:rsidRDefault="00C81AEA" w:rsidP="00C81AEA">
            <w:pPr>
              <w:spacing w:after="0"/>
              <w:jc w:val="right"/>
              <w:rPr>
                <w:rFonts w:ascii="Arial" w:hAnsi="Arial" w:cs="Arial"/>
                <w:b/>
                <w:bCs/>
                <w:sz w:val="16"/>
                <w:szCs w:val="16"/>
              </w:rPr>
            </w:pPr>
            <w:r w:rsidRPr="00C81AEA">
              <w:rPr>
                <w:rFonts w:ascii="Arial" w:hAnsi="Arial" w:cs="Arial"/>
                <w:b/>
                <w:bCs/>
                <w:sz w:val="16"/>
                <w:szCs w:val="16"/>
              </w:rPr>
              <w:t>86,850</w:t>
            </w:r>
          </w:p>
        </w:tc>
        <w:tc>
          <w:tcPr>
            <w:tcW w:w="878" w:type="dxa"/>
            <w:tcBorders>
              <w:top w:val="nil"/>
              <w:left w:val="nil"/>
              <w:bottom w:val="single" w:sz="4" w:space="0" w:color="auto"/>
              <w:right w:val="nil"/>
            </w:tcBorders>
            <w:shd w:val="clear" w:color="000000" w:fill="D9D9D9"/>
            <w:noWrap/>
            <w:tcMar>
              <w:left w:w="0" w:type="dxa"/>
            </w:tcMar>
            <w:vAlign w:val="bottom"/>
            <w:hideMark/>
          </w:tcPr>
          <w:p w14:paraId="613EDB94" w14:textId="77777777" w:rsidR="00C81AEA" w:rsidRPr="00C81AEA" w:rsidRDefault="00C81AEA" w:rsidP="00C81AEA">
            <w:pPr>
              <w:spacing w:after="0"/>
              <w:jc w:val="right"/>
              <w:rPr>
                <w:rFonts w:ascii="Arial" w:hAnsi="Arial" w:cs="Arial"/>
                <w:b/>
                <w:bCs/>
                <w:sz w:val="16"/>
                <w:szCs w:val="16"/>
              </w:rPr>
            </w:pPr>
            <w:r w:rsidRPr="00C81AEA">
              <w:rPr>
                <w:rFonts w:ascii="Arial" w:hAnsi="Arial" w:cs="Arial"/>
                <w:b/>
                <w:bCs/>
                <w:sz w:val="16"/>
                <w:szCs w:val="16"/>
              </w:rPr>
              <w:t>86,850</w:t>
            </w:r>
          </w:p>
        </w:tc>
        <w:tc>
          <w:tcPr>
            <w:tcW w:w="878" w:type="dxa"/>
            <w:tcBorders>
              <w:top w:val="nil"/>
              <w:left w:val="nil"/>
              <w:bottom w:val="single" w:sz="4" w:space="0" w:color="auto"/>
              <w:right w:val="nil"/>
            </w:tcBorders>
            <w:shd w:val="clear" w:color="auto" w:fill="auto"/>
            <w:noWrap/>
            <w:tcMar>
              <w:left w:w="0" w:type="dxa"/>
            </w:tcMar>
            <w:vAlign w:val="bottom"/>
            <w:hideMark/>
          </w:tcPr>
          <w:p w14:paraId="437AB3C0" w14:textId="77777777" w:rsidR="00C81AEA" w:rsidRPr="00C81AEA" w:rsidRDefault="00C81AEA" w:rsidP="00C81AEA">
            <w:pPr>
              <w:spacing w:after="0"/>
              <w:jc w:val="right"/>
              <w:rPr>
                <w:rFonts w:ascii="Arial" w:hAnsi="Arial" w:cs="Arial"/>
                <w:b/>
                <w:bCs/>
                <w:sz w:val="16"/>
                <w:szCs w:val="16"/>
              </w:rPr>
            </w:pPr>
            <w:r w:rsidRPr="00C81AEA">
              <w:rPr>
                <w:rFonts w:ascii="Arial" w:hAnsi="Arial" w:cs="Arial"/>
                <w:b/>
                <w:bCs/>
                <w:sz w:val="16"/>
                <w:szCs w:val="16"/>
              </w:rPr>
              <w:t>86,850</w:t>
            </w:r>
          </w:p>
        </w:tc>
        <w:tc>
          <w:tcPr>
            <w:tcW w:w="878" w:type="dxa"/>
            <w:tcBorders>
              <w:top w:val="nil"/>
              <w:left w:val="nil"/>
              <w:bottom w:val="single" w:sz="4" w:space="0" w:color="auto"/>
              <w:right w:val="nil"/>
            </w:tcBorders>
            <w:shd w:val="clear" w:color="auto" w:fill="auto"/>
            <w:noWrap/>
            <w:tcMar>
              <w:left w:w="0" w:type="dxa"/>
            </w:tcMar>
            <w:vAlign w:val="bottom"/>
            <w:hideMark/>
          </w:tcPr>
          <w:p w14:paraId="554EB7AC" w14:textId="77777777" w:rsidR="00C81AEA" w:rsidRPr="00C81AEA" w:rsidRDefault="00C81AEA" w:rsidP="00C81AEA">
            <w:pPr>
              <w:spacing w:after="0"/>
              <w:jc w:val="right"/>
              <w:rPr>
                <w:rFonts w:ascii="Arial" w:hAnsi="Arial" w:cs="Arial"/>
                <w:b/>
                <w:bCs/>
                <w:sz w:val="16"/>
                <w:szCs w:val="16"/>
              </w:rPr>
            </w:pPr>
            <w:r w:rsidRPr="00C81AEA">
              <w:rPr>
                <w:rFonts w:ascii="Arial" w:hAnsi="Arial" w:cs="Arial"/>
                <w:b/>
                <w:bCs/>
                <w:sz w:val="16"/>
                <w:szCs w:val="16"/>
              </w:rPr>
              <w:t>86,850</w:t>
            </w:r>
          </w:p>
        </w:tc>
        <w:tc>
          <w:tcPr>
            <w:tcW w:w="878" w:type="dxa"/>
            <w:tcBorders>
              <w:top w:val="nil"/>
              <w:left w:val="nil"/>
              <w:bottom w:val="single" w:sz="4" w:space="0" w:color="auto"/>
              <w:right w:val="nil"/>
            </w:tcBorders>
            <w:shd w:val="clear" w:color="auto" w:fill="auto"/>
            <w:noWrap/>
            <w:tcMar>
              <w:left w:w="0" w:type="dxa"/>
            </w:tcMar>
            <w:vAlign w:val="bottom"/>
            <w:hideMark/>
          </w:tcPr>
          <w:p w14:paraId="47E9230A" w14:textId="77777777" w:rsidR="00C81AEA" w:rsidRPr="00C81AEA" w:rsidRDefault="00C81AEA" w:rsidP="00C81AEA">
            <w:pPr>
              <w:spacing w:after="0"/>
              <w:jc w:val="right"/>
              <w:rPr>
                <w:rFonts w:ascii="Arial" w:hAnsi="Arial" w:cs="Arial"/>
                <w:b/>
                <w:bCs/>
                <w:sz w:val="16"/>
                <w:szCs w:val="16"/>
              </w:rPr>
            </w:pPr>
            <w:r w:rsidRPr="00C81AEA">
              <w:rPr>
                <w:rFonts w:ascii="Arial" w:hAnsi="Arial" w:cs="Arial"/>
                <w:b/>
                <w:bCs/>
                <w:sz w:val="16"/>
                <w:szCs w:val="16"/>
              </w:rPr>
              <w:t>86,850</w:t>
            </w:r>
          </w:p>
        </w:tc>
      </w:tr>
      <w:tr w:rsidR="00C81AEA" w:rsidRPr="00C81AEA" w14:paraId="30EE70E0" w14:textId="77777777" w:rsidTr="00C6624C">
        <w:trPr>
          <w:trHeight w:val="300"/>
        </w:trPr>
        <w:tc>
          <w:tcPr>
            <w:tcW w:w="2962" w:type="dxa"/>
            <w:tcBorders>
              <w:top w:val="nil"/>
              <w:left w:val="nil"/>
              <w:bottom w:val="nil"/>
              <w:right w:val="nil"/>
            </w:tcBorders>
            <w:shd w:val="clear" w:color="auto" w:fill="auto"/>
            <w:noWrap/>
            <w:vAlign w:val="bottom"/>
            <w:hideMark/>
          </w:tcPr>
          <w:p w14:paraId="4548E2C8" w14:textId="77777777" w:rsidR="00C81AEA" w:rsidRPr="00C81AEA" w:rsidRDefault="00C81AEA" w:rsidP="00C81AEA">
            <w:pPr>
              <w:spacing w:after="0"/>
              <w:rPr>
                <w:rFonts w:ascii="Arial" w:hAnsi="Arial" w:cs="Arial"/>
                <w:b/>
                <w:bCs/>
                <w:sz w:val="16"/>
                <w:szCs w:val="16"/>
              </w:rPr>
            </w:pPr>
            <w:r w:rsidRPr="00C81AEA">
              <w:rPr>
                <w:rFonts w:ascii="Arial" w:hAnsi="Arial" w:cs="Arial"/>
                <w:b/>
                <w:bCs/>
                <w:sz w:val="16"/>
                <w:szCs w:val="16"/>
              </w:rPr>
              <w:t>Net assets</w:t>
            </w:r>
          </w:p>
        </w:tc>
        <w:tc>
          <w:tcPr>
            <w:tcW w:w="886" w:type="dxa"/>
            <w:tcBorders>
              <w:top w:val="nil"/>
              <w:left w:val="nil"/>
              <w:bottom w:val="single" w:sz="4" w:space="0" w:color="auto"/>
              <w:right w:val="nil"/>
            </w:tcBorders>
            <w:shd w:val="clear" w:color="auto" w:fill="auto"/>
            <w:noWrap/>
            <w:tcMar>
              <w:left w:w="0" w:type="dxa"/>
            </w:tcMar>
            <w:vAlign w:val="bottom"/>
            <w:hideMark/>
          </w:tcPr>
          <w:p w14:paraId="1830E11C" w14:textId="77777777" w:rsidR="00C81AEA" w:rsidRPr="00C81AEA" w:rsidRDefault="00C81AEA" w:rsidP="00C81AEA">
            <w:pPr>
              <w:spacing w:after="0"/>
              <w:jc w:val="right"/>
              <w:rPr>
                <w:rFonts w:ascii="Arial" w:hAnsi="Arial" w:cs="Arial"/>
                <w:b/>
                <w:bCs/>
                <w:sz w:val="16"/>
                <w:szCs w:val="16"/>
              </w:rPr>
            </w:pPr>
            <w:r w:rsidRPr="00C81AEA">
              <w:rPr>
                <w:rFonts w:ascii="Arial" w:hAnsi="Arial" w:cs="Arial"/>
                <w:b/>
                <w:bCs/>
                <w:sz w:val="16"/>
                <w:szCs w:val="16"/>
              </w:rPr>
              <w:t>113,978</w:t>
            </w:r>
          </w:p>
        </w:tc>
        <w:tc>
          <w:tcPr>
            <w:tcW w:w="878" w:type="dxa"/>
            <w:tcBorders>
              <w:top w:val="nil"/>
              <w:left w:val="nil"/>
              <w:bottom w:val="single" w:sz="4" w:space="0" w:color="auto"/>
              <w:right w:val="nil"/>
            </w:tcBorders>
            <w:shd w:val="clear" w:color="000000" w:fill="D9D9D9"/>
            <w:noWrap/>
            <w:tcMar>
              <w:left w:w="0" w:type="dxa"/>
            </w:tcMar>
            <w:vAlign w:val="bottom"/>
            <w:hideMark/>
          </w:tcPr>
          <w:p w14:paraId="2638A978" w14:textId="77777777" w:rsidR="00C81AEA" w:rsidRPr="00C81AEA" w:rsidRDefault="00C81AEA" w:rsidP="00C81AEA">
            <w:pPr>
              <w:spacing w:after="0"/>
              <w:jc w:val="right"/>
              <w:rPr>
                <w:rFonts w:ascii="Arial" w:hAnsi="Arial" w:cs="Arial"/>
                <w:b/>
                <w:bCs/>
                <w:sz w:val="16"/>
                <w:szCs w:val="16"/>
              </w:rPr>
            </w:pPr>
            <w:r w:rsidRPr="00C81AEA">
              <w:rPr>
                <w:rFonts w:ascii="Arial" w:hAnsi="Arial" w:cs="Arial"/>
                <w:b/>
                <w:bCs/>
                <w:sz w:val="16"/>
                <w:szCs w:val="16"/>
              </w:rPr>
              <w:t>96,506</w:t>
            </w:r>
          </w:p>
        </w:tc>
        <w:tc>
          <w:tcPr>
            <w:tcW w:w="878" w:type="dxa"/>
            <w:tcBorders>
              <w:top w:val="nil"/>
              <w:left w:val="nil"/>
              <w:bottom w:val="single" w:sz="4" w:space="0" w:color="auto"/>
              <w:right w:val="nil"/>
            </w:tcBorders>
            <w:shd w:val="clear" w:color="auto" w:fill="auto"/>
            <w:noWrap/>
            <w:tcMar>
              <w:left w:w="0" w:type="dxa"/>
            </w:tcMar>
            <w:vAlign w:val="bottom"/>
            <w:hideMark/>
          </w:tcPr>
          <w:p w14:paraId="66CA2035" w14:textId="77777777" w:rsidR="00C81AEA" w:rsidRPr="00C81AEA" w:rsidRDefault="00C81AEA" w:rsidP="00C81AEA">
            <w:pPr>
              <w:spacing w:after="0"/>
              <w:jc w:val="right"/>
              <w:rPr>
                <w:rFonts w:ascii="Arial" w:hAnsi="Arial" w:cs="Arial"/>
                <w:b/>
                <w:bCs/>
                <w:sz w:val="16"/>
                <w:szCs w:val="16"/>
              </w:rPr>
            </w:pPr>
            <w:r w:rsidRPr="00C81AEA">
              <w:rPr>
                <w:rFonts w:ascii="Arial" w:hAnsi="Arial" w:cs="Arial"/>
                <w:b/>
                <w:bCs/>
                <w:sz w:val="16"/>
                <w:szCs w:val="16"/>
              </w:rPr>
              <w:t>96,506</w:t>
            </w:r>
          </w:p>
        </w:tc>
        <w:tc>
          <w:tcPr>
            <w:tcW w:w="878" w:type="dxa"/>
            <w:tcBorders>
              <w:top w:val="nil"/>
              <w:left w:val="nil"/>
              <w:bottom w:val="single" w:sz="4" w:space="0" w:color="auto"/>
              <w:right w:val="nil"/>
            </w:tcBorders>
            <w:shd w:val="clear" w:color="auto" w:fill="auto"/>
            <w:noWrap/>
            <w:tcMar>
              <w:left w:w="0" w:type="dxa"/>
            </w:tcMar>
            <w:vAlign w:val="bottom"/>
            <w:hideMark/>
          </w:tcPr>
          <w:p w14:paraId="73427342" w14:textId="77777777" w:rsidR="00C81AEA" w:rsidRPr="00C81AEA" w:rsidRDefault="00C81AEA" w:rsidP="00C81AEA">
            <w:pPr>
              <w:spacing w:after="0"/>
              <w:jc w:val="right"/>
              <w:rPr>
                <w:rFonts w:ascii="Arial" w:hAnsi="Arial" w:cs="Arial"/>
                <w:b/>
                <w:bCs/>
                <w:sz w:val="16"/>
                <w:szCs w:val="16"/>
              </w:rPr>
            </w:pPr>
            <w:r w:rsidRPr="00C81AEA">
              <w:rPr>
                <w:rFonts w:ascii="Arial" w:hAnsi="Arial" w:cs="Arial"/>
                <w:b/>
                <w:bCs/>
                <w:sz w:val="16"/>
                <w:szCs w:val="16"/>
              </w:rPr>
              <w:t>96,506</w:t>
            </w:r>
          </w:p>
        </w:tc>
        <w:tc>
          <w:tcPr>
            <w:tcW w:w="878" w:type="dxa"/>
            <w:tcBorders>
              <w:top w:val="nil"/>
              <w:left w:val="nil"/>
              <w:bottom w:val="single" w:sz="4" w:space="0" w:color="auto"/>
              <w:right w:val="nil"/>
            </w:tcBorders>
            <w:shd w:val="clear" w:color="auto" w:fill="auto"/>
            <w:noWrap/>
            <w:tcMar>
              <w:left w:w="0" w:type="dxa"/>
            </w:tcMar>
            <w:vAlign w:val="bottom"/>
            <w:hideMark/>
          </w:tcPr>
          <w:p w14:paraId="574C9B4B" w14:textId="77777777" w:rsidR="00C81AEA" w:rsidRPr="00C81AEA" w:rsidRDefault="00C81AEA" w:rsidP="00C81AEA">
            <w:pPr>
              <w:spacing w:after="0"/>
              <w:jc w:val="right"/>
              <w:rPr>
                <w:rFonts w:ascii="Arial" w:hAnsi="Arial" w:cs="Arial"/>
                <w:b/>
                <w:bCs/>
                <w:sz w:val="16"/>
                <w:szCs w:val="16"/>
              </w:rPr>
            </w:pPr>
            <w:r w:rsidRPr="00C81AEA">
              <w:rPr>
                <w:rFonts w:ascii="Arial" w:hAnsi="Arial" w:cs="Arial"/>
                <w:b/>
                <w:bCs/>
                <w:sz w:val="16"/>
                <w:szCs w:val="16"/>
              </w:rPr>
              <w:t>96,506</w:t>
            </w:r>
          </w:p>
        </w:tc>
      </w:tr>
      <w:tr w:rsidR="00C81AEA" w:rsidRPr="00C81AEA" w14:paraId="38D09C37" w14:textId="77777777" w:rsidTr="00C6624C">
        <w:trPr>
          <w:trHeight w:val="300"/>
        </w:trPr>
        <w:tc>
          <w:tcPr>
            <w:tcW w:w="2962" w:type="dxa"/>
            <w:tcBorders>
              <w:top w:val="nil"/>
              <w:left w:val="nil"/>
              <w:bottom w:val="nil"/>
              <w:right w:val="nil"/>
            </w:tcBorders>
            <w:shd w:val="clear" w:color="auto" w:fill="auto"/>
            <w:noWrap/>
            <w:vAlign w:val="bottom"/>
            <w:hideMark/>
          </w:tcPr>
          <w:p w14:paraId="466D190B" w14:textId="77777777" w:rsidR="00C81AEA" w:rsidRPr="00C81AEA" w:rsidRDefault="00C81AEA" w:rsidP="00C81AEA">
            <w:pPr>
              <w:spacing w:after="0"/>
              <w:rPr>
                <w:rFonts w:ascii="Arial" w:hAnsi="Arial" w:cs="Arial"/>
                <w:b/>
                <w:bCs/>
                <w:sz w:val="16"/>
                <w:szCs w:val="16"/>
              </w:rPr>
            </w:pPr>
            <w:r w:rsidRPr="00C81AEA">
              <w:rPr>
                <w:rFonts w:ascii="Arial" w:hAnsi="Arial" w:cs="Arial"/>
                <w:b/>
                <w:bCs/>
                <w:sz w:val="16"/>
                <w:szCs w:val="16"/>
              </w:rPr>
              <w:t xml:space="preserve">EQUITY </w:t>
            </w:r>
            <w:r w:rsidRPr="00C81AEA">
              <w:rPr>
                <w:rFonts w:ascii="Arial" w:hAnsi="Arial" w:cs="Arial"/>
                <w:b/>
                <w:bCs/>
                <w:sz w:val="16"/>
                <w:szCs w:val="16"/>
                <w:vertAlign w:val="superscript"/>
              </w:rPr>
              <w:t>(a)</w:t>
            </w:r>
          </w:p>
        </w:tc>
        <w:tc>
          <w:tcPr>
            <w:tcW w:w="886" w:type="dxa"/>
            <w:tcBorders>
              <w:top w:val="nil"/>
              <w:left w:val="nil"/>
              <w:bottom w:val="nil"/>
              <w:right w:val="nil"/>
            </w:tcBorders>
            <w:shd w:val="clear" w:color="auto" w:fill="auto"/>
            <w:noWrap/>
            <w:tcMar>
              <w:left w:w="0" w:type="dxa"/>
            </w:tcMar>
            <w:vAlign w:val="bottom"/>
            <w:hideMark/>
          </w:tcPr>
          <w:p w14:paraId="62668267" w14:textId="77777777" w:rsidR="00C81AEA" w:rsidRPr="00C81AEA" w:rsidRDefault="00C81AEA" w:rsidP="00C81AEA">
            <w:pPr>
              <w:spacing w:after="0"/>
              <w:rPr>
                <w:rFonts w:ascii="Arial" w:hAnsi="Arial" w:cs="Arial"/>
                <w:b/>
                <w:bCs/>
                <w:sz w:val="16"/>
                <w:szCs w:val="16"/>
              </w:rPr>
            </w:pPr>
          </w:p>
        </w:tc>
        <w:tc>
          <w:tcPr>
            <w:tcW w:w="878" w:type="dxa"/>
            <w:tcBorders>
              <w:top w:val="nil"/>
              <w:left w:val="nil"/>
              <w:bottom w:val="nil"/>
              <w:right w:val="nil"/>
            </w:tcBorders>
            <w:shd w:val="clear" w:color="000000" w:fill="D9D9D9"/>
            <w:noWrap/>
            <w:tcMar>
              <w:left w:w="0" w:type="dxa"/>
            </w:tcMar>
            <w:vAlign w:val="bottom"/>
            <w:hideMark/>
          </w:tcPr>
          <w:p w14:paraId="11A5873B" w14:textId="77777777" w:rsidR="00C81AEA" w:rsidRPr="00C81AEA" w:rsidRDefault="00C81AEA" w:rsidP="00C81AEA">
            <w:pPr>
              <w:spacing w:after="0"/>
              <w:jc w:val="right"/>
              <w:rPr>
                <w:rFonts w:ascii="Arial" w:hAnsi="Arial" w:cs="Arial"/>
                <w:sz w:val="16"/>
                <w:szCs w:val="16"/>
              </w:rPr>
            </w:pPr>
            <w:r w:rsidRPr="00C81AEA">
              <w:rPr>
                <w:rFonts w:ascii="Arial" w:hAnsi="Arial" w:cs="Arial"/>
                <w:sz w:val="16"/>
                <w:szCs w:val="16"/>
              </w:rPr>
              <w:t> </w:t>
            </w:r>
          </w:p>
        </w:tc>
        <w:tc>
          <w:tcPr>
            <w:tcW w:w="878" w:type="dxa"/>
            <w:tcBorders>
              <w:top w:val="nil"/>
              <w:left w:val="nil"/>
              <w:bottom w:val="nil"/>
              <w:right w:val="nil"/>
            </w:tcBorders>
            <w:shd w:val="clear" w:color="auto" w:fill="auto"/>
            <w:noWrap/>
            <w:tcMar>
              <w:left w:w="0" w:type="dxa"/>
            </w:tcMar>
            <w:vAlign w:val="bottom"/>
            <w:hideMark/>
          </w:tcPr>
          <w:p w14:paraId="1641A5CC" w14:textId="77777777" w:rsidR="00C81AEA" w:rsidRPr="00C81AEA" w:rsidRDefault="00C81AEA" w:rsidP="00C81AEA">
            <w:pPr>
              <w:spacing w:after="0"/>
              <w:jc w:val="right"/>
              <w:rPr>
                <w:rFonts w:ascii="Arial" w:hAnsi="Arial" w:cs="Arial"/>
                <w:sz w:val="16"/>
                <w:szCs w:val="16"/>
              </w:rPr>
            </w:pPr>
          </w:p>
        </w:tc>
        <w:tc>
          <w:tcPr>
            <w:tcW w:w="878" w:type="dxa"/>
            <w:tcBorders>
              <w:top w:val="nil"/>
              <w:left w:val="nil"/>
              <w:bottom w:val="nil"/>
              <w:right w:val="nil"/>
            </w:tcBorders>
            <w:shd w:val="clear" w:color="auto" w:fill="auto"/>
            <w:noWrap/>
            <w:tcMar>
              <w:left w:w="0" w:type="dxa"/>
            </w:tcMar>
            <w:vAlign w:val="bottom"/>
            <w:hideMark/>
          </w:tcPr>
          <w:p w14:paraId="6F8241E6" w14:textId="77777777" w:rsidR="00C81AEA" w:rsidRPr="00C81AEA" w:rsidRDefault="00C81AEA" w:rsidP="00C81AEA">
            <w:pPr>
              <w:spacing w:after="0"/>
              <w:jc w:val="right"/>
              <w:rPr>
                <w:rFonts w:ascii="Times New Roman" w:hAnsi="Times New Roman"/>
                <w:color w:val="auto"/>
                <w:sz w:val="20"/>
              </w:rPr>
            </w:pPr>
          </w:p>
        </w:tc>
        <w:tc>
          <w:tcPr>
            <w:tcW w:w="878" w:type="dxa"/>
            <w:tcBorders>
              <w:top w:val="nil"/>
              <w:left w:val="nil"/>
              <w:bottom w:val="nil"/>
              <w:right w:val="nil"/>
            </w:tcBorders>
            <w:shd w:val="clear" w:color="auto" w:fill="auto"/>
            <w:noWrap/>
            <w:tcMar>
              <w:left w:w="0" w:type="dxa"/>
            </w:tcMar>
            <w:vAlign w:val="bottom"/>
            <w:hideMark/>
          </w:tcPr>
          <w:p w14:paraId="7326F6A2" w14:textId="77777777" w:rsidR="00C81AEA" w:rsidRPr="00C81AEA" w:rsidRDefault="00C81AEA" w:rsidP="00C81AEA">
            <w:pPr>
              <w:spacing w:after="0"/>
              <w:jc w:val="right"/>
              <w:rPr>
                <w:rFonts w:ascii="Times New Roman" w:hAnsi="Times New Roman"/>
                <w:color w:val="auto"/>
                <w:sz w:val="20"/>
              </w:rPr>
            </w:pPr>
          </w:p>
        </w:tc>
      </w:tr>
      <w:tr w:rsidR="00C81AEA" w:rsidRPr="00C81AEA" w14:paraId="0CD814C9" w14:textId="77777777" w:rsidTr="00C6624C">
        <w:trPr>
          <w:trHeight w:val="225"/>
        </w:trPr>
        <w:tc>
          <w:tcPr>
            <w:tcW w:w="2962" w:type="dxa"/>
            <w:tcBorders>
              <w:top w:val="nil"/>
              <w:left w:val="nil"/>
              <w:bottom w:val="nil"/>
              <w:right w:val="nil"/>
            </w:tcBorders>
            <w:shd w:val="clear" w:color="auto" w:fill="auto"/>
            <w:noWrap/>
            <w:vAlign w:val="bottom"/>
            <w:hideMark/>
          </w:tcPr>
          <w:p w14:paraId="3605AB18" w14:textId="77777777" w:rsidR="00C81AEA" w:rsidRPr="00C81AEA" w:rsidRDefault="00C81AEA" w:rsidP="00C81AEA">
            <w:pPr>
              <w:spacing w:after="0"/>
              <w:ind w:leftChars="75" w:left="143"/>
              <w:rPr>
                <w:rFonts w:ascii="Arial" w:hAnsi="Arial" w:cs="Arial"/>
                <w:sz w:val="16"/>
                <w:szCs w:val="16"/>
              </w:rPr>
            </w:pPr>
            <w:r w:rsidRPr="00C81AEA">
              <w:rPr>
                <w:rFonts w:ascii="Arial" w:hAnsi="Arial" w:cs="Arial"/>
                <w:sz w:val="16"/>
                <w:szCs w:val="16"/>
              </w:rPr>
              <w:t>Contributed equity</w:t>
            </w:r>
          </w:p>
        </w:tc>
        <w:tc>
          <w:tcPr>
            <w:tcW w:w="886" w:type="dxa"/>
            <w:tcBorders>
              <w:top w:val="nil"/>
              <w:left w:val="nil"/>
              <w:bottom w:val="nil"/>
              <w:right w:val="nil"/>
            </w:tcBorders>
            <w:shd w:val="clear" w:color="auto" w:fill="auto"/>
            <w:noWrap/>
            <w:tcMar>
              <w:left w:w="0" w:type="dxa"/>
            </w:tcMar>
            <w:vAlign w:val="bottom"/>
            <w:hideMark/>
          </w:tcPr>
          <w:p w14:paraId="12818BA4" w14:textId="77777777" w:rsidR="00C81AEA" w:rsidRPr="00C81AEA" w:rsidRDefault="00C81AEA" w:rsidP="00C81AEA">
            <w:pPr>
              <w:spacing w:after="0"/>
              <w:jc w:val="right"/>
              <w:rPr>
                <w:rFonts w:ascii="Arial" w:hAnsi="Arial" w:cs="Arial"/>
                <w:color w:val="auto"/>
                <w:sz w:val="16"/>
                <w:szCs w:val="16"/>
              </w:rPr>
            </w:pPr>
            <w:r w:rsidRPr="00C81AEA">
              <w:rPr>
                <w:rFonts w:ascii="Arial" w:hAnsi="Arial" w:cs="Arial"/>
                <w:color w:val="auto"/>
                <w:sz w:val="16"/>
                <w:szCs w:val="16"/>
              </w:rPr>
              <w:t>208,381</w:t>
            </w:r>
          </w:p>
        </w:tc>
        <w:tc>
          <w:tcPr>
            <w:tcW w:w="878" w:type="dxa"/>
            <w:tcBorders>
              <w:top w:val="nil"/>
              <w:left w:val="nil"/>
              <w:bottom w:val="nil"/>
              <w:right w:val="nil"/>
            </w:tcBorders>
            <w:shd w:val="clear" w:color="000000" w:fill="D9D9D9"/>
            <w:noWrap/>
            <w:tcMar>
              <w:left w:w="0" w:type="dxa"/>
            </w:tcMar>
            <w:vAlign w:val="bottom"/>
            <w:hideMark/>
          </w:tcPr>
          <w:p w14:paraId="0ED6D6D7" w14:textId="77777777" w:rsidR="00C81AEA" w:rsidRPr="00C81AEA" w:rsidRDefault="00C81AEA" w:rsidP="00C81AEA">
            <w:pPr>
              <w:spacing w:after="0"/>
              <w:jc w:val="right"/>
              <w:rPr>
                <w:rFonts w:ascii="Arial" w:hAnsi="Arial" w:cs="Arial"/>
                <w:color w:val="auto"/>
                <w:sz w:val="16"/>
                <w:szCs w:val="16"/>
              </w:rPr>
            </w:pPr>
            <w:r w:rsidRPr="00C81AEA">
              <w:rPr>
                <w:rFonts w:ascii="Arial" w:hAnsi="Arial" w:cs="Arial"/>
                <w:color w:val="auto"/>
                <w:sz w:val="16"/>
                <w:szCs w:val="16"/>
              </w:rPr>
              <w:t>226,787</w:t>
            </w:r>
          </w:p>
        </w:tc>
        <w:tc>
          <w:tcPr>
            <w:tcW w:w="878" w:type="dxa"/>
            <w:tcBorders>
              <w:top w:val="nil"/>
              <w:left w:val="nil"/>
              <w:bottom w:val="nil"/>
              <w:right w:val="nil"/>
            </w:tcBorders>
            <w:shd w:val="clear" w:color="auto" w:fill="auto"/>
            <w:noWrap/>
            <w:tcMar>
              <w:left w:w="0" w:type="dxa"/>
            </w:tcMar>
            <w:vAlign w:val="bottom"/>
            <w:hideMark/>
          </w:tcPr>
          <w:p w14:paraId="62FCBBC9" w14:textId="77777777" w:rsidR="00C81AEA" w:rsidRPr="00C81AEA" w:rsidRDefault="00C81AEA" w:rsidP="00C81AEA">
            <w:pPr>
              <w:spacing w:after="0"/>
              <w:jc w:val="right"/>
              <w:rPr>
                <w:rFonts w:ascii="Arial" w:hAnsi="Arial" w:cs="Arial"/>
                <w:color w:val="auto"/>
                <w:sz w:val="16"/>
                <w:szCs w:val="16"/>
              </w:rPr>
            </w:pPr>
            <w:r w:rsidRPr="00C81AEA">
              <w:rPr>
                <w:rFonts w:ascii="Arial" w:hAnsi="Arial" w:cs="Arial"/>
                <w:color w:val="auto"/>
                <w:sz w:val="16"/>
                <w:szCs w:val="16"/>
              </w:rPr>
              <w:t>226,787</w:t>
            </w:r>
          </w:p>
        </w:tc>
        <w:tc>
          <w:tcPr>
            <w:tcW w:w="878" w:type="dxa"/>
            <w:tcBorders>
              <w:top w:val="nil"/>
              <w:left w:val="nil"/>
              <w:bottom w:val="nil"/>
              <w:right w:val="nil"/>
            </w:tcBorders>
            <w:shd w:val="clear" w:color="auto" w:fill="auto"/>
            <w:noWrap/>
            <w:tcMar>
              <w:left w:w="0" w:type="dxa"/>
            </w:tcMar>
            <w:vAlign w:val="bottom"/>
            <w:hideMark/>
          </w:tcPr>
          <w:p w14:paraId="14BD0B61" w14:textId="77777777" w:rsidR="00C81AEA" w:rsidRPr="00C81AEA" w:rsidRDefault="00C81AEA" w:rsidP="00C81AEA">
            <w:pPr>
              <w:spacing w:after="0"/>
              <w:jc w:val="right"/>
              <w:rPr>
                <w:rFonts w:ascii="Arial" w:hAnsi="Arial" w:cs="Arial"/>
                <w:color w:val="auto"/>
                <w:sz w:val="16"/>
                <w:szCs w:val="16"/>
              </w:rPr>
            </w:pPr>
            <w:r w:rsidRPr="00C81AEA">
              <w:rPr>
                <w:rFonts w:ascii="Arial" w:hAnsi="Arial" w:cs="Arial"/>
                <w:color w:val="auto"/>
                <w:sz w:val="16"/>
                <w:szCs w:val="16"/>
              </w:rPr>
              <w:t>226,787</w:t>
            </w:r>
          </w:p>
        </w:tc>
        <w:tc>
          <w:tcPr>
            <w:tcW w:w="878" w:type="dxa"/>
            <w:tcBorders>
              <w:top w:val="nil"/>
              <w:left w:val="nil"/>
              <w:bottom w:val="nil"/>
              <w:right w:val="nil"/>
            </w:tcBorders>
            <w:shd w:val="clear" w:color="auto" w:fill="auto"/>
            <w:noWrap/>
            <w:tcMar>
              <w:left w:w="0" w:type="dxa"/>
            </w:tcMar>
            <w:vAlign w:val="bottom"/>
            <w:hideMark/>
          </w:tcPr>
          <w:p w14:paraId="336A374B" w14:textId="77777777" w:rsidR="00C81AEA" w:rsidRPr="00C81AEA" w:rsidRDefault="00C81AEA" w:rsidP="00C81AEA">
            <w:pPr>
              <w:spacing w:after="0"/>
              <w:jc w:val="right"/>
              <w:rPr>
                <w:rFonts w:ascii="Arial" w:hAnsi="Arial" w:cs="Arial"/>
                <w:color w:val="auto"/>
                <w:sz w:val="16"/>
                <w:szCs w:val="16"/>
              </w:rPr>
            </w:pPr>
            <w:r w:rsidRPr="00C81AEA">
              <w:rPr>
                <w:rFonts w:ascii="Arial" w:hAnsi="Arial" w:cs="Arial"/>
                <w:color w:val="auto"/>
                <w:sz w:val="16"/>
                <w:szCs w:val="16"/>
              </w:rPr>
              <w:t>226,787</w:t>
            </w:r>
          </w:p>
        </w:tc>
      </w:tr>
      <w:tr w:rsidR="00C81AEA" w:rsidRPr="00C81AEA" w14:paraId="3472C485" w14:textId="77777777" w:rsidTr="00C6624C">
        <w:trPr>
          <w:trHeight w:val="225"/>
        </w:trPr>
        <w:tc>
          <w:tcPr>
            <w:tcW w:w="2962" w:type="dxa"/>
            <w:tcBorders>
              <w:top w:val="nil"/>
              <w:left w:val="nil"/>
              <w:bottom w:val="nil"/>
              <w:right w:val="nil"/>
            </w:tcBorders>
            <w:shd w:val="clear" w:color="auto" w:fill="auto"/>
            <w:noWrap/>
            <w:vAlign w:val="bottom"/>
            <w:hideMark/>
          </w:tcPr>
          <w:p w14:paraId="58A22302" w14:textId="77777777" w:rsidR="00C81AEA" w:rsidRPr="00C81AEA" w:rsidRDefault="00C81AEA" w:rsidP="00C81AEA">
            <w:pPr>
              <w:spacing w:after="0"/>
              <w:ind w:leftChars="75" w:left="143"/>
              <w:rPr>
                <w:rFonts w:ascii="Arial" w:hAnsi="Arial" w:cs="Arial"/>
                <w:sz w:val="16"/>
                <w:szCs w:val="16"/>
              </w:rPr>
            </w:pPr>
            <w:r w:rsidRPr="00C81AEA">
              <w:rPr>
                <w:rFonts w:ascii="Arial" w:hAnsi="Arial" w:cs="Arial"/>
                <w:sz w:val="16"/>
                <w:szCs w:val="16"/>
              </w:rPr>
              <w:t>Reserves</w:t>
            </w:r>
          </w:p>
        </w:tc>
        <w:tc>
          <w:tcPr>
            <w:tcW w:w="886" w:type="dxa"/>
            <w:tcBorders>
              <w:top w:val="nil"/>
              <w:left w:val="nil"/>
              <w:bottom w:val="nil"/>
              <w:right w:val="nil"/>
            </w:tcBorders>
            <w:shd w:val="clear" w:color="auto" w:fill="auto"/>
            <w:noWrap/>
            <w:tcMar>
              <w:left w:w="0" w:type="dxa"/>
            </w:tcMar>
            <w:vAlign w:val="bottom"/>
            <w:hideMark/>
          </w:tcPr>
          <w:p w14:paraId="5F25E236" w14:textId="77777777" w:rsidR="00C81AEA" w:rsidRPr="00C81AEA" w:rsidRDefault="00C81AEA" w:rsidP="00C81AEA">
            <w:pPr>
              <w:spacing w:after="0"/>
              <w:jc w:val="right"/>
              <w:rPr>
                <w:rFonts w:ascii="Arial" w:hAnsi="Arial" w:cs="Arial"/>
                <w:color w:val="auto"/>
                <w:sz w:val="16"/>
                <w:szCs w:val="16"/>
              </w:rPr>
            </w:pPr>
            <w:r w:rsidRPr="00C81AEA">
              <w:rPr>
                <w:rFonts w:ascii="Arial" w:hAnsi="Arial" w:cs="Arial"/>
                <w:color w:val="auto"/>
                <w:sz w:val="16"/>
                <w:szCs w:val="16"/>
              </w:rPr>
              <w:t>19,267</w:t>
            </w:r>
          </w:p>
        </w:tc>
        <w:tc>
          <w:tcPr>
            <w:tcW w:w="878" w:type="dxa"/>
            <w:tcBorders>
              <w:top w:val="nil"/>
              <w:left w:val="nil"/>
              <w:bottom w:val="nil"/>
              <w:right w:val="nil"/>
            </w:tcBorders>
            <w:shd w:val="clear" w:color="000000" w:fill="D9D9D9"/>
            <w:noWrap/>
            <w:tcMar>
              <w:left w:w="0" w:type="dxa"/>
            </w:tcMar>
            <w:vAlign w:val="bottom"/>
            <w:hideMark/>
          </w:tcPr>
          <w:p w14:paraId="4B640D54" w14:textId="77777777" w:rsidR="00C81AEA" w:rsidRPr="00C81AEA" w:rsidRDefault="00C81AEA" w:rsidP="00C81AEA">
            <w:pPr>
              <w:spacing w:after="0"/>
              <w:jc w:val="right"/>
              <w:rPr>
                <w:rFonts w:ascii="Arial" w:hAnsi="Arial" w:cs="Arial"/>
                <w:color w:val="auto"/>
                <w:sz w:val="16"/>
                <w:szCs w:val="16"/>
              </w:rPr>
            </w:pPr>
            <w:r w:rsidRPr="00C81AEA">
              <w:rPr>
                <w:rFonts w:ascii="Arial" w:hAnsi="Arial" w:cs="Arial"/>
                <w:color w:val="auto"/>
                <w:sz w:val="16"/>
                <w:szCs w:val="16"/>
              </w:rPr>
              <w:t>19,267</w:t>
            </w:r>
          </w:p>
        </w:tc>
        <w:tc>
          <w:tcPr>
            <w:tcW w:w="878" w:type="dxa"/>
            <w:tcBorders>
              <w:top w:val="nil"/>
              <w:left w:val="nil"/>
              <w:bottom w:val="nil"/>
              <w:right w:val="nil"/>
            </w:tcBorders>
            <w:shd w:val="clear" w:color="auto" w:fill="auto"/>
            <w:noWrap/>
            <w:tcMar>
              <w:left w:w="0" w:type="dxa"/>
            </w:tcMar>
            <w:vAlign w:val="bottom"/>
            <w:hideMark/>
          </w:tcPr>
          <w:p w14:paraId="586035F1" w14:textId="77777777" w:rsidR="00C81AEA" w:rsidRPr="00C81AEA" w:rsidRDefault="00C81AEA" w:rsidP="00C81AEA">
            <w:pPr>
              <w:spacing w:after="0"/>
              <w:jc w:val="right"/>
              <w:rPr>
                <w:rFonts w:ascii="Arial" w:hAnsi="Arial" w:cs="Arial"/>
                <w:color w:val="auto"/>
                <w:sz w:val="16"/>
                <w:szCs w:val="16"/>
              </w:rPr>
            </w:pPr>
            <w:r w:rsidRPr="00C81AEA">
              <w:rPr>
                <w:rFonts w:ascii="Arial" w:hAnsi="Arial" w:cs="Arial"/>
                <w:color w:val="auto"/>
                <w:sz w:val="16"/>
                <w:szCs w:val="16"/>
              </w:rPr>
              <w:t>19,267</w:t>
            </w:r>
          </w:p>
        </w:tc>
        <w:tc>
          <w:tcPr>
            <w:tcW w:w="878" w:type="dxa"/>
            <w:tcBorders>
              <w:top w:val="nil"/>
              <w:left w:val="nil"/>
              <w:bottom w:val="nil"/>
              <w:right w:val="nil"/>
            </w:tcBorders>
            <w:shd w:val="clear" w:color="auto" w:fill="auto"/>
            <w:noWrap/>
            <w:tcMar>
              <w:left w:w="0" w:type="dxa"/>
            </w:tcMar>
            <w:vAlign w:val="bottom"/>
            <w:hideMark/>
          </w:tcPr>
          <w:p w14:paraId="7E024400" w14:textId="77777777" w:rsidR="00C81AEA" w:rsidRPr="00C81AEA" w:rsidRDefault="00C81AEA" w:rsidP="00C81AEA">
            <w:pPr>
              <w:spacing w:after="0"/>
              <w:jc w:val="right"/>
              <w:rPr>
                <w:rFonts w:ascii="Arial" w:hAnsi="Arial" w:cs="Arial"/>
                <w:color w:val="auto"/>
                <w:sz w:val="16"/>
                <w:szCs w:val="16"/>
              </w:rPr>
            </w:pPr>
            <w:r w:rsidRPr="00C81AEA">
              <w:rPr>
                <w:rFonts w:ascii="Arial" w:hAnsi="Arial" w:cs="Arial"/>
                <w:color w:val="auto"/>
                <w:sz w:val="16"/>
                <w:szCs w:val="16"/>
              </w:rPr>
              <w:t>19,267</w:t>
            </w:r>
          </w:p>
        </w:tc>
        <w:tc>
          <w:tcPr>
            <w:tcW w:w="878" w:type="dxa"/>
            <w:tcBorders>
              <w:top w:val="nil"/>
              <w:left w:val="nil"/>
              <w:bottom w:val="nil"/>
              <w:right w:val="nil"/>
            </w:tcBorders>
            <w:shd w:val="clear" w:color="auto" w:fill="auto"/>
            <w:noWrap/>
            <w:tcMar>
              <w:left w:w="0" w:type="dxa"/>
            </w:tcMar>
            <w:vAlign w:val="bottom"/>
            <w:hideMark/>
          </w:tcPr>
          <w:p w14:paraId="37F7B1F5" w14:textId="77777777" w:rsidR="00C81AEA" w:rsidRPr="00C81AEA" w:rsidRDefault="00C81AEA" w:rsidP="00C81AEA">
            <w:pPr>
              <w:spacing w:after="0"/>
              <w:jc w:val="right"/>
              <w:rPr>
                <w:rFonts w:ascii="Arial" w:hAnsi="Arial" w:cs="Arial"/>
                <w:color w:val="auto"/>
                <w:sz w:val="16"/>
                <w:szCs w:val="16"/>
              </w:rPr>
            </w:pPr>
            <w:r w:rsidRPr="00C81AEA">
              <w:rPr>
                <w:rFonts w:ascii="Arial" w:hAnsi="Arial" w:cs="Arial"/>
                <w:color w:val="auto"/>
                <w:sz w:val="16"/>
                <w:szCs w:val="16"/>
              </w:rPr>
              <w:t>19,267</w:t>
            </w:r>
          </w:p>
        </w:tc>
      </w:tr>
      <w:tr w:rsidR="00C81AEA" w:rsidRPr="00C81AEA" w14:paraId="09B85886" w14:textId="77777777" w:rsidTr="00C6624C">
        <w:trPr>
          <w:trHeight w:val="450"/>
        </w:trPr>
        <w:tc>
          <w:tcPr>
            <w:tcW w:w="2962" w:type="dxa"/>
            <w:tcBorders>
              <w:top w:val="nil"/>
              <w:left w:val="nil"/>
              <w:bottom w:val="nil"/>
              <w:right w:val="nil"/>
            </w:tcBorders>
            <w:shd w:val="clear" w:color="auto" w:fill="auto"/>
            <w:vAlign w:val="bottom"/>
            <w:hideMark/>
          </w:tcPr>
          <w:p w14:paraId="31E9E4DB" w14:textId="77777777" w:rsidR="00C81AEA" w:rsidRPr="00C81AEA" w:rsidRDefault="00C81AEA" w:rsidP="00C81AEA">
            <w:pPr>
              <w:spacing w:after="0"/>
              <w:ind w:leftChars="75" w:left="143"/>
              <w:rPr>
                <w:rFonts w:ascii="Arial" w:hAnsi="Arial" w:cs="Arial"/>
                <w:sz w:val="16"/>
                <w:szCs w:val="16"/>
              </w:rPr>
            </w:pPr>
            <w:r w:rsidRPr="00C81AEA">
              <w:rPr>
                <w:rFonts w:ascii="Arial" w:hAnsi="Arial" w:cs="Arial"/>
                <w:sz w:val="16"/>
                <w:szCs w:val="16"/>
              </w:rPr>
              <w:t>Retained surpluses or (accumulated deficits)</w:t>
            </w:r>
          </w:p>
        </w:tc>
        <w:tc>
          <w:tcPr>
            <w:tcW w:w="886" w:type="dxa"/>
            <w:tcBorders>
              <w:top w:val="nil"/>
              <w:left w:val="nil"/>
              <w:bottom w:val="nil"/>
              <w:right w:val="nil"/>
            </w:tcBorders>
            <w:shd w:val="clear" w:color="auto" w:fill="auto"/>
            <w:noWrap/>
            <w:tcMar>
              <w:left w:w="0" w:type="dxa"/>
            </w:tcMar>
            <w:vAlign w:val="bottom"/>
            <w:hideMark/>
          </w:tcPr>
          <w:p w14:paraId="74FD646C" w14:textId="77777777" w:rsidR="00C81AEA" w:rsidRPr="00C81AEA" w:rsidRDefault="00C81AEA" w:rsidP="00C81AEA">
            <w:pPr>
              <w:spacing w:after="0"/>
              <w:jc w:val="right"/>
              <w:rPr>
                <w:rFonts w:ascii="Arial" w:hAnsi="Arial" w:cs="Arial"/>
                <w:color w:val="auto"/>
                <w:sz w:val="16"/>
                <w:szCs w:val="16"/>
              </w:rPr>
            </w:pPr>
            <w:r w:rsidRPr="00C81AEA">
              <w:rPr>
                <w:rFonts w:ascii="Arial" w:hAnsi="Arial" w:cs="Arial"/>
                <w:color w:val="auto"/>
                <w:sz w:val="16"/>
                <w:szCs w:val="16"/>
              </w:rPr>
              <w:t>(113,670)</w:t>
            </w:r>
          </w:p>
        </w:tc>
        <w:tc>
          <w:tcPr>
            <w:tcW w:w="878" w:type="dxa"/>
            <w:tcBorders>
              <w:top w:val="nil"/>
              <w:left w:val="nil"/>
              <w:bottom w:val="nil"/>
              <w:right w:val="nil"/>
            </w:tcBorders>
            <w:shd w:val="clear" w:color="000000" w:fill="D9D9D9"/>
            <w:noWrap/>
            <w:tcMar>
              <w:left w:w="0" w:type="dxa"/>
            </w:tcMar>
            <w:vAlign w:val="bottom"/>
            <w:hideMark/>
          </w:tcPr>
          <w:p w14:paraId="38026C49" w14:textId="77777777" w:rsidR="00C81AEA" w:rsidRPr="00C81AEA" w:rsidRDefault="00C81AEA" w:rsidP="00C81AEA">
            <w:pPr>
              <w:spacing w:after="0"/>
              <w:jc w:val="right"/>
              <w:rPr>
                <w:rFonts w:ascii="Arial" w:hAnsi="Arial" w:cs="Arial"/>
                <w:color w:val="auto"/>
                <w:sz w:val="16"/>
                <w:szCs w:val="16"/>
              </w:rPr>
            </w:pPr>
            <w:r w:rsidRPr="00C81AEA">
              <w:rPr>
                <w:rFonts w:ascii="Arial" w:hAnsi="Arial" w:cs="Arial"/>
                <w:color w:val="auto"/>
                <w:sz w:val="16"/>
                <w:szCs w:val="16"/>
              </w:rPr>
              <w:t>(149,548)</w:t>
            </w:r>
          </w:p>
        </w:tc>
        <w:tc>
          <w:tcPr>
            <w:tcW w:w="878" w:type="dxa"/>
            <w:tcBorders>
              <w:top w:val="nil"/>
              <w:left w:val="nil"/>
              <w:bottom w:val="nil"/>
              <w:right w:val="nil"/>
            </w:tcBorders>
            <w:shd w:val="clear" w:color="auto" w:fill="auto"/>
            <w:noWrap/>
            <w:tcMar>
              <w:left w:w="0" w:type="dxa"/>
            </w:tcMar>
            <w:vAlign w:val="bottom"/>
            <w:hideMark/>
          </w:tcPr>
          <w:p w14:paraId="5000F978" w14:textId="77777777" w:rsidR="00C81AEA" w:rsidRPr="00C81AEA" w:rsidRDefault="00C81AEA" w:rsidP="00C81AEA">
            <w:pPr>
              <w:spacing w:after="0"/>
              <w:jc w:val="right"/>
              <w:rPr>
                <w:rFonts w:ascii="Arial" w:hAnsi="Arial" w:cs="Arial"/>
                <w:color w:val="auto"/>
                <w:sz w:val="16"/>
                <w:szCs w:val="16"/>
              </w:rPr>
            </w:pPr>
            <w:r w:rsidRPr="00C81AEA">
              <w:rPr>
                <w:rFonts w:ascii="Arial" w:hAnsi="Arial" w:cs="Arial"/>
                <w:color w:val="auto"/>
                <w:sz w:val="16"/>
                <w:szCs w:val="16"/>
              </w:rPr>
              <w:t>(149,548)</w:t>
            </w:r>
          </w:p>
        </w:tc>
        <w:tc>
          <w:tcPr>
            <w:tcW w:w="878" w:type="dxa"/>
            <w:tcBorders>
              <w:top w:val="nil"/>
              <w:left w:val="nil"/>
              <w:bottom w:val="nil"/>
              <w:right w:val="nil"/>
            </w:tcBorders>
            <w:shd w:val="clear" w:color="auto" w:fill="auto"/>
            <w:noWrap/>
            <w:tcMar>
              <w:left w:w="0" w:type="dxa"/>
            </w:tcMar>
            <w:vAlign w:val="bottom"/>
            <w:hideMark/>
          </w:tcPr>
          <w:p w14:paraId="506F5F56" w14:textId="77777777" w:rsidR="00C81AEA" w:rsidRPr="00C81AEA" w:rsidRDefault="00C81AEA" w:rsidP="00C81AEA">
            <w:pPr>
              <w:spacing w:after="0"/>
              <w:jc w:val="right"/>
              <w:rPr>
                <w:rFonts w:ascii="Arial" w:hAnsi="Arial" w:cs="Arial"/>
                <w:color w:val="auto"/>
                <w:sz w:val="16"/>
                <w:szCs w:val="16"/>
              </w:rPr>
            </w:pPr>
            <w:r w:rsidRPr="00C81AEA">
              <w:rPr>
                <w:rFonts w:ascii="Arial" w:hAnsi="Arial" w:cs="Arial"/>
                <w:color w:val="auto"/>
                <w:sz w:val="16"/>
                <w:szCs w:val="16"/>
              </w:rPr>
              <w:t>(149,548)</w:t>
            </w:r>
          </w:p>
        </w:tc>
        <w:tc>
          <w:tcPr>
            <w:tcW w:w="878" w:type="dxa"/>
            <w:tcBorders>
              <w:top w:val="nil"/>
              <w:left w:val="nil"/>
              <w:bottom w:val="nil"/>
              <w:right w:val="nil"/>
            </w:tcBorders>
            <w:shd w:val="clear" w:color="auto" w:fill="auto"/>
            <w:noWrap/>
            <w:tcMar>
              <w:left w:w="0" w:type="dxa"/>
            </w:tcMar>
            <w:vAlign w:val="bottom"/>
            <w:hideMark/>
          </w:tcPr>
          <w:p w14:paraId="5BA951EA" w14:textId="77777777" w:rsidR="00C81AEA" w:rsidRPr="00C81AEA" w:rsidRDefault="00C81AEA" w:rsidP="00C81AEA">
            <w:pPr>
              <w:spacing w:after="0"/>
              <w:jc w:val="right"/>
              <w:rPr>
                <w:rFonts w:ascii="Arial" w:hAnsi="Arial" w:cs="Arial"/>
                <w:color w:val="auto"/>
                <w:sz w:val="16"/>
                <w:szCs w:val="16"/>
              </w:rPr>
            </w:pPr>
            <w:r w:rsidRPr="00C81AEA">
              <w:rPr>
                <w:rFonts w:ascii="Arial" w:hAnsi="Arial" w:cs="Arial"/>
                <w:color w:val="auto"/>
                <w:sz w:val="16"/>
                <w:szCs w:val="16"/>
              </w:rPr>
              <w:t>(149,548)</w:t>
            </w:r>
          </w:p>
        </w:tc>
      </w:tr>
      <w:tr w:rsidR="00C81AEA" w:rsidRPr="00C81AEA" w14:paraId="53749472" w14:textId="77777777" w:rsidTr="00C6624C">
        <w:trPr>
          <w:trHeight w:val="225"/>
        </w:trPr>
        <w:tc>
          <w:tcPr>
            <w:tcW w:w="2962" w:type="dxa"/>
            <w:tcBorders>
              <w:top w:val="nil"/>
              <w:left w:val="nil"/>
              <w:bottom w:val="single" w:sz="4" w:space="0" w:color="auto"/>
              <w:right w:val="nil"/>
            </w:tcBorders>
            <w:shd w:val="clear" w:color="auto" w:fill="auto"/>
            <w:noWrap/>
            <w:vAlign w:val="bottom"/>
            <w:hideMark/>
          </w:tcPr>
          <w:p w14:paraId="0028D058" w14:textId="77777777" w:rsidR="00C81AEA" w:rsidRPr="00C81AEA" w:rsidRDefault="00C81AEA" w:rsidP="00C81AEA">
            <w:pPr>
              <w:spacing w:after="0"/>
              <w:ind w:firstLineChars="100" w:firstLine="160"/>
              <w:rPr>
                <w:rFonts w:ascii="Arial" w:hAnsi="Arial" w:cs="Arial"/>
                <w:b/>
                <w:bCs/>
                <w:sz w:val="16"/>
                <w:szCs w:val="16"/>
              </w:rPr>
            </w:pPr>
            <w:r w:rsidRPr="00C81AEA">
              <w:rPr>
                <w:rFonts w:ascii="Arial" w:hAnsi="Arial" w:cs="Arial"/>
                <w:b/>
                <w:bCs/>
                <w:sz w:val="16"/>
                <w:szCs w:val="16"/>
              </w:rPr>
              <w:t>Total equity</w:t>
            </w:r>
          </w:p>
        </w:tc>
        <w:tc>
          <w:tcPr>
            <w:tcW w:w="886" w:type="dxa"/>
            <w:tcBorders>
              <w:top w:val="single" w:sz="4" w:space="0" w:color="auto"/>
              <w:left w:val="nil"/>
              <w:bottom w:val="single" w:sz="4" w:space="0" w:color="auto"/>
              <w:right w:val="nil"/>
            </w:tcBorders>
            <w:shd w:val="clear" w:color="auto" w:fill="auto"/>
            <w:noWrap/>
            <w:tcMar>
              <w:left w:w="0" w:type="dxa"/>
            </w:tcMar>
            <w:vAlign w:val="bottom"/>
            <w:hideMark/>
          </w:tcPr>
          <w:p w14:paraId="38CD7445" w14:textId="77777777" w:rsidR="00C81AEA" w:rsidRPr="00C81AEA" w:rsidRDefault="00C81AEA" w:rsidP="00C81AEA">
            <w:pPr>
              <w:spacing w:after="0"/>
              <w:jc w:val="right"/>
              <w:rPr>
                <w:rFonts w:ascii="Arial" w:hAnsi="Arial" w:cs="Arial"/>
                <w:b/>
                <w:bCs/>
                <w:sz w:val="16"/>
                <w:szCs w:val="16"/>
              </w:rPr>
            </w:pPr>
            <w:r w:rsidRPr="00C81AEA">
              <w:rPr>
                <w:rFonts w:ascii="Arial" w:hAnsi="Arial" w:cs="Arial"/>
                <w:b/>
                <w:bCs/>
                <w:sz w:val="16"/>
                <w:szCs w:val="16"/>
              </w:rPr>
              <w:t>113,978</w:t>
            </w:r>
          </w:p>
        </w:tc>
        <w:tc>
          <w:tcPr>
            <w:tcW w:w="878" w:type="dxa"/>
            <w:tcBorders>
              <w:top w:val="single" w:sz="4" w:space="0" w:color="auto"/>
              <w:left w:val="nil"/>
              <w:bottom w:val="single" w:sz="4" w:space="0" w:color="auto"/>
              <w:right w:val="nil"/>
            </w:tcBorders>
            <w:shd w:val="clear" w:color="000000" w:fill="D9D9D9"/>
            <w:noWrap/>
            <w:tcMar>
              <w:left w:w="0" w:type="dxa"/>
            </w:tcMar>
            <w:vAlign w:val="bottom"/>
            <w:hideMark/>
          </w:tcPr>
          <w:p w14:paraId="3CF24CAA" w14:textId="77777777" w:rsidR="00C81AEA" w:rsidRPr="00C81AEA" w:rsidRDefault="00C81AEA" w:rsidP="00C81AEA">
            <w:pPr>
              <w:spacing w:after="0"/>
              <w:jc w:val="right"/>
              <w:rPr>
                <w:rFonts w:ascii="Arial" w:hAnsi="Arial" w:cs="Arial"/>
                <w:b/>
                <w:bCs/>
                <w:sz w:val="16"/>
                <w:szCs w:val="16"/>
              </w:rPr>
            </w:pPr>
            <w:r w:rsidRPr="00C81AEA">
              <w:rPr>
                <w:rFonts w:ascii="Arial" w:hAnsi="Arial" w:cs="Arial"/>
                <w:b/>
                <w:bCs/>
                <w:sz w:val="16"/>
                <w:szCs w:val="16"/>
              </w:rPr>
              <w:t>96,506</w:t>
            </w:r>
          </w:p>
        </w:tc>
        <w:tc>
          <w:tcPr>
            <w:tcW w:w="878" w:type="dxa"/>
            <w:tcBorders>
              <w:top w:val="single" w:sz="4" w:space="0" w:color="auto"/>
              <w:left w:val="nil"/>
              <w:bottom w:val="single" w:sz="4" w:space="0" w:color="auto"/>
              <w:right w:val="nil"/>
            </w:tcBorders>
            <w:shd w:val="clear" w:color="auto" w:fill="auto"/>
            <w:noWrap/>
            <w:tcMar>
              <w:left w:w="0" w:type="dxa"/>
            </w:tcMar>
            <w:vAlign w:val="bottom"/>
            <w:hideMark/>
          </w:tcPr>
          <w:p w14:paraId="3673F691" w14:textId="77777777" w:rsidR="00C81AEA" w:rsidRPr="00C81AEA" w:rsidRDefault="00C81AEA" w:rsidP="00C81AEA">
            <w:pPr>
              <w:spacing w:after="0"/>
              <w:jc w:val="right"/>
              <w:rPr>
                <w:rFonts w:ascii="Arial" w:hAnsi="Arial" w:cs="Arial"/>
                <w:b/>
                <w:bCs/>
                <w:sz w:val="16"/>
                <w:szCs w:val="16"/>
              </w:rPr>
            </w:pPr>
            <w:r w:rsidRPr="00C81AEA">
              <w:rPr>
                <w:rFonts w:ascii="Arial" w:hAnsi="Arial" w:cs="Arial"/>
                <w:b/>
                <w:bCs/>
                <w:sz w:val="16"/>
                <w:szCs w:val="16"/>
              </w:rPr>
              <w:t>96,506</w:t>
            </w:r>
          </w:p>
        </w:tc>
        <w:tc>
          <w:tcPr>
            <w:tcW w:w="878" w:type="dxa"/>
            <w:tcBorders>
              <w:top w:val="single" w:sz="4" w:space="0" w:color="auto"/>
              <w:left w:val="nil"/>
              <w:bottom w:val="single" w:sz="4" w:space="0" w:color="auto"/>
              <w:right w:val="nil"/>
            </w:tcBorders>
            <w:shd w:val="clear" w:color="auto" w:fill="auto"/>
            <w:noWrap/>
            <w:tcMar>
              <w:left w:w="0" w:type="dxa"/>
            </w:tcMar>
            <w:vAlign w:val="bottom"/>
            <w:hideMark/>
          </w:tcPr>
          <w:p w14:paraId="19C6E63B" w14:textId="77777777" w:rsidR="00C81AEA" w:rsidRPr="00C81AEA" w:rsidRDefault="00C81AEA" w:rsidP="00C81AEA">
            <w:pPr>
              <w:spacing w:after="0"/>
              <w:jc w:val="right"/>
              <w:rPr>
                <w:rFonts w:ascii="Arial" w:hAnsi="Arial" w:cs="Arial"/>
                <w:b/>
                <w:bCs/>
                <w:sz w:val="16"/>
                <w:szCs w:val="16"/>
              </w:rPr>
            </w:pPr>
            <w:r w:rsidRPr="00C81AEA">
              <w:rPr>
                <w:rFonts w:ascii="Arial" w:hAnsi="Arial" w:cs="Arial"/>
                <w:b/>
                <w:bCs/>
                <w:sz w:val="16"/>
                <w:szCs w:val="16"/>
              </w:rPr>
              <w:t>96,506</w:t>
            </w:r>
          </w:p>
        </w:tc>
        <w:tc>
          <w:tcPr>
            <w:tcW w:w="878" w:type="dxa"/>
            <w:tcBorders>
              <w:top w:val="single" w:sz="4" w:space="0" w:color="auto"/>
              <w:left w:val="nil"/>
              <w:bottom w:val="single" w:sz="4" w:space="0" w:color="auto"/>
              <w:right w:val="nil"/>
            </w:tcBorders>
            <w:shd w:val="clear" w:color="auto" w:fill="auto"/>
            <w:noWrap/>
            <w:tcMar>
              <w:left w:w="0" w:type="dxa"/>
            </w:tcMar>
            <w:vAlign w:val="bottom"/>
            <w:hideMark/>
          </w:tcPr>
          <w:p w14:paraId="7E7B18D5" w14:textId="77777777" w:rsidR="00C81AEA" w:rsidRPr="00C81AEA" w:rsidRDefault="00C81AEA" w:rsidP="00C81AEA">
            <w:pPr>
              <w:spacing w:after="0"/>
              <w:jc w:val="right"/>
              <w:rPr>
                <w:rFonts w:ascii="Arial" w:hAnsi="Arial" w:cs="Arial"/>
                <w:b/>
                <w:bCs/>
                <w:sz w:val="16"/>
                <w:szCs w:val="16"/>
              </w:rPr>
            </w:pPr>
            <w:r w:rsidRPr="00C81AEA">
              <w:rPr>
                <w:rFonts w:ascii="Arial" w:hAnsi="Arial" w:cs="Arial"/>
                <w:b/>
                <w:bCs/>
                <w:sz w:val="16"/>
                <w:szCs w:val="16"/>
              </w:rPr>
              <w:t>96,506</w:t>
            </w:r>
          </w:p>
        </w:tc>
      </w:tr>
    </w:tbl>
    <w:p w14:paraId="701703DE" w14:textId="1F2ADBB2" w:rsidR="00C81AEA" w:rsidRDefault="00C81AEA" w:rsidP="00C81AEA">
      <w:pPr>
        <w:pStyle w:val="FootnoteText"/>
        <w:spacing w:before="120"/>
      </w:pPr>
      <w:r w:rsidRPr="00C81AEA">
        <w:rPr>
          <w:vertAlign w:val="superscript"/>
        </w:rPr>
        <w:t>(a)</w:t>
      </w:r>
      <w:r>
        <w:tab/>
      </w:r>
      <w:r w:rsidRPr="00C81AEA">
        <w:t xml:space="preserve">Equity is the residual interest in assets after the deduction of liabilities. </w:t>
      </w:r>
      <w:r>
        <w:br w:type="page"/>
      </w:r>
    </w:p>
    <w:p w14:paraId="465A78F9" w14:textId="5FB2B1BA" w:rsidR="0022421E" w:rsidRDefault="00651990" w:rsidP="0022421E">
      <w:pPr>
        <w:keepNext/>
        <w:spacing w:before="120"/>
        <w:rPr>
          <w:rFonts w:ascii="Arial" w:hAnsi="Arial" w:cs="Arial"/>
          <w:b/>
          <w:sz w:val="20"/>
          <w:szCs w:val="18"/>
          <w:lang w:eastAsia="en-US"/>
        </w:rPr>
      </w:pPr>
      <w:r w:rsidRPr="00651990">
        <w:rPr>
          <w:rFonts w:ascii="Arial" w:hAnsi="Arial"/>
          <w:b/>
          <w:color w:val="auto"/>
          <w:sz w:val="20"/>
        </w:rPr>
        <w:lastRenderedPageBreak/>
        <w:t>Table 3.3: Departmental statement of changes in equity — summary of movement (Budget year 2022–23)</w:t>
      </w:r>
    </w:p>
    <w:tbl>
      <w:tblPr>
        <w:tblW w:w="7340" w:type="dxa"/>
        <w:tblLayout w:type="fixed"/>
        <w:tblLook w:val="04A0" w:firstRow="1" w:lastRow="0" w:firstColumn="1" w:lastColumn="0" w:noHBand="0" w:noVBand="1"/>
      </w:tblPr>
      <w:tblGrid>
        <w:gridCol w:w="2472"/>
        <w:gridCol w:w="885"/>
        <w:gridCol w:w="990"/>
        <w:gridCol w:w="882"/>
        <w:gridCol w:w="1160"/>
        <w:gridCol w:w="951"/>
      </w:tblGrid>
      <w:tr w:rsidR="0022421E" w:rsidRPr="0022421E" w14:paraId="6CF2642E" w14:textId="77777777" w:rsidTr="000E60A0">
        <w:trPr>
          <w:trHeight w:val="765"/>
        </w:trPr>
        <w:tc>
          <w:tcPr>
            <w:tcW w:w="2472" w:type="dxa"/>
            <w:tcBorders>
              <w:top w:val="single" w:sz="4" w:space="0" w:color="auto"/>
              <w:left w:val="nil"/>
              <w:bottom w:val="nil"/>
              <w:right w:val="nil"/>
            </w:tcBorders>
            <w:shd w:val="clear" w:color="auto" w:fill="auto"/>
            <w:tcMar>
              <w:left w:w="0" w:type="dxa"/>
            </w:tcMar>
            <w:hideMark/>
          </w:tcPr>
          <w:p w14:paraId="17DFCF1D" w14:textId="77777777" w:rsidR="0022421E" w:rsidRPr="0022421E" w:rsidRDefault="0022421E" w:rsidP="00840AA6">
            <w:pPr>
              <w:spacing w:before="40" w:after="0"/>
              <w:jc w:val="right"/>
              <w:rPr>
                <w:rFonts w:ascii="Times New Roman" w:hAnsi="Times New Roman"/>
                <w:color w:val="auto"/>
                <w:sz w:val="20"/>
                <w:szCs w:val="24"/>
              </w:rPr>
            </w:pPr>
          </w:p>
        </w:tc>
        <w:tc>
          <w:tcPr>
            <w:tcW w:w="885" w:type="dxa"/>
            <w:tcBorders>
              <w:top w:val="single" w:sz="4" w:space="0" w:color="auto"/>
              <w:left w:val="nil"/>
              <w:bottom w:val="single" w:sz="4" w:space="0" w:color="auto"/>
              <w:right w:val="nil"/>
            </w:tcBorders>
            <w:shd w:val="clear" w:color="auto" w:fill="auto"/>
            <w:tcMar>
              <w:left w:w="0" w:type="dxa"/>
            </w:tcMar>
            <w:hideMark/>
          </w:tcPr>
          <w:p w14:paraId="0019392C" w14:textId="77777777" w:rsidR="0022421E" w:rsidRPr="0022421E" w:rsidRDefault="0022421E" w:rsidP="00840AA6">
            <w:pPr>
              <w:spacing w:before="40" w:after="0"/>
              <w:jc w:val="right"/>
              <w:rPr>
                <w:rFonts w:ascii="Arial" w:hAnsi="Arial" w:cs="Arial"/>
                <w:sz w:val="16"/>
                <w:szCs w:val="16"/>
              </w:rPr>
            </w:pPr>
            <w:r w:rsidRPr="0022421E">
              <w:rPr>
                <w:rFonts w:ascii="Arial" w:hAnsi="Arial" w:cs="Arial"/>
                <w:b/>
                <w:bCs/>
                <w:sz w:val="16"/>
                <w:szCs w:val="16"/>
              </w:rPr>
              <w:t xml:space="preserve">Retained earnings </w:t>
            </w:r>
            <w:r w:rsidRPr="0022421E">
              <w:rPr>
                <w:rFonts w:ascii="Arial" w:hAnsi="Arial" w:cs="Arial"/>
                <w:sz w:val="16"/>
                <w:szCs w:val="16"/>
              </w:rPr>
              <w:br/>
            </w:r>
            <w:r w:rsidRPr="0022421E">
              <w:rPr>
                <w:rFonts w:ascii="Arial" w:hAnsi="Arial" w:cs="Arial"/>
                <w:sz w:val="16"/>
                <w:szCs w:val="16"/>
              </w:rPr>
              <w:br/>
              <w:t>$'000</w:t>
            </w:r>
          </w:p>
        </w:tc>
        <w:tc>
          <w:tcPr>
            <w:tcW w:w="990" w:type="dxa"/>
            <w:tcBorders>
              <w:top w:val="single" w:sz="4" w:space="0" w:color="auto"/>
              <w:left w:val="nil"/>
              <w:bottom w:val="single" w:sz="4" w:space="0" w:color="auto"/>
              <w:right w:val="nil"/>
            </w:tcBorders>
            <w:shd w:val="clear" w:color="auto" w:fill="auto"/>
            <w:tcMar>
              <w:left w:w="0" w:type="dxa"/>
            </w:tcMar>
            <w:hideMark/>
          </w:tcPr>
          <w:p w14:paraId="62B2F1D9" w14:textId="77777777" w:rsidR="0022421E" w:rsidRPr="0022421E" w:rsidRDefault="0022421E" w:rsidP="00840AA6">
            <w:pPr>
              <w:spacing w:before="40" w:after="0"/>
              <w:jc w:val="right"/>
              <w:rPr>
                <w:rFonts w:ascii="Arial" w:hAnsi="Arial" w:cs="Arial"/>
                <w:sz w:val="16"/>
                <w:szCs w:val="16"/>
              </w:rPr>
            </w:pPr>
            <w:r w:rsidRPr="0022421E">
              <w:rPr>
                <w:rFonts w:ascii="Arial" w:hAnsi="Arial" w:cs="Arial"/>
                <w:b/>
                <w:bCs/>
                <w:sz w:val="16"/>
                <w:szCs w:val="16"/>
              </w:rPr>
              <w:t xml:space="preserve">Asset revaluation reserve </w:t>
            </w:r>
            <w:r w:rsidRPr="0022421E">
              <w:rPr>
                <w:rFonts w:ascii="Arial" w:hAnsi="Arial" w:cs="Arial"/>
                <w:sz w:val="16"/>
                <w:szCs w:val="16"/>
              </w:rPr>
              <w:br/>
              <w:t>$'000</w:t>
            </w:r>
          </w:p>
        </w:tc>
        <w:tc>
          <w:tcPr>
            <w:tcW w:w="882" w:type="dxa"/>
            <w:tcBorders>
              <w:top w:val="single" w:sz="4" w:space="0" w:color="auto"/>
              <w:left w:val="nil"/>
              <w:bottom w:val="single" w:sz="4" w:space="0" w:color="auto"/>
              <w:right w:val="nil"/>
            </w:tcBorders>
            <w:shd w:val="clear" w:color="auto" w:fill="auto"/>
            <w:tcMar>
              <w:left w:w="0" w:type="dxa"/>
            </w:tcMar>
            <w:hideMark/>
          </w:tcPr>
          <w:p w14:paraId="05F4F9C3" w14:textId="77777777" w:rsidR="0022421E" w:rsidRPr="0022421E" w:rsidRDefault="0022421E" w:rsidP="00840AA6">
            <w:pPr>
              <w:spacing w:before="40" w:after="0"/>
              <w:jc w:val="right"/>
              <w:rPr>
                <w:rFonts w:ascii="Arial" w:hAnsi="Arial" w:cs="Arial"/>
                <w:sz w:val="16"/>
                <w:szCs w:val="16"/>
              </w:rPr>
            </w:pPr>
            <w:r w:rsidRPr="0022421E">
              <w:rPr>
                <w:rFonts w:ascii="Arial" w:hAnsi="Arial" w:cs="Arial"/>
                <w:b/>
                <w:bCs/>
                <w:sz w:val="16"/>
                <w:szCs w:val="16"/>
              </w:rPr>
              <w:t>Other reserves</w:t>
            </w:r>
            <w:r w:rsidRPr="0022421E">
              <w:rPr>
                <w:rFonts w:ascii="Arial" w:hAnsi="Arial" w:cs="Arial"/>
                <w:b/>
                <w:bCs/>
                <w:sz w:val="16"/>
                <w:szCs w:val="16"/>
              </w:rPr>
              <w:br/>
            </w:r>
            <w:r w:rsidRPr="0022421E">
              <w:rPr>
                <w:rFonts w:ascii="Arial" w:hAnsi="Arial" w:cs="Arial"/>
                <w:sz w:val="16"/>
                <w:szCs w:val="16"/>
              </w:rPr>
              <w:br/>
              <w:t>$'000</w:t>
            </w:r>
          </w:p>
        </w:tc>
        <w:tc>
          <w:tcPr>
            <w:tcW w:w="1160" w:type="dxa"/>
            <w:tcBorders>
              <w:top w:val="single" w:sz="4" w:space="0" w:color="auto"/>
              <w:left w:val="nil"/>
              <w:bottom w:val="single" w:sz="4" w:space="0" w:color="auto"/>
              <w:right w:val="nil"/>
            </w:tcBorders>
            <w:shd w:val="clear" w:color="auto" w:fill="auto"/>
            <w:tcMar>
              <w:left w:w="0" w:type="dxa"/>
            </w:tcMar>
            <w:hideMark/>
          </w:tcPr>
          <w:p w14:paraId="221E6C7B" w14:textId="77777777" w:rsidR="0022421E" w:rsidRPr="0022421E" w:rsidRDefault="0022421E" w:rsidP="00840AA6">
            <w:pPr>
              <w:spacing w:before="40" w:after="0"/>
              <w:jc w:val="right"/>
              <w:rPr>
                <w:rFonts w:ascii="Arial" w:hAnsi="Arial" w:cs="Arial"/>
                <w:sz w:val="16"/>
                <w:szCs w:val="16"/>
              </w:rPr>
            </w:pPr>
            <w:r w:rsidRPr="0022421E">
              <w:rPr>
                <w:rFonts w:ascii="Arial" w:hAnsi="Arial" w:cs="Arial"/>
                <w:b/>
                <w:bCs/>
                <w:sz w:val="16"/>
                <w:szCs w:val="16"/>
              </w:rPr>
              <w:t>Contributed equity/</w:t>
            </w:r>
            <w:r w:rsidRPr="0022421E">
              <w:rPr>
                <w:rFonts w:ascii="Arial" w:hAnsi="Arial" w:cs="Arial"/>
                <w:b/>
                <w:bCs/>
                <w:sz w:val="16"/>
                <w:szCs w:val="16"/>
              </w:rPr>
              <w:br/>
              <w:t xml:space="preserve">capital </w:t>
            </w:r>
            <w:r w:rsidRPr="0022421E">
              <w:rPr>
                <w:rFonts w:ascii="Arial" w:hAnsi="Arial" w:cs="Arial"/>
                <w:sz w:val="16"/>
                <w:szCs w:val="16"/>
              </w:rPr>
              <w:br/>
              <w:t>$'000</w:t>
            </w:r>
          </w:p>
        </w:tc>
        <w:tc>
          <w:tcPr>
            <w:tcW w:w="951" w:type="dxa"/>
            <w:tcBorders>
              <w:top w:val="single" w:sz="4" w:space="0" w:color="auto"/>
              <w:left w:val="nil"/>
              <w:bottom w:val="single" w:sz="4" w:space="0" w:color="auto"/>
              <w:right w:val="nil"/>
            </w:tcBorders>
            <w:shd w:val="clear" w:color="auto" w:fill="auto"/>
            <w:tcMar>
              <w:left w:w="0" w:type="dxa"/>
            </w:tcMar>
            <w:hideMark/>
          </w:tcPr>
          <w:p w14:paraId="04347ED5" w14:textId="77777777" w:rsidR="0022421E" w:rsidRPr="0022421E" w:rsidRDefault="0022421E" w:rsidP="00840AA6">
            <w:pPr>
              <w:spacing w:before="40" w:after="0"/>
              <w:jc w:val="right"/>
              <w:rPr>
                <w:rFonts w:ascii="Arial" w:hAnsi="Arial" w:cs="Arial"/>
                <w:sz w:val="16"/>
                <w:szCs w:val="16"/>
              </w:rPr>
            </w:pPr>
            <w:r w:rsidRPr="0022421E">
              <w:rPr>
                <w:rFonts w:ascii="Arial" w:hAnsi="Arial" w:cs="Arial"/>
                <w:b/>
                <w:bCs/>
                <w:sz w:val="16"/>
                <w:szCs w:val="16"/>
              </w:rPr>
              <w:t xml:space="preserve">Total </w:t>
            </w:r>
            <w:r w:rsidRPr="0022421E">
              <w:rPr>
                <w:rFonts w:ascii="Arial" w:hAnsi="Arial" w:cs="Arial"/>
                <w:b/>
                <w:bCs/>
                <w:sz w:val="16"/>
                <w:szCs w:val="16"/>
              </w:rPr>
              <w:br/>
              <w:t xml:space="preserve">equity </w:t>
            </w:r>
            <w:r w:rsidRPr="0022421E">
              <w:rPr>
                <w:rFonts w:ascii="Arial" w:hAnsi="Arial" w:cs="Arial"/>
                <w:sz w:val="16"/>
                <w:szCs w:val="16"/>
              </w:rPr>
              <w:br/>
            </w:r>
            <w:r w:rsidRPr="0022421E">
              <w:rPr>
                <w:rFonts w:ascii="Arial" w:hAnsi="Arial" w:cs="Arial"/>
                <w:sz w:val="16"/>
                <w:szCs w:val="16"/>
              </w:rPr>
              <w:br/>
              <w:t>$'000</w:t>
            </w:r>
          </w:p>
        </w:tc>
      </w:tr>
      <w:tr w:rsidR="0022421E" w:rsidRPr="0022421E" w14:paraId="3C4B36F8" w14:textId="77777777" w:rsidTr="000E60A0">
        <w:trPr>
          <w:trHeight w:val="397"/>
        </w:trPr>
        <w:tc>
          <w:tcPr>
            <w:tcW w:w="2472" w:type="dxa"/>
            <w:tcBorders>
              <w:top w:val="nil"/>
              <w:left w:val="nil"/>
              <w:bottom w:val="nil"/>
              <w:right w:val="nil"/>
            </w:tcBorders>
            <w:shd w:val="clear" w:color="auto" w:fill="auto"/>
            <w:vAlign w:val="bottom"/>
            <w:hideMark/>
          </w:tcPr>
          <w:p w14:paraId="29FA1865" w14:textId="77777777" w:rsidR="0022421E" w:rsidRPr="0022421E" w:rsidRDefault="0022421E" w:rsidP="0022421E">
            <w:pPr>
              <w:spacing w:after="0"/>
              <w:rPr>
                <w:rFonts w:ascii="Arial" w:hAnsi="Arial" w:cs="Arial"/>
                <w:b/>
                <w:bCs/>
                <w:sz w:val="16"/>
                <w:szCs w:val="16"/>
              </w:rPr>
            </w:pPr>
            <w:r w:rsidRPr="0022421E">
              <w:rPr>
                <w:rFonts w:ascii="Arial" w:hAnsi="Arial" w:cs="Arial"/>
                <w:b/>
                <w:bCs/>
                <w:sz w:val="16"/>
                <w:szCs w:val="16"/>
              </w:rPr>
              <w:t>Opening balance as at 1 July 2022</w:t>
            </w:r>
          </w:p>
        </w:tc>
        <w:tc>
          <w:tcPr>
            <w:tcW w:w="885" w:type="dxa"/>
            <w:tcBorders>
              <w:top w:val="nil"/>
              <w:left w:val="nil"/>
              <w:bottom w:val="nil"/>
              <w:right w:val="nil"/>
            </w:tcBorders>
            <w:shd w:val="clear" w:color="auto" w:fill="auto"/>
            <w:noWrap/>
            <w:tcMar>
              <w:left w:w="0" w:type="dxa"/>
            </w:tcMar>
            <w:vAlign w:val="bottom"/>
            <w:hideMark/>
          </w:tcPr>
          <w:p w14:paraId="7A86B2E1" w14:textId="77777777" w:rsidR="0022421E" w:rsidRPr="0022421E" w:rsidRDefault="0022421E" w:rsidP="0022421E">
            <w:pPr>
              <w:spacing w:after="0"/>
              <w:rPr>
                <w:rFonts w:ascii="Arial" w:hAnsi="Arial" w:cs="Arial"/>
                <w:b/>
                <w:bCs/>
                <w:sz w:val="16"/>
                <w:szCs w:val="16"/>
              </w:rPr>
            </w:pPr>
          </w:p>
        </w:tc>
        <w:tc>
          <w:tcPr>
            <w:tcW w:w="990" w:type="dxa"/>
            <w:tcBorders>
              <w:top w:val="nil"/>
              <w:left w:val="nil"/>
              <w:bottom w:val="nil"/>
              <w:right w:val="nil"/>
            </w:tcBorders>
            <w:shd w:val="clear" w:color="auto" w:fill="auto"/>
            <w:noWrap/>
            <w:tcMar>
              <w:left w:w="0" w:type="dxa"/>
            </w:tcMar>
            <w:vAlign w:val="bottom"/>
            <w:hideMark/>
          </w:tcPr>
          <w:p w14:paraId="1C8959ED" w14:textId="77777777" w:rsidR="0022421E" w:rsidRPr="0022421E" w:rsidRDefault="0022421E" w:rsidP="0022421E">
            <w:pPr>
              <w:spacing w:after="0"/>
              <w:jc w:val="right"/>
              <w:rPr>
                <w:rFonts w:ascii="Times New Roman" w:hAnsi="Times New Roman"/>
                <w:color w:val="auto"/>
                <w:sz w:val="20"/>
              </w:rPr>
            </w:pPr>
          </w:p>
        </w:tc>
        <w:tc>
          <w:tcPr>
            <w:tcW w:w="882" w:type="dxa"/>
            <w:tcBorders>
              <w:top w:val="nil"/>
              <w:left w:val="nil"/>
              <w:bottom w:val="nil"/>
              <w:right w:val="nil"/>
            </w:tcBorders>
            <w:shd w:val="clear" w:color="auto" w:fill="auto"/>
            <w:noWrap/>
            <w:tcMar>
              <w:left w:w="0" w:type="dxa"/>
            </w:tcMar>
            <w:vAlign w:val="bottom"/>
            <w:hideMark/>
          </w:tcPr>
          <w:p w14:paraId="5C4B9A0F" w14:textId="77777777" w:rsidR="0022421E" w:rsidRPr="0022421E" w:rsidRDefault="0022421E" w:rsidP="0022421E">
            <w:pPr>
              <w:spacing w:after="0"/>
              <w:jc w:val="right"/>
              <w:rPr>
                <w:rFonts w:ascii="Times New Roman" w:hAnsi="Times New Roman"/>
                <w:color w:val="auto"/>
                <w:sz w:val="20"/>
              </w:rPr>
            </w:pPr>
          </w:p>
        </w:tc>
        <w:tc>
          <w:tcPr>
            <w:tcW w:w="1160" w:type="dxa"/>
            <w:tcBorders>
              <w:top w:val="nil"/>
              <w:left w:val="nil"/>
              <w:bottom w:val="nil"/>
              <w:right w:val="nil"/>
            </w:tcBorders>
            <w:shd w:val="clear" w:color="auto" w:fill="auto"/>
            <w:noWrap/>
            <w:tcMar>
              <w:left w:w="0" w:type="dxa"/>
            </w:tcMar>
            <w:vAlign w:val="bottom"/>
            <w:hideMark/>
          </w:tcPr>
          <w:p w14:paraId="5B621DCB" w14:textId="77777777" w:rsidR="0022421E" w:rsidRPr="0022421E" w:rsidRDefault="0022421E" w:rsidP="0022421E">
            <w:pPr>
              <w:spacing w:after="0"/>
              <w:jc w:val="right"/>
              <w:rPr>
                <w:rFonts w:ascii="Times New Roman" w:hAnsi="Times New Roman"/>
                <w:color w:val="auto"/>
                <w:sz w:val="20"/>
              </w:rPr>
            </w:pPr>
          </w:p>
        </w:tc>
        <w:tc>
          <w:tcPr>
            <w:tcW w:w="951" w:type="dxa"/>
            <w:tcBorders>
              <w:top w:val="nil"/>
              <w:left w:val="nil"/>
              <w:bottom w:val="nil"/>
              <w:right w:val="nil"/>
            </w:tcBorders>
            <w:shd w:val="clear" w:color="auto" w:fill="auto"/>
            <w:noWrap/>
            <w:tcMar>
              <w:left w:w="0" w:type="dxa"/>
            </w:tcMar>
            <w:vAlign w:val="bottom"/>
            <w:hideMark/>
          </w:tcPr>
          <w:p w14:paraId="5E1DE79C" w14:textId="77777777" w:rsidR="0022421E" w:rsidRPr="0022421E" w:rsidRDefault="0022421E" w:rsidP="0022421E">
            <w:pPr>
              <w:spacing w:after="0"/>
              <w:jc w:val="right"/>
              <w:rPr>
                <w:rFonts w:ascii="Times New Roman" w:hAnsi="Times New Roman"/>
                <w:color w:val="auto"/>
                <w:sz w:val="20"/>
              </w:rPr>
            </w:pPr>
          </w:p>
        </w:tc>
      </w:tr>
      <w:tr w:rsidR="0022421E" w:rsidRPr="0022421E" w14:paraId="0A72113D" w14:textId="77777777" w:rsidTr="000E60A0">
        <w:trPr>
          <w:trHeight w:val="454"/>
        </w:trPr>
        <w:tc>
          <w:tcPr>
            <w:tcW w:w="2472" w:type="dxa"/>
            <w:tcBorders>
              <w:top w:val="nil"/>
              <w:left w:val="nil"/>
              <w:bottom w:val="nil"/>
              <w:right w:val="nil"/>
            </w:tcBorders>
            <w:shd w:val="clear" w:color="auto" w:fill="auto"/>
            <w:vAlign w:val="bottom"/>
            <w:hideMark/>
          </w:tcPr>
          <w:p w14:paraId="2C88A621" w14:textId="77777777" w:rsidR="0022421E" w:rsidRPr="0022421E" w:rsidRDefault="0022421E" w:rsidP="0022421E">
            <w:pPr>
              <w:spacing w:after="0"/>
              <w:ind w:leftChars="75" w:left="143"/>
              <w:rPr>
                <w:rFonts w:ascii="Arial" w:hAnsi="Arial" w:cs="Arial"/>
                <w:sz w:val="16"/>
                <w:szCs w:val="16"/>
              </w:rPr>
            </w:pPr>
            <w:r w:rsidRPr="0022421E">
              <w:rPr>
                <w:rFonts w:ascii="Arial" w:hAnsi="Arial" w:cs="Arial"/>
                <w:sz w:val="16"/>
                <w:szCs w:val="16"/>
              </w:rPr>
              <w:t>Balance carried forward from previous period</w:t>
            </w:r>
          </w:p>
        </w:tc>
        <w:tc>
          <w:tcPr>
            <w:tcW w:w="885" w:type="dxa"/>
            <w:tcBorders>
              <w:top w:val="nil"/>
              <w:left w:val="nil"/>
              <w:bottom w:val="nil"/>
              <w:right w:val="nil"/>
            </w:tcBorders>
            <w:shd w:val="clear" w:color="auto" w:fill="auto"/>
            <w:noWrap/>
            <w:tcMar>
              <w:left w:w="0" w:type="dxa"/>
            </w:tcMar>
            <w:vAlign w:val="bottom"/>
            <w:hideMark/>
          </w:tcPr>
          <w:p w14:paraId="115A1842" w14:textId="77777777" w:rsidR="0022421E" w:rsidRPr="0022421E" w:rsidRDefault="0022421E" w:rsidP="0022421E">
            <w:pPr>
              <w:spacing w:after="0"/>
              <w:jc w:val="right"/>
              <w:rPr>
                <w:rFonts w:ascii="Arial" w:hAnsi="Arial" w:cs="Arial"/>
                <w:sz w:val="16"/>
                <w:szCs w:val="16"/>
              </w:rPr>
            </w:pPr>
            <w:r w:rsidRPr="0022421E">
              <w:rPr>
                <w:rFonts w:ascii="Arial" w:hAnsi="Arial" w:cs="Arial"/>
                <w:sz w:val="16"/>
                <w:szCs w:val="16"/>
              </w:rPr>
              <w:t>(113,670)</w:t>
            </w:r>
          </w:p>
        </w:tc>
        <w:tc>
          <w:tcPr>
            <w:tcW w:w="990" w:type="dxa"/>
            <w:tcBorders>
              <w:top w:val="nil"/>
              <w:left w:val="nil"/>
              <w:bottom w:val="nil"/>
              <w:right w:val="nil"/>
            </w:tcBorders>
            <w:shd w:val="clear" w:color="auto" w:fill="auto"/>
            <w:noWrap/>
            <w:tcMar>
              <w:left w:w="0" w:type="dxa"/>
            </w:tcMar>
            <w:vAlign w:val="bottom"/>
            <w:hideMark/>
          </w:tcPr>
          <w:p w14:paraId="48614E67" w14:textId="77777777" w:rsidR="0022421E" w:rsidRPr="0022421E" w:rsidRDefault="0022421E" w:rsidP="0022421E">
            <w:pPr>
              <w:spacing w:after="0"/>
              <w:jc w:val="right"/>
              <w:rPr>
                <w:rFonts w:ascii="Arial" w:hAnsi="Arial" w:cs="Arial"/>
                <w:sz w:val="16"/>
                <w:szCs w:val="16"/>
              </w:rPr>
            </w:pPr>
            <w:r w:rsidRPr="0022421E">
              <w:rPr>
                <w:rFonts w:ascii="Arial" w:hAnsi="Arial" w:cs="Arial"/>
                <w:sz w:val="16"/>
                <w:szCs w:val="16"/>
              </w:rPr>
              <w:t>1,267</w:t>
            </w:r>
          </w:p>
        </w:tc>
        <w:tc>
          <w:tcPr>
            <w:tcW w:w="882" w:type="dxa"/>
            <w:tcBorders>
              <w:top w:val="nil"/>
              <w:left w:val="nil"/>
              <w:bottom w:val="nil"/>
              <w:right w:val="nil"/>
            </w:tcBorders>
            <w:shd w:val="clear" w:color="auto" w:fill="auto"/>
            <w:noWrap/>
            <w:tcMar>
              <w:left w:w="0" w:type="dxa"/>
            </w:tcMar>
            <w:vAlign w:val="bottom"/>
            <w:hideMark/>
          </w:tcPr>
          <w:p w14:paraId="5809A89F" w14:textId="77777777" w:rsidR="0022421E" w:rsidRPr="0022421E" w:rsidRDefault="0022421E" w:rsidP="0022421E">
            <w:pPr>
              <w:spacing w:after="0"/>
              <w:jc w:val="right"/>
              <w:rPr>
                <w:rFonts w:ascii="Arial" w:hAnsi="Arial" w:cs="Arial"/>
                <w:sz w:val="16"/>
                <w:szCs w:val="16"/>
              </w:rPr>
            </w:pPr>
            <w:r w:rsidRPr="0022421E">
              <w:rPr>
                <w:rFonts w:ascii="Arial" w:hAnsi="Arial" w:cs="Arial"/>
                <w:sz w:val="16"/>
                <w:szCs w:val="16"/>
              </w:rPr>
              <w:t>18,000</w:t>
            </w:r>
          </w:p>
        </w:tc>
        <w:tc>
          <w:tcPr>
            <w:tcW w:w="1160" w:type="dxa"/>
            <w:tcBorders>
              <w:top w:val="nil"/>
              <w:left w:val="nil"/>
              <w:bottom w:val="nil"/>
              <w:right w:val="nil"/>
            </w:tcBorders>
            <w:shd w:val="clear" w:color="auto" w:fill="auto"/>
            <w:noWrap/>
            <w:tcMar>
              <w:left w:w="0" w:type="dxa"/>
            </w:tcMar>
            <w:vAlign w:val="bottom"/>
            <w:hideMark/>
          </w:tcPr>
          <w:p w14:paraId="0596C87D" w14:textId="77777777" w:rsidR="0022421E" w:rsidRPr="0022421E" w:rsidRDefault="0022421E" w:rsidP="0022421E">
            <w:pPr>
              <w:spacing w:after="0"/>
              <w:jc w:val="right"/>
              <w:rPr>
                <w:rFonts w:ascii="Arial" w:hAnsi="Arial" w:cs="Arial"/>
                <w:sz w:val="16"/>
                <w:szCs w:val="16"/>
              </w:rPr>
            </w:pPr>
            <w:r w:rsidRPr="0022421E">
              <w:rPr>
                <w:rFonts w:ascii="Arial" w:hAnsi="Arial" w:cs="Arial"/>
                <w:sz w:val="16"/>
                <w:szCs w:val="16"/>
              </w:rPr>
              <w:t>208,381</w:t>
            </w:r>
          </w:p>
        </w:tc>
        <w:tc>
          <w:tcPr>
            <w:tcW w:w="951" w:type="dxa"/>
            <w:tcBorders>
              <w:top w:val="nil"/>
              <w:left w:val="nil"/>
              <w:bottom w:val="nil"/>
              <w:right w:val="nil"/>
            </w:tcBorders>
            <w:shd w:val="clear" w:color="auto" w:fill="auto"/>
            <w:noWrap/>
            <w:tcMar>
              <w:left w:w="0" w:type="dxa"/>
            </w:tcMar>
            <w:vAlign w:val="bottom"/>
            <w:hideMark/>
          </w:tcPr>
          <w:p w14:paraId="04960608" w14:textId="77777777" w:rsidR="0022421E" w:rsidRPr="0022421E" w:rsidRDefault="0022421E" w:rsidP="0022421E">
            <w:pPr>
              <w:spacing w:after="0"/>
              <w:jc w:val="right"/>
              <w:rPr>
                <w:rFonts w:ascii="Arial" w:hAnsi="Arial" w:cs="Arial"/>
                <w:b/>
                <w:bCs/>
                <w:sz w:val="16"/>
                <w:szCs w:val="16"/>
              </w:rPr>
            </w:pPr>
            <w:r w:rsidRPr="0022421E">
              <w:rPr>
                <w:rFonts w:ascii="Arial" w:hAnsi="Arial" w:cs="Arial"/>
                <w:b/>
                <w:bCs/>
                <w:sz w:val="16"/>
                <w:szCs w:val="16"/>
              </w:rPr>
              <w:t>113,978</w:t>
            </w:r>
          </w:p>
        </w:tc>
      </w:tr>
      <w:tr w:rsidR="0022421E" w:rsidRPr="0022421E" w14:paraId="7C03B8AC" w14:textId="77777777" w:rsidTr="000E60A0">
        <w:trPr>
          <w:trHeight w:val="283"/>
        </w:trPr>
        <w:tc>
          <w:tcPr>
            <w:tcW w:w="2472" w:type="dxa"/>
            <w:tcBorders>
              <w:top w:val="nil"/>
              <w:left w:val="nil"/>
              <w:bottom w:val="nil"/>
              <w:right w:val="nil"/>
            </w:tcBorders>
            <w:shd w:val="clear" w:color="auto" w:fill="auto"/>
            <w:noWrap/>
            <w:vAlign w:val="bottom"/>
            <w:hideMark/>
          </w:tcPr>
          <w:p w14:paraId="550C0AB4" w14:textId="77777777" w:rsidR="0022421E" w:rsidRPr="0022421E" w:rsidRDefault="0022421E" w:rsidP="0022421E">
            <w:pPr>
              <w:spacing w:after="0"/>
              <w:ind w:leftChars="75" w:left="143"/>
              <w:rPr>
                <w:rFonts w:ascii="Arial" w:hAnsi="Arial" w:cs="Arial"/>
                <w:color w:val="auto"/>
                <w:sz w:val="16"/>
                <w:szCs w:val="16"/>
              </w:rPr>
            </w:pPr>
            <w:r w:rsidRPr="0022421E">
              <w:rPr>
                <w:rFonts w:ascii="Arial" w:hAnsi="Arial" w:cs="Arial"/>
                <w:sz w:val="16"/>
                <w:szCs w:val="16"/>
              </w:rPr>
              <w:t>Surplus</w:t>
            </w:r>
            <w:r w:rsidRPr="0022421E">
              <w:rPr>
                <w:rFonts w:ascii="Arial" w:hAnsi="Arial" w:cs="Arial"/>
                <w:color w:val="auto"/>
                <w:sz w:val="16"/>
                <w:szCs w:val="16"/>
              </w:rPr>
              <w:t xml:space="preserve"> (deficit) for the period</w:t>
            </w:r>
          </w:p>
        </w:tc>
        <w:tc>
          <w:tcPr>
            <w:tcW w:w="885" w:type="dxa"/>
            <w:tcBorders>
              <w:top w:val="nil"/>
              <w:left w:val="nil"/>
              <w:bottom w:val="nil"/>
              <w:right w:val="nil"/>
            </w:tcBorders>
            <w:shd w:val="clear" w:color="auto" w:fill="auto"/>
            <w:noWrap/>
            <w:tcMar>
              <w:left w:w="0" w:type="dxa"/>
            </w:tcMar>
            <w:vAlign w:val="bottom"/>
            <w:hideMark/>
          </w:tcPr>
          <w:p w14:paraId="4A038869" w14:textId="77777777" w:rsidR="0022421E" w:rsidRPr="0022421E" w:rsidRDefault="0022421E" w:rsidP="0022421E">
            <w:pPr>
              <w:spacing w:after="0"/>
              <w:jc w:val="right"/>
              <w:rPr>
                <w:rFonts w:ascii="Arial" w:hAnsi="Arial" w:cs="Arial"/>
                <w:sz w:val="16"/>
                <w:szCs w:val="16"/>
              </w:rPr>
            </w:pPr>
            <w:r w:rsidRPr="0022421E">
              <w:rPr>
                <w:rFonts w:ascii="Arial" w:hAnsi="Arial" w:cs="Arial"/>
                <w:sz w:val="16"/>
                <w:szCs w:val="16"/>
              </w:rPr>
              <w:t>(35,878)</w:t>
            </w:r>
          </w:p>
        </w:tc>
        <w:tc>
          <w:tcPr>
            <w:tcW w:w="990" w:type="dxa"/>
            <w:tcBorders>
              <w:top w:val="nil"/>
              <w:left w:val="nil"/>
              <w:bottom w:val="nil"/>
              <w:right w:val="nil"/>
            </w:tcBorders>
            <w:shd w:val="clear" w:color="auto" w:fill="auto"/>
            <w:noWrap/>
            <w:tcMar>
              <w:left w:w="0" w:type="dxa"/>
            </w:tcMar>
            <w:vAlign w:val="bottom"/>
            <w:hideMark/>
          </w:tcPr>
          <w:p w14:paraId="04950901" w14:textId="77777777" w:rsidR="0022421E" w:rsidRPr="0022421E" w:rsidRDefault="0022421E" w:rsidP="0022421E">
            <w:pPr>
              <w:spacing w:after="0"/>
              <w:jc w:val="right"/>
              <w:rPr>
                <w:rFonts w:ascii="Arial" w:hAnsi="Arial" w:cs="Arial"/>
                <w:sz w:val="16"/>
                <w:szCs w:val="16"/>
              </w:rPr>
            </w:pPr>
            <w:r w:rsidRPr="0022421E">
              <w:rPr>
                <w:rFonts w:ascii="Arial" w:hAnsi="Arial" w:cs="Arial"/>
                <w:sz w:val="16"/>
                <w:szCs w:val="16"/>
              </w:rPr>
              <w:t>-</w:t>
            </w:r>
          </w:p>
        </w:tc>
        <w:tc>
          <w:tcPr>
            <w:tcW w:w="882" w:type="dxa"/>
            <w:tcBorders>
              <w:top w:val="nil"/>
              <w:left w:val="nil"/>
              <w:bottom w:val="nil"/>
              <w:right w:val="nil"/>
            </w:tcBorders>
            <w:shd w:val="clear" w:color="auto" w:fill="auto"/>
            <w:noWrap/>
            <w:tcMar>
              <w:left w:w="0" w:type="dxa"/>
            </w:tcMar>
            <w:vAlign w:val="bottom"/>
            <w:hideMark/>
          </w:tcPr>
          <w:p w14:paraId="64870B35" w14:textId="77777777" w:rsidR="0022421E" w:rsidRPr="0022421E" w:rsidRDefault="0022421E" w:rsidP="0022421E">
            <w:pPr>
              <w:spacing w:after="0"/>
              <w:jc w:val="right"/>
              <w:rPr>
                <w:rFonts w:ascii="Arial" w:hAnsi="Arial" w:cs="Arial"/>
                <w:sz w:val="16"/>
                <w:szCs w:val="16"/>
              </w:rPr>
            </w:pPr>
            <w:r w:rsidRPr="0022421E">
              <w:rPr>
                <w:rFonts w:ascii="Arial" w:hAnsi="Arial" w:cs="Arial"/>
                <w:sz w:val="16"/>
                <w:szCs w:val="16"/>
              </w:rPr>
              <w:t>-</w:t>
            </w:r>
          </w:p>
        </w:tc>
        <w:tc>
          <w:tcPr>
            <w:tcW w:w="1160" w:type="dxa"/>
            <w:tcBorders>
              <w:top w:val="nil"/>
              <w:left w:val="nil"/>
              <w:bottom w:val="nil"/>
              <w:right w:val="nil"/>
            </w:tcBorders>
            <w:shd w:val="clear" w:color="auto" w:fill="auto"/>
            <w:noWrap/>
            <w:tcMar>
              <w:left w:w="0" w:type="dxa"/>
            </w:tcMar>
            <w:vAlign w:val="bottom"/>
            <w:hideMark/>
          </w:tcPr>
          <w:p w14:paraId="2BC5D1AA" w14:textId="77777777" w:rsidR="0022421E" w:rsidRPr="0022421E" w:rsidRDefault="0022421E" w:rsidP="0022421E">
            <w:pPr>
              <w:spacing w:after="0"/>
              <w:jc w:val="right"/>
              <w:rPr>
                <w:rFonts w:ascii="Arial" w:hAnsi="Arial" w:cs="Arial"/>
                <w:sz w:val="16"/>
                <w:szCs w:val="16"/>
              </w:rPr>
            </w:pPr>
            <w:r w:rsidRPr="0022421E">
              <w:rPr>
                <w:rFonts w:ascii="Arial" w:hAnsi="Arial" w:cs="Arial"/>
                <w:sz w:val="16"/>
                <w:szCs w:val="16"/>
              </w:rPr>
              <w:t>-</w:t>
            </w:r>
          </w:p>
        </w:tc>
        <w:tc>
          <w:tcPr>
            <w:tcW w:w="951" w:type="dxa"/>
            <w:tcBorders>
              <w:top w:val="nil"/>
              <w:left w:val="nil"/>
              <w:bottom w:val="nil"/>
              <w:right w:val="nil"/>
            </w:tcBorders>
            <w:shd w:val="clear" w:color="auto" w:fill="auto"/>
            <w:noWrap/>
            <w:tcMar>
              <w:left w:w="0" w:type="dxa"/>
            </w:tcMar>
            <w:vAlign w:val="bottom"/>
            <w:hideMark/>
          </w:tcPr>
          <w:p w14:paraId="5F091F54" w14:textId="77777777" w:rsidR="0022421E" w:rsidRPr="0022421E" w:rsidRDefault="0022421E" w:rsidP="0022421E">
            <w:pPr>
              <w:spacing w:after="0"/>
              <w:jc w:val="right"/>
              <w:rPr>
                <w:rFonts w:ascii="Arial" w:hAnsi="Arial" w:cs="Arial"/>
                <w:b/>
                <w:bCs/>
                <w:sz w:val="16"/>
                <w:szCs w:val="16"/>
              </w:rPr>
            </w:pPr>
            <w:r w:rsidRPr="0022421E">
              <w:rPr>
                <w:rFonts w:ascii="Arial" w:hAnsi="Arial" w:cs="Arial"/>
                <w:b/>
                <w:bCs/>
                <w:sz w:val="16"/>
                <w:szCs w:val="16"/>
              </w:rPr>
              <w:t>(35,878)</w:t>
            </w:r>
          </w:p>
        </w:tc>
      </w:tr>
      <w:tr w:rsidR="0022421E" w:rsidRPr="0022421E" w14:paraId="04D63165" w14:textId="77777777" w:rsidTr="000E60A0">
        <w:trPr>
          <w:trHeight w:val="283"/>
        </w:trPr>
        <w:tc>
          <w:tcPr>
            <w:tcW w:w="2472" w:type="dxa"/>
            <w:tcBorders>
              <w:top w:val="nil"/>
              <w:left w:val="nil"/>
              <w:bottom w:val="nil"/>
              <w:right w:val="nil"/>
            </w:tcBorders>
            <w:shd w:val="clear" w:color="auto" w:fill="auto"/>
            <w:noWrap/>
            <w:vAlign w:val="bottom"/>
            <w:hideMark/>
          </w:tcPr>
          <w:p w14:paraId="35D0928D" w14:textId="77777777" w:rsidR="0022421E" w:rsidRPr="0022421E" w:rsidRDefault="0022421E" w:rsidP="0022421E">
            <w:pPr>
              <w:spacing w:after="0"/>
              <w:ind w:leftChars="75" w:left="143"/>
              <w:rPr>
                <w:rFonts w:ascii="Arial" w:hAnsi="Arial" w:cs="Arial"/>
                <w:sz w:val="16"/>
                <w:szCs w:val="16"/>
              </w:rPr>
            </w:pPr>
            <w:r w:rsidRPr="0022421E">
              <w:rPr>
                <w:rFonts w:ascii="Arial" w:hAnsi="Arial" w:cs="Arial"/>
                <w:sz w:val="16"/>
                <w:szCs w:val="16"/>
              </w:rPr>
              <w:t>Appropriation (equity injection)</w:t>
            </w:r>
          </w:p>
        </w:tc>
        <w:tc>
          <w:tcPr>
            <w:tcW w:w="885" w:type="dxa"/>
            <w:tcBorders>
              <w:top w:val="nil"/>
              <w:left w:val="nil"/>
              <w:bottom w:val="single" w:sz="4" w:space="0" w:color="auto"/>
              <w:right w:val="nil"/>
            </w:tcBorders>
            <w:shd w:val="clear" w:color="auto" w:fill="auto"/>
            <w:noWrap/>
            <w:tcMar>
              <w:left w:w="0" w:type="dxa"/>
            </w:tcMar>
            <w:vAlign w:val="bottom"/>
            <w:hideMark/>
          </w:tcPr>
          <w:p w14:paraId="1D92ECA3" w14:textId="77777777" w:rsidR="0022421E" w:rsidRPr="0022421E" w:rsidRDefault="0022421E" w:rsidP="0022421E">
            <w:pPr>
              <w:spacing w:after="0"/>
              <w:jc w:val="right"/>
              <w:rPr>
                <w:rFonts w:ascii="Arial" w:hAnsi="Arial" w:cs="Arial"/>
                <w:sz w:val="16"/>
                <w:szCs w:val="16"/>
              </w:rPr>
            </w:pPr>
            <w:r w:rsidRPr="0022421E">
              <w:rPr>
                <w:rFonts w:ascii="Arial" w:hAnsi="Arial" w:cs="Arial"/>
                <w:sz w:val="16"/>
                <w:szCs w:val="16"/>
              </w:rPr>
              <w:t>-</w:t>
            </w:r>
          </w:p>
        </w:tc>
        <w:tc>
          <w:tcPr>
            <w:tcW w:w="990" w:type="dxa"/>
            <w:tcBorders>
              <w:top w:val="nil"/>
              <w:left w:val="nil"/>
              <w:bottom w:val="single" w:sz="4" w:space="0" w:color="auto"/>
              <w:right w:val="nil"/>
            </w:tcBorders>
            <w:shd w:val="clear" w:color="auto" w:fill="auto"/>
            <w:noWrap/>
            <w:tcMar>
              <w:left w:w="0" w:type="dxa"/>
            </w:tcMar>
            <w:vAlign w:val="bottom"/>
            <w:hideMark/>
          </w:tcPr>
          <w:p w14:paraId="288CF2A5" w14:textId="77777777" w:rsidR="0022421E" w:rsidRPr="0022421E" w:rsidRDefault="0022421E" w:rsidP="0022421E">
            <w:pPr>
              <w:spacing w:after="0"/>
              <w:jc w:val="right"/>
              <w:rPr>
                <w:rFonts w:ascii="Arial" w:hAnsi="Arial" w:cs="Arial"/>
                <w:sz w:val="16"/>
                <w:szCs w:val="16"/>
              </w:rPr>
            </w:pPr>
            <w:r w:rsidRPr="0022421E">
              <w:rPr>
                <w:rFonts w:ascii="Arial" w:hAnsi="Arial" w:cs="Arial"/>
                <w:sz w:val="16"/>
                <w:szCs w:val="16"/>
              </w:rPr>
              <w:t>-</w:t>
            </w:r>
          </w:p>
        </w:tc>
        <w:tc>
          <w:tcPr>
            <w:tcW w:w="882" w:type="dxa"/>
            <w:tcBorders>
              <w:top w:val="nil"/>
              <w:left w:val="nil"/>
              <w:bottom w:val="single" w:sz="4" w:space="0" w:color="auto"/>
              <w:right w:val="nil"/>
            </w:tcBorders>
            <w:shd w:val="clear" w:color="auto" w:fill="auto"/>
            <w:noWrap/>
            <w:tcMar>
              <w:left w:w="0" w:type="dxa"/>
            </w:tcMar>
            <w:vAlign w:val="bottom"/>
            <w:hideMark/>
          </w:tcPr>
          <w:p w14:paraId="42457E15" w14:textId="77777777" w:rsidR="0022421E" w:rsidRPr="0022421E" w:rsidRDefault="0022421E" w:rsidP="0022421E">
            <w:pPr>
              <w:spacing w:after="0"/>
              <w:jc w:val="right"/>
              <w:rPr>
                <w:rFonts w:ascii="Arial" w:hAnsi="Arial" w:cs="Arial"/>
                <w:sz w:val="16"/>
                <w:szCs w:val="16"/>
              </w:rPr>
            </w:pPr>
            <w:r w:rsidRPr="0022421E">
              <w:rPr>
                <w:rFonts w:ascii="Arial" w:hAnsi="Arial" w:cs="Arial"/>
                <w:sz w:val="16"/>
                <w:szCs w:val="16"/>
              </w:rPr>
              <w:t>-</w:t>
            </w:r>
          </w:p>
        </w:tc>
        <w:tc>
          <w:tcPr>
            <w:tcW w:w="1160" w:type="dxa"/>
            <w:tcBorders>
              <w:top w:val="nil"/>
              <w:left w:val="nil"/>
              <w:bottom w:val="single" w:sz="4" w:space="0" w:color="auto"/>
              <w:right w:val="nil"/>
            </w:tcBorders>
            <w:shd w:val="clear" w:color="auto" w:fill="auto"/>
            <w:noWrap/>
            <w:tcMar>
              <w:left w:w="0" w:type="dxa"/>
            </w:tcMar>
            <w:vAlign w:val="bottom"/>
            <w:hideMark/>
          </w:tcPr>
          <w:p w14:paraId="7F02B2CF" w14:textId="77777777" w:rsidR="0022421E" w:rsidRPr="0022421E" w:rsidRDefault="0022421E" w:rsidP="0022421E">
            <w:pPr>
              <w:spacing w:after="0"/>
              <w:jc w:val="right"/>
              <w:rPr>
                <w:rFonts w:ascii="Arial" w:hAnsi="Arial" w:cs="Arial"/>
                <w:sz w:val="16"/>
                <w:szCs w:val="16"/>
              </w:rPr>
            </w:pPr>
            <w:r w:rsidRPr="0022421E">
              <w:rPr>
                <w:rFonts w:ascii="Arial" w:hAnsi="Arial" w:cs="Arial"/>
                <w:sz w:val="16"/>
                <w:szCs w:val="16"/>
              </w:rPr>
              <w:t>18,406</w:t>
            </w:r>
          </w:p>
        </w:tc>
        <w:tc>
          <w:tcPr>
            <w:tcW w:w="951" w:type="dxa"/>
            <w:tcBorders>
              <w:top w:val="nil"/>
              <w:left w:val="nil"/>
              <w:bottom w:val="single" w:sz="4" w:space="0" w:color="auto"/>
              <w:right w:val="nil"/>
            </w:tcBorders>
            <w:shd w:val="clear" w:color="auto" w:fill="auto"/>
            <w:noWrap/>
            <w:tcMar>
              <w:left w:w="0" w:type="dxa"/>
            </w:tcMar>
            <w:vAlign w:val="bottom"/>
            <w:hideMark/>
          </w:tcPr>
          <w:p w14:paraId="25929E78" w14:textId="77777777" w:rsidR="0022421E" w:rsidRPr="0022421E" w:rsidRDefault="0022421E" w:rsidP="0022421E">
            <w:pPr>
              <w:spacing w:after="0"/>
              <w:jc w:val="right"/>
              <w:rPr>
                <w:rFonts w:ascii="Arial" w:hAnsi="Arial" w:cs="Arial"/>
                <w:b/>
                <w:bCs/>
                <w:sz w:val="16"/>
                <w:szCs w:val="16"/>
              </w:rPr>
            </w:pPr>
            <w:r w:rsidRPr="0022421E">
              <w:rPr>
                <w:rFonts w:ascii="Arial" w:hAnsi="Arial" w:cs="Arial"/>
                <w:b/>
                <w:bCs/>
                <w:sz w:val="16"/>
                <w:szCs w:val="16"/>
              </w:rPr>
              <w:t>18,406</w:t>
            </w:r>
          </w:p>
        </w:tc>
      </w:tr>
      <w:tr w:rsidR="0022421E" w:rsidRPr="0022421E" w14:paraId="1025CAD2" w14:textId="77777777" w:rsidTr="000E60A0">
        <w:trPr>
          <w:trHeight w:val="454"/>
        </w:trPr>
        <w:tc>
          <w:tcPr>
            <w:tcW w:w="2472" w:type="dxa"/>
            <w:tcBorders>
              <w:top w:val="nil"/>
              <w:left w:val="nil"/>
              <w:bottom w:val="single" w:sz="4" w:space="0" w:color="auto"/>
              <w:right w:val="nil"/>
            </w:tcBorders>
            <w:shd w:val="clear" w:color="auto" w:fill="auto"/>
            <w:vAlign w:val="bottom"/>
            <w:hideMark/>
          </w:tcPr>
          <w:p w14:paraId="2831B454" w14:textId="77777777" w:rsidR="0022421E" w:rsidRPr="0022421E" w:rsidRDefault="0022421E" w:rsidP="0022421E">
            <w:pPr>
              <w:spacing w:after="0"/>
              <w:rPr>
                <w:rFonts w:ascii="Arial" w:hAnsi="Arial" w:cs="Arial"/>
                <w:b/>
                <w:bCs/>
                <w:sz w:val="16"/>
                <w:szCs w:val="16"/>
              </w:rPr>
            </w:pPr>
            <w:r w:rsidRPr="0022421E">
              <w:rPr>
                <w:rFonts w:ascii="Arial" w:hAnsi="Arial" w:cs="Arial"/>
                <w:b/>
                <w:bCs/>
                <w:sz w:val="16"/>
                <w:szCs w:val="16"/>
              </w:rPr>
              <w:t>Estimated closing balance as at 30 June 2023</w:t>
            </w:r>
          </w:p>
        </w:tc>
        <w:tc>
          <w:tcPr>
            <w:tcW w:w="885" w:type="dxa"/>
            <w:tcBorders>
              <w:top w:val="nil"/>
              <w:left w:val="nil"/>
              <w:bottom w:val="single" w:sz="4" w:space="0" w:color="auto"/>
              <w:right w:val="nil"/>
            </w:tcBorders>
            <w:shd w:val="clear" w:color="auto" w:fill="auto"/>
            <w:noWrap/>
            <w:tcMar>
              <w:left w:w="0" w:type="dxa"/>
            </w:tcMar>
            <w:vAlign w:val="bottom"/>
            <w:hideMark/>
          </w:tcPr>
          <w:p w14:paraId="15DFBCAE" w14:textId="77777777" w:rsidR="0022421E" w:rsidRPr="0022421E" w:rsidRDefault="0022421E" w:rsidP="0022421E">
            <w:pPr>
              <w:spacing w:after="0"/>
              <w:jc w:val="right"/>
              <w:rPr>
                <w:rFonts w:ascii="Arial" w:hAnsi="Arial" w:cs="Arial"/>
                <w:b/>
                <w:bCs/>
                <w:sz w:val="16"/>
                <w:szCs w:val="16"/>
              </w:rPr>
            </w:pPr>
            <w:r w:rsidRPr="0022421E">
              <w:rPr>
                <w:rFonts w:ascii="Arial" w:hAnsi="Arial" w:cs="Arial"/>
                <w:b/>
                <w:bCs/>
                <w:sz w:val="16"/>
                <w:szCs w:val="16"/>
              </w:rPr>
              <w:t>(149,548)</w:t>
            </w:r>
          </w:p>
        </w:tc>
        <w:tc>
          <w:tcPr>
            <w:tcW w:w="990" w:type="dxa"/>
            <w:tcBorders>
              <w:top w:val="nil"/>
              <w:left w:val="nil"/>
              <w:bottom w:val="single" w:sz="4" w:space="0" w:color="auto"/>
              <w:right w:val="nil"/>
            </w:tcBorders>
            <w:shd w:val="clear" w:color="auto" w:fill="auto"/>
            <w:noWrap/>
            <w:tcMar>
              <w:left w:w="0" w:type="dxa"/>
            </w:tcMar>
            <w:vAlign w:val="bottom"/>
            <w:hideMark/>
          </w:tcPr>
          <w:p w14:paraId="43562199" w14:textId="77777777" w:rsidR="0022421E" w:rsidRPr="0022421E" w:rsidRDefault="0022421E" w:rsidP="0022421E">
            <w:pPr>
              <w:spacing w:after="0"/>
              <w:jc w:val="right"/>
              <w:rPr>
                <w:rFonts w:ascii="Arial" w:hAnsi="Arial" w:cs="Arial"/>
                <w:b/>
                <w:bCs/>
                <w:sz w:val="16"/>
                <w:szCs w:val="16"/>
              </w:rPr>
            </w:pPr>
            <w:r w:rsidRPr="0022421E">
              <w:rPr>
                <w:rFonts w:ascii="Arial" w:hAnsi="Arial" w:cs="Arial"/>
                <w:b/>
                <w:bCs/>
                <w:sz w:val="16"/>
                <w:szCs w:val="16"/>
              </w:rPr>
              <w:t>1,267</w:t>
            </w:r>
          </w:p>
        </w:tc>
        <w:tc>
          <w:tcPr>
            <w:tcW w:w="882" w:type="dxa"/>
            <w:tcBorders>
              <w:top w:val="nil"/>
              <w:left w:val="nil"/>
              <w:bottom w:val="single" w:sz="4" w:space="0" w:color="auto"/>
              <w:right w:val="nil"/>
            </w:tcBorders>
            <w:shd w:val="clear" w:color="auto" w:fill="auto"/>
            <w:noWrap/>
            <w:tcMar>
              <w:left w:w="0" w:type="dxa"/>
            </w:tcMar>
            <w:vAlign w:val="bottom"/>
            <w:hideMark/>
          </w:tcPr>
          <w:p w14:paraId="5A53C1DF" w14:textId="77777777" w:rsidR="0022421E" w:rsidRPr="0022421E" w:rsidRDefault="0022421E" w:rsidP="0022421E">
            <w:pPr>
              <w:spacing w:after="0"/>
              <w:jc w:val="right"/>
              <w:rPr>
                <w:rFonts w:ascii="Arial" w:hAnsi="Arial" w:cs="Arial"/>
                <w:b/>
                <w:bCs/>
                <w:sz w:val="16"/>
                <w:szCs w:val="16"/>
              </w:rPr>
            </w:pPr>
            <w:r w:rsidRPr="0022421E">
              <w:rPr>
                <w:rFonts w:ascii="Arial" w:hAnsi="Arial" w:cs="Arial"/>
                <w:b/>
                <w:bCs/>
                <w:sz w:val="16"/>
                <w:szCs w:val="16"/>
              </w:rPr>
              <w:t>18,000</w:t>
            </w:r>
          </w:p>
        </w:tc>
        <w:tc>
          <w:tcPr>
            <w:tcW w:w="1160" w:type="dxa"/>
            <w:tcBorders>
              <w:top w:val="nil"/>
              <w:left w:val="nil"/>
              <w:bottom w:val="single" w:sz="4" w:space="0" w:color="auto"/>
              <w:right w:val="nil"/>
            </w:tcBorders>
            <w:shd w:val="clear" w:color="auto" w:fill="auto"/>
            <w:noWrap/>
            <w:tcMar>
              <w:left w:w="0" w:type="dxa"/>
            </w:tcMar>
            <w:vAlign w:val="bottom"/>
            <w:hideMark/>
          </w:tcPr>
          <w:p w14:paraId="5A41794D" w14:textId="77777777" w:rsidR="0022421E" w:rsidRPr="0022421E" w:rsidRDefault="0022421E" w:rsidP="0022421E">
            <w:pPr>
              <w:spacing w:after="0"/>
              <w:jc w:val="right"/>
              <w:rPr>
                <w:rFonts w:ascii="Arial" w:hAnsi="Arial" w:cs="Arial"/>
                <w:b/>
                <w:bCs/>
                <w:sz w:val="16"/>
                <w:szCs w:val="16"/>
              </w:rPr>
            </w:pPr>
            <w:r w:rsidRPr="0022421E">
              <w:rPr>
                <w:rFonts w:ascii="Arial" w:hAnsi="Arial" w:cs="Arial"/>
                <w:b/>
                <w:bCs/>
                <w:sz w:val="16"/>
                <w:szCs w:val="16"/>
              </w:rPr>
              <w:t>226,787</w:t>
            </w:r>
          </w:p>
        </w:tc>
        <w:tc>
          <w:tcPr>
            <w:tcW w:w="951" w:type="dxa"/>
            <w:tcBorders>
              <w:top w:val="nil"/>
              <w:left w:val="nil"/>
              <w:bottom w:val="single" w:sz="4" w:space="0" w:color="auto"/>
              <w:right w:val="nil"/>
            </w:tcBorders>
            <w:shd w:val="clear" w:color="auto" w:fill="auto"/>
            <w:noWrap/>
            <w:tcMar>
              <w:left w:w="0" w:type="dxa"/>
            </w:tcMar>
            <w:vAlign w:val="bottom"/>
            <w:hideMark/>
          </w:tcPr>
          <w:p w14:paraId="1CD77164" w14:textId="77777777" w:rsidR="0022421E" w:rsidRPr="0022421E" w:rsidRDefault="0022421E" w:rsidP="0022421E">
            <w:pPr>
              <w:spacing w:after="0"/>
              <w:jc w:val="right"/>
              <w:rPr>
                <w:rFonts w:ascii="Arial" w:hAnsi="Arial" w:cs="Arial"/>
                <w:b/>
                <w:bCs/>
                <w:sz w:val="16"/>
                <w:szCs w:val="16"/>
              </w:rPr>
            </w:pPr>
            <w:r w:rsidRPr="0022421E">
              <w:rPr>
                <w:rFonts w:ascii="Arial" w:hAnsi="Arial" w:cs="Arial"/>
                <w:b/>
                <w:bCs/>
                <w:sz w:val="16"/>
                <w:szCs w:val="16"/>
              </w:rPr>
              <w:t>96,506</w:t>
            </w:r>
          </w:p>
        </w:tc>
      </w:tr>
    </w:tbl>
    <w:p w14:paraId="09E11A38" w14:textId="4C6B2AEC" w:rsidR="0022421E" w:rsidRDefault="0022421E" w:rsidP="0022421E">
      <w:pPr>
        <w:rPr>
          <w:rFonts w:ascii="Arial" w:hAnsi="Arial" w:cs="Arial"/>
          <w:b/>
          <w:sz w:val="20"/>
          <w:szCs w:val="18"/>
          <w:lang w:eastAsia="en-US"/>
        </w:rPr>
      </w:pPr>
      <w:r>
        <w:rPr>
          <w:rFonts w:ascii="Arial" w:hAnsi="Arial" w:cs="Arial"/>
          <w:b/>
          <w:sz w:val="20"/>
          <w:szCs w:val="18"/>
          <w:lang w:eastAsia="en-US"/>
        </w:rPr>
        <w:br w:type="page"/>
      </w:r>
    </w:p>
    <w:p w14:paraId="3A10C927" w14:textId="2B1CC5E8" w:rsidR="00651990" w:rsidRPr="00651990" w:rsidRDefault="00651990" w:rsidP="00651990">
      <w:pPr>
        <w:rPr>
          <w:rFonts w:ascii="Arial" w:hAnsi="Arial" w:cs="Arial"/>
          <w:b/>
          <w:sz w:val="20"/>
          <w:szCs w:val="18"/>
          <w:lang w:eastAsia="en-US"/>
        </w:rPr>
      </w:pPr>
      <w:r w:rsidRPr="00651990">
        <w:rPr>
          <w:rFonts w:ascii="Arial" w:hAnsi="Arial" w:cs="Arial"/>
          <w:b/>
          <w:sz w:val="20"/>
          <w:szCs w:val="18"/>
          <w:lang w:eastAsia="en-US"/>
        </w:rPr>
        <w:lastRenderedPageBreak/>
        <w:t>Table 3.4: Budgeted departmental statement of cash flows (for the period ended 30 June)</w:t>
      </w:r>
    </w:p>
    <w:tbl>
      <w:tblPr>
        <w:tblW w:w="7360" w:type="dxa"/>
        <w:tblLook w:val="04A0" w:firstRow="1" w:lastRow="0" w:firstColumn="1" w:lastColumn="0" w:noHBand="0" w:noVBand="1"/>
      </w:tblPr>
      <w:tblGrid>
        <w:gridCol w:w="3051"/>
        <w:gridCol w:w="880"/>
        <w:gridCol w:w="849"/>
        <w:gridCol w:w="860"/>
        <w:gridCol w:w="860"/>
        <w:gridCol w:w="860"/>
      </w:tblGrid>
      <w:tr w:rsidR="00061E7B" w:rsidRPr="00061E7B" w14:paraId="00906039" w14:textId="77777777" w:rsidTr="008437C8">
        <w:trPr>
          <w:trHeight w:val="765"/>
        </w:trPr>
        <w:tc>
          <w:tcPr>
            <w:tcW w:w="3051" w:type="dxa"/>
            <w:tcBorders>
              <w:top w:val="single" w:sz="4" w:space="0" w:color="auto"/>
              <w:left w:val="nil"/>
              <w:bottom w:val="nil"/>
              <w:right w:val="nil"/>
            </w:tcBorders>
            <w:shd w:val="clear" w:color="auto" w:fill="auto"/>
            <w:tcMar>
              <w:left w:w="0" w:type="dxa"/>
            </w:tcMar>
            <w:hideMark/>
          </w:tcPr>
          <w:p w14:paraId="3B91418A" w14:textId="77777777" w:rsidR="00061E7B" w:rsidRPr="00061E7B" w:rsidRDefault="00061E7B" w:rsidP="00840AA6">
            <w:pPr>
              <w:spacing w:before="40" w:after="0"/>
              <w:jc w:val="right"/>
              <w:rPr>
                <w:rFonts w:ascii="Times New Roman" w:hAnsi="Times New Roman"/>
                <w:color w:val="auto"/>
                <w:sz w:val="20"/>
                <w:szCs w:val="24"/>
              </w:rPr>
            </w:pPr>
          </w:p>
        </w:tc>
        <w:tc>
          <w:tcPr>
            <w:tcW w:w="880" w:type="dxa"/>
            <w:tcBorders>
              <w:top w:val="single" w:sz="4" w:space="0" w:color="auto"/>
              <w:left w:val="nil"/>
              <w:bottom w:val="single" w:sz="4" w:space="0" w:color="auto"/>
              <w:right w:val="nil"/>
            </w:tcBorders>
            <w:shd w:val="clear" w:color="auto" w:fill="auto"/>
            <w:tcMar>
              <w:left w:w="0" w:type="dxa"/>
            </w:tcMar>
            <w:hideMark/>
          </w:tcPr>
          <w:p w14:paraId="4E8C1B9B" w14:textId="77777777" w:rsidR="00061E7B" w:rsidRPr="00061E7B" w:rsidRDefault="00061E7B" w:rsidP="00840AA6">
            <w:pPr>
              <w:spacing w:before="40" w:after="0"/>
              <w:jc w:val="right"/>
              <w:rPr>
                <w:rFonts w:ascii="Arial" w:hAnsi="Arial" w:cs="Arial"/>
                <w:b/>
                <w:bCs/>
                <w:color w:val="auto"/>
                <w:sz w:val="16"/>
                <w:szCs w:val="16"/>
              </w:rPr>
            </w:pPr>
            <w:r w:rsidRPr="00061E7B">
              <w:rPr>
                <w:rFonts w:ascii="Arial" w:hAnsi="Arial" w:cs="Arial"/>
                <w:b/>
                <w:bCs/>
                <w:color w:val="auto"/>
                <w:sz w:val="16"/>
                <w:szCs w:val="16"/>
              </w:rPr>
              <w:t>2021–22 Estimated actual</w:t>
            </w:r>
            <w:r w:rsidRPr="00061E7B">
              <w:rPr>
                <w:rFonts w:ascii="Arial" w:hAnsi="Arial" w:cs="Arial"/>
                <w:b/>
                <w:bCs/>
                <w:color w:val="auto"/>
                <w:sz w:val="16"/>
                <w:szCs w:val="16"/>
              </w:rPr>
              <w:br/>
            </w:r>
            <w:r w:rsidRPr="00061E7B">
              <w:rPr>
                <w:rFonts w:ascii="Arial" w:hAnsi="Arial" w:cs="Arial"/>
                <w:color w:val="auto"/>
                <w:sz w:val="16"/>
                <w:szCs w:val="16"/>
              </w:rPr>
              <w:t>$'000</w:t>
            </w:r>
          </w:p>
        </w:tc>
        <w:tc>
          <w:tcPr>
            <w:tcW w:w="849" w:type="dxa"/>
            <w:tcBorders>
              <w:top w:val="single" w:sz="4" w:space="0" w:color="auto"/>
              <w:left w:val="nil"/>
              <w:bottom w:val="single" w:sz="4" w:space="0" w:color="auto"/>
              <w:right w:val="nil"/>
            </w:tcBorders>
            <w:shd w:val="clear" w:color="000000" w:fill="D9D9D9"/>
            <w:tcMar>
              <w:left w:w="0" w:type="dxa"/>
            </w:tcMar>
            <w:hideMark/>
          </w:tcPr>
          <w:p w14:paraId="700BE64B" w14:textId="77777777" w:rsidR="00061E7B" w:rsidRPr="00061E7B" w:rsidRDefault="00061E7B" w:rsidP="00840AA6">
            <w:pPr>
              <w:spacing w:before="40" w:after="0"/>
              <w:jc w:val="right"/>
              <w:rPr>
                <w:rFonts w:ascii="Arial" w:hAnsi="Arial" w:cs="Arial"/>
                <w:b/>
                <w:bCs/>
                <w:color w:val="auto"/>
                <w:sz w:val="16"/>
                <w:szCs w:val="16"/>
              </w:rPr>
            </w:pPr>
            <w:r w:rsidRPr="00061E7B">
              <w:rPr>
                <w:rFonts w:ascii="Arial" w:hAnsi="Arial" w:cs="Arial"/>
                <w:b/>
                <w:bCs/>
                <w:color w:val="auto"/>
                <w:sz w:val="16"/>
                <w:szCs w:val="16"/>
              </w:rPr>
              <w:t>2022–23</w:t>
            </w:r>
            <w:r w:rsidRPr="00061E7B">
              <w:rPr>
                <w:rFonts w:ascii="Arial" w:hAnsi="Arial" w:cs="Arial"/>
                <w:b/>
                <w:bCs/>
                <w:color w:val="auto"/>
                <w:sz w:val="16"/>
                <w:szCs w:val="16"/>
              </w:rPr>
              <w:br/>
              <w:t>Budget</w:t>
            </w:r>
            <w:r w:rsidRPr="00061E7B">
              <w:rPr>
                <w:rFonts w:ascii="Arial" w:hAnsi="Arial" w:cs="Arial"/>
                <w:b/>
                <w:bCs/>
                <w:color w:val="auto"/>
                <w:sz w:val="16"/>
                <w:szCs w:val="16"/>
              </w:rPr>
              <w:br/>
            </w:r>
            <w:r w:rsidRPr="00061E7B">
              <w:rPr>
                <w:rFonts w:ascii="Arial" w:hAnsi="Arial" w:cs="Arial"/>
                <w:b/>
                <w:bCs/>
                <w:color w:val="auto"/>
                <w:sz w:val="16"/>
                <w:szCs w:val="16"/>
              </w:rPr>
              <w:br/>
            </w:r>
            <w:r w:rsidRPr="00061E7B">
              <w:rPr>
                <w:rFonts w:ascii="Arial" w:hAnsi="Arial" w:cs="Arial"/>
                <w:color w:val="auto"/>
                <w:sz w:val="16"/>
                <w:szCs w:val="16"/>
              </w:rPr>
              <w:t>$'000</w:t>
            </w:r>
          </w:p>
        </w:tc>
        <w:tc>
          <w:tcPr>
            <w:tcW w:w="860" w:type="dxa"/>
            <w:tcBorders>
              <w:top w:val="single" w:sz="4" w:space="0" w:color="auto"/>
              <w:left w:val="nil"/>
              <w:bottom w:val="single" w:sz="4" w:space="0" w:color="auto"/>
              <w:right w:val="nil"/>
            </w:tcBorders>
            <w:shd w:val="clear" w:color="auto" w:fill="auto"/>
            <w:tcMar>
              <w:left w:w="0" w:type="dxa"/>
            </w:tcMar>
            <w:hideMark/>
          </w:tcPr>
          <w:p w14:paraId="138EB50C" w14:textId="77777777" w:rsidR="00061E7B" w:rsidRPr="00061E7B" w:rsidRDefault="00061E7B" w:rsidP="00840AA6">
            <w:pPr>
              <w:spacing w:before="40" w:after="0"/>
              <w:jc w:val="right"/>
              <w:rPr>
                <w:rFonts w:ascii="Arial" w:hAnsi="Arial" w:cs="Arial"/>
                <w:b/>
                <w:bCs/>
                <w:color w:val="auto"/>
                <w:sz w:val="16"/>
                <w:szCs w:val="16"/>
              </w:rPr>
            </w:pPr>
            <w:r w:rsidRPr="00061E7B">
              <w:rPr>
                <w:rFonts w:ascii="Arial" w:hAnsi="Arial" w:cs="Arial"/>
                <w:b/>
                <w:bCs/>
                <w:color w:val="auto"/>
                <w:sz w:val="16"/>
                <w:szCs w:val="16"/>
              </w:rPr>
              <w:t>2023–24 Forward estimate</w:t>
            </w:r>
            <w:r w:rsidRPr="00061E7B">
              <w:rPr>
                <w:rFonts w:ascii="Arial" w:hAnsi="Arial" w:cs="Arial"/>
                <w:b/>
                <w:bCs/>
                <w:color w:val="auto"/>
                <w:sz w:val="16"/>
                <w:szCs w:val="16"/>
              </w:rPr>
              <w:br/>
            </w:r>
            <w:r w:rsidRPr="00061E7B">
              <w:rPr>
                <w:rFonts w:ascii="Arial" w:hAnsi="Arial" w:cs="Arial"/>
                <w:color w:val="auto"/>
                <w:sz w:val="16"/>
                <w:szCs w:val="16"/>
              </w:rPr>
              <w:t>$'000</w:t>
            </w:r>
          </w:p>
        </w:tc>
        <w:tc>
          <w:tcPr>
            <w:tcW w:w="860" w:type="dxa"/>
            <w:tcBorders>
              <w:top w:val="single" w:sz="4" w:space="0" w:color="auto"/>
              <w:left w:val="nil"/>
              <w:bottom w:val="single" w:sz="4" w:space="0" w:color="auto"/>
              <w:right w:val="nil"/>
            </w:tcBorders>
            <w:shd w:val="clear" w:color="auto" w:fill="auto"/>
            <w:tcMar>
              <w:left w:w="0" w:type="dxa"/>
            </w:tcMar>
            <w:hideMark/>
          </w:tcPr>
          <w:p w14:paraId="64C4531E" w14:textId="77777777" w:rsidR="00061E7B" w:rsidRPr="00061E7B" w:rsidRDefault="00061E7B" w:rsidP="00840AA6">
            <w:pPr>
              <w:spacing w:before="40" w:after="0"/>
              <w:jc w:val="right"/>
              <w:rPr>
                <w:rFonts w:ascii="Arial" w:hAnsi="Arial" w:cs="Arial"/>
                <w:b/>
                <w:bCs/>
                <w:color w:val="auto"/>
                <w:sz w:val="16"/>
                <w:szCs w:val="16"/>
              </w:rPr>
            </w:pPr>
            <w:r w:rsidRPr="00061E7B">
              <w:rPr>
                <w:rFonts w:ascii="Arial" w:hAnsi="Arial" w:cs="Arial"/>
                <w:b/>
                <w:bCs/>
                <w:color w:val="auto"/>
                <w:sz w:val="16"/>
                <w:szCs w:val="16"/>
              </w:rPr>
              <w:t>2024–25</w:t>
            </w:r>
            <w:r w:rsidRPr="00061E7B">
              <w:rPr>
                <w:rFonts w:ascii="Arial" w:hAnsi="Arial" w:cs="Arial"/>
                <w:b/>
                <w:bCs/>
                <w:color w:val="auto"/>
                <w:sz w:val="16"/>
                <w:szCs w:val="16"/>
              </w:rPr>
              <w:br/>
              <w:t>Forward estimate</w:t>
            </w:r>
            <w:r w:rsidRPr="00061E7B">
              <w:rPr>
                <w:rFonts w:ascii="Arial" w:hAnsi="Arial" w:cs="Arial"/>
                <w:b/>
                <w:bCs/>
                <w:color w:val="auto"/>
                <w:sz w:val="16"/>
                <w:szCs w:val="16"/>
              </w:rPr>
              <w:br/>
            </w:r>
            <w:r w:rsidRPr="00061E7B">
              <w:rPr>
                <w:rFonts w:ascii="Arial" w:hAnsi="Arial" w:cs="Arial"/>
                <w:color w:val="auto"/>
                <w:sz w:val="16"/>
                <w:szCs w:val="16"/>
              </w:rPr>
              <w:t>$'000</w:t>
            </w:r>
          </w:p>
        </w:tc>
        <w:tc>
          <w:tcPr>
            <w:tcW w:w="860" w:type="dxa"/>
            <w:tcBorders>
              <w:top w:val="single" w:sz="4" w:space="0" w:color="auto"/>
              <w:left w:val="nil"/>
              <w:bottom w:val="single" w:sz="4" w:space="0" w:color="auto"/>
              <w:right w:val="nil"/>
            </w:tcBorders>
            <w:shd w:val="clear" w:color="auto" w:fill="auto"/>
            <w:tcMar>
              <w:left w:w="0" w:type="dxa"/>
            </w:tcMar>
            <w:hideMark/>
          </w:tcPr>
          <w:p w14:paraId="5AB583DB" w14:textId="77777777" w:rsidR="00061E7B" w:rsidRPr="00061E7B" w:rsidRDefault="00061E7B" w:rsidP="00840AA6">
            <w:pPr>
              <w:spacing w:before="40" w:after="0"/>
              <w:jc w:val="right"/>
              <w:rPr>
                <w:rFonts w:ascii="Arial" w:hAnsi="Arial" w:cs="Arial"/>
                <w:b/>
                <w:bCs/>
                <w:color w:val="auto"/>
                <w:sz w:val="16"/>
                <w:szCs w:val="16"/>
              </w:rPr>
            </w:pPr>
            <w:r w:rsidRPr="00061E7B">
              <w:rPr>
                <w:rFonts w:ascii="Arial" w:hAnsi="Arial" w:cs="Arial"/>
                <w:b/>
                <w:bCs/>
                <w:color w:val="auto"/>
                <w:sz w:val="16"/>
                <w:szCs w:val="16"/>
              </w:rPr>
              <w:t>2025–26</w:t>
            </w:r>
            <w:r w:rsidRPr="00061E7B">
              <w:rPr>
                <w:rFonts w:ascii="Arial" w:hAnsi="Arial" w:cs="Arial"/>
                <w:b/>
                <w:bCs/>
                <w:color w:val="auto"/>
                <w:sz w:val="16"/>
                <w:szCs w:val="16"/>
              </w:rPr>
              <w:br/>
              <w:t>Forward estimate</w:t>
            </w:r>
            <w:r w:rsidRPr="00061E7B">
              <w:rPr>
                <w:rFonts w:ascii="Arial" w:hAnsi="Arial" w:cs="Arial"/>
                <w:b/>
                <w:bCs/>
                <w:color w:val="auto"/>
                <w:sz w:val="16"/>
                <w:szCs w:val="16"/>
              </w:rPr>
              <w:br/>
            </w:r>
            <w:r w:rsidRPr="00061E7B">
              <w:rPr>
                <w:rFonts w:ascii="Arial" w:hAnsi="Arial" w:cs="Arial"/>
                <w:color w:val="auto"/>
                <w:sz w:val="16"/>
                <w:szCs w:val="16"/>
              </w:rPr>
              <w:t>$'000</w:t>
            </w:r>
          </w:p>
        </w:tc>
      </w:tr>
      <w:tr w:rsidR="00061E7B" w:rsidRPr="00061E7B" w14:paraId="1BC2B703" w14:textId="77777777" w:rsidTr="00061E7B">
        <w:trPr>
          <w:trHeight w:val="225"/>
        </w:trPr>
        <w:tc>
          <w:tcPr>
            <w:tcW w:w="3051" w:type="dxa"/>
            <w:tcBorders>
              <w:top w:val="nil"/>
              <w:left w:val="nil"/>
              <w:bottom w:val="nil"/>
              <w:right w:val="nil"/>
            </w:tcBorders>
            <w:shd w:val="clear" w:color="auto" w:fill="auto"/>
            <w:noWrap/>
            <w:vAlign w:val="bottom"/>
            <w:hideMark/>
          </w:tcPr>
          <w:p w14:paraId="3DC82141" w14:textId="77777777" w:rsidR="00061E7B" w:rsidRPr="00061E7B" w:rsidRDefault="00061E7B" w:rsidP="00061E7B">
            <w:pPr>
              <w:spacing w:after="0"/>
              <w:rPr>
                <w:rFonts w:ascii="Arial" w:hAnsi="Arial" w:cs="Arial"/>
                <w:b/>
                <w:bCs/>
                <w:color w:val="auto"/>
                <w:sz w:val="16"/>
                <w:szCs w:val="16"/>
              </w:rPr>
            </w:pPr>
            <w:r w:rsidRPr="00061E7B">
              <w:rPr>
                <w:rFonts w:ascii="Arial" w:hAnsi="Arial" w:cs="Arial"/>
                <w:b/>
                <w:bCs/>
                <w:color w:val="auto"/>
                <w:sz w:val="16"/>
                <w:szCs w:val="16"/>
              </w:rPr>
              <w:t>OPERATING ACTIVITIES</w:t>
            </w:r>
          </w:p>
        </w:tc>
        <w:tc>
          <w:tcPr>
            <w:tcW w:w="880" w:type="dxa"/>
            <w:tcBorders>
              <w:top w:val="nil"/>
              <w:left w:val="nil"/>
              <w:bottom w:val="nil"/>
              <w:right w:val="nil"/>
            </w:tcBorders>
            <w:shd w:val="clear" w:color="auto" w:fill="auto"/>
            <w:noWrap/>
            <w:vAlign w:val="bottom"/>
            <w:hideMark/>
          </w:tcPr>
          <w:p w14:paraId="41B09D72" w14:textId="77777777" w:rsidR="00061E7B" w:rsidRPr="00061E7B" w:rsidRDefault="00061E7B" w:rsidP="00061E7B">
            <w:pPr>
              <w:spacing w:after="0"/>
              <w:rPr>
                <w:rFonts w:ascii="Arial" w:hAnsi="Arial" w:cs="Arial"/>
                <w:b/>
                <w:bCs/>
                <w:color w:val="auto"/>
                <w:sz w:val="16"/>
                <w:szCs w:val="16"/>
              </w:rPr>
            </w:pPr>
          </w:p>
        </w:tc>
        <w:tc>
          <w:tcPr>
            <w:tcW w:w="849" w:type="dxa"/>
            <w:tcBorders>
              <w:top w:val="nil"/>
              <w:left w:val="nil"/>
              <w:bottom w:val="nil"/>
              <w:right w:val="nil"/>
            </w:tcBorders>
            <w:shd w:val="clear" w:color="000000" w:fill="D9D9D9"/>
            <w:noWrap/>
            <w:vAlign w:val="bottom"/>
            <w:hideMark/>
          </w:tcPr>
          <w:p w14:paraId="2F94F3C2" w14:textId="77777777" w:rsidR="00061E7B" w:rsidRPr="00061E7B" w:rsidRDefault="00061E7B" w:rsidP="00061E7B">
            <w:pPr>
              <w:spacing w:after="0"/>
              <w:jc w:val="right"/>
              <w:rPr>
                <w:rFonts w:ascii="Arial" w:hAnsi="Arial" w:cs="Arial"/>
                <w:color w:val="auto"/>
                <w:sz w:val="16"/>
                <w:szCs w:val="16"/>
              </w:rPr>
            </w:pPr>
            <w:r w:rsidRPr="00061E7B">
              <w:rPr>
                <w:rFonts w:ascii="Arial" w:hAnsi="Arial" w:cs="Arial"/>
                <w:color w:val="auto"/>
                <w:sz w:val="16"/>
                <w:szCs w:val="16"/>
              </w:rPr>
              <w:t> </w:t>
            </w:r>
          </w:p>
        </w:tc>
        <w:tc>
          <w:tcPr>
            <w:tcW w:w="860" w:type="dxa"/>
            <w:tcBorders>
              <w:top w:val="nil"/>
              <w:left w:val="nil"/>
              <w:bottom w:val="nil"/>
              <w:right w:val="nil"/>
            </w:tcBorders>
            <w:shd w:val="clear" w:color="auto" w:fill="auto"/>
            <w:noWrap/>
            <w:vAlign w:val="bottom"/>
            <w:hideMark/>
          </w:tcPr>
          <w:p w14:paraId="00582F0D" w14:textId="77777777" w:rsidR="00061E7B" w:rsidRPr="00061E7B" w:rsidRDefault="00061E7B" w:rsidP="00061E7B">
            <w:pPr>
              <w:spacing w:after="0"/>
              <w:jc w:val="right"/>
              <w:rPr>
                <w:rFonts w:ascii="Arial" w:hAnsi="Arial" w:cs="Arial"/>
                <w:color w:val="auto"/>
                <w:sz w:val="16"/>
                <w:szCs w:val="16"/>
              </w:rPr>
            </w:pPr>
          </w:p>
        </w:tc>
        <w:tc>
          <w:tcPr>
            <w:tcW w:w="860" w:type="dxa"/>
            <w:tcBorders>
              <w:top w:val="nil"/>
              <w:left w:val="nil"/>
              <w:bottom w:val="nil"/>
              <w:right w:val="nil"/>
            </w:tcBorders>
            <w:shd w:val="clear" w:color="auto" w:fill="auto"/>
            <w:noWrap/>
            <w:vAlign w:val="bottom"/>
            <w:hideMark/>
          </w:tcPr>
          <w:p w14:paraId="5211A378" w14:textId="77777777" w:rsidR="00061E7B" w:rsidRPr="00061E7B" w:rsidRDefault="00061E7B" w:rsidP="00061E7B">
            <w:pPr>
              <w:spacing w:after="0"/>
              <w:jc w:val="right"/>
              <w:rPr>
                <w:rFonts w:ascii="Times New Roman" w:hAnsi="Times New Roman"/>
                <w:color w:val="auto"/>
                <w:sz w:val="20"/>
              </w:rPr>
            </w:pPr>
          </w:p>
        </w:tc>
        <w:tc>
          <w:tcPr>
            <w:tcW w:w="860" w:type="dxa"/>
            <w:tcBorders>
              <w:top w:val="nil"/>
              <w:left w:val="nil"/>
              <w:bottom w:val="nil"/>
              <w:right w:val="nil"/>
            </w:tcBorders>
            <w:shd w:val="clear" w:color="auto" w:fill="auto"/>
            <w:noWrap/>
            <w:vAlign w:val="bottom"/>
            <w:hideMark/>
          </w:tcPr>
          <w:p w14:paraId="09B910B5" w14:textId="77777777" w:rsidR="00061E7B" w:rsidRPr="00061E7B" w:rsidRDefault="00061E7B" w:rsidP="00061E7B">
            <w:pPr>
              <w:spacing w:after="0"/>
              <w:jc w:val="right"/>
              <w:rPr>
                <w:rFonts w:ascii="Times New Roman" w:hAnsi="Times New Roman"/>
                <w:color w:val="auto"/>
                <w:sz w:val="20"/>
              </w:rPr>
            </w:pPr>
          </w:p>
        </w:tc>
      </w:tr>
      <w:tr w:rsidR="00061E7B" w:rsidRPr="00061E7B" w14:paraId="29F6D9B0" w14:textId="77777777" w:rsidTr="00061E7B">
        <w:trPr>
          <w:trHeight w:val="225"/>
        </w:trPr>
        <w:tc>
          <w:tcPr>
            <w:tcW w:w="3051" w:type="dxa"/>
            <w:tcBorders>
              <w:top w:val="nil"/>
              <w:left w:val="nil"/>
              <w:bottom w:val="nil"/>
              <w:right w:val="nil"/>
            </w:tcBorders>
            <w:shd w:val="clear" w:color="auto" w:fill="auto"/>
            <w:noWrap/>
            <w:vAlign w:val="bottom"/>
            <w:hideMark/>
          </w:tcPr>
          <w:p w14:paraId="17F3BDF7" w14:textId="77777777" w:rsidR="00061E7B" w:rsidRPr="00061E7B" w:rsidRDefault="00061E7B" w:rsidP="00061E7B">
            <w:pPr>
              <w:spacing w:after="0"/>
              <w:ind w:firstLineChars="100" w:firstLine="160"/>
              <w:rPr>
                <w:rFonts w:ascii="Arial" w:hAnsi="Arial" w:cs="Arial"/>
                <w:b/>
                <w:bCs/>
                <w:color w:val="auto"/>
                <w:sz w:val="16"/>
                <w:szCs w:val="16"/>
              </w:rPr>
            </w:pPr>
            <w:r w:rsidRPr="00061E7B">
              <w:rPr>
                <w:rFonts w:ascii="Arial" w:hAnsi="Arial" w:cs="Arial"/>
                <w:b/>
                <w:bCs/>
                <w:color w:val="auto"/>
                <w:sz w:val="16"/>
                <w:szCs w:val="16"/>
              </w:rPr>
              <w:t>Cash received</w:t>
            </w:r>
          </w:p>
        </w:tc>
        <w:tc>
          <w:tcPr>
            <w:tcW w:w="880" w:type="dxa"/>
            <w:tcBorders>
              <w:top w:val="nil"/>
              <w:left w:val="nil"/>
              <w:bottom w:val="nil"/>
              <w:right w:val="nil"/>
            </w:tcBorders>
            <w:shd w:val="clear" w:color="auto" w:fill="auto"/>
            <w:noWrap/>
            <w:vAlign w:val="bottom"/>
            <w:hideMark/>
          </w:tcPr>
          <w:p w14:paraId="7CCB7854" w14:textId="77777777" w:rsidR="00061E7B" w:rsidRPr="00061E7B" w:rsidRDefault="00061E7B" w:rsidP="00061E7B">
            <w:pPr>
              <w:spacing w:after="0"/>
              <w:ind w:firstLineChars="100" w:firstLine="160"/>
              <w:rPr>
                <w:rFonts w:ascii="Arial" w:hAnsi="Arial" w:cs="Arial"/>
                <w:b/>
                <w:bCs/>
                <w:color w:val="auto"/>
                <w:sz w:val="16"/>
                <w:szCs w:val="16"/>
              </w:rPr>
            </w:pPr>
          </w:p>
        </w:tc>
        <w:tc>
          <w:tcPr>
            <w:tcW w:w="849" w:type="dxa"/>
            <w:tcBorders>
              <w:top w:val="nil"/>
              <w:left w:val="nil"/>
              <w:bottom w:val="nil"/>
              <w:right w:val="nil"/>
            </w:tcBorders>
            <w:shd w:val="clear" w:color="000000" w:fill="D9D9D9"/>
            <w:noWrap/>
            <w:vAlign w:val="bottom"/>
            <w:hideMark/>
          </w:tcPr>
          <w:p w14:paraId="24D43949" w14:textId="77777777" w:rsidR="00061E7B" w:rsidRPr="00061E7B" w:rsidRDefault="00061E7B" w:rsidP="00061E7B">
            <w:pPr>
              <w:spacing w:after="0"/>
              <w:jc w:val="right"/>
              <w:rPr>
                <w:rFonts w:ascii="Arial" w:hAnsi="Arial" w:cs="Arial"/>
                <w:color w:val="auto"/>
                <w:sz w:val="16"/>
                <w:szCs w:val="16"/>
              </w:rPr>
            </w:pPr>
            <w:r w:rsidRPr="00061E7B">
              <w:rPr>
                <w:rFonts w:ascii="Arial" w:hAnsi="Arial" w:cs="Arial"/>
                <w:color w:val="auto"/>
                <w:sz w:val="16"/>
                <w:szCs w:val="16"/>
              </w:rPr>
              <w:t> </w:t>
            </w:r>
          </w:p>
        </w:tc>
        <w:tc>
          <w:tcPr>
            <w:tcW w:w="860" w:type="dxa"/>
            <w:tcBorders>
              <w:top w:val="nil"/>
              <w:left w:val="nil"/>
              <w:bottom w:val="nil"/>
              <w:right w:val="nil"/>
            </w:tcBorders>
            <w:shd w:val="clear" w:color="auto" w:fill="auto"/>
            <w:noWrap/>
            <w:vAlign w:val="bottom"/>
            <w:hideMark/>
          </w:tcPr>
          <w:p w14:paraId="7CA66847" w14:textId="77777777" w:rsidR="00061E7B" w:rsidRPr="00061E7B" w:rsidRDefault="00061E7B" w:rsidP="00061E7B">
            <w:pPr>
              <w:spacing w:after="0"/>
              <w:jc w:val="right"/>
              <w:rPr>
                <w:rFonts w:ascii="Arial" w:hAnsi="Arial" w:cs="Arial"/>
                <w:color w:val="auto"/>
                <w:sz w:val="16"/>
                <w:szCs w:val="16"/>
              </w:rPr>
            </w:pPr>
          </w:p>
        </w:tc>
        <w:tc>
          <w:tcPr>
            <w:tcW w:w="860" w:type="dxa"/>
            <w:tcBorders>
              <w:top w:val="nil"/>
              <w:left w:val="nil"/>
              <w:bottom w:val="nil"/>
              <w:right w:val="nil"/>
            </w:tcBorders>
            <w:shd w:val="clear" w:color="auto" w:fill="auto"/>
            <w:noWrap/>
            <w:vAlign w:val="bottom"/>
            <w:hideMark/>
          </w:tcPr>
          <w:p w14:paraId="16FB65EE" w14:textId="77777777" w:rsidR="00061E7B" w:rsidRPr="00061E7B" w:rsidRDefault="00061E7B" w:rsidP="00061E7B">
            <w:pPr>
              <w:spacing w:after="0"/>
              <w:jc w:val="right"/>
              <w:rPr>
                <w:rFonts w:ascii="Times New Roman" w:hAnsi="Times New Roman"/>
                <w:color w:val="auto"/>
                <w:sz w:val="20"/>
              </w:rPr>
            </w:pPr>
          </w:p>
        </w:tc>
        <w:tc>
          <w:tcPr>
            <w:tcW w:w="860" w:type="dxa"/>
            <w:tcBorders>
              <w:top w:val="nil"/>
              <w:left w:val="nil"/>
              <w:bottom w:val="nil"/>
              <w:right w:val="nil"/>
            </w:tcBorders>
            <w:shd w:val="clear" w:color="auto" w:fill="auto"/>
            <w:noWrap/>
            <w:vAlign w:val="bottom"/>
            <w:hideMark/>
          </w:tcPr>
          <w:p w14:paraId="458211EF" w14:textId="77777777" w:rsidR="00061E7B" w:rsidRPr="00061E7B" w:rsidRDefault="00061E7B" w:rsidP="00061E7B">
            <w:pPr>
              <w:spacing w:after="0"/>
              <w:jc w:val="right"/>
              <w:rPr>
                <w:rFonts w:ascii="Times New Roman" w:hAnsi="Times New Roman"/>
                <w:color w:val="auto"/>
                <w:sz w:val="20"/>
              </w:rPr>
            </w:pPr>
          </w:p>
        </w:tc>
      </w:tr>
      <w:tr w:rsidR="00061E7B" w:rsidRPr="00061E7B" w14:paraId="71649146" w14:textId="77777777" w:rsidTr="00061E7B">
        <w:trPr>
          <w:trHeight w:val="225"/>
        </w:trPr>
        <w:tc>
          <w:tcPr>
            <w:tcW w:w="3051" w:type="dxa"/>
            <w:tcBorders>
              <w:top w:val="nil"/>
              <w:left w:val="nil"/>
              <w:bottom w:val="nil"/>
              <w:right w:val="nil"/>
            </w:tcBorders>
            <w:shd w:val="clear" w:color="auto" w:fill="auto"/>
            <w:noWrap/>
            <w:vAlign w:val="bottom"/>
            <w:hideMark/>
          </w:tcPr>
          <w:p w14:paraId="7E0A02EF" w14:textId="77777777" w:rsidR="00061E7B" w:rsidRPr="00061E7B" w:rsidRDefault="00061E7B" w:rsidP="00061E7B">
            <w:pPr>
              <w:spacing w:after="0"/>
              <w:ind w:leftChars="150" w:left="285"/>
              <w:rPr>
                <w:rFonts w:ascii="Arial" w:hAnsi="Arial" w:cs="Arial"/>
                <w:color w:val="auto"/>
                <w:sz w:val="16"/>
                <w:szCs w:val="16"/>
              </w:rPr>
            </w:pPr>
            <w:r w:rsidRPr="00061E7B">
              <w:rPr>
                <w:rFonts w:ascii="Arial" w:hAnsi="Arial" w:cs="Arial"/>
                <w:color w:val="auto"/>
                <w:sz w:val="16"/>
                <w:szCs w:val="16"/>
              </w:rPr>
              <w:t>Appropriations</w:t>
            </w:r>
          </w:p>
        </w:tc>
        <w:tc>
          <w:tcPr>
            <w:tcW w:w="880" w:type="dxa"/>
            <w:tcBorders>
              <w:top w:val="nil"/>
              <w:left w:val="nil"/>
              <w:bottom w:val="nil"/>
              <w:right w:val="nil"/>
            </w:tcBorders>
            <w:shd w:val="clear" w:color="auto" w:fill="auto"/>
            <w:noWrap/>
            <w:vAlign w:val="bottom"/>
            <w:hideMark/>
          </w:tcPr>
          <w:p w14:paraId="611F8E66" w14:textId="77777777" w:rsidR="00061E7B" w:rsidRPr="00061E7B" w:rsidRDefault="00061E7B" w:rsidP="00061E7B">
            <w:pPr>
              <w:spacing w:after="0"/>
              <w:jc w:val="right"/>
              <w:rPr>
                <w:rFonts w:ascii="Arial" w:hAnsi="Arial" w:cs="Arial"/>
                <w:color w:val="auto"/>
                <w:sz w:val="16"/>
                <w:szCs w:val="16"/>
              </w:rPr>
            </w:pPr>
            <w:r w:rsidRPr="00061E7B">
              <w:rPr>
                <w:rFonts w:ascii="Arial" w:hAnsi="Arial" w:cs="Arial"/>
                <w:color w:val="auto"/>
                <w:sz w:val="16"/>
                <w:szCs w:val="16"/>
              </w:rPr>
              <w:t>223,345</w:t>
            </w:r>
          </w:p>
        </w:tc>
        <w:tc>
          <w:tcPr>
            <w:tcW w:w="849" w:type="dxa"/>
            <w:tcBorders>
              <w:top w:val="nil"/>
              <w:left w:val="nil"/>
              <w:bottom w:val="nil"/>
              <w:right w:val="nil"/>
            </w:tcBorders>
            <w:shd w:val="clear" w:color="000000" w:fill="D9D9D9"/>
            <w:noWrap/>
            <w:vAlign w:val="bottom"/>
            <w:hideMark/>
          </w:tcPr>
          <w:p w14:paraId="12A6B766" w14:textId="77777777" w:rsidR="00061E7B" w:rsidRPr="00061E7B" w:rsidRDefault="00061E7B" w:rsidP="00061E7B">
            <w:pPr>
              <w:spacing w:after="0"/>
              <w:jc w:val="right"/>
              <w:rPr>
                <w:rFonts w:ascii="Arial" w:hAnsi="Arial" w:cs="Arial"/>
                <w:color w:val="auto"/>
                <w:sz w:val="16"/>
                <w:szCs w:val="16"/>
              </w:rPr>
            </w:pPr>
            <w:r w:rsidRPr="00061E7B">
              <w:rPr>
                <w:rFonts w:ascii="Arial" w:hAnsi="Arial" w:cs="Arial"/>
                <w:color w:val="auto"/>
                <w:sz w:val="16"/>
                <w:szCs w:val="16"/>
              </w:rPr>
              <w:t>208,259</w:t>
            </w:r>
          </w:p>
        </w:tc>
        <w:tc>
          <w:tcPr>
            <w:tcW w:w="860" w:type="dxa"/>
            <w:tcBorders>
              <w:top w:val="nil"/>
              <w:left w:val="nil"/>
              <w:bottom w:val="nil"/>
              <w:right w:val="nil"/>
            </w:tcBorders>
            <w:shd w:val="clear" w:color="auto" w:fill="auto"/>
            <w:noWrap/>
            <w:vAlign w:val="bottom"/>
            <w:hideMark/>
          </w:tcPr>
          <w:p w14:paraId="20D67D74" w14:textId="77777777" w:rsidR="00061E7B" w:rsidRPr="00061E7B" w:rsidRDefault="00061E7B" w:rsidP="00061E7B">
            <w:pPr>
              <w:spacing w:after="0"/>
              <w:jc w:val="right"/>
              <w:rPr>
                <w:rFonts w:ascii="Arial" w:hAnsi="Arial" w:cs="Arial"/>
                <w:color w:val="auto"/>
                <w:sz w:val="16"/>
                <w:szCs w:val="16"/>
              </w:rPr>
            </w:pPr>
            <w:r w:rsidRPr="00061E7B">
              <w:rPr>
                <w:rFonts w:ascii="Arial" w:hAnsi="Arial" w:cs="Arial"/>
                <w:color w:val="auto"/>
                <w:sz w:val="16"/>
                <w:szCs w:val="16"/>
              </w:rPr>
              <w:t>-</w:t>
            </w:r>
          </w:p>
        </w:tc>
        <w:tc>
          <w:tcPr>
            <w:tcW w:w="860" w:type="dxa"/>
            <w:tcBorders>
              <w:top w:val="nil"/>
              <w:left w:val="nil"/>
              <w:bottom w:val="nil"/>
              <w:right w:val="nil"/>
            </w:tcBorders>
            <w:shd w:val="clear" w:color="auto" w:fill="auto"/>
            <w:noWrap/>
            <w:vAlign w:val="bottom"/>
            <w:hideMark/>
          </w:tcPr>
          <w:p w14:paraId="5F9783DC" w14:textId="77777777" w:rsidR="00061E7B" w:rsidRPr="00061E7B" w:rsidRDefault="00061E7B" w:rsidP="00061E7B">
            <w:pPr>
              <w:spacing w:after="0"/>
              <w:jc w:val="right"/>
              <w:rPr>
                <w:rFonts w:ascii="Arial" w:hAnsi="Arial" w:cs="Arial"/>
                <w:color w:val="auto"/>
                <w:sz w:val="16"/>
                <w:szCs w:val="16"/>
              </w:rPr>
            </w:pPr>
            <w:r w:rsidRPr="00061E7B">
              <w:rPr>
                <w:rFonts w:ascii="Arial" w:hAnsi="Arial" w:cs="Arial"/>
                <w:color w:val="auto"/>
                <w:sz w:val="16"/>
                <w:szCs w:val="16"/>
              </w:rPr>
              <w:t>-</w:t>
            </w:r>
          </w:p>
        </w:tc>
        <w:tc>
          <w:tcPr>
            <w:tcW w:w="860" w:type="dxa"/>
            <w:tcBorders>
              <w:top w:val="nil"/>
              <w:left w:val="nil"/>
              <w:bottom w:val="nil"/>
              <w:right w:val="nil"/>
            </w:tcBorders>
            <w:shd w:val="clear" w:color="auto" w:fill="auto"/>
            <w:noWrap/>
            <w:vAlign w:val="bottom"/>
            <w:hideMark/>
          </w:tcPr>
          <w:p w14:paraId="52AA7C04" w14:textId="77777777" w:rsidR="00061E7B" w:rsidRPr="00061E7B" w:rsidRDefault="00061E7B" w:rsidP="00061E7B">
            <w:pPr>
              <w:spacing w:after="0"/>
              <w:jc w:val="right"/>
              <w:rPr>
                <w:rFonts w:ascii="Arial" w:hAnsi="Arial" w:cs="Arial"/>
                <w:color w:val="auto"/>
                <w:sz w:val="16"/>
                <w:szCs w:val="16"/>
              </w:rPr>
            </w:pPr>
            <w:r w:rsidRPr="00061E7B">
              <w:rPr>
                <w:rFonts w:ascii="Arial" w:hAnsi="Arial" w:cs="Arial"/>
                <w:color w:val="auto"/>
                <w:sz w:val="16"/>
                <w:szCs w:val="16"/>
              </w:rPr>
              <w:t>-</w:t>
            </w:r>
          </w:p>
        </w:tc>
      </w:tr>
      <w:tr w:rsidR="00061E7B" w:rsidRPr="00061E7B" w14:paraId="427566EB" w14:textId="77777777" w:rsidTr="00061E7B">
        <w:trPr>
          <w:trHeight w:val="225"/>
        </w:trPr>
        <w:tc>
          <w:tcPr>
            <w:tcW w:w="3051" w:type="dxa"/>
            <w:tcBorders>
              <w:top w:val="nil"/>
              <w:left w:val="nil"/>
              <w:bottom w:val="nil"/>
              <w:right w:val="nil"/>
            </w:tcBorders>
            <w:shd w:val="clear" w:color="auto" w:fill="auto"/>
            <w:noWrap/>
            <w:vAlign w:val="bottom"/>
            <w:hideMark/>
          </w:tcPr>
          <w:p w14:paraId="3A2612E1" w14:textId="77777777" w:rsidR="00061E7B" w:rsidRPr="00061E7B" w:rsidRDefault="00061E7B" w:rsidP="00061E7B">
            <w:pPr>
              <w:spacing w:after="0"/>
              <w:ind w:leftChars="150" w:left="285"/>
              <w:rPr>
                <w:rFonts w:ascii="Arial" w:hAnsi="Arial" w:cs="Arial"/>
                <w:color w:val="auto"/>
                <w:sz w:val="16"/>
                <w:szCs w:val="16"/>
              </w:rPr>
            </w:pPr>
            <w:r w:rsidRPr="00061E7B">
              <w:rPr>
                <w:rFonts w:ascii="Arial" w:hAnsi="Arial" w:cs="Arial"/>
                <w:color w:val="auto"/>
                <w:sz w:val="16"/>
                <w:szCs w:val="16"/>
              </w:rPr>
              <w:t>Other cash received</w:t>
            </w:r>
          </w:p>
        </w:tc>
        <w:tc>
          <w:tcPr>
            <w:tcW w:w="880" w:type="dxa"/>
            <w:tcBorders>
              <w:top w:val="nil"/>
              <w:left w:val="nil"/>
              <w:bottom w:val="nil"/>
              <w:right w:val="nil"/>
            </w:tcBorders>
            <w:shd w:val="clear" w:color="auto" w:fill="auto"/>
            <w:noWrap/>
            <w:vAlign w:val="bottom"/>
            <w:hideMark/>
          </w:tcPr>
          <w:p w14:paraId="61AF23AB" w14:textId="77777777" w:rsidR="00061E7B" w:rsidRPr="00061E7B" w:rsidRDefault="00061E7B" w:rsidP="00061E7B">
            <w:pPr>
              <w:spacing w:after="0"/>
              <w:jc w:val="right"/>
              <w:rPr>
                <w:rFonts w:ascii="Arial" w:hAnsi="Arial" w:cs="Arial"/>
                <w:color w:val="auto"/>
                <w:sz w:val="16"/>
                <w:szCs w:val="16"/>
              </w:rPr>
            </w:pPr>
            <w:r w:rsidRPr="00061E7B">
              <w:rPr>
                <w:rFonts w:ascii="Arial" w:hAnsi="Arial" w:cs="Arial"/>
                <w:color w:val="auto"/>
                <w:sz w:val="16"/>
                <w:szCs w:val="16"/>
              </w:rPr>
              <w:t>51,719</w:t>
            </w:r>
          </w:p>
        </w:tc>
        <w:tc>
          <w:tcPr>
            <w:tcW w:w="849" w:type="dxa"/>
            <w:tcBorders>
              <w:top w:val="nil"/>
              <w:left w:val="nil"/>
              <w:bottom w:val="nil"/>
              <w:right w:val="nil"/>
            </w:tcBorders>
            <w:shd w:val="clear" w:color="000000" w:fill="D9D9D9"/>
            <w:noWrap/>
            <w:vAlign w:val="bottom"/>
            <w:hideMark/>
          </w:tcPr>
          <w:p w14:paraId="16F84079" w14:textId="77777777" w:rsidR="00061E7B" w:rsidRPr="00061E7B" w:rsidRDefault="00061E7B" w:rsidP="00061E7B">
            <w:pPr>
              <w:spacing w:after="0"/>
              <w:jc w:val="right"/>
              <w:rPr>
                <w:rFonts w:ascii="Arial" w:hAnsi="Arial" w:cs="Arial"/>
                <w:color w:val="auto"/>
                <w:sz w:val="16"/>
                <w:szCs w:val="16"/>
              </w:rPr>
            </w:pPr>
            <w:r w:rsidRPr="00061E7B">
              <w:rPr>
                <w:rFonts w:ascii="Arial" w:hAnsi="Arial" w:cs="Arial"/>
                <w:color w:val="auto"/>
                <w:sz w:val="16"/>
                <w:szCs w:val="16"/>
              </w:rPr>
              <w:t>32,250</w:t>
            </w:r>
          </w:p>
        </w:tc>
        <w:tc>
          <w:tcPr>
            <w:tcW w:w="860" w:type="dxa"/>
            <w:tcBorders>
              <w:top w:val="nil"/>
              <w:left w:val="nil"/>
              <w:bottom w:val="nil"/>
              <w:right w:val="nil"/>
            </w:tcBorders>
            <w:shd w:val="clear" w:color="auto" w:fill="auto"/>
            <w:noWrap/>
            <w:vAlign w:val="bottom"/>
            <w:hideMark/>
          </w:tcPr>
          <w:p w14:paraId="4CCE2445" w14:textId="77777777" w:rsidR="00061E7B" w:rsidRPr="00061E7B" w:rsidRDefault="00061E7B" w:rsidP="00061E7B">
            <w:pPr>
              <w:spacing w:after="0"/>
              <w:jc w:val="right"/>
              <w:rPr>
                <w:rFonts w:ascii="Arial" w:hAnsi="Arial" w:cs="Arial"/>
                <w:color w:val="auto"/>
                <w:sz w:val="16"/>
                <w:szCs w:val="16"/>
              </w:rPr>
            </w:pPr>
            <w:r w:rsidRPr="00061E7B">
              <w:rPr>
                <w:rFonts w:ascii="Arial" w:hAnsi="Arial" w:cs="Arial"/>
                <w:color w:val="auto"/>
                <w:sz w:val="16"/>
                <w:szCs w:val="16"/>
              </w:rPr>
              <w:t>-</w:t>
            </w:r>
          </w:p>
        </w:tc>
        <w:tc>
          <w:tcPr>
            <w:tcW w:w="860" w:type="dxa"/>
            <w:tcBorders>
              <w:top w:val="nil"/>
              <w:left w:val="nil"/>
              <w:bottom w:val="nil"/>
              <w:right w:val="nil"/>
            </w:tcBorders>
            <w:shd w:val="clear" w:color="auto" w:fill="auto"/>
            <w:noWrap/>
            <w:vAlign w:val="bottom"/>
            <w:hideMark/>
          </w:tcPr>
          <w:p w14:paraId="1B523B64" w14:textId="77777777" w:rsidR="00061E7B" w:rsidRPr="00061E7B" w:rsidRDefault="00061E7B" w:rsidP="00061E7B">
            <w:pPr>
              <w:spacing w:after="0"/>
              <w:jc w:val="right"/>
              <w:rPr>
                <w:rFonts w:ascii="Arial" w:hAnsi="Arial" w:cs="Arial"/>
                <w:color w:val="auto"/>
                <w:sz w:val="16"/>
                <w:szCs w:val="16"/>
              </w:rPr>
            </w:pPr>
            <w:r w:rsidRPr="00061E7B">
              <w:rPr>
                <w:rFonts w:ascii="Arial" w:hAnsi="Arial" w:cs="Arial"/>
                <w:color w:val="auto"/>
                <w:sz w:val="16"/>
                <w:szCs w:val="16"/>
              </w:rPr>
              <w:t>-</w:t>
            </w:r>
          </w:p>
        </w:tc>
        <w:tc>
          <w:tcPr>
            <w:tcW w:w="860" w:type="dxa"/>
            <w:tcBorders>
              <w:top w:val="nil"/>
              <w:left w:val="nil"/>
              <w:bottom w:val="nil"/>
              <w:right w:val="nil"/>
            </w:tcBorders>
            <w:shd w:val="clear" w:color="auto" w:fill="auto"/>
            <w:noWrap/>
            <w:vAlign w:val="bottom"/>
            <w:hideMark/>
          </w:tcPr>
          <w:p w14:paraId="3CBD3A61" w14:textId="77777777" w:rsidR="00061E7B" w:rsidRPr="00061E7B" w:rsidRDefault="00061E7B" w:rsidP="00061E7B">
            <w:pPr>
              <w:spacing w:after="0"/>
              <w:jc w:val="right"/>
              <w:rPr>
                <w:rFonts w:ascii="Arial" w:hAnsi="Arial" w:cs="Arial"/>
                <w:color w:val="auto"/>
                <w:sz w:val="16"/>
                <w:szCs w:val="16"/>
              </w:rPr>
            </w:pPr>
            <w:r w:rsidRPr="00061E7B">
              <w:rPr>
                <w:rFonts w:ascii="Arial" w:hAnsi="Arial" w:cs="Arial"/>
                <w:color w:val="auto"/>
                <w:sz w:val="16"/>
                <w:szCs w:val="16"/>
              </w:rPr>
              <w:t>-</w:t>
            </w:r>
          </w:p>
        </w:tc>
      </w:tr>
      <w:tr w:rsidR="00061E7B" w:rsidRPr="00061E7B" w14:paraId="60214994" w14:textId="77777777" w:rsidTr="00061E7B">
        <w:trPr>
          <w:trHeight w:val="225"/>
        </w:trPr>
        <w:tc>
          <w:tcPr>
            <w:tcW w:w="3051" w:type="dxa"/>
            <w:tcBorders>
              <w:top w:val="nil"/>
              <w:left w:val="nil"/>
              <w:bottom w:val="nil"/>
              <w:right w:val="nil"/>
            </w:tcBorders>
            <w:shd w:val="clear" w:color="auto" w:fill="auto"/>
            <w:noWrap/>
            <w:vAlign w:val="bottom"/>
            <w:hideMark/>
          </w:tcPr>
          <w:p w14:paraId="2CFA0A62" w14:textId="77777777" w:rsidR="00061E7B" w:rsidRPr="00061E7B" w:rsidRDefault="00061E7B" w:rsidP="00061E7B">
            <w:pPr>
              <w:spacing w:after="0"/>
              <w:ind w:leftChars="150" w:left="285"/>
              <w:rPr>
                <w:rFonts w:ascii="Arial" w:hAnsi="Arial" w:cs="Arial"/>
                <w:color w:val="auto"/>
                <w:sz w:val="16"/>
                <w:szCs w:val="16"/>
              </w:rPr>
            </w:pPr>
            <w:r w:rsidRPr="00061E7B">
              <w:rPr>
                <w:rFonts w:ascii="Arial" w:hAnsi="Arial" w:cs="Arial"/>
                <w:color w:val="auto"/>
                <w:sz w:val="16"/>
                <w:szCs w:val="16"/>
              </w:rPr>
              <w:t>Net GST received</w:t>
            </w:r>
          </w:p>
        </w:tc>
        <w:tc>
          <w:tcPr>
            <w:tcW w:w="880" w:type="dxa"/>
            <w:tcBorders>
              <w:top w:val="nil"/>
              <w:left w:val="nil"/>
              <w:bottom w:val="nil"/>
              <w:right w:val="nil"/>
            </w:tcBorders>
            <w:shd w:val="clear" w:color="auto" w:fill="auto"/>
            <w:noWrap/>
            <w:vAlign w:val="bottom"/>
            <w:hideMark/>
          </w:tcPr>
          <w:p w14:paraId="0F6D103F" w14:textId="77777777" w:rsidR="00061E7B" w:rsidRPr="00061E7B" w:rsidRDefault="00061E7B" w:rsidP="00061E7B">
            <w:pPr>
              <w:spacing w:after="0"/>
              <w:jc w:val="right"/>
              <w:rPr>
                <w:rFonts w:ascii="Arial" w:hAnsi="Arial" w:cs="Arial"/>
                <w:color w:val="auto"/>
                <w:sz w:val="16"/>
                <w:szCs w:val="16"/>
              </w:rPr>
            </w:pPr>
            <w:r w:rsidRPr="00061E7B">
              <w:rPr>
                <w:rFonts w:ascii="Arial" w:hAnsi="Arial" w:cs="Arial"/>
                <w:color w:val="auto"/>
                <w:sz w:val="16"/>
                <w:szCs w:val="16"/>
              </w:rPr>
              <w:t>22,476</w:t>
            </w:r>
          </w:p>
        </w:tc>
        <w:tc>
          <w:tcPr>
            <w:tcW w:w="849" w:type="dxa"/>
            <w:tcBorders>
              <w:top w:val="nil"/>
              <w:left w:val="nil"/>
              <w:bottom w:val="nil"/>
              <w:right w:val="nil"/>
            </w:tcBorders>
            <w:shd w:val="clear" w:color="000000" w:fill="D9D9D9"/>
            <w:noWrap/>
            <w:vAlign w:val="bottom"/>
            <w:hideMark/>
          </w:tcPr>
          <w:p w14:paraId="6614EEAA" w14:textId="77777777" w:rsidR="00061E7B" w:rsidRPr="00061E7B" w:rsidRDefault="00061E7B" w:rsidP="00061E7B">
            <w:pPr>
              <w:spacing w:after="0"/>
              <w:jc w:val="right"/>
              <w:rPr>
                <w:rFonts w:ascii="Arial" w:hAnsi="Arial" w:cs="Arial"/>
                <w:color w:val="auto"/>
                <w:sz w:val="16"/>
                <w:szCs w:val="16"/>
              </w:rPr>
            </w:pPr>
            <w:r w:rsidRPr="00061E7B">
              <w:rPr>
                <w:rFonts w:ascii="Arial" w:hAnsi="Arial" w:cs="Arial"/>
                <w:color w:val="auto"/>
                <w:sz w:val="16"/>
                <w:szCs w:val="16"/>
              </w:rPr>
              <w:t>-</w:t>
            </w:r>
          </w:p>
        </w:tc>
        <w:tc>
          <w:tcPr>
            <w:tcW w:w="860" w:type="dxa"/>
            <w:tcBorders>
              <w:top w:val="nil"/>
              <w:left w:val="nil"/>
              <w:bottom w:val="nil"/>
              <w:right w:val="nil"/>
            </w:tcBorders>
            <w:shd w:val="clear" w:color="auto" w:fill="auto"/>
            <w:noWrap/>
            <w:vAlign w:val="bottom"/>
            <w:hideMark/>
          </w:tcPr>
          <w:p w14:paraId="4C14EF49" w14:textId="77777777" w:rsidR="00061E7B" w:rsidRPr="00061E7B" w:rsidRDefault="00061E7B" w:rsidP="00061E7B">
            <w:pPr>
              <w:spacing w:after="0"/>
              <w:jc w:val="right"/>
              <w:rPr>
                <w:rFonts w:ascii="Arial" w:hAnsi="Arial" w:cs="Arial"/>
                <w:color w:val="auto"/>
                <w:sz w:val="16"/>
                <w:szCs w:val="16"/>
              </w:rPr>
            </w:pPr>
            <w:r w:rsidRPr="00061E7B">
              <w:rPr>
                <w:rFonts w:ascii="Arial" w:hAnsi="Arial" w:cs="Arial"/>
                <w:color w:val="auto"/>
                <w:sz w:val="16"/>
                <w:szCs w:val="16"/>
              </w:rPr>
              <w:t>-</w:t>
            </w:r>
          </w:p>
        </w:tc>
        <w:tc>
          <w:tcPr>
            <w:tcW w:w="860" w:type="dxa"/>
            <w:tcBorders>
              <w:top w:val="nil"/>
              <w:left w:val="nil"/>
              <w:bottom w:val="nil"/>
              <w:right w:val="nil"/>
            </w:tcBorders>
            <w:shd w:val="clear" w:color="auto" w:fill="auto"/>
            <w:noWrap/>
            <w:vAlign w:val="bottom"/>
            <w:hideMark/>
          </w:tcPr>
          <w:p w14:paraId="5A2CA334" w14:textId="77777777" w:rsidR="00061E7B" w:rsidRPr="00061E7B" w:rsidRDefault="00061E7B" w:rsidP="00061E7B">
            <w:pPr>
              <w:spacing w:after="0"/>
              <w:jc w:val="right"/>
              <w:rPr>
                <w:rFonts w:ascii="Arial" w:hAnsi="Arial" w:cs="Arial"/>
                <w:color w:val="auto"/>
                <w:sz w:val="16"/>
                <w:szCs w:val="16"/>
              </w:rPr>
            </w:pPr>
            <w:r w:rsidRPr="00061E7B">
              <w:rPr>
                <w:rFonts w:ascii="Arial" w:hAnsi="Arial" w:cs="Arial"/>
                <w:color w:val="auto"/>
                <w:sz w:val="16"/>
                <w:szCs w:val="16"/>
              </w:rPr>
              <w:t>-</w:t>
            </w:r>
          </w:p>
        </w:tc>
        <w:tc>
          <w:tcPr>
            <w:tcW w:w="860" w:type="dxa"/>
            <w:tcBorders>
              <w:top w:val="nil"/>
              <w:left w:val="nil"/>
              <w:bottom w:val="nil"/>
              <w:right w:val="nil"/>
            </w:tcBorders>
            <w:shd w:val="clear" w:color="auto" w:fill="auto"/>
            <w:noWrap/>
            <w:vAlign w:val="bottom"/>
            <w:hideMark/>
          </w:tcPr>
          <w:p w14:paraId="7D7DDA01" w14:textId="77777777" w:rsidR="00061E7B" w:rsidRPr="00061E7B" w:rsidRDefault="00061E7B" w:rsidP="00061E7B">
            <w:pPr>
              <w:spacing w:after="0"/>
              <w:jc w:val="right"/>
              <w:rPr>
                <w:rFonts w:ascii="Arial" w:hAnsi="Arial" w:cs="Arial"/>
                <w:color w:val="auto"/>
                <w:sz w:val="16"/>
                <w:szCs w:val="16"/>
              </w:rPr>
            </w:pPr>
            <w:r w:rsidRPr="00061E7B">
              <w:rPr>
                <w:rFonts w:ascii="Arial" w:hAnsi="Arial" w:cs="Arial"/>
                <w:color w:val="auto"/>
                <w:sz w:val="16"/>
                <w:szCs w:val="16"/>
              </w:rPr>
              <w:t>-</w:t>
            </w:r>
          </w:p>
        </w:tc>
      </w:tr>
      <w:tr w:rsidR="00061E7B" w:rsidRPr="00061E7B" w14:paraId="6C988692" w14:textId="77777777" w:rsidTr="00061E7B">
        <w:trPr>
          <w:trHeight w:val="225"/>
        </w:trPr>
        <w:tc>
          <w:tcPr>
            <w:tcW w:w="3051" w:type="dxa"/>
            <w:tcBorders>
              <w:top w:val="nil"/>
              <w:left w:val="nil"/>
              <w:bottom w:val="nil"/>
              <w:right w:val="nil"/>
            </w:tcBorders>
            <w:shd w:val="clear" w:color="auto" w:fill="auto"/>
            <w:noWrap/>
            <w:vAlign w:val="bottom"/>
            <w:hideMark/>
          </w:tcPr>
          <w:p w14:paraId="78109E49" w14:textId="77777777" w:rsidR="00061E7B" w:rsidRPr="00061E7B" w:rsidRDefault="00061E7B" w:rsidP="00061E7B">
            <w:pPr>
              <w:spacing w:after="0"/>
              <w:ind w:leftChars="150" w:left="285"/>
              <w:rPr>
                <w:rFonts w:ascii="Arial" w:hAnsi="Arial" w:cs="Arial"/>
                <w:color w:val="auto"/>
                <w:sz w:val="16"/>
                <w:szCs w:val="16"/>
              </w:rPr>
            </w:pPr>
            <w:r w:rsidRPr="00061E7B">
              <w:rPr>
                <w:rFonts w:ascii="Arial" w:hAnsi="Arial" w:cs="Arial"/>
                <w:color w:val="auto"/>
                <w:sz w:val="16"/>
                <w:szCs w:val="16"/>
              </w:rPr>
              <w:t>Interest</w:t>
            </w:r>
          </w:p>
        </w:tc>
        <w:tc>
          <w:tcPr>
            <w:tcW w:w="880" w:type="dxa"/>
            <w:tcBorders>
              <w:top w:val="nil"/>
              <w:left w:val="nil"/>
              <w:bottom w:val="nil"/>
              <w:right w:val="nil"/>
            </w:tcBorders>
            <w:shd w:val="clear" w:color="auto" w:fill="auto"/>
            <w:noWrap/>
            <w:vAlign w:val="bottom"/>
            <w:hideMark/>
          </w:tcPr>
          <w:p w14:paraId="30954976" w14:textId="77777777" w:rsidR="00061E7B" w:rsidRPr="00061E7B" w:rsidRDefault="00061E7B" w:rsidP="00061E7B">
            <w:pPr>
              <w:spacing w:after="0"/>
              <w:jc w:val="right"/>
              <w:rPr>
                <w:rFonts w:ascii="Arial" w:hAnsi="Arial" w:cs="Arial"/>
                <w:color w:val="auto"/>
                <w:sz w:val="16"/>
                <w:szCs w:val="16"/>
              </w:rPr>
            </w:pPr>
            <w:r w:rsidRPr="00061E7B">
              <w:rPr>
                <w:rFonts w:ascii="Arial" w:hAnsi="Arial" w:cs="Arial"/>
                <w:color w:val="auto"/>
                <w:sz w:val="16"/>
                <w:szCs w:val="16"/>
              </w:rPr>
              <w:t>16</w:t>
            </w:r>
          </w:p>
        </w:tc>
        <w:tc>
          <w:tcPr>
            <w:tcW w:w="849" w:type="dxa"/>
            <w:tcBorders>
              <w:top w:val="nil"/>
              <w:left w:val="nil"/>
              <w:bottom w:val="nil"/>
              <w:right w:val="nil"/>
            </w:tcBorders>
            <w:shd w:val="clear" w:color="000000" w:fill="D9D9D9"/>
            <w:noWrap/>
            <w:vAlign w:val="bottom"/>
            <w:hideMark/>
          </w:tcPr>
          <w:p w14:paraId="6A2FFFEB" w14:textId="77777777" w:rsidR="00061E7B" w:rsidRPr="00061E7B" w:rsidRDefault="00061E7B" w:rsidP="00061E7B">
            <w:pPr>
              <w:spacing w:after="0"/>
              <w:jc w:val="right"/>
              <w:rPr>
                <w:rFonts w:ascii="Arial" w:hAnsi="Arial" w:cs="Arial"/>
                <w:color w:val="auto"/>
                <w:sz w:val="16"/>
                <w:szCs w:val="16"/>
              </w:rPr>
            </w:pPr>
            <w:r w:rsidRPr="00061E7B">
              <w:rPr>
                <w:rFonts w:ascii="Arial" w:hAnsi="Arial" w:cs="Arial"/>
                <w:color w:val="auto"/>
                <w:sz w:val="16"/>
                <w:szCs w:val="16"/>
              </w:rPr>
              <w:t>-</w:t>
            </w:r>
          </w:p>
        </w:tc>
        <w:tc>
          <w:tcPr>
            <w:tcW w:w="860" w:type="dxa"/>
            <w:tcBorders>
              <w:top w:val="nil"/>
              <w:left w:val="nil"/>
              <w:bottom w:val="nil"/>
              <w:right w:val="nil"/>
            </w:tcBorders>
            <w:shd w:val="clear" w:color="auto" w:fill="auto"/>
            <w:noWrap/>
            <w:vAlign w:val="bottom"/>
            <w:hideMark/>
          </w:tcPr>
          <w:p w14:paraId="4E79C239" w14:textId="77777777" w:rsidR="00061E7B" w:rsidRPr="00061E7B" w:rsidRDefault="00061E7B" w:rsidP="00061E7B">
            <w:pPr>
              <w:spacing w:after="0"/>
              <w:jc w:val="right"/>
              <w:rPr>
                <w:rFonts w:ascii="Arial" w:hAnsi="Arial" w:cs="Arial"/>
                <w:color w:val="auto"/>
                <w:sz w:val="16"/>
                <w:szCs w:val="16"/>
              </w:rPr>
            </w:pPr>
            <w:r w:rsidRPr="00061E7B">
              <w:rPr>
                <w:rFonts w:ascii="Arial" w:hAnsi="Arial" w:cs="Arial"/>
                <w:color w:val="auto"/>
                <w:sz w:val="16"/>
                <w:szCs w:val="16"/>
              </w:rPr>
              <w:t>-</w:t>
            </w:r>
          </w:p>
        </w:tc>
        <w:tc>
          <w:tcPr>
            <w:tcW w:w="860" w:type="dxa"/>
            <w:tcBorders>
              <w:top w:val="nil"/>
              <w:left w:val="nil"/>
              <w:bottom w:val="nil"/>
              <w:right w:val="nil"/>
            </w:tcBorders>
            <w:shd w:val="clear" w:color="auto" w:fill="auto"/>
            <w:noWrap/>
            <w:vAlign w:val="bottom"/>
            <w:hideMark/>
          </w:tcPr>
          <w:p w14:paraId="301CD51B" w14:textId="77777777" w:rsidR="00061E7B" w:rsidRPr="00061E7B" w:rsidRDefault="00061E7B" w:rsidP="00061E7B">
            <w:pPr>
              <w:spacing w:after="0"/>
              <w:jc w:val="right"/>
              <w:rPr>
                <w:rFonts w:ascii="Arial" w:hAnsi="Arial" w:cs="Arial"/>
                <w:color w:val="auto"/>
                <w:sz w:val="16"/>
                <w:szCs w:val="16"/>
              </w:rPr>
            </w:pPr>
            <w:r w:rsidRPr="00061E7B">
              <w:rPr>
                <w:rFonts w:ascii="Arial" w:hAnsi="Arial" w:cs="Arial"/>
                <w:color w:val="auto"/>
                <w:sz w:val="16"/>
                <w:szCs w:val="16"/>
              </w:rPr>
              <w:t>-</w:t>
            </w:r>
          </w:p>
        </w:tc>
        <w:tc>
          <w:tcPr>
            <w:tcW w:w="860" w:type="dxa"/>
            <w:tcBorders>
              <w:top w:val="nil"/>
              <w:left w:val="nil"/>
              <w:bottom w:val="nil"/>
              <w:right w:val="nil"/>
            </w:tcBorders>
            <w:shd w:val="clear" w:color="auto" w:fill="auto"/>
            <w:noWrap/>
            <w:vAlign w:val="bottom"/>
            <w:hideMark/>
          </w:tcPr>
          <w:p w14:paraId="5D2842D3" w14:textId="77777777" w:rsidR="00061E7B" w:rsidRPr="00061E7B" w:rsidRDefault="00061E7B" w:rsidP="00061E7B">
            <w:pPr>
              <w:spacing w:after="0"/>
              <w:jc w:val="right"/>
              <w:rPr>
                <w:rFonts w:ascii="Arial" w:hAnsi="Arial" w:cs="Arial"/>
                <w:color w:val="auto"/>
                <w:sz w:val="16"/>
                <w:szCs w:val="16"/>
              </w:rPr>
            </w:pPr>
            <w:r w:rsidRPr="00061E7B">
              <w:rPr>
                <w:rFonts w:ascii="Arial" w:hAnsi="Arial" w:cs="Arial"/>
                <w:color w:val="auto"/>
                <w:sz w:val="16"/>
                <w:szCs w:val="16"/>
              </w:rPr>
              <w:t>-</w:t>
            </w:r>
          </w:p>
        </w:tc>
      </w:tr>
      <w:tr w:rsidR="00061E7B" w:rsidRPr="00061E7B" w14:paraId="6694A16D" w14:textId="77777777" w:rsidTr="00061E7B">
        <w:trPr>
          <w:trHeight w:val="225"/>
        </w:trPr>
        <w:tc>
          <w:tcPr>
            <w:tcW w:w="3051" w:type="dxa"/>
            <w:tcBorders>
              <w:top w:val="nil"/>
              <w:left w:val="nil"/>
              <w:bottom w:val="nil"/>
              <w:right w:val="nil"/>
            </w:tcBorders>
            <w:shd w:val="clear" w:color="auto" w:fill="auto"/>
            <w:noWrap/>
            <w:vAlign w:val="bottom"/>
            <w:hideMark/>
          </w:tcPr>
          <w:p w14:paraId="326F7ACA" w14:textId="77777777" w:rsidR="00061E7B" w:rsidRPr="00061E7B" w:rsidRDefault="00061E7B" w:rsidP="00061E7B">
            <w:pPr>
              <w:spacing w:after="0"/>
              <w:ind w:leftChars="150" w:left="285"/>
              <w:rPr>
                <w:rFonts w:ascii="Arial" w:hAnsi="Arial" w:cs="Arial"/>
                <w:b/>
                <w:bCs/>
                <w:color w:val="auto"/>
                <w:sz w:val="16"/>
                <w:szCs w:val="16"/>
              </w:rPr>
            </w:pPr>
            <w:r w:rsidRPr="00061E7B">
              <w:rPr>
                <w:rFonts w:ascii="Arial" w:hAnsi="Arial" w:cs="Arial"/>
                <w:b/>
                <w:bCs/>
                <w:color w:val="auto"/>
                <w:sz w:val="16"/>
                <w:szCs w:val="16"/>
              </w:rPr>
              <w:t>Total cash received</w:t>
            </w:r>
          </w:p>
        </w:tc>
        <w:tc>
          <w:tcPr>
            <w:tcW w:w="880" w:type="dxa"/>
            <w:tcBorders>
              <w:top w:val="nil"/>
              <w:left w:val="nil"/>
              <w:bottom w:val="single" w:sz="4" w:space="0" w:color="auto"/>
              <w:right w:val="nil"/>
            </w:tcBorders>
            <w:shd w:val="clear" w:color="auto" w:fill="auto"/>
            <w:noWrap/>
            <w:vAlign w:val="bottom"/>
            <w:hideMark/>
          </w:tcPr>
          <w:p w14:paraId="79C652A6" w14:textId="77777777" w:rsidR="00061E7B" w:rsidRPr="00061E7B" w:rsidRDefault="00061E7B" w:rsidP="00061E7B">
            <w:pPr>
              <w:spacing w:after="0"/>
              <w:jc w:val="right"/>
              <w:rPr>
                <w:rFonts w:ascii="Arial" w:hAnsi="Arial" w:cs="Arial"/>
                <w:b/>
                <w:bCs/>
                <w:color w:val="auto"/>
                <w:sz w:val="16"/>
                <w:szCs w:val="16"/>
              </w:rPr>
            </w:pPr>
            <w:r w:rsidRPr="00061E7B">
              <w:rPr>
                <w:rFonts w:ascii="Arial" w:hAnsi="Arial" w:cs="Arial"/>
                <w:b/>
                <w:bCs/>
                <w:color w:val="auto"/>
                <w:sz w:val="16"/>
                <w:szCs w:val="16"/>
              </w:rPr>
              <w:t>297,556</w:t>
            </w:r>
          </w:p>
        </w:tc>
        <w:tc>
          <w:tcPr>
            <w:tcW w:w="849" w:type="dxa"/>
            <w:tcBorders>
              <w:top w:val="nil"/>
              <w:left w:val="nil"/>
              <w:bottom w:val="single" w:sz="4" w:space="0" w:color="auto"/>
              <w:right w:val="nil"/>
            </w:tcBorders>
            <w:shd w:val="clear" w:color="000000" w:fill="D9D9D9"/>
            <w:noWrap/>
            <w:vAlign w:val="bottom"/>
            <w:hideMark/>
          </w:tcPr>
          <w:p w14:paraId="485D9E25" w14:textId="77777777" w:rsidR="00061E7B" w:rsidRPr="00061E7B" w:rsidRDefault="00061E7B" w:rsidP="00061E7B">
            <w:pPr>
              <w:spacing w:after="0"/>
              <w:jc w:val="right"/>
              <w:rPr>
                <w:rFonts w:ascii="Arial" w:hAnsi="Arial" w:cs="Arial"/>
                <w:b/>
                <w:bCs/>
                <w:color w:val="auto"/>
                <w:sz w:val="16"/>
                <w:szCs w:val="16"/>
              </w:rPr>
            </w:pPr>
            <w:r w:rsidRPr="00061E7B">
              <w:rPr>
                <w:rFonts w:ascii="Arial" w:hAnsi="Arial" w:cs="Arial"/>
                <w:b/>
                <w:bCs/>
                <w:color w:val="auto"/>
                <w:sz w:val="16"/>
                <w:szCs w:val="16"/>
              </w:rPr>
              <w:t>240,509</w:t>
            </w:r>
          </w:p>
        </w:tc>
        <w:tc>
          <w:tcPr>
            <w:tcW w:w="860" w:type="dxa"/>
            <w:tcBorders>
              <w:top w:val="nil"/>
              <w:left w:val="nil"/>
              <w:bottom w:val="single" w:sz="4" w:space="0" w:color="auto"/>
              <w:right w:val="nil"/>
            </w:tcBorders>
            <w:shd w:val="clear" w:color="auto" w:fill="auto"/>
            <w:noWrap/>
            <w:vAlign w:val="bottom"/>
            <w:hideMark/>
          </w:tcPr>
          <w:p w14:paraId="4A88C463" w14:textId="77777777" w:rsidR="00061E7B" w:rsidRPr="00061E7B" w:rsidRDefault="00061E7B" w:rsidP="00061E7B">
            <w:pPr>
              <w:spacing w:after="0"/>
              <w:jc w:val="right"/>
              <w:rPr>
                <w:rFonts w:ascii="Arial" w:hAnsi="Arial" w:cs="Arial"/>
                <w:b/>
                <w:bCs/>
                <w:color w:val="auto"/>
                <w:sz w:val="16"/>
                <w:szCs w:val="16"/>
              </w:rPr>
            </w:pPr>
            <w:r w:rsidRPr="00061E7B">
              <w:rPr>
                <w:rFonts w:ascii="Arial" w:hAnsi="Arial" w:cs="Arial"/>
                <w:b/>
                <w:bCs/>
                <w:color w:val="auto"/>
                <w:sz w:val="16"/>
                <w:szCs w:val="16"/>
              </w:rPr>
              <w:t>-</w:t>
            </w:r>
          </w:p>
        </w:tc>
        <w:tc>
          <w:tcPr>
            <w:tcW w:w="860" w:type="dxa"/>
            <w:tcBorders>
              <w:top w:val="nil"/>
              <w:left w:val="nil"/>
              <w:bottom w:val="single" w:sz="4" w:space="0" w:color="auto"/>
              <w:right w:val="nil"/>
            </w:tcBorders>
            <w:shd w:val="clear" w:color="auto" w:fill="auto"/>
            <w:noWrap/>
            <w:vAlign w:val="bottom"/>
            <w:hideMark/>
          </w:tcPr>
          <w:p w14:paraId="7BE2E6B9" w14:textId="77777777" w:rsidR="00061E7B" w:rsidRPr="00061E7B" w:rsidRDefault="00061E7B" w:rsidP="00061E7B">
            <w:pPr>
              <w:spacing w:after="0"/>
              <w:jc w:val="right"/>
              <w:rPr>
                <w:rFonts w:ascii="Arial" w:hAnsi="Arial" w:cs="Arial"/>
                <w:b/>
                <w:bCs/>
                <w:color w:val="auto"/>
                <w:sz w:val="16"/>
                <w:szCs w:val="16"/>
              </w:rPr>
            </w:pPr>
            <w:r w:rsidRPr="00061E7B">
              <w:rPr>
                <w:rFonts w:ascii="Arial" w:hAnsi="Arial" w:cs="Arial"/>
                <w:b/>
                <w:bCs/>
                <w:color w:val="auto"/>
                <w:sz w:val="16"/>
                <w:szCs w:val="16"/>
              </w:rPr>
              <w:t>-</w:t>
            </w:r>
          </w:p>
        </w:tc>
        <w:tc>
          <w:tcPr>
            <w:tcW w:w="860" w:type="dxa"/>
            <w:tcBorders>
              <w:top w:val="nil"/>
              <w:left w:val="nil"/>
              <w:bottom w:val="single" w:sz="4" w:space="0" w:color="auto"/>
              <w:right w:val="nil"/>
            </w:tcBorders>
            <w:shd w:val="clear" w:color="auto" w:fill="auto"/>
            <w:noWrap/>
            <w:vAlign w:val="bottom"/>
            <w:hideMark/>
          </w:tcPr>
          <w:p w14:paraId="4ABA4277" w14:textId="77777777" w:rsidR="00061E7B" w:rsidRPr="00061E7B" w:rsidRDefault="00061E7B" w:rsidP="00061E7B">
            <w:pPr>
              <w:spacing w:after="0"/>
              <w:jc w:val="right"/>
              <w:rPr>
                <w:rFonts w:ascii="Arial" w:hAnsi="Arial" w:cs="Arial"/>
                <w:b/>
                <w:bCs/>
                <w:color w:val="auto"/>
                <w:sz w:val="16"/>
                <w:szCs w:val="16"/>
              </w:rPr>
            </w:pPr>
            <w:r w:rsidRPr="00061E7B">
              <w:rPr>
                <w:rFonts w:ascii="Arial" w:hAnsi="Arial" w:cs="Arial"/>
                <w:b/>
                <w:bCs/>
                <w:color w:val="auto"/>
                <w:sz w:val="16"/>
                <w:szCs w:val="16"/>
              </w:rPr>
              <w:t>-</w:t>
            </w:r>
          </w:p>
        </w:tc>
      </w:tr>
      <w:tr w:rsidR="00061E7B" w:rsidRPr="00061E7B" w14:paraId="2DB08B19" w14:textId="77777777" w:rsidTr="00061E7B">
        <w:trPr>
          <w:trHeight w:val="300"/>
        </w:trPr>
        <w:tc>
          <w:tcPr>
            <w:tcW w:w="3051" w:type="dxa"/>
            <w:tcBorders>
              <w:top w:val="nil"/>
              <w:left w:val="nil"/>
              <w:bottom w:val="nil"/>
              <w:right w:val="nil"/>
            </w:tcBorders>
            <w:shd w:val="clear" w:color="auto" w:fill="auto"/>
            <w:noWrap/>
            <w:vAlign w:val="bottom"/>
            <w:hideMark/>
          </w:tcPr>
          <w:p w14:paraId="6F01B666" w14:textId="77777777" w:rsidR="00061E7B" w:rsidRPr="00061E7B" w:rsidRDefault="00061E7B" w:rsidP="00061E7B">
            <w:pPr>
              <w:spacing w:after="0"/>
              <w:ind w:firstLineChars="100" w:firstLine="160"/>
              <w:rPr>
                <w:rFonts w:ascii="Arial" w:hAnsi="Arial" w:cs="Arial"/>
                <w:b/>
                <w:bCs/>
                <w:color w:val="auto"/>
                <w:sz w:val="16"/>
                <w:szCs w:val="16"/>
              </w:rPr>
            </w:pPr>
            <w:r w:rsidRPr="00061E7B">
              <w:rPr>
                <w:rFonts w:ascii="Arial" w:hAnsi="Arial" w:cs="Arial"/>
                <w:b/>
                <w:bCs/>
                <w:color w:val="auto"/>
                <w:sz w:val="16"/>
                <w:szCs w:val="16"/>
              </w:rPr>
              <w:t>Cash used</w:t>
            </w:r>
          </w:p>
        </w:tc>
        <w:tc>
          <w:tcPr>
            <w:tcW w:w="880" w:type="dxa"/>
            <w:tcBorders>
              <w:top w:val="nil"/>
              <w:left w:val="nil"/>
              <w:bottom w:val="nil"/>
              <w:right w:val="nil"/>
            </w:tcBorders>
            <w:shd w:val="clear" w:color="auto" w:fill="auto"/>
            <w:noWrap/>
            <w:vAlign w:val="bottom"/>
            <w:hideMark/>
          </w:tcPr>
          <w:p w14:paraId="2FBF6529" w14:textId="77777777" w:rsidR="00061E7B" w:rsidRPr="00061E7B" w:rsidRDefault="00061E7B" w:rsidP="00061E7B">
            <w:pPr>
              <w:spacing w:after="0"/>
              <w:ind w:firstLineChars="100" w:firstLine="160"/>
              <w:rPr>
                <w:rFonts w:ascii="Arial" w:hAnsi="Arial" w:cs="Arial"/>
                <w:b/>
                <w:bCs/>
                <w:color w:val="auto"/>
                <w:sz w:val="16"/>
                <w:szCs w:val="16"/>
              </w:rPr>
            </w:pPr>
          </w:p>
        </w:tc>
        <w:tc>
          <w:tcPr>
            <w:tcW w:w="849" w:type="dxa"/>
            <w:tcBorders>
              <w:top w:val="nil"/>
              <w:left w:val="nil"/>
              <w:bottom w:val="nil"/>
              <w:right w:val="nil"/>
            </w:tcBorders>
            <w:shd w:val="clear" w:color="000000" w:fill="D9D9D9"/>
            <w:noWrap/>
            <w:vAlign w:val="bottom"/>
            <w:hideMark/>
          </w:tcPr>
          <w:p w14:paraId="5C98A458" w14:textId="77777777" w:rsidR="00061E7B" w:rsidRPr="00061E7B" w:rsidRDefault="00061E7B" w:rsidP="00061E7B">
            <w:pPr>
              <w:spacing w:after="0"/>
              <w:jc w:val="right"/>
              <w:rPr>
                <w:rFonts w:ascii="Arial" w:hAnsi="Arial" w:cs="Arial"/>
                <w:color w:val="auto"/>
                <w:sz w:val="16"/>
                <w:szCs w:val="16"/>
              </w:rPr>
            </w:pPr>
            <w:r w:rsidRPr="00061E7B">
              <w:rPr>
                <w:rFonts w:ascii="Arial" w:hAnsi="Arial" w:cs="Arial"/>
                <w:color w:val="auto"/>
                <w:sz w:val="16"/>
                <w:szCs w:val="16"/>
              </w:rPr>
              <w:t> </w:t>
            </w:r>
          </w:p>
        </w:tc>
        <w:tc>
          <w:tcPr>
            <w:tcW w:w="860" w:type="dxa"/>
            <w:tcBorders>
              <w:top w:val="nil"/>
              <w:left w:val="nil"/>
              <w:bottom w:val="nil"/>
              <w:right w:val="nil"/>
            </w:tcBorders>
            <w:shd w:val="clear" w:color="auto" w:fill="auto"/>
            <w:noWrap/>
            <w:vAlign w:val="bottom"/>
            <w:hideMark/>
          </w:tcPr>
          <w:p w14:paraId="66E5A4A0" w14:textId="77777777" w:rsidR="00061E7B" w:rsidRPr="00061E7B" w:rsidRDefault="00061E7B" w:rsidP="00061E7B">
            <w:pPr>
              <w:spacing w:after="0"/>
              <w:jc w:val="right"/>
              <w:rPr>
                <w:rFonts w:ascii="Arial" w:hAnsi="Arial" w:cs="Arial"/>
                <w:color w:val="auto"/>
                <w:sz w:val="16"/>
                <w:szCs w:val="16"/>
              </w:rPr>
            </w:pPr>
          </w:p>
        </w:tc>
        <w:tc>
          <w:tcPr>
            <w:tcW w:w="860" w:type="dxa"/>
            <w:tcBorders>
              <w:top w:val="nil"/>
              <w:left w:val="nil"/>
              <w:bottom w:val="nil"/>
              <w:right w:val="nil"/>
            </w:tcBorders>
            <w:shd w:val="clear" w:color="auto" w:fill="auto"/>
            <w:noWrap/>
            <w:vAlign w:val="bottom"/>
            <w:hideMark/>
          </w:tcPr>
          <w:p w14:paraId="12E9741B" w14:textId="77777777" w:rsidR="00061E7B" w:rsidRPr="00061E7B" w:rsidRDefault="00061E7B" w:rsidP="00061E7B">
            <w:pPr>
              <w:spacing w:after="0"/>
              <w:jc w:val="right"/>
              <w:rPr>
                <w:rFonts w:ascii="Times New Roman" w:hAnsi="Times New Roman"/>
                <w:color w:val="auto"/>
                <w:sz w:val="20"/>
              </w:rPr>
            </w:pPr>
          </w:p>
        </w:tc>
        <w:tc>
          <w:tcPr>
            <w:tcW w:w="860" w:type="dxa"/>
            <w:tcBorders>
              <w:top w:val="nil"/>
              <w:left w:val="nil"/>
              <w:bottom w:val="nil"/>
              <w:right w:val="nil"/>
            </w:tcBorders>
            <w:shd w:val="clear" w:color="auto" w:fill="auto"/>
            <w:noWrap/>
            <w:vAlign w:val="bottom"/>
            <w:hideMark/>
          </w:tcPr>
          <w:p w14:paraId="2117EB74" w14:textId="77777777" w:rsidR="00061E7B" w:rsidRPr="00061E7B" w:rsidRDefault="00061E7B" w:rsidP="00061E7B">
            <w:pPr>
              <w:spacing w:after="0"/>
              <w:jc w:val="right"/>
              <w:rPr>
                <w:rFonts w:ascii="Times New Roman" w:hAnsi="Times New Roman"/>
                <w:color w:val="auto"/>
                <w:sz w:val="20"/>
              </w:rPr>
            </w:pPr>
          </w:p>
        </w:tc>
      </w:tr>
      <w:tr w:rsidR="00061E7B" w:rsidRPr="00061E7B" w14:paraId="0F0B8F57" w14:textId="77777777" w:rsidTr="00061E7B">
        <w:trPr>
          <w:trHeight w:val="225"/>
        </w:trPr>
        <w:tc>
          <w:tcPr>
            <w:tcW w:w="3051" w:type="dxa"/>
            <w:tcBorders>
              <w:top w:val="nil"/>
              <w:left w:val="nil"/>
              <w:bottom w:val="nil"/>
              <w:right w:val="nil"/>
            </w:tcBorders>
            <w:shd w:val="clear" w:color="auto" w:fill="auto"/>
            <w:noWrap/>
            <w:vAlign w:val="bottom"/>
            <w:hideMark/>
          </w:tcPr>
          <w:p w14:paraId="68D4FC45" w14:textId="77777777" w:rsidR="00061E7B" w:rsidRPr="00061E7B" w:rsidRDefault="00061E7B" w:rsidP="00061E7B">
            <w:pPr>
              <w:spacing w:after="0"/>
              <w:ind w:leftChars="150" w:left="285"/>
              <w:rPr>
                <w:rFonts w:ascii="Arial" w:hAnsi="Arial" w:cs="Arial"/>
                <w:color w:val="auto"/>
                <w:sz w:val="16"/>
                <w:szCs w:val="16"/>
              </w:rPr>
            </w:pPr>
            <w:r w:rsidRPr="00061E7B">
              <w:rPr>
                <w:rFonts w:ascii="Arial" w:hAnsi="Arial" w:cs="Arial"/>
                <w:color w:val="auto"/>
                <w:sz w:val="16"/>
                <w:szCs w:val="16"/>
              </w:rPr>
              <w:t>Employees</w:t>
            </w:r>
          </w:p>
        </w:tc>
        <w:tc>
          <w:tcPr>
            <w:tcW w:w="880" w:type="dxa"/>
            <w:tcBorders>
              <w:top w:val="nil"/>
              <w:left w:val="nil"/>
              <w:bottom w:val="nil"/>
              <w:right w:val="nil"/>
            </w:tcBorders>
            <w:shd w:val="clear" w:color="auto" w:fill="auto"/>
            <w:noWrap/>
            <w:vAlign w:val="bottom"/>
            <w:hideMark/>
          </w:tcPr>
          <w:p w14:paraId="4DDEDA20" w14:textId="77777777" w:rsidR="00061E7B" w:rsidRPr="00061E7B" w:rsidRDefault="00061E7B" w:rsidP="00061E7B">
            <w:pPr>
              <w:spacing w:after="0"/>
              <w:jc w:val="right"/>
              <w:rPr>
                <w:rFonts w:ascii="Arial" w:hAnsi="Arial" w:cs="Arial"/>
                <w:color w:val="auto"/>
                <w:sz w:val="16"/>
                <w:szCs w:val="16"/>
              </w:rPr>
            </w:pPr>
            <w:r w:rsidRPr="00061E7B">
              <w:rPr>
                <w:rFonts w:ascii="Arial" w:hAnsi="Arial" w:cs="Arial"/>
                <w:color w:val="auto"/>
                <w:sz w:val="16"/>
                <w:szCs w:val="16"/>
              </w:rPr>
              <w:t>39,674</w:t>
            </w:r>
          </w:p>
        </w:tc>
        <w:tc>
          <w:tcPr>
            <w:tcW w:w="849" w:type="dxa"/>
            <w:tcBorders>
              <w:top w:val="nil"/>
              <w:left w:val="nil"/>
              <w:bottom w:val="nil"/>
              <w:right w:val="nil"/>
            </w:tcBorders>
            <w:shd w:val="clear" w:color="000000" w:fill="D9D9D9"/>
            <w:noWrap/>
            <w:vAlign w:val="bottom"/>
            <w:hideMark/>
          </w:tcPr>
          <w:p w14:paraId="7962EF83" w14:textId="77777777" w:rsidR="00061E7B" w:rsidRPr="00061E7B" w:rsidRDefault="00061E7B" w:rsidP="00061E7B">
            <w:pPr>
              <w:spacing w:after="0"/>
              <w:jc w:val="right"/>
              <w:rPr>
                <w:rFonts w:ascii="Arial" w:hAnsi="Arial" w:cs="Arial"/>
                <w:color w:val="auto"/>
                <w:sz w:val="16"/>
                <w:szCs w:val="16"/>
              </w:rPr>
            </w:pPr>
            <w:r w:rsidRPr="00061E7B">
              <w:rPr>
                <w:rFonts w:ascii="Arial" w:hAnsi="Arial" w:cs="Arial"/>
                <w:color w:val="auto"/>
                <w:sz w:val="16"/>
                <w:szCs w:val="16"/>
              </w:rPr>
              <w:t>54,998</w:t>
            </w:r>
          </w:p>
        </w:tc>
        <w:tc>
          <w:tcPr>
            <w:tcW w:w="860" w:type="dxa"/>
            <w:tcBorders>
              <w:top w:val="nil"/>
              <w:left w:val="nil"/>
              <w:bottom w:val="nil"/>
              <w:right w:val="nil"/>
            </w:tcBorders>
            <w:shd w:val="clear" w:color="auto" w:fill="auto"/>
            <w:noWrap/>
            <w:vAlign w:val="bottom"/>
            <w:hideMark/>
          </w:tcPr>
          <w:p w14:paraId="638B7863" w14:textId="77777777" w:rsidR="00061E7B" w:rsidRPr="00061E7B" w:rsidRDefault="00061E7B" w:rsidP="00061E7B">
            <w:pPr>
              <w:spacing w:after="0"/>
              <w:jc w:val="right"/>
              <w:rPr>
                <w:rFonts w:ascii="Arial" w:hAnsi="Arial" w:cs="Arial"/>
                <w:color w:val="auto"/>
                <w:sz w:val="16"/>
                <w:szCs w:val="16"/>
              </w:rPr>
            </w:pPr>
            <w:r w:rsidRPr="00061E7B">
              <w:rPr>
                <w:rFonts w:ascii="Arial" w:hAnsi="Arial" w:cs="Arial"/>
                <w:color w:val="auto"/>
                <w:sz w:val="16"/>
                <w:szCs w:val="16"/>
              </w:rPr>
              <w:t>-</w:t>
            </w:r>
          </w:p>
        </w:tc>
        <w:tc>
          <w:tcPr>
            <w:tcW w:w="860" w:type="dxa"/>
            <w:tcBorders>
              <w:top w:val="nil"/>
              <w:left w:val="nil"/>
              <w:bottom w:val="nil"/>
              <w:right w:val="nil"/>
            </w:tcBorders>
            <w:shd w:val="clear" w:color="auto" w:fill="auto"/>
            <w:noWrap/>
            <w:vAlign w:val="bottom"/>
            <w:hideMark/>
          </w:tcPr>
          <w:p w14:paraId="78965B48" w14:textId="77777777" w:rsidR="00061E7B" w:rsidRPr="00061E7B" w:rsidRDefault="00061E7B" w:rsidP="00061E7B">
            <w:pPr>
              <w:spacing w:after="0"/>
              <w:jc w:val="right"/>
              <w:rPr>
                <w:rFonts w:ascii="Arial" w:hAnsi="Arial" w:cs="Arial"/>
                <w:color w:val="auto"/>
                <w:sz w:val="16"/>
                <w:szCs w:val="16"/>
              </w:rPr>
            </w:pPr>
            <w:r w:rsidRPr="00061E7B">
              <w:rPr>
                <w:rFonts w:ascii="Arial" w:hAnsi="Arial" w:cs="Arial"/>
                <w:color w:val="auto"/>
                <w:sz w:val="16"/>
                <w:szCs w:val="16"/>
              </w:rPr>
              <w:t>-</w:t>
            </w:r>
          </w:p>
        </w:tc>
        <w:tc>
          <w:tcPr>
            <w:tcW w:w="860" w:type="dxa"/>
            <w:tcBorders>
              <w:top w:val="nil"/>
              <w:left w:val="nil"/>
              <w:bottom w:val="nil"/>
              <w:right w:val="nil"/>
            </w:tcBorders>
            <w:shd w:val="clear" w:color="auto" w:fill="auto"/>
            <w:noWrap/>
            <w:vAlign w:val="bottom"/>
            <w:hideMark/>
          </w:tcPr>
          <w:p w14:paraId="3B38D9E2" w14:textId="77777777" w:rsidR="00061E7B" w:rsidRPr="00061E7B" w:rsidRDefault="00061E7B" w:rsidP="00061E7B">
            <w:pPr>
              <w:spacing w:after="0"/>
              <w:jc w:val="right"/>
              <w:rPr>
                <w:rFonts w:ascii="Arial" w:hAnsi="Arial" w:cs="Arial"/>
                <w:color w:val="auto"/>
                <w:sz w:val="16"/>
                <w:szCs w:val="16"/>
              </w:rPr>
            </w:pPr>
            <w:r w:rsidRPr="00061E7B">
              <w:rPr>
                <w:rFonts w:ascii="Arial" w:hAnsi="Arial" w:cs="Arial"/>
                <w:color w:val="auto"/>
                <w:sz w:val="16"/>
                <w:szCs w:val="16"/>
              </w:rPr>
              <w:t>-</w:t>
            </w:r>
          </w:p>
        </w:tc>
      </w:tr>
      <w:tr w:rsidR="00061E7B" w:rsidRPr="00061E7B" w14:paraId="19D6B9B8" w14:textId="77777777" w:rsidTr="00061E7B">
        <w:trPr>
          <w:trHeight w:val="225"/>
        </w:trPr>
        <w:tc>
          <w:tcPr>
            <w:tcW w:w="3051" w:type="dxa"/>
            <w:tcBorders>
              <w:top w:val="nil"/>
              <w:left w:val="nil"/>
              <w:bottom w:val="nil"/>
              <w:right w:val="nil"/>
            </w:tcBorders>
            <w:shd w:val="clear" w:color="auto" w:fill="auto"/>
            <w:noWrap/>
            <w:vAlign w:val="bottom"/>
            <w:hideMark/>
          </w:tcPr>
          <w:p w14:paraId="4986C715" w14:textId="77777777" w:rsidR="00061E7B" w:rsidRPr="00061E7B" w:rsidRDefault="00061E7B" w:rsidP="00061E7B">
            <w:pPr>
              <w:spacing w:after="0"/>
              <w:ind w:leftChars="150" w:left="285"/>
              <w:rPr>
                <w:rFonts w:ascii="Arial" w:hAnsi="Arial" w:cs="Arial"/>
                <w:color w:val="auto"/>
                <w:sz w:val="16"/>
                <w:szCs w:val="16"/>
              </w:rPr>
            </w:pPr>
            <w:r w:rsidRPr="00061E7B">
              <w:rPr>
                <w:rFonts w:ascii="Arial" w:hAnsi="Arial" w:cs="Arial"/>
                <w:color w:val="auto"/>
                <w:sz w:val="16"/>
                <w:szCs w:val="16"/>
              </w:rPr>
              <w:t>Suppliers</w:t>
            </w:r>
          </w:p>
        </w:tc>
        <w:tc>
          <w:tcPr>
            <w:tcW w:w="880" w:type="dxa"/>
            <w:tcBorders>
              <w:top w:val="nil"/>
              <w:left w:val="nil"/>
              <w:bottom w:val="nil"/>
              <w:right w:val="nil"/>
            </w:tcBorders>
            <w:shd w:val="clear" w:color="auto" w:fill="auto"/>
            <w:noWrap/>
            <w:vAlign w:val="bottom"/>
            <w:hideMark/>
          </w:tcPr>
          <w:p w14:paraId="52905F99" w14:textId="77777777" w:rsidR="00061E7B" w:rsidRPr="00061E7B" w:rsidRDefault="00061E7B" w:rsidP="00061E7B">
            <w:pPr>
              <w:spacing w:after="0"/>
              <w:jc w:val="right"/>
              <w:rPr>
                <w:rFonts w:ascii="Arial" w:hAnsi="Arial" w:cs="Arial"/>
                <w:color w:val="auto"/>
                <w:sz w:val="16"/>
                <w:szCs w:val="16"/>
              </w:rPr>
            </w:pPr>
            <w:r w:rsidRPr="00061E7B">
              <w:rPr>
                <w:rFonts w:ascii="Arial" w:hAnsi="Arial" w:cs="Arial"/>
                <w:color w:val="auto"/>
                <w:sz w:val="16"/>
                <w:szCs w:val="16"/>
              </w:rPr>
              <w:t>215,438</w:t>
            </w:r>
          </w:p>
        </w:tc>
        <w:tc>
          <w:tcPr>
            <w:tcW w:w="849" w:type="dxa"/>
            <w:tcBorders>
              <w:top w:val="nil"/>
              <w:left w:val="nil"/>
              <w:bottom w:val="nil"/>
              <w:right w:val="nil"/>
            </w:tcBorders>
            <w:shd w:val="clear" w:color="000000" w:fill="D9D9D9"/>
            <w:noWrap/>
            <w:vAlign w:val="bottom"/>
            <w:hideMark/>
          </w:tcPr>
          <w:p w14:paraId="07B04ACD" w14:textId="77777777" w:rsidR="00061E7B" w:rsidRPr="00061E7B" w:rsidRDefault="00061E7B" w:rsidP="00061E7B">
            <w:pPr>
              <w:spacing w:after="0"/>
              <w:jc w:val="right"/>
              <w:rPr>
                <w:rFonts w:ascii="Arial" w:hAnsi="Arial" w:cs="Arial"/>
                <w:color w:val="auto"/>
                <w:sz w:val="16"/>
                <w:szCs w:val="16"/>
              </w:rPr>
            </w:pPr>
            <w:r w:rsidRPr="00061E7B">
              <w:rPr>
                <w:rFonts w:ascii="Arial" w:hAnsi="Arial" w:cs="Arial"/>
                <w:color w:val="auto"/>
                <w:sz w:val="16"/>
                <w:szCs w:val="16"/>
              </w:rPr>
              <w:t>180,813</w:t>
            </w:r>
          </w:p>
        </w:tc>
        <w:tc>
          <w:tcPr>
            <w:tcW w:w="860" w:type="dxa"/>
            <w:tcBorders>
              <w:top w:val="nil"/>
              <w:left w:val="nil"/>
              <w:bottom w:val="nil"/>
              <w:right w:val="nil"/>
            </w:tcBorders>
            <w:shd w:val="clear" w:color="auto" w:fill="auto"/>
            <w:noWrap/>
            <w:vAlign w:val="bottom"/>
            <w:hideMark/>
          </w:tcPr>
          <w:p w14:paraId="11324243" w14:textId="77777777" w:rsidR="00061E7B" w:rsidRPr="00061E7B" w:rsidRDefault="00061E7B" w:rsidP="00061E7B">
            <w:pPr>
              <w:spacing w:after="0"/>
              <w:jc w:val="right"/>
              <w:rPr>
                <w:rFonts w:ascii="Arial" w:hAnsi="Arial" w:cs="Arial"/>
                <w:color w:val="auto"/>
                <w:sz w:val="16"/>
                <w:szCs w:val="16"/>
              </w:rPr>
            </w:pPr>
            <w:r w:rsidRPr="00061E7B">
              <w:rPr>
                <w:rFonts w:ascii="Arial" w:hAnsi="Arial" w:cs="Arial"/>
                <w:color w:val="auto"/>
                <w:sz w:val="16"/>
                <w:szCs w:val="16"/>
              </w:rPr>
              <w:t>-</w:t>
            </w:r>
          </w:p>
        </w:tc>
        <w:tc>
          <w:tcPr>
            <w:tcW w:w="860" w:type="dxa"/>
            <w:tcBorders>
              <w:top w:val="nil"/>
              <w:left w:val="nil"/>
              <w:bottom w:val="nil"/>
              <w:right w:val="nil"/>
            </w:tcBorders>
            <w:shd w:val="clear" w:color="auto" w:fill="auto"/>
            <w:noWrap/>
            <w:vAlign w:val="bottom"/>
            <w:hideMark/>
          </w:tcPr>
          <w:p w14:paraId="5024C920" w14:textId="77777777" w:rsidR="00061E7B" w:rsidRPr="00061E7B" w:rsidRDefault="00061E7B" w:rsidP="00061E7B">
            <w:pPr>
              <w:spacing w:after="0"/>
              <w:jc w:val="right"/>
              <w:rPr>
                <w:rFonts w:ascii="Arial" w:hAnsi="Arial" w:cs="Arial"/>
                <w:color w:val="auto"/>
                <w:sz w:val="16"/>
                <w:szCs w:val="16"/>
              </w:rPr>
            </w:pPr>
            <w:r w:rsidRPr="00061E7B">
              <w:rPr>
                <w:rFonts w:ascii="Arial" w:hAnsi="Arial" w:cs="Arial"/>
                <w:color w:val="auto"/>
                <w:sz w:val="16"/>
                <w:szCs w:val="16"/>
              </w:rPr>
              <w:t>-</w:t>
            </w:r>
          </w:p>
        </w:tc>
        <w:tc>
          <w:tcPr>
            <w:tcW w:w="860" w:type="dxa"/>
            <w:tcBorders>
              <w:top w:val="nil"/>
              <w:left w:val="nil"/>
              <w:bottom w:val="nil"/>
              <w:right w:val="nil"/>
            </w:tcBorders>
            <w:shd w:val="clear" w:color="auto" w:fill="auto"/>
            <w:noWrap/>
            <w:vAlign w:val="bottom"/>
            <w:hideMark/>
          </w:tcPr>
          <w:p w14:paraId="2E44A0BA" w14:textId="77777777" w:rsidR="00061E7B" w:rsidRPr="00061E7B" w:rsidRDefault="00061E7B" w:rsidP="00061E7B">
            <w:pPr>
              <w:spacing w:after="0"/>
              <w:jc w:val="right"/>
              <w:rPr>
                <w:rFonts w:ascii="Arial" w:hAnsi="Arial" w:cs="Arial"/>
                <w:color w:val="auto"/>
                <w:sz w:val="16"/>
                <w:szCs w:val="16"/>
              </w:rPr>
            </w:pPr>
            <w:r w:rsidRPr="00061E7B">
              <w:rPr>
                <w:rFonts w:ascii="Arial" w:hAnsi="Arial" w:cs="Arial"/>
                <w:color w:val="auto"/>
                <w:sz w:val="16"/>
                <w:szCs w:val="16"/>
              </w:rPr>
              <w:t>-</w:t>
            </w:r>
          </w:p>
        </w:tc>
      </w:tr>
      <w:tr w:rsidR="00061E7B" w:rsidRPr="00061E7B" w14:paraId="44438F6B" w14:textId="77777777" w:rsidTr="00061E7B">
        <w:trPr>
          <w:trHeight w:val="225"/>
        </w:trPr>
        <w:tc>
          <w:tcPr>
            <w:tcW w:w="3051" w:type="dxa"/>
            <w:tcBorders>
              <w:top w:val="nil"/>
              <w:left w:val="nil"/>
              <w:bottom w:val="nil"/>
              <w:right w:val="nil"/>
            </w:tcBorders>
            <w:shd w:val="clear" w:color="auto" w:fill="auto"/>
            <w:noWrap/>
            <w:vAlign w:val="bottom"/>
            <w:hideMark/>
          </w:tcPr>
          <w:p w14:paraId="5D9F7985" w14:textId="77777777" w:rsidR="00061E7B" w:rsidRPr="00061E7B" w:rsidRDefault="00061E7B" w:rsidP="00061E7B">
            <w:pPr>
              <w:spacing w:after="0"/>
              <w:ind w:leftChars="150" w:left="285"/>
              <w:rPr>
                <w:rFonts w:ascii="Arial" w:hAnsi="Arial" w:cs="Arial"/>
                <w:color w:val="auto"/>
                <w:sz w:val="16"/>
                <w:szCs w:val="16"/>
              </w:rPr>
            </w:pPr>
            <w:r w:rsidRPr="00061E7B">
              <w:rPr>
                <w:rFonts w:ascii="Arial" w:hAnsi="Arial" w:cs="Arial"/>
                <w:color w:val="auto"/>
                <w:sz w:val="16"/>
                <w:szCs w:val="16"/>
              </w:rPr>
              <w:t>Net GST paid</w:t>
            </w:r>
          </w:p>
        </w:tc>
        <w:tc>
          <w:tcPr>
            <w:tcW w:w="880" w:type="dxa"/>
            <w:tcBorders>
              <w:top w:val="nil"/>
              <w:left w:val="nil"/>
              <w:bottom w:val="nil"/>
              <w:right w:val="nil"/>
            </w:tcBorders>
            <w:shd w:val="clear" w:color="auto" w:fill="auto"/>
            <w:noWrap/>
            <w:vAlign w:val="bottom"/>
            <w:hideMark/>
          </w:tcPr>
          <w:p w14:paraId="4A05CD90" w14:textId="77777777" w:rsidR="00061E7B" w:rsidRPr="00061E7B" w:rsidRDefault="00061E7B" w:rsidP="00061E7B">
            <w:pPr>
              <w:spacing w:after="0"/>
              <w:jc w:val="right"/>
              <w:rPr>
                <w:rFonts w:ascii="Arial" w:hAnsi="Arial" w:cs="Arial"/>
                <w:color w:val="auto"/>
                <w:sz w:val="16"/>
                <w:szCs w:val="16"/>
              </w:rPr>
            </w:pPr>
            <w:r w:rsidRPr="00061E7B">
              <w:rPr>
                <w:rFonts w:ascii="Arial" w:hAnsi="Arial" w:cs="Arial"/>
                <w:color w:val="auto"/>
                <w:sz w:val="16"/>
                <w:szCs w:val="16"/>
              </w:rPr>
              <w:t>26,290</w:t>
            </w:r>
          </w:p>
        </w:tc>
        <w:tc>
          <w:tcPr>
            <w:tcW w:w="849" w:type="dxa"/>
            <w:tcBorders>
              <w:top w:val="nil"/>
              <w:left w:val="nil"/>
              <w:bottom w:val="nil"/>
              <w:right w:val="nil"/>
            </w:tcBorders>
            <w:shd w:val="clear" w:color="000000" w:fill="D9D9D9"/>
            <w:noWrap/>
            <w:vAlign w:val="bottom"/>
            <w:hideMark/>
          </w:tcPr>
          <w:p w14:paraId="5BABFCE1" w14:textId="77777777" w:rsidR="00061E7B" w:rsidRPr="00061E7B" w:rsidRDefault="00061E7B" w:rsidP="00061E7B">
            <w:pPr>
              <w:spacing w:after="0"/>
              <w:jc w:val="right"/>
              <w:rPr>
                <w:rFonts w:ascii="Arial" w:hAnsi="Arial" w:cs="Arial"/>
                <w:color w:val="auto"/>
                <w:sz w:val="16"/>
                <w:szCs w:val="16"/>
              </w:rPr>
            </w:pPr>
            <w:r w:rsidRPr="00061E7B">
              <w:rPr>
                <w:rFonts w:ascii="Arial" w:hAnsi="Arial" w:cs="Arial"/>
                <w:color w:val="auto"/>
                <w:sz w:val="16"/>
                <w:szCs w:val="16"/>
              </w:rPr>
              <w:t>-</w:t>
            </w:r>
          </w:p>
        </w:tc>
        <w:tc>
          <w:tcPr>
            <w:tcW w:w="860" w:type="dxa"/>
            <w:tcBorders>
              <w:top w:val="nil"/>
              <w:left w:val="nil"/>
              <w:bottom w:val="nil"/>
              <w:right w:val="nil"/>
            </w:tcBorders>
            <w:shd w:val="clear" w:color="auto" w:fill="auto"/>
            <w:noWrap/>
            <w:vAlign w:val="bottom"/>
            <w:hideMark/>
          </w:tcPr>
          <w:p w14:paraId="70112F55" w14:textId="77777777" w:rsidR="00061E7B" w:rsidRPr="00061E7B" w:rsidRDefault="00061E7B" w:rsidP="00061E7B">
            <w:pPr>
              <w:spacing w:after="0"/>
              <w:jc w:val="right"/>
              <w:rPr>
                <w:rFonts w:ascii="Arial" w:hAnsi="Arial" w:cs="Arial"/>
                <w:color w:val="auto"/>
                <w:sz w:val="16"/>
                <w:szCs w:val="16"/>
              </w:rPr>
            </w:pPr>
            <w:r w:rsidRPr="00061E7B">
              <w:rPr>
                <w:rFonts w:ascii="Arial" w:hAnsi="Arial" w:cs="Arial"/>
                <w:color w:val="auto"/>
                <w:sz w:val="16"/>
                <w:szCs w:val="16"/>
              </w:rPr>
              <w:t>-</w:t>
            </w:r>
          </w:p>
        </w:tc>
        <w:tc>
          <w:tcPr>
            <w:tcW w:w="860" w:type="dxa"/>
            <w:tcBorders>
              <w:top w:val="nil"/>
              <w:left w:val="nil"/>
              <w:bottom w:val="nil"/>
              <w:right w:val="nil"/>
            </w:tcBorders>
            <w:shd w:val="clear" w:color="auto" w:fill="auto"/>
            <w:noWrap/>
            <w:vAlign w:val="bottom"/>
            <w:hideMark/>
          </w:tcPr>
          <w:p w14:paraId="5E51C9C9" w14:textId="77777777" w:rsidR="00061E7B" w:rsidRPr="00061E7B" w:rsidRDefault="00061E7B" w:rsidP="00061E7B">
            <w:pPr>
              <w:spacing w:after="0"/>
              <w:jc w:val="right"/>
              <w:rPr>
                <w:rFonts w:ascii="Arial" w:hAnsi="Arial" w:cs="Arial"/>
                <w:color w:val="auto"/>
                <w:sz w:val="16"/>
                <w:szCs w:val="16"/>
              </w:rPr>
            </w:pPr>
            <w:r w:rsidRPr="00061E7B">
              <w:rPr>
                <w:rFonts w:ascii="Arial" w:hAnsi="Arial" w:cs="Arial"/>
                <w:color w:val="auto"/>
                <w:sz w:val="16"/>
                <w:szCs w:val="16"/>
              </w:rPr>
              <w:t>-</w:t>
            </w:r>
          </w:p>
        </w:tc>
        <w:tc>
          <w:tcPr>
            <w:tcW w:w="860" w:type="dxa"/>
            <w:tcBorders>
              <w:top w:val="nil"/>
              <w:left w:val="nil"/>
              <w:bottom w:val="nil"/>
              <w:right w:val="nil"/>
            </w:tcBorders>
            <w:shd w:val="clear" w:color="auto" w:fill="auto"/>
            <w:noWrap/>
            <w:vAlign w:val="bottom"/>
            <w:hideMark/>
          </w:tcPr>
          <w:p w14:paraId="02B7123E" w14:textId="77777777" w:rsidR="00061E7B" w:rsidRPr="00061E7B" w:rsidRDefault="00061E7B" w:rsidP="00061E7B">
            <w:pPr>
              <w:spacing w:after="0"/>
              <w:jc w:val="right"/>
              <w:rPr>
                <w:rFonts w:ascii="Arial" w:hAnsi="Arial" w:cs="Arial"/>
                <w:color w:val="auto"/>
                <w:sz w:val="16"/>
                <w:szCs w:val="16"/>
              </w:rPr>
            </w:pPr>
            <w:r w:rsidRPr="00061E7B">
              <w:rPr>
                <w:rFonts w:ascii="Arial" w:hAnsi="Arial" w:cs="Arial"/>
                <w:color w:val="auto"/>
                <w:sz w:val="16"/>
                <w:szCs w:val="16"/>
              </w:rPr>
              <w:t>-</w:t>
            </w:r>
          </w:p>
        </w:tc>
      </w:tr>
      <w:tr w:rsidR="00061E7B" w:rsidRPr="00061E7B" w14:paraId="2AC54871" w14:textId="77777777" w:rsidTr="00061E7B">
        <w:trPr>
          <w:trHeight w:val="225"/>
        </w:trPr>
        <w:tc>
          <w:tcPr>
            <w:tcW w:w="3051" w:type="dxa"/>
            <w:tcBorders>
              <w:top w:val="nil"/>
              <w:left w:val="nil"/>
              <w:bottom w:val="nil"/>
              <w:right w:val="nil"/>
            </w:tcBorders>
            <w:shd w:val="clear" w:color="auto" w:fill="auto"/>
            <w:noWrap/>
            <w:vAlign w:val="bottom"/>
            <w:hideMark/>
          </w:tcPr>
          <w:p w14:paraId="6EE1CCDE" w14:textId="77777777" w:rsidR="00061E7B" w:rsidRPr="00061E7B" w:rsidRDefault="00061E7B" w:rsidP="00061E7B">
            <w:pPr>
              <w:spacing w:after="0"/>
              <w:ind w:leftChars="150" w:left="285"/>
              <w:rPr>
                <w:rFonts w:ascii="Arial" w:hAnsi="Arial" w:cs="Arial"/>
                <w:color w:val="auto"/>
                <w:sz w:val="16"/>
                <w:szCs w:val="16"/>
              </w:rPr>
            </w:pPr>
            <w:r w:rsidRPr="00061E7B">
              <w:rPr>
                <w:rFonts w:ascii="Arial" w:hAnsi="Arial" w:cs="Arial"/>
                <w:color w:val="auto"/>
                <w:sz w:val="16"/>
                <w:szCs w:val="16"/>
              </w:rPr>
              <w:t>Interest payments on lease liability</w:t>
            </w:r>
          </w:p>
        </w:tc>
        <w:tc>
          <w:tcPr>
            <w:tcW w:w="880" w:type="dxa"/>
            <w:tcBorders>
              <w:top w:val="nil"/>
              <w:left w:val="nil"/>
              <w:bottom w:val="nil"/>
              <w:right w:val="nil"/>
            </w:tcBorders>
            <w:shd w:val="clear" w:color="auto" w:fill="auto"/>
            <w:noWrap/>
            <w:vAlign w:val="bottom"/>
            <w:hideMark/>
          </w:tcPr>
          <w:p w14:paraId="677D5F0D" w14:textId="77777777" w:rsidR="00061E7B" w:rsidRPr="00061E7B" w:rsidRDefault="00061E7B" w:rsidP="00061E7B">
            <w:pPr>
              <w:spacing w:after="0"/>
              <w:jc w:val="right"/>
              <w:rPr>
                <w:rFonts w:ascii="Arial" w:hAnsi="Arial" w:cs="Arial"/>
                <w:color w:val="auto"/>
                <w:sz w:val="16"/>
                <w:szCs w:val="16"/>
              </w:rPr>
            </w:pPr>
            <w:r w:rsidRPr="00061E7B">
              <w:rPr>
                <w:rFonts w:ascii="Arial" w:hAnsi="Arial" w:cs="Arial"/>
                <w:color w:val="auto"/>
                <w:sz w:val="16"/>
                <w:szCs w:val="16"/>
              </w:rPr>
              <w:t>111</w:t>
            </w:r>
          </w:p>
        </w:tc>
        <w:tc>
          <w:tcPr>
            <w:tcW w:w="849" w:type="dxa"/>
            <w:tcBorders>
              <w:top w:val="nil"/>
              <w:left w:val="nil"/>
              <w:bottom w:val="nil"/>
              <w:right w:val="nil"/>
            </w:tcBorders>
            <w:shd w:val="clear" w:color="000000" w:fill="D9D9D9"/>
            <w:noWrap/>
            <w:vAlign w:val="bottom"/>
            <w:hideMark/>
          </w:tcPr>
          <w:p w14:paraId="4FB4600C" w14:textId="77777777" w:rsidR="00061E7B" w:rsidRPr="00061E7B" w:rsidRDefault="00061E7B" w:rsidP="00061E7B">
            <w:pPr>
              <w:spacing w:after="0"/>
              <w:jc w:val="right"/>
              <w:rPr>
                <w:rFonts w:ascii="Arial" w:hAnsi="Arial" w:cs="Arial"/>
                <w:color w:val="auto"/>
                <w:sz w:val="16"/>
                <w:szCs w:val="16"/>
              </w:rPr>
            </w:pPr>
            <w:r w:rsidRPr="00061E7B">
              <w:rPr>
                <w:rFonts w:ascii="Arial" w:hAnsi="Arial" w:cs="Arial"/>
                <w:color w:val="auto"/>
                <w:sz w:val="16"/>
                <w:szCs w:val="16"/>
              </w:rPr>
              <w:t>80</w:t>
            </w:r>
          </w:p>
        </w:tc>
        <w:tc>
          <w:tcPr>
            <w:tcW w:w="860" w:type="dxa"/>
            <w:tcBorders>
              <w:top w:val="nil"/>
              <w:left w:val="nil"/>
              <w:bottom w:val="nil"/>
              <w:right w:val="nil"/>
            </w:tcBorders>
            <w:shd w:val="clear" w:color="auto" w:fill="auto"/>
            <w:noWrap/>
            <w:vAlign w:val="bottom"/>
            <w:hideMark/>
          </w:tcPr>
          <w:p w14:paraId="55D57C88" w14:textId="77777777" w:rsidR="00061E7B" w:rsidRPr="00061E7B" w:rsidRDefault="00061E7B" w:rsidP="00061E7B">
            <w:pPr>
              <w:spacing w:after="0"/>
              <w:jc w:val="right"/>
              <w:rPr>
                <w:rFonts w:ascii="Arial" w:hAnsi="Arial" w:cs="Arial"/>
                <w:color w:val="auto"/>
                <w:sz w:val="16"/>
                <w:szCs w:val="16"/>
              </w:rPr>
            </w:pPr>
            <w:r w:rsidRPr="00061E7B">
              <w:rPr>
                <w:rFonts w:ascii="Arial" w:hAnsi="Arial" w:cs="Arial"/>
                <w:color w:val="auto"/>
                <w:sz w:val="16"/>
                <w:szCs w:val="16"/>
              </w:rPr>
              <w:t>-</w:t>
            </w:r>
          </w:p>
        </w:tc>
        <w:tc>
          <w:tcPr>
            <w:tcW w:w="860" w:type="dxa"/>
            <w:tcBorders>
              <w:top w:val="nil"/>
              <w:left w:val="nil"/>
              <w:bottom w:val="nil"/>
              <w:right w:val="nil"/>
            </w:tcBorders>
            <w:shd w:val="clear" w:color="auto" w:fill="auto"/>
            <w:noWrap/>
            <w:vAlign w:val="bottom"/>
            <w:hideMark/>
          </w:tcPr>
          <w:p w14:paraId="7A1754E1" w14:textId="77777777" w:rsidR="00061E7B" w:rsidRPr="00061E7B" w:rsidRDefault="00061E7B" w:rsidP="00061E7B">
            <w:pPr>
              <w:spacing w:after="0"/>
              <w:jc w:val="right"/>
              <w:rPr>
                <w:rFonts w:ascii="Arial" w:hAnsi="Arial" w:cs="Arial"/>
                <w:color w:val="auto"/>
                <w:sz w:val="16"/>
                <w:szCs w:val="16"/>
              </w:rPr>
            </w:pPr>
            <w:r w:rsidRPr="00061E7B">
              <w:rPr>
                <w:rFonts w:ascii="Arial" w:hAnsi="Arial" w:cs="Arial"/>
                <w:color w:val="auto"/>
                <w:sz w:val="16"/>
                <w:szCs w:val="16"/>
              </w:rPr>
              <w:t>-</w:t>
            </w:r>
          </w:p>
        </w:tc>
        <w:tc>
          <w:tcPr>
            <w:tcW w:w="860" w:type="dxa"/>
            <w:tcBorders>
              <w:top w:val="nil"/>
              <w:left w:val="nil"/>
              <w:bottom w:val="nil"/>
              <w:right w:val="nil"/>
            </w:tcBorders>
            <w:shd w:val="clear" w:color="auto" w:fill="auto"/>
            <w:noWrap/>
            <w:vAlign w:val="bottom"/>
            <w:hideMark/>
          </w:tcPr>
          <w:p w14:paraId="6C203605" w14:textId="77777777" w:rsidR="00061E7B" w:rsidRPr="00061E7B" w:rsidRDefault="00061E7B" w:rsidP="00061E7B">
            <w:pPr>
              <w:spacing w:after="0"/>
              <w:jc w:val="right"/>
              <w:rPr>
                <w:rFonts w:ascii="Arial" w:hAnsi="Arial" w:cs="Arial"/>
                <w:color w:val="auto"/>
                <w:sz w:val="16"/>
                <w:szCs w:val="16"/>
              </w:rPr>
            </w:pPr>
            <w:r w:rsidRPr="00061E7B">
              <w:rPr>
                <w:rFonts w:ascii="Arial" w:hAnsi="Arial" w:cs="Arial"/>
                <w:color w:val="auto"/>
                <w:sz w:val="16"/>
                <w:szCs w:val="16"/>
              </w:rPr>
              <w:t>-</w:t>
            </w:r>
          </w:p>
        </w:tc>
      </w:tr>
      <w:tr w:rsidR="00061E7B" w:rsidRPr="00061E7B" w14:paraId="2A5853DB" w14:textId="77777777" w:rsidTr="00061E7B">
        <w:trPr>
          <w:trHeight w:val="225"/>
        </w:trPr>
        <w:tc>
          <w:tcPr>
            <w:tcW w:w="3051" w:type="dxa"/>
            <w:tcBorders>
              <w:top w:val="nil"/>
              <w:left w:val="nil"/>
              <w:bottom w:val="nil"/>
              <w:right w:val="nil"/>
            </w:tcBorders>
            <w:shd w:val="clear" w:color="auto" w:fill="auto"/>
            <w:noWrap/>
            <w:vAlign w:val="bottom"/>
            <w:hideMark/>
          </w:tcPr>
          <w:p w14:paraId="6D78DCCE" w14:textId="77777777" w:rsidR="00061E7B" w:rsidRPr="00061E7B" w:rsidRDefault="00061E7B" w:rsidP="00061E7B">
            <w:pPr>
              <w:spacing w:after="0"/>
              <w:ind w:leftChars="150" w:left="285"/>
              <w:rPr>
                <w:rFonts w:ascii="Arial" w:hAnsi="Arial" w:cs="Arial"/>
                <w:b/>
                <w:bCs/>
                <w:color w:val="auto"/>
                <w:sz w:val="16"/>
                <w:szCs w:val="16"/>
              </w:rPr>
            </w:pPr>
            <w:r w:rsidRPr="00061E7B">
              <w:rPr>
                <w:rFonts w:ascii="Arial" w:hAnsi="Arial" w:cs="Arial"/>
                <w:b/>
                <w:bCs/>
                <w:color w:val="auto"/>
                <w:sz w:val="16"/>
                <w:szCs w:val="16"/>
              </w:rPr>
              <w:t>Total cash used</w:t>
            </w:r>
          </w:p>
        </w:tc>
        <w:tc>
          <w:tcPr>
            <w:tcW w:w="880" w:type="dxa"/>
            <w:tcBorders>
              <w:top w:val="nil"/>
              <w:left w:val="nil"/>
              <w:bottom w:val="single" w:sz="4" w:space="0" w:color="auto"/>
              <w:right w:val="nil"/>
            </w:tcBorders>
            <w:shd w:val="clear" w:color="auto" w:fill="auto"/>
            <w:noWrap/>
            <w:vAlign w:val="bottom"/>
            <w:hideMark/>
          </w:tcPr>
          <w:p w14:paraId="50BBCF29" w14:textId="77777777" w:rsidR="00061E7B" w:rsidRPr="00061E7B" w:rsidRDefault="00061E7B" w:rsidP="00061E7B">
            <w:pPr>
              <w:spacing w:after="0"/>
              <w:jc w:val="right"/>
              <w:rPr>
                <w:rFonts w:ascii="Arial" w:hAnsi="Arial" w:cs="Arial"/>
                <w:b/>
                <w:bCs/>
                <w:color w:val="auto"/>
                <w:sz w:val="16"/>
                <w:szCs w:val="16"/>
              </w:rPr>
            </w:pPr>
            <w:r w:rsidRPr="00061E7B">
              <w:rPr>
                <w:rFonts w:ascii="Arial" w:hAnsi="Arial" w:cs="Arial"/>
                <w:b/>
                <w:bCs/>
                <w:color w:val="auto"/>
                <w:sz w:val="16"/>
                <w:szCs w:val="16"/>
              </w:rPr>
              <w:t>281,513</w:t>
            </w:r>
          </w:p>
        </w:tc>
        <w:tc>
          <w:tcPr>
            <w:tcW w:w="849" w:type="dxa"/>
            <w:tcBorders>
              <w:top w:val="nil"/>
              <w:left w:val="nil"/>
              <w:bottom w:val="single" w:sz="4" w:space="0" w:color="auto"/>
              <w:right w:val="nil"/>
            </w:tcBorders>
            <w:shd w:val="clear" w:color="000000" w:fill="D9D9D9"/>
            <w:noWrap/>
            <w:vAlign w:val="bottom"/>
            <w:hideMark/>
          </w:tcPr>
          <w:p w14:paraId="50072957" w14:textId="77777777" w:rsidR="00061E7B" w:rsidRPr="00061E7B" w:rsidRDefault="00061E7B" w:rsidP="00061E7B">
            <w:pPr>
              <w:spacing w:after="0"/>
              <w:jc w:val="right"/>
              <w:rPr>
                <w:rFonts w:ascii="Arial" w:hAnsi="Arial" w:cs="Arial"/>
                <w:b/>
                <w:bCs/>
                <w:color w:val="auto"/>
                <w:sz w:val="16"/>
                <w:szCs w:val="16"/>
              </w:rPr>
            </w:pPr>
            <w:r w:rsidRPr="00061E7B">
              <w:rPr>
                <w:rFonts w:ascii="Arial" w:hAnsi="Arial" w:cs="Arial"/>
                <w:b/>
                <w:bCs/>
                <w:color w:val="auto"/>
                <w:sz w:val="16"/>
                <w:szCs w:val="16"/>
              </w:rPr>
              <w:t>235,891</w:t>
            </w:r>
          </w:p>
        </w:tc>
        <w:tc>
          <w:tcPr>
            <w:tcW w:w="860" w:type="dxa"/>
            <w:tcBorders>
              <w:top w:val="nil"/>
              <w:left w:val="nil"/>
              <w:bottom w:val="single" w:sz="4" w:space="0" w:color="auto"/>
              <w:right w:val="nil"/>
            </w:tcBorders>
            <w:shd w:val="clear" w:color="auto" w:fill="auto"/>
            <w:noWrap/>
            <w:vAlign w:val="bottom"/>
            <w:hideMark/>
          </w:tcPr>
          <w:p w14:paraId="3DC9D974" w14:textId="77777777" w:rsidR="00061E7B" w:rsidRPr="00061E7B" w:rsidRDefault="00061E7B" w:rsidP="00061E7B">
            <w:pPr>
              <w:spacing w:after="0"/>
              <w:jc w:val="right"/>
              <w:rPr>
                <w:rFonts w:ascii="Arial" w:hAnsi="Arial" w:cs="Arial"/>
                <w:b/>
                <w:bCs/>
                <w:color w:val="auto"/>
                <w:sz w:val="16"/>
                <w:szCs w:val="16"/>
              </w:rPr>
            </w:pPr>
            <w:r w:rsidRPr="00061E7B">
              <w:rPr>
                <w:rFonts w:ascii="Arial" w:hAnsi="Arial" w:cs="Arial"/>
                <w:b/>
                <w:bCs/>
                <w:color w:val="auto"/>
                <w:sz w:val="16"/>
                <w:szCs w:val="16"/>
              </w:rPr>
              <w:t>-</w:t>
            </w:r>
          </w:p>
        </w:tc>
        <w:tc>
          <w:tcPr>
            <w:tcW w:w="860" w:type="dxa"/>
            <w:tcBorders>
              <w:top w:val="nil"/>
              <w:left w:val="nil"/>
              <w:bottom w:val="single" w:sz="4" w:space="0" w:color="auto"/>
              <w:right w:val="nil"/>
            </w:tcBorders>
            <w:shd w:val="clear" w:color="auto" w:fill="auto"/>
            <w:noWrap/>
            <w:vAlign w:val="bottom"/>
            <w:hideMark/>
          </w:tcPr>
          <w:p w14:paraId="03A811BC" w14:textId="77777777" w:rsidR="00061E7B" w:rsidRPr="00061E7B" w:rsidRDefault="00061E7B" w:rsidP="00061E7B">
            <w:pPr>
              <w:spacing w:after="0"/>
              <w:jc w:val="right"/>
              <w:rPr>
                <w:rFonts w:ascii="Arial" w:hAnsi="Arial" w:cs="Arial"/>
                <w:b/>
                <w:bCs/>
                <w:color w:val="auto"/>
                <w:sz w:val="16"/>
                <w:szCs w:val="16"/>
              </w:rPr>
            </w:pPr>
            <w:r w:rsidRPr="00061E7B">
              <w:rPr>
                <w:rFonts w:ascii="Arial" w:hAnsi="Arial" w:cs="Arial"/>
                <w:b/>
                <w:bCs/>
                <w:color w:val="auto"/>
                <w:sz w:val="16"/>
                <w:szCs w:val="16"/>
              </w:rPr>
              <w:t>-</w:t>
            </w:r>
          </w:p>
        </w:tc>
        <w:tc>
          <w:tcPr>
            <w:tcW w:w="860" w:type="dxa"/>
            <w:tcBorders>
              <w:top w:val="nil"/>
              <w:left w:val="nil"/>
              <w:bottom w:val="single" w:sz="4" w:space="0" w:color="auto"/>
              <w:right w:val="nil"/>
            </w:tcBorders>
            <w:shd w:val="clear" w:color="auto" w:fill="auto"/>
            <w:noWrap/>
            <w:vAlign w:val="bottom"/>
            <w:hideMark/>
          </w:tcPr>
          <w:p w14:paraId="61BCFD8F" w14:textId="77777777" w:rsidR="00061E7B" w:rsidRPr="00061E7B" w:rsidRDefault="00061E7B" w:rsidP="00061E7B">
            <w:pPr>
              <w:spacing w:after="0"/>
              <w:jc w:val="right"/>
              <w:rPr>
                <w:rFonts w:ascii="Arial" w:hAnsi="Arial" w:cs="Arial"/>
                <w:b/>
                <w:bCs/>
                <w:color w:val="auto"/>
                <w:sz w:val="16"/>
                <w:szCs w:val="16"/>
              </w:rPr>
            </w:pPr>
            <w:r w:rsidRPr="00061E7B">
              <w:rPr>
                <w:rFonts w:ascii="Arial" w:hAnsi="Arial" w:cs="Arial"/>
                <w:b/>
                <w:bCs/>
                <w:color w:val="auto"/>
                <w:sz w:val="16"/>
                <w:szCs w:val="16"/>
              </w:rPr>
              <w:t>-</w:t>
            </w:r>
          </w:p>
        </w:tc>
      </w:tr>
      <w:tr w:rsidR="00061E7B" w:rsidRPr="00061E7B" w14:paraId="01E2A3FE" w14:textId="77777777" w:rsidTr="00061E7B">
        <w:trPr>
          <w:trHeight w:val="450"/>
        </w:trPr>
        <w:tc>
          <w:tcPr>
            <w:tcW w:w="3051" w:type="dxa"/>
            <w:tcBorders>
              <w:top w:val="nil"/>
              <w:left w:val="nil"/>
              <w:bottom w:val="nil"/>
              <w:right w:val="nil"/>
            </w:tcBorders>
            <w:shd w:val="clear" w:color="auto" w:fill="auto"/>
            <w:vAlign w:val="bottom"/>
            <w:hideMark/>
          </w:tcPr>
          <w:p w14:paraId="1995CA88" w14:textId="77777777" w:rsidR="00061E7B" w:rsidRPr="00061E7B" w:rsidRDefault="00061E7B" w:rsidP="00061E7B">
            <w:pPr>
              <w:spacing w:after="0"/>
              <w:ind w:leftChars="75" w:left="143"/>
              <w:rPr>
                <w:rFonts w:ascii="Arial" w:hAnsi="Arial" w:cs="Arial"/>
                <w:b/>
                <w:bCs/>
                <w:color w:val="auto"/>
                <w:sz w:val="16"/>
                <w:szCs w:val="16"/>
              </w:rPr>
            </w:pPr>
            <w:r w:rsidRPr="00061E7B">
              <w:rPr>
                <w:rFonts w:ascii="Arial" w:hAnsi="Arial" w:cs="Arial"/>
                <w:b/>
                <w:bCs/>
                <w:color w:val="auto"/>
                <w:sz w:val="16"/>
                <w:szCs w:val="16"/>
              </w:rPr>
              <w:t>Net cash from (or used by) operating activities</w:t>
            </w:r>
          </w:p>
        </w:tc>
        <w:tc>
          <w:tcPr>
            <w:tcW w:w="880" w:type="dxa"/>
            <w:tcBorders>
              <w:top w:val="nil"/>
              <w:left w:val="nil"/>
              <w:bottom w:val="single" w:sz="4" w:space="0" w:color="auto"/>
              <w:right w:val="nil"/>
            </w:tcBorders>
            <w:shd w:val="clear" w:color="auto" w:fill="auto"/>
            <w:noWrap/>
            <w:vAlign w:val="bottom"/>
            <w:hideMark/>
          </w:tcPr>
          <w:p w14:paraId="2287924F" w14:textId="77777777" w:rsidR="00061E7B" w:rsidRPr="00061E7B" w:rsidRDefault="00061E7B" w:rsidP="00061E7B">
            <w:pPr>
              <w:spacing w:after="0"/>
              <w:jc w:val="right"/>
              <w:rPr>
                <w:rFonts w:ascii="Arial" w:hAnsi="Arial" w:cs="Arial"/>
                <w:b/>
                <w:bCs/>
                <w:color w:val="auto"/>
                <w:sz w:val="16"/>
                <w:szCs w:val="16"/>
              </w:rPr>
            </w:pPr>
            <w:r w:rsidRPr="00061E7B">
              <w:rPr>
                <w:rFonts w:ascii="Arial" w:hAnsi="Arial" w:cs="Arial"/>
                <w:b/>
                <w:bCs/>
                <w:color w:val="auto"/>
                <w:sz w:val="16"/>
                <w:szCs w:val="16"/>
              </w:rPr>
              <w:t>16,043</w:t>
            </w:r>
          </w:p>
        </w:tc>
        <w:tc>
          <w:tcPr>
            <w:tcW w:w="849" w:type="dxa"/>
            <w:tcBorders>
              <w:top w:val="nil"/>
              <w:left w:val="nil"/>
              <w:bottom w:val="single" w:sz="4" w:space="0" w:color="auto"/>
              <w:right w:val="nil"/>
            </w:tcBorders>
            <w:shd w:val="clear" w:color="000000" w:fill="D9D9D9"/>
            <w:noWrap/>
            <w:vAlign w:val="bottom"/>
            <w:hideMark/>
          </w:tcPr>
          <w:p w14:paraId="46049E71" w14:textId="77777777" w:rsidR="00061E7B" w:rsidRPr="00061E7B" w:rsidRDefault="00061E7B" w:rsidP="00061E7B">
            <w:pPr>
              <w:spacing w:after="0"/>
              <w:jc w:val="right"/>
              <w:rPr>
                <w:rFonts w:ascii="Arial" w:hAnsi="Arial" w:cs="Arial"/>
                <w:b/>
                <w:bCs/>
                <w:color w:val="auto"/>
                <w:sz w:val="16"/>
                <w:szCs w:val="16"/>
              </w:rPr>
            </w:pPr>
            <w:r w:rsidRPr="00061E7B">
              <w:rPr>
                <w:rFonts w:ascii="Arial" w:hAnsi="Arial" w:cs="Arial"/>
                <w:b/>
                <w:bCs/>
                <w:color w:val="auto"/>
                <w:sz w:val="16"/>
                <w:szCs w:val="16"/>
              </w:rPr>
              <w:t>4,618</w:t>
            </w:r>
          </w:p>
        </w:tc>
        <w:tc>
          <w:tcPr>
            <w:tcW w:w="860" w:type="dxa"/>
            <w:tcBorders>
              <w:top w:val="nil"/>
              <w:left w:val="nil"/>
              <w:bottom w:val="single" w:sz="4" w:space="0" w:color="auto"/>
              <w:right w:val="nil"/>
            </w:tcBorders>
            <w:shd w:val="clear" w:color="auto" w:fill="auto"/>
            <w:noWrap/>
            <w:vAlign w:val="bottom"/>
            <w:hideMark/>
          </w:tcPr>
          <w:p w14:paraId="3A3F224D" w14:textId="77777777" w:rsidR="00061E7B" w:rsidRPr="00061E7B" w:rsidRDefault="00061E7B" w:rsidP="00061E7B">
            <w:pPr>
              <w:spacing w:after="0"/>
              <w:jc w:val="right"/>
              <w:rPr>
                <w:rFonts w:ascii="Arial" w:hAnsi="Arial" w:cs="Arial"/>
                <w:b/>
                <w:bCs/>
                <w:color w:val="auto"/>
                <w:sz w:val="16"/>
                <w:szCs w:val="16"/>
              </w:rPr>
            </w:pPr>
            <w:r w:rsidRPr="00061E7B">
              <w:rPr>
                <w:rFonts w:ascii="Arial" w:hAnsi="Arial" w:cs="Arial"/>
                <w:b/>
                <w:bCs/>
                <w:color w:val="auto"/>
                <w:sz w:val="16"/>
                <w:szCs w:val="16"/>
              </w:rPr>
              <w:t>-</w:t>
            </w:r>
          </w:p>
        </w:tc>
        <w:tc>
          <w:tcPr>
            <w:tcW w:w="860" w:type="dxa"/>
            <w:tcBorders>
              <w:top w:val="nil"/>
              <w:left w:val="nil"/>
              <w:bottom w:val="single" w:sz="4" w:space="0" w:color="auto"/>
              <w:right w:val="nil"/>
            </w:tcBorders>
            <w:shd w:val="clear" w:color="auto" w:fill="auto"/>
            <w:noWrap/>
            <w:vAlign w:val="bottom"/>
            <w:hideMark/>
          </w:tcPr>
          <w:p w14:paraId="2313C83B" w14:textId="77777777" w:rsidR="00061E7B" w:rsidRPr="00061E7B" w:rsidRDefault="00061E7B" w:rsidP="00061E7B">
            <w:pPr>
              <w:spacing w:after="0"/>
              <w:jc w:val="right"/>
              <w:rPr>
                <w:rFonts w:ascii="Arial" w:hAnsi="Arial" w:cs="Arial"/>
                <w:b/>
                <w:bCs/>
                <w:color w:val="auto"/>
                <w:sz w:val="16"/>
                <w:szCs w:val="16"/>
              </w:rPr>
            </w:pPr>
            <w:r w:rsidRPr="00061E7B">
              <w:rPr>
                <w:rFonts w:ascii="Arial" w:hAnsi="Arial" w:cs="Arial"/>
                <w:b/>
                <w:bCs/>
                <w:color w:val="auto"/>
                <w:sz w:val="16"/>
                <w:szCs w:val="16"/>
              </w:rPr>
              <w:t>-</w:t>
            </w:r>
          </w:p>
        </w:tc>
        <w:tc>
          <w:tcPr>
            <w:tcW w:w="860" w:type="dxa"/>
            <w:tcBorders>
              <w:top w:val="nil"/>
              <w:left w:val="nil"/>
              <w:bottom w:val="single" w:sz="4" w:space="0" w:color="auto"/>
              <w:right w:val="nil"/>
            </w:tcBorders>
            <w:shd w:val="clear" w:color="auto" w:fill="auto"/>
            <w:noWrap/>
            <w:vAlign w:val="bottom"/>
            <w:hideMark/>
          </w:tcPr>
          <w:p w14:paraId="48F53442" w14:textId="77777777" w:rsidR="00061E7B" w:rsidRPr="00061E7B" w:rsidRDefault="00061E7B" w:rsidP="00061E7B">
            <w:pPr>
              <w:spacing w:after="0"/>
              <w:jc w:val="right"/>
              <w:rPr>
                <w:rFonts w:ascii="Arial" w:hAnsi="Arial" w:cs="Arial"/>
                <w:b/>
                <w:bCs/>
                <w:color w:val="auto"/>
                <w:sz w:val="16"/>
                <w:szCs w:val="16"/>
              </w:rPr>
            </w:pPr>
            <w:r w:rsidRPr="00061E7B">
              <w:rPr>
                <w:rFonts w:ascii="Arial" w:hAnsi="Arial" w:cs="Arial"/>
                <w:b/>
                <w:bCs/>
                <w:color w:val="auto"/>
                <w:sz w:val="16"/>
                <w:szCs w:val="16"/>
              </w:rPr>
              <w:t>-</w:t>
            </w:r>
          </w:p>
        </w:tc>
      </w:tr>
      <w:tr w:rsidR="00061E7B" w:rsidRPr="00061E7B" w14:paraId="3ED36111" w14:textId="77777777" w:rsidTr="00061E7B">
        <w:trPr>
          <w:trHeight w:val="300"/>
        </w:trPr>
        <w:tc>
          <w:tcPr>
            <w:tcW w:w="3051" w:type="dxa"/>
            <w:tcBorders>
              <w:top w:val="nil"/>
              <w:left w:val="nil"/>
              <w:bottom w:val="nil"/>
              <w:right w:val="nil"/>
            </w:tcBorders>
            <w:shd w:val="clear" w:color="auto" w:fill="auto"/>
            <w:noWrap/>
            <w:vAlign w:val="bottom"/>
            <w:hideMark/>
          </w:tcPr>
          <w:p w14:paraId="6EB9FCD8" w14:textId="77777777" w:rsidR="00061E7B" w:rsidRPr="00061E7B" w:rsidRDefault="00061E7B" w:rsidP="00061E7B">
            <w:pPr>
              <w:spacing w:after="0"/>
              <w:rPr>
                <w:rFonts w:ascii="Arial" w:hAnsi="Arial" w:cs="Arial"/>
                <w:b/>
                <w:bCs/>
                <w:color w:val="auto"/>
                <w:sz w:val="16"/>
                <w:szCs w:val="16"/>
              </w:rPr>
            </w:pPr>
            <w:r w:rsidRPr="00061E7B">
              <w:rPr>
                <w:rFonts w:ascii="Arial" w:hAnsi="Arial" w:cs="Arial"/>
                <w:b/>
                <w:bCs/>
                <w:color w:val="auto"/>
                <w:sz w:val="16"/>
                <w:szCs w:val="16"/>
              </w:rPr>
              <w:t>INVESTING ACTIVITIES</w:t>
            </w:r>
          </w:p>
        </w:tc>
        <w:tc>
          <w:tcPr>
            <w:tcW w:w="880" w:type="dxa"/>
            <w:tcBorders>
              <w:top w:val="nil"/>
              <w:left w:val="nil"/>
              <w:bottom w:val="nil"/>
              <w:right w:val="nil"/>
            </w:tcBorders>
            <w:shd w:val="clear" w:color="auto" w:fill="auto"/>
            <w:noWrap/>
            <w:vAlign w:val="bottom"/>
            <w:hideMark/>
          </w:tcPr>
          <w:p w14:paraId="7025E5CD" w14:textId="77777777" w:rsidR="00061E7B" w:rsidRPr="00061E7B" w:rsidRDefault="00061E7B" w:rsidP="00061E7B">
            <w:pPr>
              <w:spacing w:after="0"/>
              <w:rPr>
                <w:rFonts w:ascii="Arial" w:hAnsi="Arial" w:cs="Arial"/>
                <w:b/>
                <w:bCs/>
                <w:color w:val="auto"/>
                <w:sz w:val="16"/>
                <w:szCs w:val="16"/>
              </w:rPr>
            </w:pPr>
          </w:p>
        </w:tc>
        <w:tc>
          <w:tcPr>
            <w:tcW w:w="849" w:type="dxa"/>
            <w:tcBorders>
              <w:top w:val="nil"/>
              <w:left w:val="nil"/>
              <w:bottom w:val="nil"/>
              <w:right w:val="nil"/>
            </w:tcBorders>
            <w:shd w:val="clear" w:color="000000" w:fill="D9D9D9"/>
            <w:noWrap/>
            <w:vAlign w:val="bottom"/>
            <w:hideMark/>
          </w:tcPr>
          <w:p w14:paraId="78EDD9A3" w14:textId="77777777" w:rsidR="00061E7B" w:rsidRPr="00061E7B" w:rsidRDefault="00061E7B" w:rsidP="00061E7B">
            <w:pPr>
              <w:spacing w:after="0"/>
              <w:jc w:val="right"/>
              <w:rPr>
                <w:rFonts w:ascii="Arial" w:hAnsi="Arial" w:cs="Arial"/>
                <w:color w:val="auto"/>
                <w:sz w:val="16"/>
                <w:szCs w:val="16"/>
              </w:rPr>
            </w:pPr>
            <w:r w:rsidRPr="00061E7B">
              <w:rPr>
                <w:rFonts w:ascii="Arial" w:hAnsi="Arial" w:cs="Arial"/>
                <w:color w:val="auto"/>
                <w:sz w:val="16"/>
                <w:szCs w:val="16"/>
              </w:rPr>
              <w:t> </w:t>
            </w:r>
          </w:p>
        </w:tc>
        <w:tc>
          <w:tcPr>
            <w:tcW w:w="860" w:type="dxa"/>
            <w:tcBorders>
              <w:top w:val="nil"/>
              <w:left w:val="nil"/>
              <w:bottom w:val="nil"/>
              <w:right w:val="nil"/>
            </w:tcBorders>
            <w:shd w:val="clear" w:color="auto" w:fill="auto"/>
            <w:noWrap/>
            <w:vAlign w:val="bottom"/>
            <w:hideMark/>
          </w:tcPr>
          <w:p w14:paraId="57C33F45" w14:textId="77777777" w:rsidR="00061E7B" w:rsidRPr="00061E7B" w:rsidRDefault="00061E7B" w:rsidP="00061E7B">
            <w:pPr>
              <w:spacing w:after="0"/>
              <w:jc w:val="right"/>
              <w:rPr>
                <w:rFonts w:ascii="Arial" w:hAnsi="Arial" w:cs="Arial"/>
                <w:color w:val="auto"/>
                <w:sz w:val="16"/>
                <w:szCs w:val="16"/>
              </w:rPr>
            </w:pPr>
          </w:p>
        </w:tc>
        <w:tc>
          <w:tcPr>
            <w:tcW w:w="860" w:type="dxa"/>
            <w:tcBorders>
              <w:top w:val="nil"/>
              <w:left w:val="nil"/>
              <w:bottom w:val="nil"/>
              <w:right w:val="nil"/>
            </w:tcBorders>
            <w:shd w:val="clear" w:color="auto" w:fill="auto"/>
            <w:noWrap/>
            <w:vAlign w:val="bottom"/>
            <w:hideMark/>
          </w:tcPr>
          <w:p w14:paraId="785F1A0C" w14:textId="77777777" w:rsidR="00061E7B" w:rsidRPr="00061E7B" w:rsidRDefault="00061E7B" w:rsidP="00061E7B">
            <w:pPr>
              <w:spacing w:after="0"/>
              <w:jc w:val="right"/>
              <w:rPr>
                <w:rFonts w:ascii="Times New Roman" w:hAnsi="Times New Roman"/>
                <w:color w:val="auto"/>
                <w:sz w:val="20"/>
              </w:rPr>
            </w:pPr>
          </w:p>
        </w:tc>
        <w:tc>
          <w:tcPr>
            <w:tcW w:w="860" w:type="dxa"/>
            <w:tcBorders>
              <w:top w:val="nil"/>
              <w:left w:val="nil"/>
              <w:bottom w:val="nil"/>
              <w:right w:val="nil"/>
            </w:tcBorders>
            <w:shd w:val="clear" w:color="auto" w:fill="auto"/>
            <w:noWrap/>
            <w:vAlign w:val="bottom"/>
            <w:hideMark/>
          </w:tcPr>
          <w:p w14:paraId="73773258" w14:textId="77777777" w:rsidR="00061E7B" w:rsidRPr="00061E7B" w:rsidRDefault="00061E7B" w:rsidP="00061E7B">
            <w:pPr>
              <w:spacing w:after="0"/>
              <w:jc w:val="right"/>
              <w:rPr>
                <w:rFonts w:ascii="Times New Roman" w:hAnsi="Times New Roman"/>
                <w:color w:val="auto"/>
                <w:sz w:val="20"/>
              </w:rPr>
            </w:pPr>
          </w:p>
        </w:tc>
      </w:tr>
      <w:tr w:rsidR="00061E7B" w:rsidRPr="00061E7B" w14:paraId="541D5C4C" w14:textId="77777777" w:rsidTr="00061E7B">
        <w:trPr>
          <w:trHeight w:val="225"/>
        </w:trPr>
        <w:tc>
          <w:tcPr>
            <w:tcW w:w="3051" w:type="dxa"/>
            <w:tcBorders>
              <w:top w:val="nil"/>
              <w:left w:val="nil"/>
              <w:bottom w:val="nil"/>
              <w:right w:val="nil"/>
            </w:tcBorders>
            <w:shd w:val="clear" w:color="auto" w:fill="auto"/>
            <w:noWrap/>
            <w:vAlign w:val="bottom"/>
            <w:hideMark/>
          </w:tcPr>
          <w:p w14:paraId="4E3F8FD5" w14:textId="77777777" w:rsidR="00061E7B" w:rsidRPr="00061E7B" w:rsidRDefault="00061E7B" w:rsidP="00061E7B">
            <w:pPr>
              <w:spacing w:after="0"/>
              <w:ind w:firstLineChars="100" w:firstLine="160"/>
              <w:rPr>
                <w:rFonts w:ascii="Arial" w:hAnsi="Arial" w:cs="Arial"/>
                <w:b/>
                <w:bCs/>
                <w:color w:val="auto"/>
                <w:sz w:val="16"/>
                <w:szCs w:val="16"/>
              </w:rPr>
            </w:pPr>
            <w:r w:rsidRPr="00061E7B">
              <w:rPr>
                <w:rFonts w:ascii="Arial" w:hAnsi="Arial" w:cs="Arial"/>
                <w:b/>
                <w:bCs/>
                <w:color w:val="auto"/>
                <w:sz w:val="16"/>
                <w:szCs w:val="16"/>
              </w:rPr>
              <w:t>Cash received</w:t>
            </w:r>
          </w:p>
        </w:tc>
        <w:tc>
          <w:tcPr>
            <w:tcW w:w="880" w:type="dxa"/>
            <w:tcBorders>
              <w:top w:val="nil"/>
              <w:left w:val="nil"/>
              <w:bottom w:val="nil"/>
              <w:right w:val="nil"/>
            </w:tcBorders>
            <w:shd w:val="clear" w:color="auto" w:fill="auto"/>
            <w:noWrap/>
            <w:vAlign w:val="bottom"/>
            <w:hideMark/>
          </w:tcPr>
          <w:p w14:paraId="777DC33B" w14:textId="77777777" w:rsidR="00061E7B" w:rsidRPr="00061E7B" w:rsidRDefault="00061E7B" w:rsidP="00061E7B">
            <w:pPr>
              <w:spacing w:after="0"/>
              <w:ind w:firstLineChars="100" w:firstLine="160"/>
              <w:rPr>
                <w:rFonts w:ascii="Arial" w:hAnsi="Arial" w:cs="Arial"/>
                <w:b/>
                <w:bCs/>
                <w:color w:val="auto"/>
                <w:sz w:val="16"/>
                <w:szCs w:val="16"/>
              </w:rPr>
            </w:pPr>
          </w:p>
        </w:tc>
        <w:tc>
          <w:tcPr>
            <w:tcW w:w="849" w:type="dxa"/>
            <w:tcBorders>
              <w:top w:val="nil"/>
              <w:left w:val="nil"/>
              <w:bottom w:val="nil"/>
              <w:right w:val="nil"/>
            </w:tcBorders>
            <w:shd w:val="clear" w:color="000000" w:fill="D9D9D9"/>
            <w:noWrap/>
            <w:vAlign w:val="bottom"/>
            <w:hideMark/>
          </w:tcPr>
          <w:p w14:paraId="2EB79B02" w14:textId="77777777" w:rsidR="00061E7B" w:rsidRPr="00061E7B" w:rsidRDefault="00061E7B" w:rsidP="00061E7B">
            <w:pPr>
              <w:spacing w:after="0"/>
              <w:jc w:val="right"/>
              <w:rPr>
                <w:rFonts w:ascii="Arial" w:hAnsi="Arial" w:cs="Arial"/>
                <w:color w:val="auto"/>
                <w:sz w:val="16"/>
                <w:szCs w:val="16"/>
              </w:rPr>
            </w:pPr>
            <w:r w:rsidRPr="00061E7B">
              <w:rPr>
                <w:rFonts w:ascii="Arial" w:hAnsi="Arial" w:cs="Arial"/>
                <w:color w:val="auto"/>
                <w:sz w:val="16"/>
                <w:szCs w:val="16"/>
              </w:rPr>
              <w:t> </w:t>
            </w:r>
          </w:p>
        </w:tc>
        <w:tc>
          <w:tcPr>
            <w:tcW w:w="860" w:type="dxa"/>
            <w:tcBorders>
              <w:top w:val="nil"/>
              <w:left w:val="nil"/>
              <w:bottom w:val="nil"/>
              <w:right w:val="nil"/>
            </w:tcBorders>
            <w:shd w:val="clear" w:color="auto" w:fill="auto"/>
            <w:noWrap/>
            <w:vAlign w:val="bottom"/>
            <w:hideMark/>
          </w:tcPr>
          <w:p w14:paraId="54C256D8" w14:textId="77777777" w:rsidR="00061E7B" w:rsidRPr="00061E7B" w:rsidRDefault="00061E7B" w:rsidP="00061E7B">
            <w:pPr>
              <w:spacing w:after="0"/>
              <w:jc w:val="right"/>
              <w:rPr>
                <w:rFonts w:ascii="Arial" w:hAnsi="Arial" w:cs="Arial"/>
                <w:color w:val="auto"/>
                <w:sz w:val="16"/>
                <w:szCs w:val="16"/>
              </w:rPr>
            </w:pPr>
          </w:p>
        </w:tc>
        <w:tc>
          <w:tcPr>
            <w:tcW w:w="860" w:type="dxa"/>
            <w:tcBorders>
              <w:top w:val="nil"/>
              <w:left w:val="nil"/>
              <w:bottom w:val="nil"/>
              <w:right w:val="nil"/>
            </w:tcBorders>
            <w:shd w:val="clear" w:color="auto" w:fill="auto"/>
            <w:noWrap/>
            <w:vAlign w:val="bottom"/>
            <w:hideMark/>
          </w:tcPr>
          <w:p w14:paraId="3E8A825F" w14:textId="77777777" w:rsidR="00061E7B" w:rsidRPr="00061E7B" w:rsidRDefault="00061E7B" w:rsidP="00061E7B">
            <w:pPr>
              <w:spacing w:after="0"/>
              <w:jc w:val="right"/>
              <w:rPr>
                <w:rFonts w:ascii="Times New Roman" w:hAnsi="Times New Roman"/>
                <w:color w:val="auto"/>
                <w:sz w:val="20"/>
              </w:rPr>
            </w:pPr>
          </w:p>
        </w:tc>
        <w:tc>
          <w:tcPr>
            <w:tcW w:w="860" w:type="dxa"/>
            <w:tcBorders>
              <w:top w:val="nil"/>
              <w:left w:val="nil"/>
              <w:bottom w:val="nil"/>
              <w:right w:val="nil"/>
            </w:tcBorders>
            <w:shd w:val="clear" w:color="auto" w:fill="auto"/>
            <w:noWrap/>
            <w:vAlign w:val="bottom"/>
            <w:hideMark/>
          </w:tcPr>
          <w:p w14:paraId="62B8518C" w14:textId="77777777" w:rsidR="00061E7B" w:rsidRPr="00061E7B" w:rsidRDefault="00061E7B" w:rsidP="00061E7B">
            <w:pPr>
              <w:spacing w:after="0"/>
              <w:jc w:val="right"/>
              <w:rPr>
                <w:rFonts w:ascii="Times New Roman" w:hAnsi="Times New Roman"/>
                <w:color w:val="auto"/>
                <w:sz w:val="20"/>
              </w:rPr>
            </w:pPr>
          </w:p>
        </w:tc>
      </w:tr>
      <w:tr w:rsidR="00061E7B" w:rsidRPr="00061E7B" w14:paraId="3F666D93" w14:textId="77777777" w:rsidTr="00061E7B">
        <w:trPr>
          <w:trHeight w:val="225"/>
        </w:trPr>
        <w:tc>
          <w:tcPr>
            <w:tcW w:w="3051" w:type="dxa"/>
            <w:tcBorders>
              <w:top w:val="nil"/>
              <w:left w:val="nil"/>
              <w:bottom w:val="nil"/>
              <w:right w:val="nil"/>
            </w:tcBorders>
            <w:shd w:val="clear" w:color="auto" w:fill="auto"/>
            <w:vAlign w:val="bottom"/>
            <w:hideMark/>
          </w:tcPr>
          <w:p w14:paraId="056AB3CB" w14:textId="77777777" w:rsidR="00061E7B" w:rsidRPr="00061E7B" w:rsidRDefault="00061E7B" w:rsidP="00061E7B">
            <w:pPr>
              <w:spacing w:after="0"/>
              <w:ind w:firstLineChars="200" w:firstLine="320"/>
              <w:rPr>
                <w:rFonts w:ascii="Arial" w:hAnsi="Arial" w:cs="Arial"/>
                <w:color w:val="auto"/>
                <w:sz w:val="16"/>
                <w:szCs w:val="16"/>
              </w:rPr>
            </w:pPr>
            <w:r w:rsidRPr="00061E7B">
              <w:rPr>
                <w:rFonts w:ascii="Arial" w:hAnsi="Arial" w:cs="Arial"/>
                <w:color w:val="auto"/>
                <w:sz w:val="16"/>
                <w:szCs w:val="16"/>
              </w:rPr>
              <w:t>Investments</w:t>
            </w:r>
          </w:p>
        </w:tc>
        <w:tc>
          <w:tcPr>
            <w:tcW w:w="880" w:type="dxa"/>
            <w:tcBorders>
              <w:top w:val="nil"/>
              <w:left w:val="nil"/>
              <w:bottom w:val="nil"/>
              <w:right w:val="nil"/>
            </w:tcBorders>
            <w:shd w:val="clear" w:color="auto" w:fill="auto"/>
            <w:noWrap/>
            <w:vAlign w:val="bottom"/>
            <w:hideMark/>
          </w:tcPr>
          <w:p w14:paraId="6980209A" w14:textId="77777777" w:rsidR="00061E7B" w:rsidRPr="00061E7B" w:rsidRDefault="00061E7B" w:rsidP="00061E7B">
            <w:pPr>
              <w:spacing w:after="0"/>
              <w:jc w:val="right"/>
              <w:rPr>
                <w:rFonts w:ascii="Arial" w:hAnsi="Arial" w:cs="Arial"/>
                <w:color w:val="auto"/>
                <w:sz w:val="16"/>
                <w:szCs w:val="16"/>
              </w:rPr>
            </w:pPr>
            <w:r w:rsidRPr="00061E7B">
              <w:rPr>
                <w:rFonts w:ascii="Arial" w:hAnsi="Arial" w:cs="Arial"/>
                <w:color w:val="auto"/>
                <w:sz w:val="16"/>
                <w:szCs w:val="16"/>
              </w:rPr>
              <w:t>-</w:t>
            </w:r>
          </w:p>
        </w:tc>
        <w:tc>
          <w:tcPr>
            <w:tcW w:w="849" w:type="dxa"/>
            <w:tcBorders>
              <w:top w:val="nil"/>
              <w:left w:val="nil"/>
              <w:bottom w:val="nil"/>
              <w:right w:val="nil"/>
            </w:tcBorders>
            <w:shd w:val="clear" w:color="000000" w:fill="D9D9D9"/>
            <w:noWrap/>
            <w:vAlign w:val="bottom"/>
            <w:hideMark/>
          </w:tcPr>
          <w:p w14:paraId="736F9413" w14:textId="77777777" w:rsidR="00061E7B" w:rsidRPr="00061E7B" w:rsidRDefault="00061E7B" w:rsidP="00061E7B">
            <w:pPr>
              <w:spacing w:after="0"/>
              <w:jc w:val="right"/>
              <w:rPr>
                <w:rFonts w:ascii="Arial" w:hAnsi="Arial" w:cs="Arial"/>
                <w:color w:val="auto"/>
                <w:sz w:val="16"/>
                <w:szCs w:val="16"/>
              </w:rPr>
            </w:pPr>
            <w:r w:rsidRPr="00061E7B">
              <w:rPr>
                <w:rFonts w:ascii="Arial" w:hAnsi="Arial" w:cs="Arial"/>
                <w:color w:val="auto"/>
                <w:sz w:val="16"/>
                <w:szCs w:val="16"/>
              </w:rPr>
              <w:t>-</w:t>
            </w:r>
          </w:p>
        </w:tc>
        <w:tc>
          <w:tcPr>
            <w:tcW w:w="860" w:type="dxa"/>
            <w:tcBorders>
              <w:top w:val="nil"/>
              <w:left w:val="nil"/>
              <w:bottom w:val="nil"/>
              <w:right w:val="nil"/>
            </w:tcBorders>
            <w:shd w:val="clear" w:color="auto" w:fill="auto"/>
            <w:noWrap/>
            <w:vAlign w:val="bottom"/>
            <w:hideMark/>
          </w:tcPr>
          <w:p w14:paraId="1A909ED5" w14:textId="77777777" w:rsidR="00061E7B" w:rsidRPr="00061E7B" w:rsidRDefault="00061E7B" w:rsidP="00061E7B">
            <w:pPr>
              <w:spacing w:after="0"/>
              <w:jc w:val="right"/>
              <w:rPr>
                <w:rFonts w:ascii="Arial" w:hAnsi="Arial" w:cs="Arial"/>
                <w:color w:val="auto"/>
                <w:sz w:val="16"/>
                <w:szCs w:val="16"/>
              </w:rPr>
            </w:pPr>
            <w:r w:rsidRPr="00061E7B">
              <w:rPr>
                <w:rFonts w:ascii="Arial" w:hAnsi="Arial" w:cs="Arial"/>
                <w:color w:val="auto"/>
                <w:sz w:val="16"/>
                <w:szCs w:val="16"/>
              </w:rPr>
              <w:t>-</w:t>
            </w:r>
          </w:p>
        </w:tc>
        <w:tc>
          <w:tcPr>
            <w:tcW w:w="860" w:type="dxa"/>
            <w:tcBorders>
              <w:top w:val="nil"/>
              <w:left w:val="nil"/>
              <w:bottom w:val="nil"/>
              <w:right w:val="nil"/>
            </w:tcBorders>
            <w:shd w:val="clear" w:color="auto" w:fill="auto"/>
            <w:noWrap/>
            <w:vAlign w:val="bottom"/>
            <w:hideMark/>
          </w:tcPr>
          <w:p w14:paraId="392A03A8" w14:textId="77777777" w:rsidR="00061E7B" w:rsidRPr="00061E7B" w:rsidRDefault="00061E7B" w:rsidP="00061E7B">
            <w:pPr>
              <w:spacing w:after="0"/>
              <w:jc w:val="right"/>
              <w:rPr>
                <w:rFonts w:ascii="Arial" w:hAnsi="Arial" w:cs="Arial"/>
                <w:color w:val="auto"/>
                <w:sz w:val="16"/>
                <w:szCs w:val="16"/>
              </w:rPr>
            </w:pPr>
            <w:r w:rsidRPr="00061E7B">
              <w:rPr>
                <w:rFonts w:ascii="Arial" w:hAnsi="Arial" w:cs="Arial"/>
                <w:color w:val="auto"/>
                <w:sz w:val="16"/>
                <w:szCs w:val="16"/>
              </w:rPr>
              <w:t>-</w:t>
            </w:r>
          </w:p>
        </w:tc>
        <w:tc>
          <w:tcPr>
            <w:tcW w:w="860" w:type="dxa"/>
            <w:tcBorders>
              <w:top w:val="nil"/>
              <w:left w:val="nil"/>
              <w:bottom w:val="nil"/>
              <w:right w:val="nil"/>
            </w:tcBorders>
            <w:shd w:val="clear" w:color="auto" w:fill="auto"/>
            <w:noWrap/>
            <w:vAlign w:val="bottom"/>
            <w:hideMark/>
          </w:tcPr>
          <w:p w14:paraId="1BDB194D" w14:textId="77777777" w:rsidR="00061E7B" w:rsidRPr="00061E7B" w:rsidRDefault="00061E7B" w:rsidP="00061E7B">
            <w:pPr>
              <w:spacing w:after="0"/>
              <w:jc w:val="right"/>
              <w:rPr>
                <w:rFonts w:ascii="Arial" w:hAnsi="Arial" w:cs="Arial"/>
                <w:color w:val="auto"/>
                <w:sz w:val="16"/>
                <w:szCs w:val="16"/>
              </w:rPr>
            </w:pPr>
            <w:r w:rsidRPr="00061E7B">
              <w:rPr>
                <w:rFonts w:ascii="Arial" w:hAnsi="Arial" w:cs="Arial"/>
                <w:color w:val="auto"/>
                <w:sz w:val="16"/>
                <w:szCs w:val="16"/>
              </w:rPr>
              <w:t>-</w:t>
            </w:r>
          </w:p>
        </w:tc>
      </w:tr>
      <w:tr w:rsidR="00061E7B" w:rsidRPr="00061E7B" w14:paraId="6970F400" w14:textId="77777777" w:rsidTr="00061E7B">
        <w:trPr>
          <w:trHeight w:val="225"/>
        </w:trPr>
        <w:tc>
          <w:tcPr>
            <w:tcW w:w="3051" w:type="dxa"/>
            <w:tcBorders>
              <w:top w:val="nil"/>
              <w:left w:val="nil"/>
              <w:bottom w:val="nil"/>
              <w:right w:val="nil"/>
            </w:tcBorders>
            <w:shd w:val="clear" w:color="auto" w:fill="auto"/>
            <w:noWrap/>
            <w:vAlign w:val="bottom"/>
            <w:hideMark/>
          </w:tcPr>
          <w:p w14:paraId="578668A2" w14:textId="77777777" w:rsidR="00061E7B" w:rsidRPr="00061E7B" w:rsidRDefault="00061E7B" w:rsidP="00061E7B">
            <w:pPr>
              <w:spacing w:after="0"/>
              <w:ind w:leftChars="150" w:left="285"/>
              <w:rPr>
                <w:rFonts w:ascii="Arial" w:hAnsi="Arial" w:cs="Arial"/>
                <w:b/>
                <w:bCs/>
                <w:color w:val="auto"/>
                <w:sz w:val="16"/>
                <w:szCs w:val="16"/>
              </w:rPr>
            </w:pPr>
            <w:r w:rsidRPr="00061E7B">
              <w:rPr>
                <w:rFonts w:ascii="Arial" w:hAnsi="Arial" w:cs="Arial"/>
                <w:b/>
                <w:bCs/>
                <w:color w:val="auto"/>
                <w:sz w:val="16"/>
                <w:szCs w:val="16"/>
              </w:rPr>
              <w:t>Total cash received</w:t>
            </w:r>
          </w:p>
        </w:tc>
        <w:tc>
          <w:tcPr>
            <w:tcW w:w="880" w:type="dxa"/>
            <w:tcBorders>
              <w:top w:val="nil"/>
              <w:left w:val="nil"/>
              <w:bottom w:val="single" w:sz="4" w:space="0" w:color="auto"/>
              <w:right w:val="nil"/>
            </w:tcBorders>
            <w:shd w:val="clear" w:color="auto" w:fill="auto"/>
            <w:noWrap/>
            <w:vAlign w:val="bottom"/>
            <w:hideMark/>
          </w:tcPr>
          <w:p w14:paraId="5A68EC96" w14:textId="77777777" w:rsidR="00061E7B" w:rsidRPr="00061E7B" w:rsidRDefault="00061E7B" w:rsidP="00061E7B">
            <w:pPr>
              <w:spacing w:after="0"/>
              <w:jc w:val="right"/>
              <w:rPr>
                <w:rFonts w:ascii="Arial" w:hAnsi="Arial" w:cs="Arial"/>
                <w:b/>
                <w:bCs/>
                <w:color w:val="auto"/>
                <w:sz w:val="16"/>
                <w:szCs w:val="16"/>
              </w:rPr>
            </w:pPr>
            <w:r w:rsidRPr="00061E7B">
              <w:rPr>
                <w:rFonts w:ascii="Arial" w:hAnsi="Arial" w:cs="Arial"/>
                <w:b/>
                <w:bCs/>
                <w:color w:val="auto"/>
                <w:sz w:val="16"/>
                <w:szCs w:val="16"/>
              </w:rPr>
              <w:t>-</w:t>
            </w:r>
          </w:p>
        </w:tc>
        <w:tc>
          <w:tcPr>
            <w:tcW w:w="849" w:type="dxa"/>
            <w:tcBorders>
              <w:top w:val="nil"/>
              <w:left w:val="nil"/>
              <w:bottom w:val="single" w:sz="4" w:space="0" w:color="auto"/>
              <w:right w:val="nil"/>
            </w:tcBorders>
            <w:shd w:val="clear" w:color="000000" w:fill="D9D9D9"/>
            <w:noWrap/>
            <w:vAlign w:val="bottom"/>
            <w:hideMark/>
          </w:tcPr>
          <w:p w14:paraId="06491940" w14:textId="77777777" w:rsidR="00061E7B" w:rsidRPr="00061E7B" w:rsidRDefault="00061E7B" w:rsidP="00061E7B">
            <w:pPr>
              <w:spacing w:after="0"/>
              <w:jc w:val="right"/>
              <w:rPr>
                <w:rFonts w:ascii="Arial" w:hAnsi="Arial" w:cs="Arial"/>
                <w:b/>
                <w:bCs/>
                <w:color w:val="auto"/>
                <w:sz w:val="16"/>
                <w:szCs w:val="16"/>
              </w:rPr>
            </w:pPr>
            <w:r w:rsidRPr="00061E7B">
              <w:rPr>
                <w:rFonts w:ascii="Arial" w:hAnsi="Arial" w:cs="Arial"/>
                <w:b/>
                <w:bCs/>
                <w:color w:val="auto"/>
                <w:sz w:val="16"/>
                <w:szCs w:val="16"/>
              </w:rPr>
              <w:t>-</w:t>
            </w:r>
          </w:p>
        </w:tc>
        <w:tc>
          <w:tcPr>
            <w:tcW w:w="860" w:type="dxa"/>
            <w:tcBorders>
              <w:top w:val="nil"/>
              <w:left w:val="nil"/>
              <w:bottom w:val="single" w:sz="4" w:space="0" w:color="auto"/>
              <w:right w:val="nil"/>
            </w:tcBorders>
            <w:shd w:val="clear" w:color="auto" w:fill="auto"/>
            <w:noWrap/>
            <w:vAlign w:val="bottom"/>
            <w:hideMark/>
          </w:tcPr>
          <w:p w14:paraId="3D5A6F29" w14:textId="77777777" w:rsidR="00061E7B" w:rsidRPr="00061E7B" w:rsidRDefault="00061E7B" w:rsidP="00061E7B">
            <w:pPr>
              <w:spacing w:after="0"/>
              <w:jc w:val="right"/>
              <w:rPr>
                <w:rFonts w:ascii="Arial" w:hAnsi="Arial" w:cs="Arial"/>
                <w:b/>
                <w:bCs/>
                <w:color w:val="auto"/>
                <w:sz w:val="16"/>
                <w:szCs w:val="16"/>
              </w:rPr>
            </w:pPr>
            <w:r w:rsidRPr="00061E7B">
              <w:rPr>
                <w:rFonts w:ascii="Arial" w:hAnsi="Arial" w:cs="Arial"/>
                <w:b/>
                <w:bCs/>
                <w:color w:val="auto"/>
                <w:sz w:val="16"/>
                <w:szCs w:val="16"/>
              </w:rPr>
              <w:t>-</w:t>
            </w:r>
          </w:p>
        </w:tc>
        <w:tc>
          <w:tcPr>
            <w:tcW w:w="860" w:type="dxa"/>
            <w:tcBorders>
              <w:top w:val="nil"/>
              <w:left w:val="nil"/>
              <w:bottom w:val="single" w:sz="4" w:space="0" w:color="auto"/>
              <w:right w:val="nil"/>
            </w:tcBorders>
            <w:shd w:val="clear" w:color="auto" w:fill="auto"/>
            <w:noWrap/>
            <w:vAlign w:val="bottom"/>
            <w:hideMark/>
          </w:tcPr>
          <w:p w14:paraId="5167599A" w14:textId="77777777" w:rsidR="00061E7B" w:rsidRPr="00061E7B" w:rsidRDefault="00061E7B" w:rsidP="00061E7B">
            <w:pPr>
              <w:spacing w:after="0"/>
              <w:jc w:val="right"/>
              <w:rPr>
                <w:rFonts w:ascii="Arial" w:hAnsi="Arial" w:cs="Arial"/>
                <w:b/>
                <w:bCs/>
                <w:color w:val="auto"/>
                <w:sz w:val="16"/>
                <w:szCs w:val="16"/>
              </w:rPr>
            </w:pPr>
            <w:r w:rsidRPr="00061E7B">
              <w:rPr>
                <w:rFonts w:ascii="Arial" w:hAnsi="Arial" w:cs="Arial"/>
                <w:b/>
                <w:bCs/>
                <w:color w:val="auto"/>
                <w:sz w:val="16"/>
                <w:szCs w:val="16"/>
              </w:rPr>
              <w:t>-</w:t>
            </w:r>
          </w:p>
        </w:tc>
        <w:tc>
          <w:tcPr>
            <w:tcW w:w="860" w:type="dxa"/>
            <w:tcBorders>
              <w:top w:val="nil"/>
              <w:left w:val="nil"/>
              <w:bottom w:val="single" w:sz="4" w:space="0" w:color="auto"/>
              <w:right w:val="nil"/>
            </w:tcBorders>
            <w:shd w:val="clear" w:color="auto" w:fill="auto"/>
            <w:noWrap/>
            <w:vAlign w:val="bottom"/>
            <w:hideMark/>
          </w:tcPr>
          <w:p w14:paraId="04E53D65" w14:textId="77777777" w:rsidR="00061E7B" w:rsidRPr="00061E7B" w:rsidRDefault="00061E7B" w:rsidP="00061E7B">
            <w:pPr>
              <w:spacing w:after="0"/>
              <w:jc w:val="right"/>
              <w:rPr>
                <w:rFonts w:ascii="Arial" w:hAnsi="Arial" w:cs="Arial"/>
                <w:b/>
                <w:bCs/>
                <w:color w:val="auto"/>
                <w:sz w:val="16"/>
                <w:szCs w:val="16"/>
              </w:rPr>
            </w:pPr>
            <w:r w:rsidRPr="00061E7B">
              <w:rPr>
                <w:rFonts w:ascii="Arial" w:hAnsi="Arial" w:cs="Arial"/>
                <w:b/>
                <w:bCs/>
                <w:color w:val="auto"/>
                <w:sz w:val="16"/>
                <w:szCs w:val="16"/>
              </w:rPr>
              <w:t>-</w:t>
            </w:r>
          </w:p>
        </w:tc>
      </w:tr>
      <w:tr w:rsidR="00061E7B" w:rsidRPr="00061E7B" w14:paraId="2753BB65" w14:textId="77777777" w:rsidTr="00061E7B">
        <w:trPr>
          <w:trHeight w:val="300"/>
        </w:trPr>
        <w:tc>
          <w:tcPr>
            <w:tcW w:w="3051" w:type="dxa"/>
            <w:tcBorders>
              <w:top w:val="nil"/>
              <w:left w:val="nil"/>
              <w:bottom w:val="nil"/>
              <w:right w:val="nil"/>
            </w:tcBorders>
            <w:shd w:val="clear" w:color="auto" w:fill="auto"/>
            <w:noWrap/>
            <w:vAlign w:val="bottom"/>
            <w:hideMark/>
          </w:tcPr>
          <w:p w14:paraId="2D4D9990" w14:textId="77777777" w:rsidR="00061E7B" w:rsidRPr="00061E7B" w:rsidRDefault="00061E7B" w:rsidP="00061E7B">
            <w:pPr>
              <w:spacing w:after="0"/>
              <w:ind w:firstLineChars="100" w:firstLine="160"/>
              <w:rPr>
                <w:rFonts w:ascii="Arial" w:hAnsi="Arial" w:cs="Arial"/>
                <w:b/>
                <w:bCs/>
                <w:color w:val="auto"/>
                <w:sz w:val="16"/>
                <w:szCs w:val="16"/>
              </w:rPr>
            </w:pPr>
            <w:r w:rsidRPr="00061E7B">
              <w:rPr>
                <w:rFonts w:ascii="Arial" w:hAnsi="Arial" w:cs="Arial"/>
                <w:b/>
                <w:bCs/>
                <w:color w:val="auto"/>
                <w:sz w:val="16"/>
                <w:szCs w:val="16"/>
              </w:rPr>
              <w:t>Cash used</w:t>
            </w:r>
          </w:p>
        </w:tc>
        <w:tc>
          <w:tcPr>
            <w:tcW w:w="880" w:type="dxa"/>
            <w:tcBorders>
              <w:top w:val="nil"/>
              <w:left w:val="nil"/>
              <w:bottom w:val="nil"/>
              <w:right w:val="nil"/>
            </w:tcBorders>
            <w:shd w:val="clear" w:color="auto" w:fill="auto"/>
            <w:noWrap/>
            <w:vAlign w:val="bottom"/>
            <w:hideMark/>
          </w:tcPr>
          <w:p w14:paraId="150902EE" w14:textId="77777777" w:rsidR="00061E7B" w:rsidRPr="00061E7B" w:rsidRDefault="00061E7B" w:rsidP="00061E7B">
            <w:pPr>
              <w:spacing w:after="0"/>
              <w:ind w:firstLineChars="100" w:firstLine="160"/>
              <w:rPr>
                <w:rFonts w:ascii="Arial" w:hAnsi="Arial" w:cs="Arial"/>
                <w:b/>
                <w:bCs/>
                <w:color w:val="auto"/>
                <w:sz w:val="16"/>
                <w:szCs w:val="16"/>
              </w:rPr>
            </w:pPr>
          </w:p>
        </w:tc>
        <w:tc>
          <w:tcPr>
            <w:tcW w:w="849" w:type="dxa"/>
            <w:tcBorders>
              <w:top w:val="nil"/>
              <w:left w:val="nil"/>
              <w:bottom w:val="nil"/>
              <w:right w:val="nil"/>
            </w:tcBorders>
            <w:shd w:val="clear" w:color="000000" w:fill="D9D9D9"/>
            <w:noWrap/>
            <w:vAlign w:val="bottom"/>
            <w:hideMark/>
          </w:tcPr>
          <w:p w14:paraId="15C2213B" w14:textId="77777777" w:rsidR="00061E7B" w:rsidRPr="00061E7B" w:rsidRDefault="00061E7B" w:rsidP="00061E7B">
            <w:pPr>
              <w:spacing w:after="0"/>
              <w:jc w:val="right"/>
              <w:rPr>
                <w:rFonts w:ascii="Arial" w:hAnsi="Arial" w:cs="Arial"/>
                <w:color w:val="auto"/>
                <w:sz w:val="16"/>
                <w:szCs w:val="16"/>
              </w:rPr>
            </w:pPr>
            <w:r w:rsidRPr="00061E7B">
              <w:rPr>
                <w:rFonts w:ascii="Arial" w:hAnsi="Arial" w:cs="Arial"/>
                <w:color w:val="auto"/>
                <w:sz w:val="16"/>
                <w:szCs w:val="16"/>
              </w:rPr>
              <w:t> </w:t>
            </w:r>
          </w:p>
        </w:tc>
        <w:tc>
          <w:tcPr>
            <w:tcW w:w="860" w:type="dxa"/>
            <w:tcBorders>
              <w:top w:val="nil"/>
              <w:left w:val="nil"/>
              <w:bottom w:val="nil"/>
              <w:right w:val="nil"/>
            </w:tcBorders>
            <w:shd w:val="clear" w:color="auto" w:fill="auto"/>
            <w:noWrap/>
            <w:vAlign w:val="bottom"/>
            <w:hideMark/>
          </w:tcPr>
          <w:p w14:paraId="538193D2" w14:textId="77777777" w:rsidR="00061E7B" w:rsidRPr="00061E7B" w:rsidRDefault="00061E7B" w:rsidP="00061E7B">
            <w:pPr>
              <w:spacing w:after="0"/>
              <w:jc w:val="right"/>
              <w:rPr>
                <w:rFonts w:ascii="Arial" w:hAnsi="Arial" w:cs="Arial"/>
                <w:color w:val="auto"/>
                <w:sz w:val="16"/>
                <w:szCs w:val="16"/>
              </w:rPr>
            </w:pPr>
          </w:p>
        </w:tc>
        <w:tc>
          <w:tcPr>
            <w:tcW w:w="860" w:type="dxa"/>
            <w:tcBorders>
              <w:top w:val="nil"/>
              <w:left w:val="nil"/>
              <w:bottom w:val="nil"/>
              <w:right w:val="nil"/>
            </w:tcBorders>
            <w:shd w:val="clear" w:color="auto" w:fill="auto"/>
            <w:noWrap/>
            <w:vAlign w:val="bottom"/>
            <w:hideMark/>
          </w:tcPr>
          <w:p w14:paraId="2D10D2C1" w14:textId="77777777" w:rsidR="00061E7B" w:rsidRPr="00061E7B" w:rsidRDefault="00061E7B" w:rsidP="00061E7B">
            <w:pPr>
              <w:spacing w:after="0"/>
              <w:jc w:val="right"/>
              <w:rPr>
                <w:rFonts w:ascii="Times New Roman" w:hAnsi="Times New Roman"/>
                <w:color w:val="auto"/>
                <w:sz w:val="20"/>
              </w:rPr>
            </w:pPr>
          </w:p>
        </w:tc>
        <w:tc>
          <w:tcPr>
            <w:tcW w:w="860" w:type="dxa"/>
            <w:tcBorders>
              <w:top w:val="nil"/>
              <w:left w:val="nil"/>
              <w:bottom w:val="nil"/>
              <w:right w:val="nil"/>
            </w:tcBorders>
            <w:shd w:val="clear" w:color="auto" w:fill="auto"/>
            <w:noWrap/>
            <w:vAlign w:val="bottom"/>
            <w:hideMark/>
          </w:tcPr>
          <w:p w14:paraId="79720C6D" w14:textId="77777777" w:rsidR="00061E7B" w:rsidRPr="00061E7B" w:rsidRDefault="00061E7B" w:rsidP="00061E7B">
            <w:pPr>
              <w:spacing w:after="0"/>
              <w:jc w:val="right"/>
              <w:rPr>
                <w:rFonts w:ascii="Times New Roman" w:hAnsi="Times New Roman"/>
                <w:color w:val="auto"/>
                <w:sz w:val="20"/>
              </w:rPr>
            </w:pPr>
          </w:p>
        </w:tc>
      </w:tr>
      <w:tr w:rsidR="00061E7B" w:rsidRPr="00061E7B" w14:paraId="26173C89" w14:textId="77777777" w:rsidTr="00061E7B">
        <w:trPr>
          <w:trHeight w:val="450"/>
        </w:trPr>
        <w:tc>
          <w:tcPr>
            <w:tcW w:w="3051" w:type="dxa"/>
            <w:tcBorders>
              <w:top w:val="nil"/>
              <w:left w:val="nil"/>
              <w:bottom w:val="nil"/>
              <w:right w:val="nil"/>
            </w:tcBorders>
            <w:shd w:val="clear" w:color="auto" w:fill="auto"/>
            <w:vAlign w:val="bottom"/>
            <w:hideMark/>
          </w:tcPr>
          <w:p w14:paraId="5248C6AA" w14:textId="77777777" w:rsidR="00061E7B" w:rsidRPr="00061E7B" w:rsidRDefault="00061E7B" w:rsidP="00061E7B">
            <w:pPr>
              <w:spacing w:after="0"/>
              <w:ind w:leftChars="150" w:left="285"/>
              <w:rPr>
                <w:rFonts w:ascii="Arial" w:hAnsi="Arial" w:cs="Arial"/>
                <w:color w:val="auto"/>
                <w:sz w:val="16"/>
                <w:szCs w:val="16"/>
              </w:rPr>
            </w:pPr>
            <w:r w:rsidRPr="00061E7B">
              <w:rPr>
                <w:rFonts w:ascii="Arial" w:hAnsi="Arial" w:cs="Arial"/>
                <w:color w:val="auto"/>
                <w:sz w:val="16"/>
                <w:szCs w:val="16"/>
              </w:rPr>
              <w:t>Purchase of property, plant and equipment</w:t>
            </w:r>
          </w:p>
        </w:tc>
        <w:tc>
          <w:tcPr>
            <w:tcW w:w="880" w:type="dxa"/>
            <w:tcBorders>
              <w:top w:val="nil"/>
              <w:left w:val="nil"/>
              <w:bottom w:val="nil"/>
              <w:right w:val="nil"/>
            </w:tcBorders>
            <w:shd w:val="clear" w:color="auto" w:fill="auto"/>
            <w:noWrap/>
            <w:vAlign w:val="bottom"/>
            <w:hideMark/>
          </w:tcPr>
          <w:p w14:paraId="4CFA51B5" w14:textId="77777777" w:rsidR="00061E7B" w:rsidRPr="00061E7B" w:rsidRDefault="00061E7B" w:rsidP="00061E7B">
            <w:pPr>
              <w:spacing w:after="0"/>
              <w:jc w:val="right"/>
              <w:rPr>
                <w:rFonts w:ascii="Arial" w:hAnsi="Arial" w:cs="Arial"/>
                <w:color w:val="auto"/>
                <w:sz w:val="16"/>
                <w:szCs w:val="16"/>
              </w:rPr>
            </w:pPr>
            <w:r w:rsidRPr="00061E7B">
              <w:rPr>
                <w:rFonts w:ascii="Arial" w:hAnsi="Arial" w:cs="Arial"/>
                <w:color w:val="auto"/>
                <w:sz w:val="16"/>
                <w:szCs w:val="16"/>
              </w:rPr>
              <w:t>36,463</w:t>
            </w:r>
          </w:p>
        </w:tc>
        <w:tc>
          <w:tcPr>
            <w:tcW w:w="849" w:type="dxa"/>
            <w:tcBorders>
              <w:top w:val="nil"/>
              <w:left w:val="nil"/>
              <w:bottom w:val="nil"/>
              <w:right w:val="nil"/>
            </w:tcBorders>
            <w:shd w:val="clear" w:color="000000" w:fill="D9D9D9"/>
            <w:noWrap/>
            <w:vAlign w:val="bottom"/>
            <w:hideMark/>
          </w:tcPr>
          <w:p w14:paraId="3A1D6073" w14:textId="77777777" w:rsidR="00061E7B" w:rsidRPr="00061E7B" w:rsidRDefault="00061E7B" w:rsidP="00061E7B">
            <w:pPr>
              <w:spacing w:after="0"/>
              <w:jc w:val="right"/>
              <w:rPr>
                <w:rFonts w:ascii="Arial" w:hAnsi="Arial" w:cs="Arial"/>
                <w:color w:val="auto"/>
                <w:sz w:val="16"/>
                <w:szCs w:val="16"/>
              </w:rPr>
            </w:pPr>
            <w:r w:rsidRPr="00061E7B">
              <w:rPr>
                <w:rFonts w:ascii="Arial" w:hAnsi="Arial" w:cs="Arial"/>
                <w:color w:val="auto"/>
                <w:sz w:val="16"/>
                <w:szCs w:val="16"/>
              </w:rPr>
              <w:t>18,406</w:t>
            </w:r>
          </w:p>
        </w:tc>
        <w:tc>
          <w:tcPr>
            <w:tcW w:w="860" w:type="dxa"/>
            <w:tcBorders>
              <w:top w:val="nil"/>
              <w:left w:val="nil"/>
              <w:bottom w:val="nil"/>
              <w:right w:val="nil"/>
            </w:tcBorders>
            <w:shd w:val="clear" w:color="auto" w:fill="auto"/>
            <w:noWrap/>
            <w:vAlign w:val="bottom"/>
            <w:hideMark/>
          </w:tcPr>
          <w:p w14:paraId="1409F180" w14:textId="77777777" w:rsidR="00061E7B" w:rsidRPr="00061E7B" w:rsidRDefault="00061E7B" w:rsidP="00061E7B">
            <w:pPr>
              <w:spacing w:after="0"/>
              <w:jc w:val="right"/>
              <w:rPr>
                <w:rFonts w:ascii="Arial" w:hAnsi="Arial" w:cs="Arial"/>
                <w:color w:val="auto"/>
                <w:sz w:val="16"/>
                <w:szCs w:val="16"/>
              </w:rPr>
            </w:pPr>
            <w:r w:rsidRPr="00061E7B">
              <w:rPr>
                <w:rFonts w:ascii="Arial" w:hAnsi="Arial" w:cs="Arial"/>
                <w:color w:val="auto"/>
                <w:sz w:val="16"/>
                <w:szCs w:val="16"/>
              </w:rPr>
              <w:t>-</w:t>
            </w:r>
          </w:p>
        </w:tc>
        <w:tc>
          <w:tcPr>
            <w:tcW w:w="860" w:type="dxa"/>
            <w:tcBorders>
              <w:top w:val="nil"/>
              <w:left w:val="nil"/>
              <w:bottom w:val="nil"/>
              <w:right w:val="nil"/>
            </w:tcBorders>
            <w:shd w:val="clear" w:color="auto" w:fill="auto"/>
            <w:noWrap/>
            <w:vAlign w:val="bottom"/>
            <w:hideMark/>
          </w:tcPr>
          <w:p w14:paraId="5C82672F" w14:textId="77777777" w:rsidR="00061E7B" w:rsidRPr="00061E7B" w:rsidRDefault="00061E7B" w:rsidP="00061E7B">
            <w:pPr>
              <w:spacing w:after="0"/>
              <w:jc w:val="right"/>
              <w:rPr>
                <w:rFonts w:ascii="Arial" w:hAnsi="Arial" w:cs="Arial"/>
                <w:color w:val="auto"/>
                <w:sz w:val="16"/>
                <w:szCs w:val="16"/>
              </w:rPr>
            </w:pPr>
            <w:r w:rsidRPr="00061E7B">
              <w:rPr>
                <w:rFonts w:ascii="Arial" w:hAnsi="Arial" w:cs="Arial"/>
                <w:color w:val="auto"/>
                <w:sz w:val="16"/>
                <w:szCs w:val="16"/>
              </w:rPr>
              <w:t>-</w:t>
            </w:r>
          </w:p>
        </w:tc>
        <w:tc>
          <w:tcPr>
            <w:tcW w:w="860" w:type="dxa"/>
            <w:tcBorders>
              <w:top w:val="nil"/>
              <w:left w:val="nil"/>
              <w:bottom w:val="nil"/>
              <w:right w:val="nil"/>
            </w:tcBorders>
            <w:shd w:val="clear" w:color="auto" w:fill="auto"/>
            <w:noWrap/>
            <w:vAlign w:val="bottom"/>
            <w:hideMark/>
          </w:tcPr>
          <w:p w14:paraId="11BD4BF2" w14:textId="77777777" w:rsidR="00061E7B" w:rsidRPr="00061E7B" w:rsidRDefault="00061E7B" w:rsidP="00061E7B">
            <w:pPr>
              <w:spacing w:after="0"/>
              <w:jc w:val="right"/>
              <w:rPr>
                <w:rFonts w:ascii="Arial" w:hAnsi="Arial" w:cs="Arial"/>
                <w:color w:val="auto"/>
                <w:sz w:val="16"/>
                <w:szCs w:val="16"/>
              </w:rPr>
            </w:pPr>
            <w:r w:rsidRPr="00061E7B">
              <w:rPr>
                <w:rFonts w:ascii="Arial" w:hAnsi="Arial" w:cs="Arial"/>
                <w:color w:val="auto"/>
                <w:sz w:val="16"/>
                <w:szCs w:val="16"/>
              </w:rPr>
              <w:t>-</w:t>
            </w:r>
          </w:p>
        </w:tc>
      </w:tr>
      <w:tr w:rsidR="00061E7B" w:rsidRPr="00061E7B" w14:paraId="64A5E34D" w14:textId="77777777" w:rsidTr="00061E7B">
        <w:trPr>
          <w:trHeight w:val="225"/>
        </w:trPr>
        <w:tc>
          <w:tcPr>
            <w:tcW w:w="3051" w:type="dxa"/>
            <w:tcBorders>
              <w:top w:val="nil"/>
              <w:left w:val="nil"/>
              <w:bottom w:val="nil"/>
              <w:right w:val="nil"/>
            </w:tcBorders>
            <w:shd w:val="clear" w:color="auto" w:fill="auto"/>
            <w:noWrap/>
            <w:vAlign w:val="bottom"/>
            <w:hideMark/>
          </w:tcPr>
          <w:p w14:paraId="647A2165" w14:textId="77777777" w:rsidR="00061E7B" w:rsidRPr="00061E7B" w:rsidRDefault="00061E7B" w:rsidP="00061E7B">
            <w:pPr>
              <w:spacing w:after="0"/>
              <w:ind w:leftChars="150" w:left="285"/>
              <w:rPr>
                <w:rFonts w:ascii="Arial" w:hAnsi="Arial" w:cs="Arial"/>
                <w:b/>
                <w:bCs/>
                <w:color w:val="auto"/>
                <w:sz w:val="16"/>
                <w:szCs w:val="16"/>
              </w:rPr>
            </w:pPr>
            <w:r w:rsidRPr="00061E7B">
              <w:rPr>
                <w:rFonts w:ascii="Arial" w:hAnsi="Arial" w:cs="Arial"/>
                <w:b/>
                <w:bCs/>
                <w:color w:val="auto"/>
                <w:sz w:val="16"/>
                <w:szCs w:val="16"/>
              </w:rPr>
              <w:t>Total cash used</w:t>
            </w:r>
          </w:p>
        </w:tc>
        <w:tc>
          <w:tcPr>
            <w:tcW w:w="880" w:type="dxa"/>
            <w:tcBorders>
              <w:top w:val="nil"/>
              <w:left w:val="nil"/>
              <w:bottom w:val="single" w:sz="4" w:space="0" w:color="auto"/>
              <w:right w:val="nil"/>
            </w:tcBorders>
            <w:shd w:val="clear" w:color="auto" w:fill="auto"/>
            <w:noWrap/>
            <w:vAlign w:val="bottom"/>
            <w:hideMark/>
          </w:tcPr>
          <w:p w14:paraId="3C60006D" w14:textId="77777777" w:rsidR="00061E7B" w:rsidRPr="00061E7B" w:rsidRDefault="00061E7B" w:rsidP="00061E7B">
            <w:pPr>
              <w:spacing w:after="0"/>
              <w:jc w:val="right"/>
              <w:rPr>
                <w:rFonts w:ascii="Arial" w:hAnsi="Arial" w:cs="Arial"/>
                <w:b/>
                <w:bCs/>
                <w:color w:val="auto"/>
                <w:sz w:val="16"/>
                <w:szCs w:val="16"/>
              </w:rPr>
            </w:pPr>
            <w:r w:rsidRPr="00061E7B">
              <w:rPr>
                <w:rFonts w:ascii="Arial" w:hAnsi="Arial" w:cs="Arial"/>
                <w:b/>
                <w:bCs/>
                <w:color w:val="auto"/>
                <w:sz w:val="16"/>
                <w:szCs w:val="16"/>
              </w:rPr>
              <w:t>36,463</w:t>
            </w:r>
          </w:p>
        </w:tc>
        <w:tc>
          <w:tcPr>
            <w:tcW w:w="849" w:type="dxa"/>
            <w:tcBorders>
              <w:top w:val="nil"/>
              <w:left w:val="nil"/>
              <w:bottom w:val="single" w:sz="4" w:space="0" w:color="auto"/>
              <w:right w:val="nil"/>
            </w:tcBorders>
            <w:shd w:val="clear" w:color="000000" w:fill="D9D9D9"/>
            <w:noWrap/>
            <w:vAlign w:val="bottom"/>
            <w:hideMark/>
          </w:tcPr>
          <w:p w14:paraId="49FD1C2E" w14:textId="77777777" w:rsidR="00061E7B" w:rsidRPr="00061E7B" w:rsidRDefault="00061E7B" w:rsidP="00061E7B">
            <w:pPr>
              <w:spacing w:after="0"/>
              <w:jc w:val="right"/>
              <w:rPr>
                <w:rFonts w:ascii="Arial" w:hAnsi="Arial" w:cs="Arial"/>
                <w:b/>
                <w:bCs/>
                <w:color w:val="auto"/>
                <w:sz w:val="16"/>
                <w:szCs w:val="16"/>
              </w:rPr>
            </w:pPr>
            <w:r w:rsidRPr="00061E7B">
              <w:rPr>
                <w:rFonts w:ascii="Arial" w:hAnsi="Arial" w:cs="Arial"/>
                <w:b/>
                <w:bCs/>
                <w:color w:val="auto"/>
                <w:sz w:val="16"/>
                <w:szCs w:val="16"/>
              </w:rPr>
              <w:t>18,406</w:t>
            </w:r>
          </w:p>
        </w:tc>
        <w:tc>
          <w:tcPr>
            <w:tcW w:w="860" w:type="dxa"/>
            <w:tcBorders>
              <w:top w:val="nil"/>
              <w:left w:val="nil"/>
              <w:bottom w:val="single" w:sz="4" w:space="0" w:color="auto"/>
              <w:right w:val="nil"/>
            </w:tcBorders>
            <w:shd w:val="clear" w:color="auto" w:fill="auto"/>
            <w:noWrap/>
            <w:vAlign w:val="bottom"/>
            <w:hideMark/>
          </w:tcPr>
          <w:p w14:paraId="0E2EEE99" w14:textId="77777777" w:rsidR="00061E7B" w:rsidRPr="00061E7B" w:rsidRDefault="00061E7B" w:rsidP="00061E7B">
            <w:pPr>
              <w:spacing w:after="0"/>
              <w:jc w:val="right"/>
              <w:rPr>
                <w:rFonts w:ascii="Arial" w:hAnsi="Arial" w:cs="Arial"/>
                <w:b/>
                <w:bCs/>
                <w:color w:val="auto"/>
                <w:sz w:val="16"/>
                <w:szCs w:val="16"/>
              </w:rPr>
            </w:pPr>
            <w:r w:rsidRPr="00061E7B">
              <w:rPr>
                <w:rFonts w:ascii="Arial" w:hAnsi="Arial" w:cs="Arial"/>
                <w:b/>
                <w:bCs/>
                <w:color w:val="auto"/>
                <w:sz w:val="16"/>
                <w:szCs w:val="16"/>
              </w:rPr>
              <w:t>-</w:t>
            </w:r>
          </w:p>
        </w:tc>
        <w:tc>
          <w:tcPr>
            <w:tcW w:w="860" w:type="dxa"/>
            <w:tcBorders>
              <w:top w:val="nil"/>
              <w:left w:val="nil"/>
              <w:bottom w:val="single" w:sz="4" w:space="0" w:color="auto"/>
              <w:right w:val="nil"/>
            </w:tcBorders>
            <w:shd w:val="clear" w:color="auto" w:fill="auto"/>
            <w:noWrap/>
            <w:vAlign w:val="bottom"/>
            <w:hideMark/>
          </w:tcPr>
          <w:p w14:paraId="39842DE9" w14:textId="77777777" w:rsidR="00061E7B" w:rsidRPr="00061E7B" w:rsidRDefault="00061E7B" w:rsidP="00061E7B">
            <w:pPr>
              <w:spacing w:after="0"/>
              <w:jc w:val="right"/>
              <w:rPr>
                <w:rFonts w:ascii="Arial" w:hAnsi="Arial" w:cs="Arial"/>
                <w:b/>
                <w:bCs/>
                <w:color w:val="auto"/>
                <w:sz w:val="16"/>
                <w:szCs w:val="16"/>
              </w:rPr>
            </w:pPr>
            <w:r w:rsidRPr="00061E7B">
              <w:rPr>
                <w:rFonts w:ascii="Arial" w:hAnsi="Arial" w:cs="Arial"/>
                <w:b/>
                <w:bCs/>
                <w:color w:val="auto"/>
                <w:sz w:val="16"/>
                <w:szCs w:val="16"/>
              </w:rPr>
              <w:t>-</w:t>
            </w:r>
          </w:p>
        </w:tc>
        <w:tc>
          <w:tcPr>
            <w:tcW w:w="860" w:type="dxa"/>
            <w:tcBorders>
              <w:top w:val="nil"/>
              <w:left w:val="nil"/>
              <w:bottom w:val="single" w:sz="4" w:space="0" w:color="auto"/>
              <w:right w:val="nil"/>
            </w:tcBorders>
            <w:shd w:val="clear" w:color="auto" w:fill="auto"/>
            <w:noWrap/>
            <w:vAlign w:val="bottom"/>
            <w:hideMark/>
          </w:tcPr>
          <w:p w14:paraId="1EE224AE" w14:textId="77777777" w:rsidR="00061E7B" w:rsidRPr="00061E7B" w:rsidRDefault="00061E7B" w:rsidP="00061E7B">
            <w:pPr>
              <w:spacing w:after="0"/>
              <w:jc w:val="right"/>
              <w:rPr>
                <w:rFonts w:ascii="Arial" w:hAnsi="Arial" w:cs="Arial"/>
                <w:b/>
                <w:bCs/>
                <w:color w:val="auto"/>
                <w:sz w:val="16"/>
                <w:szCs w:val="16"/>
              </w:rPr>
            </w:pPr>
            <w:r w:rsidRPr="00061E7B">
              <w:rPr>
                <w:rFonts w:ascii="Arial" w:hAnsi="Arial" w:cs="Arial"/>
                <w:b/>
                <w:bCs/>
                <w:color w:val="auto"/>
                <w:sz w:val="16"/>
                <w:szCs w:val="16"/>
              </w:rPr>
              <w:t>-</w:t>
            </w:r>
          </w:p>
        </w:tc>
      </w:tr>
      <w:tr w:rsidR="00061E7B" w:rsidRPr="00061E7B" w14:paraId="0D5E6C35" w14:textId="77777777" w:rsidTr="00061E7B">
        <w:trPr>
          <w:trHeight w:val="450"/>
        </w:trPr>
        <w:tc>
          <w:tcPr>
            <w:tcW w:w="3051" w:type="dxa"/>
            <w:tcBorders>
              <w:top w:val="nil"/>
              <w:left w:val="nil"/>
              <w:bottom w:val="nil"/>
              <w:right w:val="nil"/>
            </w:tcBorders>
            <w:shd w:val="clear" w:color="auto" w:fill="auto"/>
            <w:vAlign w:val="bottom"/>
            <w:hideMark/>
          </w:tcPr>
          <w:p w14:paraId="4B0DF4BD" w14:textId="77777777" w:rsidR="00061E7B" w:rsidRPr="00061E7B" w:rsidRDefault="00061E7B" w:rsidP="00061E7B">
            <w:pPr>
              <w:spacing w:after="0"/>
              <w:ind w:leftChars="75" w:left="143"/>
              <w:rPr>
                <w:rFonts w:ascii="Arial" w:hAnsi="Arial" w:cs="Arial"/>
                <w:b/>
                <w:bCs/>
                <w:color w:val="auto"/>
                <w:sz w:val="16"/>
                <w:szCs w:val="16"/>
              </w:rPr>
            </w:pPr>
            <w:r w:rsidRPr="00061E7B">
              <w:rPr>
                <w:rFonts w:ascii="Arial" w:hAnsi="Arial" w:cs="Arial"/>
                <w:b/>
                <w:bCs/>
                <w:color w:val="auto"/>
                <w:sz w:val="16"/>
                <w:szCs w:val="16"/>
              </w:rPr>
              <w:t>Net cash from (or used by)  investing activities</w:t>
            </w:r>
          </w:p>
        </w:tc>
        <w:tc>
          <w:tcPr>
            <w:tcW w:w="880" w:type="dxa"/>
            <w:tcBorders>
              <w:top w:val="nil"/>
              <w:left w:val="nil"/>
              <w:bottom w:val="single" w:sz="4" w:space="0" w:color="auto"/>
              <w:right w:val="nil"/>
            </w:tcBorders>
            <w:shd w:val="clear" w:color="auto" w:fill="auto"/>
            <w:noWrap/>
            <w:vAlign w:val="bottom"/>
            <w:hideMark/>
          </w:tcPr>
          <w:p w14:paraId="7172C27C" w14:textId="77777777" w:rsidR="00061E7B" w:rsidRPr="00061E7B" w:rsidRDefault="00061E7B" w:rsidP="00061E7B">
            <w:pPr>
              <w:spacing w:after="0"/>
              <w:jc w:val="right"/>
              <w:rPr>
                <w:rFonts w:ascii="Arial" w:hAnsi="Arial" w:cs="Arial"/>
                <w:b/>
                <w:bCs/>
                <w:color w:val="auto"/>
                <w:sz w:val="16"/>
                <w:szCs w:val="16"/>
              </w:rPr>
            </w:pPr>
            <w:r w:rsidRPr="00061E7B">
              <w:rPr>
                <w:rFonts w:ascii="Arial" w:hAnsi="Arial" w:cs="Arial"/>
                <w:b/>
                <w:bCs/>
                <w:color w:val="auto"/>
                <w:sz w:val="16"/>
                <w:szCs w:val="16"/>
              </w:rPr>
              <w:t>(36,463)</w:t>
            </w:r>
          </w:p>
        </w:tc>
        <w:tc>
          <w:tcPr>
            <w:tcW w:w="849" w:type="dxa"/>
            <w:tcBorders>
              <w:top w:val="nil"/>
              <w:left w:val="nil"/>
              <w:bottom w:val="single" w:sz="4" w:space="0" w:color="auto"/>
              <w:right w:val="nil"/>
            </w:tcBorders>
            <w:shd w:val="clear" w:color="000000" w:fill="D9D9D9"/>
            <w:noWrap/>
            <w:vAlign w:val="bottom"/>
            <w:hideMark/>
          </w:tcPr>
          <w:p w14:paraId="5A9C085B" w14:textId="77777777" w:rsidR="00061E7B" w:rsidRPr="00061E7B" w:rsidRDefault="00061E7B" w:rsidP="00061E7B">
            <w:pPr>
              <w:spacing w:after="0"/>
              <w:jc w:val="right"/>
              <w:rPr>
                <w:rFonts w:ascii="Arial" w:hAnsi="Arial" w:cs="Arial"/>
                <w:b/>
                <w:bCs/>
                <w:color w:val="auto"/>
                <w:sz w:val="16"/>
                <w:szCs w:val="16"/>
              </w:rPr>
            </w:pPr>
            <w:r w:rsidRPr="00061E7B">
              <w:rPr>
                <w:rFonts w:ascii="Arial" w:hAnsi="Arial" w:cs="Arial"/>
                <w:b/>
                <w:bCs/>
                <w:color w:val="auto"/>
                <w:sz w:val="16"/>
                <w:szCs w:val="16"/>
              </w:rPr>
              <w:t>(18,406)</w:t>
            </w:r>
          </w:p>
        </w:tc>
        <w:tc>
          <w:tcPr>
            <w:tcW w:w="860" w:type="dxa"/>
            <w:tcBorders>
              <w:top w:val="nil"/>
              <w:left w:val="nil"/>
              <w:bottom w:val="single" w:sz="4" w:space="0" w:color="auto"/>
              <w:right w:val="nil"/>
            </w:tcBorders>
            <w:shd w:val="clear" w:color="auto" w:fill="auto"/>
            <w:noWrap/>
            <w:vAlign w:val="bottom"/>
            <w:hideMark/>
          </w:tcPr>
          <w:p w14:paraId="2EF967E5" w14:textId="77777777" w:rsidR="00061E7B" w:rsidRPr="00061E7B" w:rsidRDefault="00061E7B" w:rsidP="00061E7B">
            <w:pPr>
              <w:spacing w:after="0"/>
              <w:jc w:val="right"/>
              <w:rPr>
                <w:rFonts w:ascii="Arial" w:hAnsi="Arial" w:cs="Arial"/>
                <w:b/>
                <w:bCs/>
                <w:color w:val="auto"/>
                <w:sz w:val="16"/>
                <w:szCs w:val="16"/>
              </w:rPr>
            </w:pPr>
            <w:r w:rsidRPr="00061E7B">
              <w:rPr>
                <w:rFonts w:ascii="Arial" w:hAnsi="Arial" w:cs="Arial"/>
                <w:b/>
                <w:bCs/>
                <w:color w:val="auto"/>
                <w:sz w:val="16"/>
                <w:szCs w:val="16"/>
              </w:rPr>
              <w:t>-</w:t>
            </w:r>
          </w:p>
        </w:tc>
        <w:tc>
          <w:tcPr>
            <w:tcW w:w="860" w:type="dxa"/>
            <w:tcBorders>
              <w:top w:val="nil"/>
              <w:left w:val="nil"/>
              <w:bottom w:val="single" w:sz="4" w:space="0" w:color="auto"/>
              <w:right w:val="nil"/>
            </w:tcBorders>
            <w:shd w:val="clear" w:color="auto" w:fill="auto"/>
            <w:noWrap/>
            <w:vAlign w:val="bottom"/>
            <w:hideMark/>
          </w:tcPr>
          <w:p w14:paraId="3113980E" w14:textId="77777777" w:rsidR="00061E7B" w:rsidRPr="00061E7B" w:rsidRDefault="00061E7B" w:rsidP="00061E7B">
            <w:pPr>
              <w:spacing w:after="0"/>
              <w:jc w:val="right"/>
              <w:rPr>
                <w:rFonts w:ascii="Arial" w:hAnsi="Arial" w:cs="Arial"/>
                <w:b/>
                <w:bCs/>
                <w:color w:val="auto"/>
                <w:sz w:val="16"/>
                <w:szCs w:val="16"/>
              </w:rPr>
            </w:pPr>
            <w:r w:rsidRPr="00061E7B">
              <w:rPr>
                <w:rFonts w:ascii="Arial" w:hAnsi="Arial" w:cs="Arial"/>
                <w:b/>
                <w:bCs/>
                <w:color w:val="auto"/>
                <w:sz w:val="16"/>
                <w:szCs w:val="16"/>
              </w:rPr>
              <w:t>-</w:t>
            </w:r>
          </w:p>
        </w:tc>
        <w:tc>
          <w:tcPr>
            <w:tcW w:w="860" w:type="dxa"/>
            <w:tcBorders>
              <w:top w:val="nil"/>
              <w:left w:val="nil"/>
              <w:bottom w:val="single" w:sz="4" w:space="0" w:color="auto"/>
              <w:right w:val="nil"/>
            </w:tcBorders>
            <w:shd w:val="clear" w:color="auto" w:fill="auto"/>
            <w:noWrap/>
            <w:vAlign w:val="bottom"/>
            <w:hideMark/>
          </w:tcPr>
          <w:p w14:paraId="57BD1F16" w14:textId="77777777" w:rsidR="00061E7B" w:rsidRPr="00061E7B" w:rsidRDefault="00061E7B" w:rsidP="00061E7B">
            <w:pPr>
              <w:spacing w:after="0"/>
              <w:jc w:val="right"/>
              <w:rPr>
                <w:rFonts w:ascii="Arial" w:hAnsi="Arial" w:cs="Arial"/>
                <w:b/>
                <w:bCs/>
                <w:color w:val="auto"/>
                <w:sz w:val="16"/>
                <w:szCs w:val="16"/>
              </w:rPr>
            </w:pPr>
            <w:r w:rsidRPr="00061E7B">
              <w:rPr>
                <w:rFonts w:ascii="Arial" w:hAnsi="Arial" w:cs="Arial"/>
                <w:b/>
                <w:bCs/>
                <w:color w:val="auto"/>
                <w:sz w:val="16"/>
                <w:szCs w:val="16"/>
              </w:rPr>
              <w:t>-</w:t>
            </w:r>
          </w:p>
        </w:tc>
      </w:tr>
      <w:tr w:rsidR="00061E7B" w:rsidRPr="00061E7B" w14:paraId="5B8B9628" w14:textId="77777777" w:rsidTr="00061E7B">
        <w:trPr>
          <w:trHeight w:val="300"/>
        </w:trPr>
        <w:tc>
          <w:tcPr>
            <w:tcW w:w="3051" w:type="dxa"/>
            <w:tcBorders>
              <w:top w:val="nil"/>
              <w:left w:val="nil"/>
              <w:bottom w:val="nil"/>
              <w:right w:val="nil"/>
            </w:tcBorders>
            <w:shd w:val="clear" w:color="auto" w:fill="auto"/>
            <w:noWrap/>
            <w:vAlign w:val="bottom"/>
            <w:hideMark/>
          </w:tcPr>
          <w:p w14:paraId="7A69DF3A" w14:textId="77777777" w:rsidR="00061E7B" w:rsidRPr="00061E7B" w:rsidRDefault="00061E7B" w:rsidP="00061E7B">
            <w:pPr>
              <w:spacing w:after="0"/>
              <w:rPr>
                <w:rFonts w:ascii="Arial" w:hAnsi="Arial" w:cs="Arial"/>
                <w:b/>
                <w:bCs/>
                <w:color w:val="auto"/>
                <w:sz w:val="16"/>
                <w:szCs w:val="16"/>
              </w:rPr>
            </w:pPr>
            <w:r w:rsidRPr="00061E7B">
              <w:rPr>
                <w:rFonts w:ascii="Arial" w:hAnsi="Arial" w:cs="Arial"/>
                <w:b/>
                <w:bCs/>
                <w:color w:val="auto"/>
                <w:sz w:val="16"/>
                <w:szCs w:val="16"/>
              </w:rPr>
              <w:t>FINANCING ACTIVITIES</w:t>
            </w:r>
          </w:p>
        </w:tc>
        <w:tc>
          <w:tcPr>
            <w:tcW w:w="880" w:type="dxa"/>
            <w:tcBorders>
              <w:top w:val="nil"/>
              <w:left w:val="nil"/>
              <w:bottom w:val="nil"/>
              <w:right w:val="nil"/>
            </w:tcBorders>
            <w:shd w:val="clear" w:color="auto" w:fill="auto"/>
            <w:noWrap/>
            <w:vAlign w:val="bottom"/>
            <w:hideMark/>
          </w:tcPr>
          <w:p w14:paraId="4AA5BA31" w14:textId="77777777" w:rsidR="00061E7B" w:rsidRPr="00061E7B" w:rsidRDefault="00061E7B" w:rsidP="00061E7B">
            <w:pPr>
              <w:spacing w:after="0"/>
              <w:rPr>
                <w:rFonts w:ascii="Arial" w:hAnsi="Arial" w:cs="Arial"/>
                <w:b/>
                <w:bCs/>
                <w:color w:val="auto"/>
                <w:sz w:val="16"/>
                <w:szCs w:val="16"/>
              </w:rPr>
            </w:pPr>
          </w:p>
        </w:tc>
        <w:tc>
          <w:tcPr>
            <w:tcW w:w="849" w:type="dxa"/>
            <w:tcBorders>
              <w:top w:val="nil"/>
              <w:left w:val="nil"/>
              <w:bottom w:val="nil"/>
              <w:right w:val="nil"/>
            </w:tcBorders>
            <w:shd w:val="clear" w:color="000000" w:fill="D9D9D9"/>
            <w:noWrap/>
            <w:vAlign w:val="bottom"/>
            <w:hideMark/>
          </w:tcPr>
          <w:p w14:paraId="52E4C909" w14:textId="77777777" w:rsidR="00061E7B" w:rsidRPr="00061E7B" w:rsidRDefault="00061E7B" w:rsidP="00061E7B">
            <w:pPr>
              <w:spacing w:after="0"/>
              <w:jc w:val="right"/>
              <w:rPr>
                <w:rFonts w:ascii="Arial" w:hAnsi="Arial" w:cs="Arial"/>
                <w:color w:val="auto"/>
                <w:sz w:val="16"/>
                <w:szCs w:val="16"/>
              </w:rPr>
            </w:pPr>
            <w:r w:rsidRPr="00061E7B">
              <w:rPr>
                <w:rFonts w:ascii="Arial" w:hAnsi="Arial" w:cs="Arial"/>
                <w:color w:val="auto"/>
                <w:sz w:val="16"/>
                <w:szCs w:val="16"/>
              </w:rPr>
              <w:t> </w:t>
            </w:r>
          </w:p>
        </w:tc>
        <w:tc>
          <w:tcPr>
            <w:tcW w:w="860" w:type="dxa"/>
            <w:tcBorders>
              <w:top w:val="nil"/>
              <w:left w:val="nil"/>
              <w:bottom w:val="nil"/>
              <w:right w:val="nil"/>
            </w:tcBorders>
            <w:shd w:val="clear" w:color="auto" w:fill="auto"/>
            <w:noWrap/>
            <w:vAlign w:val="bottom"/>
            <w:hideMark/>
          </w:tcPr>
          <w:p w14:paraId="2E0132F1" w14:textId="77777777" w:rsidR="00061E7B" w:rsidRPr="00061E7B" w:rsidRDefault="00061E7B" w:rsidP="00061E7B">
            <w:pPr>
              <w:spacing w:after="0"/>
              <w:jc w:val="right"/>
              <w:rPr>
                <w:rFonts w:ascii="Arial" w:hAnsi="Arial" w:cs="Arial"/>
                <w:color w:val="auto"/>
                <w:sz w:val="16"/>
                <w:szCs w:val="16"/>
              </w:rPr>
            </w:pPr>
          </w:p>
        </w:tc>
        <w:tc>
          <w:tcPr>
            <w:tcW w:w="860" w:type="dxa"/>
            <w:tcBorders>
              <w:top w:val="nil"/>
              <w:left w:val="nil"/>
              <w:bottom w:val="nil"/>
              <w:right w:val="nil"/>
            </w:tcBorders>
            <w:shd w:val="clear" w:color="auto" w:fill="auto"/>
            <w:noWrap/>
            <w:vAlign w:val="bottom"/>
            <w:hideMark/>
          </w:tcPr>
          <w:p w14:paraId="7F0C04C4" w14:textId="77777777" w:rsidR="00061E7B" w:rsidRPr="00061E7B" w:rsidRDefault="00061E7B" w:rsidP="00061E7B">
            <w:pPr>
              <w:spacing w:after="0"/>
              <w:jc w:val="right"/>
              <w:rPr>
                <w:rFonts w:ascii="Times New Roman" w:hAnsi="Times New Roman"/>
                <w:color w:val="auto"/>
                <w:sz w:val="20"/>
              </w:rPr>
            </w:pPr>
          </w:p>
        </w:tc>
        <w:tc>
          <w:tcPr>
            <w:tcW w:w="860" w:type="dxa"/>
            <w:tcBorders>
              <w:top w:val="nil"/>
              <w:left w:val="nil"/>
              <w:bottom w:val="nil"/>
              <w:right w:val="nil"/>
            </w:tcBorders>
            <w:shd w:val="clear" w:color="auto" w:fill="auto"/>
            <w:noWrap/>
            <w:vAlign w:val="bottom"/>
            <w:hideMark/>
          </w:tcPr>
          <w:p w14:paraId="0B1FBC68" w14:textId="77777777" w:rsidR="00061E7B" w:rsidRPr="00061E7B" w:rsidRDefault="00061E7B" w:rsidP="00061E7B">
            <w:pPr>
              <w:spacing w:after="0"/>
              <w:jc w:val="right"/>
              <w:rPr>
                <w:rFonts w:ascii="Times New Roman" w:hAnsi="Times New Roman"/>
                <w:color w:val="auto"/>
                <w:sz w:val="20"/>
              </w:rPr>
            </w:pPr>
          </w:p>
        </w:tc>
      </w:tr>
      <w:tr w:rsidR="00061E7B" w:rsidRPr="00061E7B" w14:paraId="15754ECA" w14:textId="77777777" w:rsidTr="00061E7B">
        <w:trPr>
          <w:trHeight w:val="225"/>
        </w:trPr>
        <w:tc>
          <w:tcPr>
            <w:tcW w:w="3051" w:type="dxa"/>
            <w:tcBorders>
              <w:top w:val="nil"/>
              <w:left w:val="nil"/>
              <w:bottom w:val="nil"/>
              <w:right w:val="nil"/>
            </w:tcBorders>
            <w:shd w:val="clear" w:color="auto" w:fill="auto"/>
            <w:noWrap/>
            <w:vAlign w:val="bottom"/>
            <w:hideMark/>
          </w:tcPr>
          <w:p w14:paraId="150C5519" w14:textId="77777777" w:rsidR="00061E7B" w:rsidRPr="00061E7B" w:rsidRDefault="00061E7B" w:rsidP="00061E7B">
            <w:pPr>
              <w:spacing w:after="0"/>
              <w:ind w:firstLineChars="100" w:firstLine="160"/>
              <w:rPr>
                <w:rFonts w:ascii="Arial" w:hAnsi="Arial" w:cs="Arial"/>
                <w:b/>
                <w:bCs/>
                <w:color w:val="auto"/>
                <w:sz w:val="16"/>
                <w:szCs w:val="16"/>
              </w:rPr>
            </w:pPr>
            <w:r w:rsidRPr="00061E7B">
              <w:rPr>
                <w:rFonts w:ascii="Arial" w:hAnsi="Arial" w:cs="Arial"/>
                <w:b/>
                <w:bCs/>
                <w:color w:val="auto"/>
                <w:sz w:val="16"/>
                <w:szCs w:val="16"/>
              </w:rPr>
              <w:t>Cash received</w:t>
            </w:r>
          </w:p>
        </w:tc>
        <w:tc>
          <w:tcPr>
            <w:tcW w:w="880" w:type="dxa"/>
            <w:tcBorders>
              <w:top w:val="nil"/>
              <w:left w:val="nil"/>
              <w:bottom w:val="nil"/>
              <w:right w:val="nil"/>
            </w:tcBorders>
            <w:shd w:val="clear" w:color="auto" w:fill="auto"/>
            <w:noWrap/>
            <w:vAlign w:val="bottom"/>
            <w:hideMark/>
          </w:tcPr>
          <w:p w14:paraId="15296E63" w14:textId="77777777" w:rsidR="00061E7B" w:rsidRPr="00061E7B" w:rsidRDefault="00061E7B" w:rsidP="00061E7B">
            <w:pPr>
              <w:spacing w:after="0"/>
              <w:ind w:firstLineChars="100" w:firstLine="160"/>
              <w:rPr>
                <w:rFonts w:ascii="Arial" w:hAnsi="Arial" w:cs="Arial"/>
                <w:b/>
                <w:bCs/>
                <w:color w:val="auto"/>
                <w:sz w:val="16"/>
                <w:szCs w:val="16"/>
              </w:rPr>
            </w:pPr>
          </w:p>
        </w:tc>
        <w:tc>
          <w:tcPr>
            <w:tcW w:w="849" w:type="dxa"/>
            <w:tcBorders>
              <w:top w:val="nil"/>
              <w:left w:val="nil"/>
              <w:bottom w:val="nil"/>
              <w:right w:val="nil"/>
            </w:tcBorders>
            <w:shd w:val="clear" w:color="000000" w:fill="D9D9D9"/>
            <w:noWrap/>
            <w:vAlign w:val="bottom"/>
            <w:hideMark/>
          </w:tcPr>
          <w:p w14:paraId="717C7852" w14:textId="77777777" w:rsidR="00061E7B" w:rsidRPr="00061E7B" w:rsidRDefault="00061E7B" w:rsidP="00061E7B">
            <w:pPr>
              <w:spacing w:after="0"/>
              <w:jc w:val="right"/>
              <w:rPr>
                <w:rFonts w:ascii="Arial" w:hAnsi="Arial" w:cs="Arial"/>
                <w:color w:val="auto"/>
                <w:sz w:val="16"/>
                <w:szCs w:val="16"/>
              </w:rPr>
            </w:pPr>
            <w:r w:rsidRPr="00061E7B">
              <w:rPr>
                <w:rFonts w:ascii="Arial" w:hAnsi="Arial" w:cs="Arial"/>
                <w:color w:val="auto"/>
                <w:sz w:val="16"/>
                <w:szCs w:val="16"/>
              </w:rPr>
              <w:t> </w:t>
            </w:r>
          </w:p>
        </w:tc>
        <w:tc>
          <w:tcPr>
            <w:tcW w:w="860" w:type="dxa"/>
            <w:tcBorders>
              <w:top w:val="nil"/>
              <w:left w:val="nil"/>
              <w:bottom w:val="nil"/>
              <w:right w:val="nil"/>
            </w:tcBorders>
            <w:shd w:val="clear" w:color="auto" w:fill="auto"/>
            <w:noWrap/>
            <w:vAlign w:val="bottom"/>
            <w:hideMark/>
          </w:tcPr>
          <w:p w14:paraId="4F20D002" w14:textId="77777777" w:rsidR="00061E7B" w:rsidRPr="00061E7B" w:rsidRDefault="00061E7B" w:rsidP="00061E7B">
            <w:pPr>
              <w:spacing w:after="0"/>
              <w:jc w:val="right"/>
              <w:rPr>
                <w:rFonts w:ascii="Arial" w:hAnsi="Arial" w:cs="Arial"/>
                <w:color w:val="auto"/>
                <w:sz w:val="16"/>
                <w:szCs w:val="16"/>
              </w:rPr>
            </w:pPr>
          </w:p>
        </w:tc>
        <w:tc>
          <w:tcPr>
            <w:tcW w:w="860" w:type="dxa"/>
            <w:tcBorders>
              <w:top w:val="nil"/>
              <w:left w:val="nil"/>
              <w:bottom w:val="nil"/>
              <w:right w:val="nil"/>
            </w:tcBorders>
            <w:shd w:val="clear" w:color="auto" w:fill="auto"/>
            <w:noWrap/>
            <w:vAlign w:val="bottom"/>
            <w:hideMark/>
          </w:tcPr>
          <w:p w14:paraId="38D8BE0F" w14:textId="77777777" w:rsidR="00061E7B" w:rsidRPr="00061E7B" w:rsidRDefault="00061E7B" w:rsidP="00061E7B">
            <w:pPr>
              <w:spacing w:after="0"/>
              <w:jc w:val="right"/>
              <w:rPr>
                <w:rFonts w:ascii="Times New Roman" w:hAnsi="Times New Roman"/>
                <w:color w:val="auto"/>
                <w:sz w:val="20"/>
              </w:rPr>
            </w:pPr>
          </w:p>
        </w:tc>
        <w:tc>
          <w:tcPr>
            <w:tcW w:w="860" w:type="dxa"/>
            <w:tcBorders>
              <w:top w:val="nil"/>
              <w:left w:val="nil"/>
              <w:bottom w:val="nil"/>
              <w:right w:val="nil"/>
            </w:tcBorders>
            <w:shd w:val="clear" w:color="auto" w:fill="auto"/>
            <w:noWrap/>
            <w:vAlign w:val="bottom"/>
            <w:hideMark/>
          </w:tcPr>
          <w:p w14:paraId="6E001D6A" w14:textId="77777777" w:rsidR="00061E7B" w:rsidRPr="00061E7B" w:rsidRDefault="00061E7B" w:rsidP="00061E7B">
            <w:pPr>
              <w:spacing w:after="0"/>
              <w:jc w:val="right"/>
              <w:rPr>
                <w:rFonts w:ascii="Times New Roman" w:hAnsi="Times New Roman"/>
                <w:color w:val="auto"/>
                <w:sz w:val="20"/>
              </w:rPr>
            </w:pPr>
          </w:p>
        </w:tc>
      </w:tr>
      <w:tr w:rsidR="00061E7B" w:rsidRPr="00061E7B" w14:paraId="2741312D" w14:textId="77777777" w:rsidTr="00061E7B">
        <w:trPr>
          <w:trHeight w:val="225"/>
        </w:trPr>
        <w:tc>
          <w:tcPr>
            <w:tcW w:w="3051" w:type="dxa"/>
            <w:tcBorders>
              <w:top w:val="nil"/>
              <w:left w:val="nil"/>
              <w:bottom w:val="nil"/>
              <w:right w:val="nil"/>
            </w:tcBorders>
            <w:shd w:val="clear" w:color="000000" w:fill="FFFFFF"/>
            <w:noWrap/>
            <w:vAlign w:val="bottom"/>
            <w:hideMark/>
          </w:tcPr>
          <w:p w14:paraId="505C68C8" w14:textId="77777777" w:rsidR="00061E7B" w:rsidRPr="00061E7B" w:rsidRDefault="00061E7B" w:rsidP="00061E7B">
            <w:pPr>
              <w:spacing w:after="0"/>
              <w:ind w:leftChars="150" w:left="285"/>
              <w:rPr>
                <w:rFonts w:ascii="Arial" w:hAnsi="Arial" w:cs="Arial"/>
                <w:color w:val="auto"/>
                <w:sz w:val="16"/>
                <w:szCs w:val="16"/>
              </w:rPr>
            </w:pPr>
            <w:r w:rsidRPr="00061E7B">
              <w:rPr>
                <w:rFonts w:ascii="Arial" w:hAnsi="Arial" w:cs="Arial"/>
                <w:color w:val="auto"/>
                <w:sz w:val="16"/>
                <w:szCs w:val="16"/>
              </w:rPr>
              <w:t>Contributed equity</w:t>
            </w:r>
          </w:p>
        </w:tc>
        <w:tc>
          <w:tcPr>
            <w:tcW w:w="880" w:type="dxa"/>
            <w:tcBorders>
              <w:top w:val="nil"/>
              <w:left w:val="nil"/>
              <w:bottom w:val="nil"/>
              <w:right w:val="nil"/>
            </w:tcBorders>
            <w:shd w:val="clear" w:color="auto" w:fill="auto"/>
            <w:noWrap/>
            <w:vAlign w:val="bottom"/>
            <w:hideMark/>
          </w:tcPr>
          <w:p w14:paraId="042CB2DA" w14:textId="77777777" w:rsidR="00061E7B" w:rsidRPr="00061E7B" w:rsidRDefault="00061E7B" w:rsidP="00061E7B">
            <w:pPr>
              <w:spacing w:after="0"/>
              <w:jc w:val="right"/>
              <w:rPr>
                <w:rFonts w:ascii="Arial" w:hAnsi="Arial" w:cs="Arial"/>
                <w:color w:val="auto"/>
                <w:sz w:val="16"/>
                <w:szCs w:val="16"/>
              </w:rPr>
            </w:pPr>
            <w:r w:rsidRPr="00061E7B">
              <w:rPr>
                <w:rFonts w:ascii="Arial" w:hAnsi="Arial" w:cs="Arial"/>
                <w:color w:val="auto"/>
                <w:sz w:val="16"/>
                <w:szCs w:val="16"/>
              </w:rPr>
              <w:t>22,104</w:t>
            </w:r>
          </w:p>
        </w:tc>
        <w:tc>
          <w:tcPr>
            <w:tcW w:w="849" w:type="dxa"/>
            <w:tcBorders>
              <w:top w:val="nil"/>
              <w:left w:val="nil"/>
              <w:bottom w:val="nil"/>
              <w:right w:val="nil"/>
            </w:tcBorders>
            <w:shd w:val="clear" w:color="000000" w:fill="D9D9D9"/>
            <w:noWrap/>
            <w:vAlign w:val="bottom"/>
            <w:hideMark/>
          </w:tcPr>
          <w:p w14:paraId="41D601C7" w14:textId="77777777" w:rsidR="00061E7B" w:rsidRPr="00061E7B" w:rsidRDefault="00061E7B" w:rsidP="00061E7B">
            <w:pPr>
              <w:spacing w:after="0"/>
              <w:jc w:val="right"/>
              <w:rPr>
                <w:rFonts w:ascii="Arial" w:hAnsi="Arial" w:cs="Arial"/>
                <w:color w:val="auto"/>
                <w:sz w:val="16"/>
                <w:szCs w:val="16"/>
              </w:rPr>
            </w:pPr>
            <w:r w:rsidRPr="00061E7B">
              <w:rPr>
                <w:rFonts w:ascii="Arial" w:hAnsi="Arial" w:cs="Arial"/>
                <w:color w:val="auto"/>
                <w:sz w:val="16"/>
                <w:szCs w:val="16"/>
              </w:rPr>
              <w:t>18,406</w:t>
            </w:r>
          </w:p>
        </w:tc>
        <w:tc>
          <w:tcPr>
            <w:tcW w:w="860" w:type="dxa"/>
            <w:tcBorders>
              <w:top w:val="nil"/>
              <w:left w:val="nil"/>
              <w:bottom w:val="nil"/>
              <w:right w:val="nil"/>
            </w:tcBorders>
            <w:shd w:val="clear" w:color="auto" w:fill="auto"/>
            <w:noWrap/>
            <w:vAlign w:val="bottom"/>
            <w:hideMark/>
          </w:tcPr>
          <w:p w14:paraId="4A0F0C0E" w14:textId="77777777" w:rsidR="00061E7B" w:rsidRPr="00061E7B" w:rsidRDefault="00061E7B" w:rsidP="00061E7B">
            <w:pPr>
              <w:spacing w:after="0"/>
              <w:jc w:val="right"/>
              <w:rPr>
                <w:rFonts w:ascii="Arial" w:hAnsi="Arial" w:cs="Arial"/>
                <w:color w:val="auto"/>
                <w:sz w:val="16"/>
                <w:szCs w:val="16"/>
              </w:rPr>
            </w:pPr>
            <w:r w:rsidRPr="00061E7B">
              <w:rPr>
                <w:rFonts w:ascii="Arial" w:hAnsi="Arial" w:cs="Arial"/>
                <w:color w:val="auto"/>
                <w:sz w:val="16"/>
                <w:szCs w:val="16"/>
              </w:rPr>
              <w:t>-</w:t>
            </w:r>
          </w:p>
        </w:tc>
        <w:tc>
          <w:tcPr>
            <w:tcW w:w="860" w:type="dxa"/>
            <w:tcBorders>
              <w:top w:val="nil"/>
              <w:left w:val="nil"/>
              <w:bottom w:val="nil"/>
              <w:right w:val="nil"/>
            </w:tcBorders>
            <w:shd w:val="clear" w:color="auto" w:fill="auto"/>
            <w:noWrap/>
            <w:vAlign w:val="bottom"/>
            <w:hideMark/>
          </w:tcPr>
          <w:p w14:paraId="3E4E49FB" w14:textId="77777777" w:rsidR="00061E7B" w:rsidRPr="00061E7B" w:rsidRDefault="00061E7B" w:rsidP="00061E7B">
            <w:pPr>
              <w:spacing w:after="0"/>
              <w:jc w:val="right"/>
              <w:rPr>
                <w:rFonts w:ascii="Arial" w:hAnsi="Arial" w:cs="Arial"/>
                <w:color w:val="auto"/>
                <w:sz w:val="16"/>
                <w:szCs w:val="16"/>
              </w:rPr>
            </w:pPr>
            <w:r w:rsidRPr="00061E7B">
              <w:rPr>
                <w:rFonts w:ascii="Arial" w:hAnsi="Arial" w:cs="Arial"/>
                <w:color w:val="auto"/>
                <w:sz w:val="16"/>
                <w:szCs w:val="16"/>
              </w:rPr>
              <w:t>-</w:t>
            </w:r>
          </w:p>
        </w:tc>
        <w:tc>
          <w:tcPr>
            <w:tcW w:w="860" w:type="dxa"/>
            <w:tcBorders>
              <w:top w:val="nil"/>
              <w:left w:val="nil"/>
              <w:bottom w:val="nil"/>
              <w:right w:val="nil"/>
            </w:tcBorders>
            <w:shd w:val="clear" w:color="auto" w:fill="auto"/>
            <w:noWrap/>
            <w:vAlign w:val="bottom"/>
            <w:hideMark/>
          </w:tcPr>
          <w:p w14:paraId="5C78F44E" w14:textId="77777777" w:rsidR="00061E7B" w:rsidRPr="00061E7B" w:rsidRDefault="00061E7B" w:rsidP="00061E7B">
            <w:pPr>
              <w:spacing w:after="0"/>
              <w:jc w:val="right"/>
              <w:rPr>
                <w:rFonts w:ascii="Arial" w:hAnsi="Arial" w:cs="Arial"/>
                <w:color w:val="auto"/>
                <w:sz w:val="16"/>
                <w:szCs w:val="16"/>
              </w:rPr>
            </w:pPr>
            <w:r w:rsidRPr="00061E7B">
              <w:rPr>
                <w:rFonts w:ascii="Arial" w:hAnsi="Arial" w:cs="Arial"/>
                <w:color w:val="auto"/>
                <w:sz w:val="16"/>
                <w:szCs w:val="16"/>
              </w:rPr>
              <w:t>-</w:t>
            </w:r>
          </w:p>
        </w:tc>
      </w:tr>
      <w:tr w:rsidR="00061E7B" w:rsidRPr="00061E7B" w14:paraId="357BDF06" w14:textId="77777777" w:rsidTr="00061E7B">
        <w:trPr>
          <w:trHeight w:val="225"/>
        </w:trPr>
        <w:tc>
          <w:tcPr>
            <w:tcW w:w="3051" w:type="dxa"/>
            <w:tcBorders>
              <w:top w:val="nil"/>
              <w:left w:val="nil"/>
              <w:bottom w:val="nil"/>
              <w:right w:val="nil"/>
            </w:tcBorders>
            <w:shd w:val="clear" w:color="auto" w:fill="auto"/>
            <w:noWrap/>
            <w:vAlign w:val="bottom"/>
            <w:hideMark/>
          </w:tcPr>
          <w:p w14:paraId="0B0840DA" w14:textId="77777777" w:rsidR="00061E7B" w:rsidRPr="00061E7B" w:rsidRDefault="00061E7B" w:rsidP="00061E7B">
            <w:pPr>
              <w:spacing w:after="0"/>
              <w:ind w:leftChars="150" w:left="285"/>
              <w:rPr>
                <w:rFonts w:ascii="Arial" w:hAnsi="Arial" w:cs="Arial"/>
                <w:b/>
                <w:bCs/>
                <w:color w:val="auto"/>
                <w:sz w:val="16"/>
                <w:szCs w:val="16"/>
              </w:rPr>
            </w:pPr>
            <w:r w:rsidRPr="00061E7B">
              <w:rPr>
                <w:rFonts w:ascii="Arial" w:hAnsi="Arial" w:cs="Arial"/>
                <w:b/>
                <w:bCs/>
                <w:color w:val="auto"/>
                <w:sz w:val="16"/>
                <w:szCs w:val="16"/>
              </w:rPr>
              <w:t>Total cash received</w:t>
            </w:r>
          </w:p>
        </w:tc>
        <w:tc>
          <w:tcPr>
            <w:tcW w:w="880" w:type="dxa"/>
            <w:tcBorders>
              <w:top w:val="nil"/>
              <w:left w:val="nil"/>
              <w:bottom w:val="single" w:sz="4" w:space="0" w:color="auto"/>
              <w:right w:val="nil"/>
            </w:tcBorders>
            <w:shd w:val="clear" w:color="auto" w:fill="auto"/>
            <w:noWrap/>
            <w:vAlign w:val="bottom"/>
            <w:hideMark/>
          </w:tcPr>
          <w:p w14:paraId="56AC92D5" w14:textId="77777777" w:rsidR="00061E7B" w:rsidRPr="00061E7B" w:rsidRDefault="00061E7B" w:rsidP="00061E7B">
            <w:pPr>
              <w:spacing w:after="0"/>
              <w:jc w:val="right"/>
              <w:rPr>
                <w:rFonts w:ascii="Arial" w:hAnsi="Arial" w:cs="Arial"/>
                <w:b/>
                <w:bCs/>
                <w:color w:val="auto"/>
                <w:sz w:val="16"/>
                <w:szCs w:val="16"/>
              </w:rPr>
            </w:pPr>
            <w:r w:rsidRPr="00061E7B">
              <w:rPr>
                <w:rFonts w:ascii="Arial" w:hAnsi="Arial" w:cs="Arial"/>
                <w:b/>
                <w:bCs/>
                <w:color w:val="auto"/>
                <w:sz w:val="16"/>
                <w:szCs w:val="16"/>
              </w:rPr>
              <w:t>22,104</w:t>
            </w:r>
          </w:p>
        </w:tc>
        <w:tc>
          <w:tcPr>
            <w:tcW w:w="849" w:type="dxa"/>
            <w:tcBorders>
              <w:top w:val="nil"/>
              <w:left w:val="nil"/>
              <w:bottom w:val="single" w:sz="4" w:space="0" w:color="auto"/>
              <w:right w:val="nil"/>
            </w:tcBorders>
            <w:shd w:val="clear" w:color="000000" w:fill="D9D9D9"/>
            <w:noWrap/>
            <w:vAlign w:val="bottom"/>
            <w:hideMark/>
          </w:tcPr>
          <w:p w14:paraId="3589D297" w14:textId="77777777" w:rsidR="00061E7B" w:rsidRPr="00061E7B" w:rsidRDefault="00061E7B" w:rsidP="00061E7B">
            <w:pPr>
              <w:spacing w:after="0"/>
              <w:jc w:val="right"/>
              <w:rPr>
                <w:rFonts w:ascii="Arial" w:hAnsi="Arial" w:cs="Arial"/>
                <w:b/>
                <w:bCs/>
                <w:color w:val="auto"/>
                <w:sz w:val="16"/>
                <w:szCs w:val="16"/>
              </w:rPr>
            </w:pPr>
            <w:r w:rsidRPr="00061E7B">
              <w:rPr>
                <w:rFonts w:ascii="Arial" w:hAnsi="Arial" w:cs="Arial"/>
                <w:b/>
                <w:bCs/>
                <w:color w:val="auto"/>
                <w:sz w:val="16"/>
                <w:szCs w:val="16"/>
              </w:rPr>
              <w:t>18,406</w:t>
            </w:r>
          </w:p>
        </w:tc>
        <w:tc>
          <w:tcPr>
            <w:tcW w:w="860" w:type="dxa"/>
            <w:tcBorders>
              <w:top w:val="nil"/>
              <w:left w:val="nil"/>
              <w:bottom w:val="single" w:sz="4" w:space="0" w:color="auto"/>
              <w:right w:val="nil"/>
            </w:tcBorders>
            <w:shd w:val="clear" w:color="auto" w:fill="auto"/>
            <w:noWrap/>
            <w:vAlign w:val="bottom"/>
            <w:hideMark/>
          </w:tcPr>
          <w:p w14:paraId="0360C333" w14:textId="77777777" w:rsidR="00061E7B" w:rsidRPr="00061E7B" w:rsidRDefault="00061E7B" w:rsidP="00061E7B">
            <w:pPr>
              <w:spacing w:after="0"/>
              <w:jc w:val="right"/>
              <w:rPr>
                <w:rFonts w:ascii="Arial" w:hAnsi="Arial" w:cs="Arial"/>
                <w:b/>
                <w:bCs/>
                <w:color w:val="auto"/>
                <w:sz w:val="16"/>
                <w:szCs w:val="16"/>
              </w:rPr>
            </w:pPr>
            <w:r w:rsidRPr="00061E7B">
              <w:rPr>
                <w:rFonts w:ascii="Arial" w:hAnsi="Arial" w:cs="Arial"/>
                <w:b/>
                <w:bCs/>
                <w:color w:val="auto"/>
                <w:sz w:val="16"/>
                <w:szCs w:val="16"/>
              </w:rPr>
              <w:t>-</w:t>
            </w:r>
          </w:p>
        </w:tc>
        <w:tc>
          <w:tcPr>
            <w:tcW w:w="860" w:type="dxa"/>
            <w:tcBorders>
              <w:top w:val="nil"/>
              <w:left w:val="nil"/>
              <w:bottom w:val="single" w:sz="4" w:space="0" w:color="auto"/>
              <w:right w:val="nil"/>
            </w:tcBorders>
            <w:shd w:val="clear" w:color="auto" w:fill="auto"/>
            <w:noWrap/>
            <w:vAlign w:val="bottom"/>
            <w:hideMark/>
          </w:tcPr>
          <w:p w14:paraId="322D34EC" w14:textId="77777777" w:rsidR="00061E7B" w:rsidRPr="00061E7B" w:rsidRDefault="00061E7B" w:rsidP="00061E7B">
            <w:pPr>
              <w:spacing w:after="0"/>
              <w:jc w:val="right"/>
              <w:rPr>
                <w:rFonts w:ascii="Arial" w:hAnsi="Arial" w:cs="Arial"/>
                <w:b/>
                <w:bCs/>
                <w:color w:val="auto"/>
                <w:sz w:val="16"/>
                <w:szCs w:val="16"/>
              </w:rPr>
            </w:pPr>
            <w:r w:rsidRPr="00061E7B">
              <w:rPr>
                <w:rFonts w:ascii="Arial" w:hAnsi="Arial" w:cs="Arial"/>
                <w:b/>
                <w:bCs/>
                <w:color w:val="auto"/>
                <w:sz w:val="16"/>
                <w:szCs w:val="16"/>
              </w:rPr>
              <w:t>-</w:t>
            </w:r>
          </w:p>
        </w:tc>
        <w:tc>
          <w:tcPr>
            <w:tcW w:w="860" w:type="dxa"/>
            <w:tcBorders>
              <w:top w:val="nil"/>
              <w:left w:val="nil"/>
              <w:bottom w:val="single" w:sz="4" w:space="0" w:color="auto"/>
              <w:right w:val="nil"/>
            </w:tcBorders>
            <w:shd w:val="clear" w:color="auto" w:fill="auto"/>
            <w:noWrap/>
            <w:vAlign w:val="bottom"/>
            <w:hideMark/>
          </w:tcPr>
          <w:p w14:paraId="0B5420D2" w14:textId="77777777" w:rsidR="00061E7B" w:rsidRPr="00061E7B" w:rsidRDefault="00061E7B" w:rsidP="00061E7B">
            <w:pPr>
              <w:spacing w:after="0"/>
              <w:jc w:val="right"/>
              <w:rPr>
                <w:rFonts w:ascii="Arial" w:hAnsi="Arial" w:cs="Arial"/>
                <w:b/>
                <w:bCs/>
                <w:color w:val="auto"/>
                <w:sz w:val="16"/>
                <w:szCs w:val="16"/>
              </w:rPr>
            </w:pPr>
            <w:r w:rsidRPr="00061E7B">
              <w:rPr>
                <w:rFonts w:ascii="Arial" w:hAnsi="Arial" w:cs="Arial"/>
                <w:b/>
                <w:bCs/>
                <w:color w:val="auto"/>
                <w:sz w:val="16"/>
                <w:szCs w:val="16"/>
              </w:rPr>
              <w:t>-</w:t>
            </w:r>
          </w:p>
        </w:tc>
      </w:tr>
      <w:tr w:rsidR="00061E7B" w:rsidRPr="00061E7B" w14:paraId="1EFA8855" w14:textId="77777777" w:rsidTr="00061E7B">
        <w:trPr>
          <w:trHeight w:val="300"/>
        </w:trPr>
        <w:tc>
          <w:tcPr>
            <w:tcW w:w="3051" w:type="dxa"/>
            <w:tcBorders>
              <w:top w:val="nil"/>
              <w:left w:val="nil"/>
              <w:bottom w:val="nil"/>
              <w:right w:val="nil"/>
            </w:tcBorders>
            <w:shd w:val="clear" w:color="auto" w:fill="auto"/>
            <w:noWrap/>
            <w:vAlign w:val="bottom"/>
            <w:hideMark/>
          </w:tcPr>
          <w:p w14:paraId="6C27AEA3" w14:textId="77777777" w:rsidR="00061E7B" w:rsidRPr="00061E7B" w:rsidRDefault="00061E7B" w:rsidP="00061E7B">
            <w:pPr>
              <w:spacing w:after="0"/>
              <w:ind w:firstLineChars="100" w:firstLine="160"/>
              <w:rPr>
                <w:rFonts w:ascii="Arial" w:hAnsi="Arial" w:cs="Arial"/>
                <w:b/>
                <w:bCs/>
                <w:color w:val="auto"/>
                <w:sz w:val="16"/>
                <w:szCs w:val="16"/>
              </w:rPr>
            </w:pPr>
            <w:r w:rsidRPr="00061E7B">
              <w:rPr>
                <w:rFonts w:ascii="Arial" w:hAnsi="Arial" w:cs="Arial"/>
                <w:b/>
                <w:bCs/>
                <w:color w:val="auto"/>
                <w:sz w:val="16"/>
                <w:szCs w:val="16"/>
              </w:rPr>
              <w:t>Cash used</w:t>
            </w:r>
          </w:p>
        </w:tc>
        <w:tc>
          <w:tcPr>
            <w:tcW w:w="880" w:type="dxa"/>
            <w:tcBorders>
              <w:top w:val="nil"/>
              <w:left w:val="nil"/>
              <w:bottom w:val="nil"/>
              <w:right w:val="nil"/>
            </w:tcBorders>
            <w:shd w:val="clear" w:color="auto" w:fill="auto"/>
            <w:noWrap/>
            <w:vAlign w:val="bottom"/>
            <w:hideMark/>
          </w:tcPr>
          <w:p w14:paraId="49638BAA" w14:textId="77777777" w:rsidR="00061E7B" w:rsidRPr="00061E7B" w:rsidRDefault="00061E7B" w:rsidP="00061E7B">
            <w:pPr>
              <w:spacing w:after="0"/>
              <w:ind w:firstLineChars="100" w:firstLine="160"/>
              <w:rPr>
                <w:rFonts w:ascii="Arial" w:hAnsi="Arial" w:cs="Arial"/>
                <w:b/>
                <w:bCs/>
                <w:color w:val="auto"/>
                <w:sz w:val="16"/>
                <w:szCs w:val="16"/>
              </w:rPr>
            </w:pPr>
          </w:p>
        </w:tc>
        <w:tc>
          <w:tcPr>
            <w:tcW w:w="849" w:type="dxa"/>
            <w:tcBorders>
              <w:top w:val="nil"/>
              <w:left w:val="nil"/>
              <w:bottom w:val="nil"/>
              <w:right w:val="nil"/>
            </w:tcBorders>
            <w:shd w:val="clear" w:color="000000" w:fill="D9D9D9"/>
            <w:noWrap/>
            <w:vAlign w:val="bottom"/>
            <w:hideMark/>
          </w:tcPr>
          <w:p w14:paraId="0AF1DAB1" w14:textId="77777777" w:rsidR="00061E7B" w:rsidRPr="00061E7B" w:rsidRDefault="00061E7B" w:rsidP="00061E7B">
            <w:pPr>
              <w:spacing w:after="0"/>
              <w:jc w:val="right"/>
              <w:rPr>
                <w:rFonts w:ascii="Arial" w:hAnsi="Arial" w:cs="Arial"/>
                <w:color w:val="auto"/>
                <w:sz w:val="16"/>
                <w:szCs w:val="16"/>
              </w:rPr>
            </w:pPr>
            <w:r w:rsidRPr="00061E7B">
              <w:rPr>
                <w:rFonts w:ascii="Arial" w:hAnsi="Arial" w:cs="Arial"/>
                <w:color w:val="auto"/>
                <w:sz w:val="16"/>
                <w:szCs w:val="16"/>
              </w:rPr>
              <w:t> </w:t>
            </w:r>
          </w:p>
        </w:tc>
        <w:tc>
          <w:tcPr>
            <w:tcW w:w="860" w:type="dxa"/>
            <w:tcBorders>
              <w:top w:val="nil"/>
              <w:left w:val="nil"/>
              <w:bottom w:val="nil"/>
              <w:right w:val="nil"/>
            </w:tcBorders>
            <w:shd w:val="clear" w:color="auto" w:fill="auto"/>
            <w:noWrap/>
            <w:vAlign w:val="bottom"/>
            <w:hideMark/>
          </w:tcPr>
          <w:p w14:paraId="7B5F7B49" w14:textId="77777777" w:rsidR="00061E7B" w:rsidRPr="00061E7B" w:rsidRDefault="00061E7B" w:rsidP="00061E7B">
            <w:pPr>
              <w:spacing w:after="0"/>
              <w:jc w:val="right"/>
              <w:rPr>
                <w:rFonts w:ascii="Arial" w:hAnsi="Arial" w:cs="Arial"/>
                <w:color w:val="auto"/>
                <w:sz w:val="16"/>
                <w:szCs w:val="16"/>
              </w:rPr>
            </w:pPr>
          </w:p>
        </w:tc>
        <w:tc>
          <w:tcPr>
            <w:tcW w:w="860" w:type="dxa"/>
            <w:tcBorders>
              <w:top w:val="nil"/>
              <w:left w:val="nil"/>
              <w:bottom w:val="nil"/>
              <w:right w:val="nil"/>
            </w:tcBorders>
            <w:shd w:val="clear" w:color="auto" w:fill="auto"/>
            <w:noWrap/>
            <w:vAlign w:val="bottom"/>
            <w:hideMark/>
          </w:tcPr>
          <w:p w14:paraId="19098832" w14:textId="77777777" w:rsidR="00061E7B" w:rsidRPr="00061E7B" w:rsidRDefault="00061E7B" w:rsidP="00061E7B">
            <w:pPr>
              <w:spacing w:after="0"/>
              <w:jc w:val="right"/>
              <w:rPr>
                <w:rFonts w:ascii="Times New Roman" w:hAnsi="Times New Roman"/>
                <w:color w:val="auto"/>
                <w:sz w:val="20"/>
              </w:rPr>
            </w:pPr>
          </w:p>
        </w:tc>
        <w:tc>
          <w:tcPr>
            <w:tcW w:w="860" w:type="dxa"/>
            <w:tcBorders>
              <w:top w:val="nil"/>
              <w:left w:val="nil"/>
              <w:bottom w:val="nil"/>
              <w:right w:val="nil"/>
            </w:tcBorders>
            <w:shd w:val="clear" w:color="auto" w:fill="auto"/>
            <w:noWrap/>
            <w:vAlign w:val="bottom"/>
            <w:hideMark/>
          </w:tcPr>
          <w:p w14:paraId="1DBAB691" w14:textId="77777777" w:rsidR="00061E7B" w:rsidRPr="00061E7B" w:rsidRDefault="00061E7B" w:rsidP="00061E7B">
            <w:pPr>
              <w:spacing w:after="0"/>
              <w:jc w:val="right"/>
              <w:rPr>
                <w:rFonts w:ascii="Times New Roman" w:hAnsi="Times New Roman"/>
                <w:color w:val="auto"/>
                <w:sz w:val="20"/>
              </w:rPr>
            </w:pPr>
          </w:p>
        </w:tc>
      </w:tr>
      <w:tr w:rsidR="00061E7B" w:rsidRPr="00061E7B" w14:paraId="176A92BB" w14:textId="77777777" w:rsidTr="00061E7B">
        <w:trPr>
          <w:trHeight w:val="225"/>
        </w:trPr>
        <w:tc>
          <w:tcPr>
            <w:tcW w:w="3051" w:type="dxa"/>
            <w:tcBorders>
              <w:top w:val="nil"/>
              <w:left w:val="nil"/>
              <w:bottom w:val="nil"/>
              <w:right w:val="nil"/>
            </w:tcBorders>
            <w:shd w:val="clear" w:color="000000" w:fill="FFFFFF"/>
            <w:noWrap/>
            <w:vAlign w:val="bottom"/>
            <w:hideMark/>
          </w:tcPr>
          <w:p w14:paraId="0C4CEC70" w14:textId="77777777" w:rsidR="00061E7B" w:rsidRPr="00061E7B" w:rsidRDefault="00061E7B" w:rsidP="00061E7B">
            <w:pPr>
              <w:spacing w:after="0"/>
              <w:ind w:leftChars="150" w:left="285"/>
              <w:rPr>
                <w:rFonts w:ascii="Arial" w:hAnsi="Arial" w:cs="Arial"/>
                <w:color w:val="auto"/>
                <w:sz w:val="16"/>
                <w:szCs w:val="16"/>
              </w:rPr>
            </w:pPr>
            <w:r w:rsidRPr="00061E7B">
              <w:rPr>
                <w:rFonts w:ascii="Arial" w:hAnsi="Arial" w:cs="Arial"/>
                <w:color w:val="auto"/>
                <w:sz w:val="16"/>
                <w:szCs w:val="16"/>
              </w:rPr>
              <w:t>Lease principal repayments</w:t>
            </w:r>
          </w:p>
        </w:tc>
        <w:tc>
          <w:tcPr>
            <w:tcW w:w="880" w:type="dxa"/>
            <w:tcBorders>
              <w:top w:val="nil"/>
              <w:left w:val="nil"/>
              <w:bottom w:val="nil"/>
              <w:right w:val="nil"/>
            </w:tcBorders>
            <w:shd w:val="clear" w:color="auto" w:fill="auto"/>
            <w:noWrap/>
            <w:vAlign w:val="bottom"/>
            <w:hideMark/>
          </w:tcPr>
          <w:p w14:paraId="7E174A11" w14:textId="77777777" w:rsidR="00061E7B" w:rsidRPr="00061E7B" w:rsidRDefault="00061E7B" w:rsidP="00061E7B">
            <w:pPr>
              <w:spacing w:after="0"/>
              <w:jc w:val="right"/>
              <w:rPr>
                <w:rFonts w:ascii="Arial" w:hAnsi="Arial" w:cs="Arial"/>
                <w:color w:val="auto"/>
                <w:sz w:val="16"/>
                <w:szCs w:val="16"/>
              </w:rPr>
            </w:pPr>
            <w:r w:rsidRPr="00061E7B">
              <w:rPr>
                <w:rFonts w:ascii="Arial" w:hAnsi="Arial" w:cs="Arial"/>
                <w:color w:val="auto"/>
                <w:sz w:val="16"/>
                <w:szCs w:val="16"/>
              </w:rPr>
              <w:t>4,713</w:t>
            </w:r>
          </w:p>
        </w:tc>
        <w:tc>
          <w:tcPr>
            <w:tcW w:w="849" w:type="dxa"/>
            <w:tcBorders>
              <w:top w:val="nil"/>
              <w:left w:val="nil"/>
              <w:bottom w:val="nil"/>
              <w:right w:val="nil"/>
            </w:tcBorders>
            <w:shd w:val="clear" w:color="000000" w:fill="D9D9D9"/>
            <w:noWrap/>
            <w:vAlign w:val="bottom"/>
            <w:hideMark/>
          </w:tcPr>
          <w:p w14:paraId="5E817605" w14:textId="77777777" w:rsidR="00061E7B" w:rsidRPr="00061E7B" w:rsidRDefault="00061E7B" w:rsidP="00061E7B">
            <w:pPr>
              <w:spacing w:after="0"/>
              <w:jc w:val="right"/>
              <w:rPr>
                <w:rFonts w:ascii="Arial" w:hAnsi="Arial" w:cs="Arial"/>
                <w:color w:val="auto"/>
                <w:sz w:val="16"/>
                <w:szCs w:val="16"/>
              </w:rPr>
            </w:pPr>
            <w:r w:rsidRPr="00061E7B">
              <w:rPr>
                <w:rFonts w:ascii="Arial" w:hAnsi="Arial" w:cs="Arial"/>
                <w:color w:val="auto"/>
                <w:sz w:val="16"/>
                <w:szCs w:val="16"/>
              </w:rPr>
              <w:t>4,618</w:t>
            </w:r>
          </w:p>
        </w:tc>
        <w:tc>
          <w:tcPr>
            <w:tcW w:w="860" w:type="dxa"/>
            <w:tcBorders>
              <w:top w:val="nil"/>
              <w:left w:val="nil"/>
              <w:bottom w:val="nil"/>
              <w:right w:val="nil"/>
            </w:tcBorders>
            <w:shd w:val="clear" w:color="auto" w:fill="auto"/>
            <w:noWrap/>
            <w:vAlign w:val="bottom"/>
            <w:hideMark/>
          </w:tcPr>
          <w:p w14:paraId="279983CC" w14:textId="77777777" w:rsidR="00061E7B" w:rsidRPr="00061E7B" w:rsidRDefault="00061E7B" w:rsidP="00061E7B">
            <w:pPr>
              <w:spacing w:after="0"/>
              <w:jc w:val="right"/>
              <w:rPr>
                <w:rFonts w:ascii="Arial" w:hAnsi="Arial" w:cs="Arial"/>
                <w:color w:val="auto"/>
                <w:sz w:val="16"/>
                <w:szCs w:val="16"/>
              </w:rPr>
            </w:pPr>
            <w:r w:rsidRPr="00061E7B">
              <w:rPr>
                <w:rFonts w:ascii="Arial" w:hAnsi="Arial" w:cs="Arial"/>
                <w:color w:val="auto"/>
                <w:sz w:val="16"/>
                <w:szCs w:val="16"/>
              </w:rPr>
              <w:t>-</w:t>
            </w:r>
          </w:p>
        </w:tc>
        <w:tc>
          <w:tcPr>
            <w:tcW w:w="860" w:type="dxa"/>
            <w:tcBorders>
              <w:top w:val="nil"/>
              <w:left w:val="nil"/>
              <w:bottom w:val="nil"/>
              <w:right w:val="nil"/>
            </w:tcBorders>
            <w:shd w:val="clear" w:color="auto" w:fill="auto"/>
            <w:noWrap/>
            <w:vAlign w:val="bottom"/>
            <w:hideMark/>
          </w:tcPr>
          <w:p w14:paraId="4761E4C1" w14:textId="77777777" w:rsidR="00061E7B" w:rsidRPr="00061E7B" w:rsidRDefault="00061E7B" w:rsidP="00061E7B">
            <w:pPr>
              <w:spacing w:after="0"/>
              <w:jc w:val="right"/>
              <w:rPr>
                <w:rFonts w:ascii="Arial" w:hAnsi="Arial" w:cs="Arial"/>
                <w:color w:val="auto"/>
                <w:sz w:val="16"/>
                <w:szCs w:val="16"/>
              </w:rPr>
            </w:pPr>
            <w:r w:rsidRPr="00061E7B">
              <w:rPr>
                <w:rFonts w:ascii="Arial" w:hAnsi="Arial" w:cs="Arial"/>
                <w:color w:val="auto"/>
                <w:sz w:val="16"/>
                <w:szCs w:val="16"/>
              </w:rPr>
              <w:t>-</w:t>
            </w:r>
          </w:p>
        </w:tc>
        <w:tc>
          <w:tcPr>
            <w:tcW w:w="860" w:type="dxa"/>
            <w:tcBorders>
              <w:top w:val="nil"/>
              <w:left w:val="nil"/>
              <w:bottom w:val="nil"/>
              <w:right w:val="nil"/>
            </w:tcBorders>
            <w:shd w:val="clear" w:color="auto" w:fill="auto"/>
            <w:noWrap/>
            <w:vAlign w:val="bottom"/>
            <w:hideMark/>
          </w:tcPr>
          <w:p w14:paraId="11918A12" w14:textId="77777777" w:rsidR="00061E7B" w:rsidRPr="00061E7B" w:rsidRDefault="00061E7B" w:rsidP="00061E7B">
            <w:pPr>
              <w:spacing w:after="0"/>
              <w:jc w:val="right"/>
              <w:rPr>
                <w:rFonts w:ascii="Arial" w:hAnsi="Arial" w:cs="Arial"/>
                <w:color w:val="auto"/>
                <w:sz w:val="16"/>
                <w:szCs w:val="16"/>
              </w:rPr>
            </w:pPr>
            <w:r w:rsidRPr="00061E7B">
              <w:rPr>
                <w:rFonts w:ascii="Arial" w:hAnsi="Arial" w:cs="Arial"/>
                <w:color w:val="auto"/>
                <w:sz w:val="16"/>
                <w:szCs w:val="16"/>
              </w:rPr>
              <w:t>-</w:t>
            </w:r>
          </w:p>
        </w:tc>
      </w:tr>
      <w:tr w:rsidR="00061E7B" w:rsidRPr="00061E7B" w14:paraId="396829BD" w14:textId="77777777" w:rsidTr="00061E7B">
        <w:trPr>
          <w:trHeight w:val="225"/>
        </w:trPr>
        <w:tc>
          <w:tcPr>
            <w:tcW w:w="3051" w:type="dxa"/>
            <w:tcBorders>
              <w:top w:val="nil"/>
              <w:left w:val="nil"/>
              <w:bottom w:val="nil"/>
              <w:right w:val="nil"/>
            </w:tcBorders>
            <w:shd w:val="clear" w:color="auto" w:fill="auto"/>
            <w:noWrap/>
            <w:vAlign w:val="bottom"/>
            <w:hideMark/>
          </w:tcPr>
          <w:p w14:paraId="6E8BE0A1" w14:textId="77777777" w:rsidR="00061E7B" w:rsidRPr="00061E7B" w:rsidRDefault="00061E7B" w:rsidP="00061E7B">
            <w:pPr>
              <w:spacing w:after="0"/>
              <w:ind w:leftChars="150" w:left="285"/>
              <w:rPr>
                <w:rFonts w:ascii="Arial" w:hAnsi="Arial" w:cs="Arial"/>
                <w:b/>
                <w:bCs/>
                <w:color w:val="auto"/>
                <w:sz w:val="16"/>
                <w:szCs w:val="16"/>
              </w:rPr>
            </w:pPr>
            <w:r w:rsidRPr="00061E7B">
              <w:rPr>
                <w:rFonts w:ascii="Arial" w:hAnsi="Arial" w:cs="Arial"/>
                <w:b/>
                <w:bCs/>
                <w:color w:val="auto"/>
                <w:sz w:val="16"/>
                <w:szCs w:val="16"/>
              </w:rPr>
              <w:t>Total cash used</w:t>
            </w:r>
          </w:p>
        </w:tc>
        <w:tc>
          <w:tcPr>
            <w:tcW w:w="880" w:type="dxa"/>
            <w:tcBorders>
              <w:top w:val="nil"/>
              <w:left w:val="nil"/>
              <w:bottom w:val="single" w:sz="4" w:space="0" w:color="auto"/>
              <w:right w:val="nil"/>
            </w:tcBorders>
            <w:shd w:val="clear" w:color="auto" w:fill="auto"/>
            <w:noWrap/>
            <w:vAlign w:val="bottom"/>
            <w:hideMark/>
          </w:tcPr>
          <w:p w14:paraId="07357262" w14:textId="77777777" w:rsidR="00061E7B" w:rsidRPr="00061E7B" w:rsidRDefault="00061E7B" w:rsidP="00061E7B">
            <w:pPr>
              <w:spacing w:after="0"/>
              <w:jc w:val="right"/>
              <w:rPr>
                <w:rFonts w:ascii="Arial" w:hAnsi="Arial" w:cs="Arial"/>
                <w:b/>
                <w:bCs/>
                <w:color w:val="auto"/>
                <w:sz w:val="16"/>
                <w:szCs w:val="16"/>
              </w:rPr>
            </w:pPr>
            <w:r w:rsidRPr="00061E7B">
              <w:rPr>
                <w:rFonts w:ascii="Arial" w:hAnsi="Arial" w:cs="Arial"/>
                <w:b/>
                <w:bCs/>
                <w:color w:val="auto"/>
                <w:sz w:val="16"/>
                <w:szCs w:val="16"/>
              </w:rPr>
              <w:t>4,713</w:t>
            </w:r>
          </w:p>
        </w:tc>
        <w:tc>
          <w:tcPr>
            <w:tcW w:w="849" w:type="dxa"/>
            <w:tcBorders>
              <w:top w:val="nil"/>
              <w:left w:val="nil"/>
              <w:bottom w:val="single" w:sz="4" w:space="0" w:color="auto"/>
              <w:right w:val="nil"/>
            </w:tcBorders>
            <w:shd w:val="clear" w:color="000000" w:fill="D9D9D9"/>
            <w:noWrap/>
            <w:vAlign w:val="bottom"/>
            <w:hideMark/>
          </w:tcPr>
          <w:p w14:paraId="2871D0AD" w14:textId="77777777" w:rsidR="00061E7B" w:rsidRPr="00061E7B" w:rsidRDefault="00061E7B" w:rsidP="00061E7B">
            <w:pPr>
              <w:spacing w:after="0"/>
              <w:jc w:val="right"/>
              <w:rPr>
                <w:rFonts w:ascii="Arial" w:hAnsi="Arial" w:cs="Arial"/>
                <w:b/>
                <w:bCs/>
                <w:color w:val="auto"/>
                <w:sz w:val="16"/>
                <w:szCs w:val="16"/>
              </w:rPr>
            </w:pPr>
            <w:r w:rsidRPr="00061E7B">
              <w:rPr>
                <w:rFonts w:ascii="Arial" w:hAnsi="Arial" w:cs="Arial"/>
                <w:b/>
                <w:bCs/>
                <w:color w:val="auto"/>
                <w:sz w:val="16"/>
                <w:szCs w:val="16"/>
              </w:rPr>
              <w:t>4,618</w:t>
            </w:r>
          </w:p>
        </w:tc>
        <w:tc>
          <w:tcPr>
            <w:tcW w:w="860" w:type="dxa"/>
            <w:tcBorders>
              <w:top w:val="nil"/>
              <w:left w:val="nil"/>
              <w:bottom w:val="single" w:sz="4" w:space="0" w:color="auto"/>
              <w:right w:val="nil"/>
            </w:tcBorders>
            <w:shd w:val="clear" w:color="auto" w:fill="auto"/>
            <w:noWrap/>
            <w:vAlign w:val="bottom"/>
            <w:hideMark/>
          </w:tcPr>
          <w:p w14:paraId="315F43BB" w14:textId="77777777" w:rsidR="00061E7B" w:rsidRPr="00061E7B" w:rsidRDefault="00061E7B" w:rsidP="00061E7B">
            <w:pPr>
              <w:spacing w:after="0"/>
              <w:jc w:val="right"/>
              <w:rPr>
                <w:rFonts w:ascii="Arial" w:hAnsi="Arial" w:cs="Arial"/>
                <w:b/>
                <w:bCs/>
                <w:color w:val="auto"/>
                <w:sz w:val="16"/>
                <w:szCs w:val="16"/>
              </w:rPr>
            </w:pPr>
            <w:r w:rsidRPr="00061E7B">
              <w:rPr>
                <w:rFonts w:ascii="Arial" w:hAnsi="Arial" w:cs="Arial"/>
                <w:b/>
                <w:bCs/>
                <w:color w:val="auto"/>
                <w:sz w:val="16"/>
                <w:szCs w:val="16"/>
              </w:rPr>
              <w:t>-</w:t>
            </w:r>
          </w:p>
        </w:tc>
        <w:tc>
          <w:tcPr>
            <w:tcW w:w="860" w:type="dxa"/>
            <w:tcBorders>
              <w:top w:val="nil"/>
              <w:left w:val="nil"/>
              <w:bottom w:val="single" w:sz="4" w:space="0" w:color="auto"/>
              <w:right w:val="nil"/>
            </w:tcBorders>
            <w:shd w:val="clear" w:color="auto" w:fill="auto"/>
            <w:noWrap/>
            <w:vAlign w:val="bottom"/>
            <w:hideMark/>
          </w:tcPr>
          <w:p w14:paraId="2EB63055" w14:textId="77777777" w:rsidR="00061E7B" w:rsidRPr="00061E7B" w:rsidRDefault="00061E7B" w:rsidP="00061E7B">
            <w:pPr>
              <w:spacing w:after="0"/>
              <w:jc w:val="right"/>
              <w:rPr>
                <w:rFonts w:ascii="Arial" w:hAnsi="Arial" w:cs="Arial"/>
                <w:b/>
                <w:bCs/>
                <w:color w:val="auto"/>
                <w:sz w:val="16"/>
                <w:szCs w:val="16"/>
              </w:rPr>
            </w:pPr>
            <w:r w:rsidRPr="00061E7B">
              <w:rPr>
                <w:rFonts w:ascii="Arial" w:hAnsi="Arial" w:cs="Arial"/>
                <w:b/>
                <w:bCs/>
                <w:color w:val="auto"/>
                <w:sz w:val="16"/>
                <w:szCs w:val="16"/>
              </w:rPr>
              <w:t>-</w:t>
            </w:r>
          </w:p>
        </w:tc>
        <w:tc>
          <w:tcPr>
            <w:tcW w:w="860" w:type="dxa"/>
            <w:tcBorders>
              <w:top w:val="nil"/>
              <w:left w:val="nil"/>
              <w:bottom w:val="single" w:sz="4" w:space="0" w:color="auto"/>
              <w:right w:val="nil"/>
            </w:tcBorders>
            <w:shd w:val="clear" w:color="auto" w:fill="auto"/>
            <w:noWrap/>
            <w:vAlign w:val="bottom"/>
            <w:hideMark/>
          </w:tcPr>
          <w:p w14:paraId="1E68E6BA" w14:textId="77777777" w:rsidR="00061E7B" w:rsidRPr="00061E7B" w:rsidRDefault="00061E7B" w:rsidP="00061E7B">
            <w:pPr>
              <w:spacing w:after="0"/>
              <w:jc w:val="right"/>
              <w:rPr>
                <w:rFonts w:ascii="Arial" w:hAnsi="Arial" w:cs="Arial"/>
                <w:b/>
                <w:bCs/>
                <w:color w:val="auto"/>
                <w:sz w:val="16"/>
                <w:szCs w:val="16"/>
              </w:rPr>
            </w:pPr>
            <w:r w:rsidRPr="00061E7B">
              <w:rPr>
                <w:rFonts w:ascii="Arial" w:hAnsi="Arial" w:cs="Arial"/>
                <w:b/>
                <w:bCs/>
                <w:color w:val="auto"/>
                <w:sz w:val="16"/>
                <w:szCs w:val="16"/>
              </w:rPr>
              <w:t>-</w:t>
            </w:r>
          </w:p>
        </w:tc>
      </w:tr>
      <w:tr w:rsidR="00061E7B" w:rsidRPr="00061E7B" w14:paraId="2D68C9D7" w14:textId="77777777" w:rsidTr="00061E7B">
        <w:trPr>
          <w:trHeight w:val="450"/>
        </w:trPr>
        <w:tc>
          <w:tcPr>
            <w:tcW w:w="3051" w:type="dxa"/>
            <w:tcBorders>
              <w:top w:val="nil"/>
              <w:left w:val="nil"/>
              <w:bottom w:val="nil"/>
              <w:right w:val="nil"/>
            </w:tcBorders>
            <w:shd w:val="clear" w:color="auto" w:fill="auto"/>
            <w:vAlign w:val="bottom"/>
            <w:hideMark/>
          </w:tcPr>
          <w:p w14:paraId="6C160C07" w14:textId="77777777" w:rsidR="00061E7B" w:rsidRPr="00061E7B" w:rsidRDefault="00061E7B" w:rsidP="00061E7B">
            <w:pPr>
              <w:spacing w:after="0"/>
              <w:ind w:leftChars="75" w:left="143"/>
              <w:rPr>
                <w:rFonts w:ascii="Arial" w:hAnsi="Arial" w:cs="Arial"/>
                <w:b/>
                <w:bCs/>
                <w:color w:val="auto"/>
                <w:sz w:val="16"/>
                <w:szCs w:val="16"/>
              </w:rPr>
            </w:pPr>
            <w:r w:rsidRPr="00061E7B">
              <w:rPr>
                <w:rFonts w:ascii="Arial" w:hAnsi="Arial" w:cs="Arial"/>
                <w:b/>
                <w:bCs/>
                <w:color w:val="auto"/>
                <w:sz w:val="16"/>
                <w:szCs w:val="16"/>
              </w:rPr>
              <w:t>Net cash from (or used by)  financing activities</w:t>
            </w:r>
          </w:p>
        </w:tc>
        <w:tc>
          <w:tcPr>
            <w:tcW w:w="880" w:type="dxa"/>
            <w:tcBorders>
              <w:top w:val="nil"/>
              <w:left w:val="nil"/>
              <w:bottom w:val="single" w:sz="4" w:space="0" w:color="auto"/>
              <w:right w:val="nil"/>
            </w:tcBorders>
            <w:shd w:val="clear" w:color="auto" w:fill="auto"/>
            <w:noWrap/>
            <w:vAlign w:val="bottom"/>
            <w:hideMark/>
          </w:tcPr>
          <w:p w14:paraId="24D8569D" w14:textId="77777777" w:rsidR="00061E7B" w:rsidRPr="00061E7B" w:rsidRDefault="00061E7B" w:rsidP="00061E7B">
            <w:pPr>
              <w:spacing w:after="0"/>
              <w:jc w:val="right"/>
              <w:rPr>
                <w:rFonts w:ascii="Arial" w:hAnsi="Arial" w:cs="Arial"/>
                <w:b/>
                <w:bCs/>
                <w:color w:val="auto"/>
                <w:sz w:val="16"/>
                <w:szCs w:val="16"/>
              </w:rPr>
            </w:pPr>
            <w:r w:rsidRPr="00061E7B">
              <w:rPr>
                <w:rFonts w:ascii="Arial" w:hAnsi="Arial" w:cs="Arial"/>
                <w:b/>
                <w:bCs/>
                <w:color w:val="auto"/>
                <w:sz w:val="16"/>
                <w:szCs w:val="16"/>
              </w:rPr>
              <w:t>17,391</w:t>
            </w:r>
          </w:p>
        </w:tc>
        <w:tc>
          <w:tcPr>
            <w:tcW w:w="849" w:type="dxa"/>
            <w:tcBorders>
              <w:top w:val="nil"/>
              <w:left w:val="nil"/>
              <w:bottom w:val="single" w:sz="4" w:space="0" w:color="auto"/>
              <w:right w:val="nil"/>
            </w:tcBorders>
            <w:shd w:val="clear" w:color="000000" w:fill="D9D9D9"/>
            <w:noWrap/>
            <w:vAlign w:val="bottom"/>
            <w:hideMark/>
          </w:tcPr>
          <w:p w14:paraId="1A7F986F" w14:textId="77777777" w:rsidR="00061E7B" w:rsidRPr="00061E7B" w:rsidRDefault="00061E7B" w:rsidP="00061E7B">
            <w:pPr>
              <w:spacing w:after="0"/>
              <w:jc w:val="right"/>
              <w:rPr>
                <w:rFonts w:ascii="Arial" w:hAnsi="Arial" w:cs="Arial"/>
                <w:b/>
                <w:bCs/>
                <w:color w:val="auto"/>
                <w:sz w:val="16"/>
                <w:szCs w:val="16"/>
              </w:rPr>
            </w:pPr>
            <w:r w:rsidRPr="00061E7B">
              <w:rPr>
                <w:rFonts w:ascii="Arial" w:hAnsi="Arial" w:cs="Arial"/>
                <w:b/>
                <w:bCs/>
                <w:color w:val="auto"/>
                <w:sz w:val="16"/>
                <w:szCs w:val="16"/>
              </w:rPr>
              <w:t>13,788</w:t>
            </w:r>
          </w:p>
        </w:tc>
        <w:tc>
          <w:tcPr>
            <w:tcW w:w="860" w:type="dxa"/>
            <w:tcBorders>
              <w:top w:val="nil"/>
              <w:left w:val="nil"/>
              <w:bottom w:val="single" w:sz="4" w:space="0" w:color="auto"/>
              <w:right w:val="nil"/>
            </w:tcBorders>
            <w:shd w:val="clear" w:color="auto" w:fill="auto"/>
            <w:noWrap/>
            <w:vAlign w:val="bottom"/>
            <w:hideMark/>
          </w:tcPr>
          <w:p w14:paraId="2C07942C" w14:textId="77777777" w:rsidR="00061E7B" w:rsidRPr="00061E7B" w:rsidRDefault="00061E7B" w:rsidP="00061E7B">
            <w:pPr>
              <w:spacing w:after="0"/>
              <w:jc w:val="right"/>
              <w:rPr>
                <w:rFonts w:ascii="Arial" w:hAnsi="Arial" w:cs="Arial"/>
                <w:b/>
                <w:bCs/>
                <w:color w:val="auto"/>
                <w:sz w:val="16"/>
                <w:szCs w:val="16"/>
              </w:rPr>
            </w:pPr>
            <w:r w:rsidRPr="00061E7B">
              <w:rPr>
                <w:rFonts w:ascii="Arial" w:hAnsi="Arial" w:cs="Arial"/>
                <w:b/>
                <w:bCs/>
                <w:color w:val="auto"/>
                <w:sz w:val="16"/>
                <w:szCs w:val="16"/>
              </w:rPr>
              <w:t>-</w:t>
            </w:r>
          </w:p>
        </w:tc>
        <w:tc>
          <w:tcPr>
            <w:tcW w:w="860" w:type="dxa"/>
            <w:tcBorders>
              <w:top w:val="nil"/>
              <w:left w:val="nil"/>
              <w:bottom w:val="single" w:sz="4" w:space="0" w:color="auto"/>
              <w:right w:val="nil"/>
            </w:tcBorders>
            <w:shd w:val="clear" w:color="auto" w:fill="auto"/>
            <w:noWrap/>
            <w:vAlign w:val="bottom"/>
            <w:hideMark/>
          </w:tcPr>
          <w:p w14:paraId="39CC1827" w14:textId="77777777" w:rsidR="00061E7B" w:rsidRPr="00061E7B" w:rsidRDefault="00061E7B" w:rsidP="00061E7B">
            <w:pPr>
              <w:spacing w:after="0"/>
              <w:jc w:val="right"/>
              <w:rPr>
                <w:rFonts w:ascii="Arial" w:hAnsi="Arial" w:cs="Arial"/>
                <w:b/>
                <w:bCs/>
                <w:color w:val="auto"/>
                <w:sz w:val="16"/>
                <w:szCs w:val="16"/>
              </w:rPr>
            </w:pPr>
            <w:r w:rsidRPr="00061E7B">
              <w:rPr>
                <w:rFonts w:ascii="Arial" w:hAnsi="Arial" w:cs="Arial"/>
                <w:b/>
                <w:bCs/>
                <w:color w:val="auto"/>
                <w:sz w:val="16"/>
                <w:szCs w:val="16"/>
              </w:rPr>
              <w:t>-</w:t>
            </w:r>
          </w:p>
        </w:tc>
        <w:tc>
          <w:tcPr>
            <w:tcW w:w="860" w:type="dxa"/>
            <w:tcBorders>
              <w:top w:val="nil"/>
              <w:left w:val="nil"/>
              <w:bottom w:val="single" w:sz="4" w:space="0" w:color="auto"/>
              <w:right w:val="nil"/>
            </w:tcBorders>
            <w:shd w:val="clear" w:color="auto" w:fill="auto"/>
            <w:noWrap/>
            <w:vAlign w:val="bottom"/>
            <w:hideMark/>
          </w:tcPr>
          <w:p w14:paraId="65C76489" w14:textId="77777777" w:rsidR="00061E7B" w:rsidRPr="00061E7B" w:rsidRDefault="00061E7B" w:rsidP="00061E7B">
            <w:pPr>
              <w:spacing w:after="0"/>
              <w:jc w:val="right"/>
              <w:rPr>
                <w:rFonts w:ascii="Arial" w:hAnsi="Arial" w:cs="Arial"/>
                <w:b/>
                <w:bCs/>
                <w:color w:val="auto"/>
                <w:sz w:val="16"/>
                <w:szCs w:val="16"/>
              </w:rPr>
            </w:pPr>
            <w:r w:rsidRPr="00061E7B">
              <w:rPr>
                <w:rFonts w:ascii="Arial" w:hAnsi="Arial" w:cs="Arial"/>
                <w:b/>
                <w:bCs/>
                <w:color w:val="auto"/>
                <w:sz w:val="16"/>
                <w:szCs w:val="16"/>
              </w:rPr>
              <w:t>-</w:t>
            </w:r>
          </w:p>
        </w:tc>
      </w:tr>
      <w:tr w:rsidR="00061E7B" w:rsidRPr="00061E7B" w14:paraId="59D54486" w14:textId="77777777" w:rsidTr="00061E7B">
        <w:trPr>
          <w:trHeight w:val="525"/>
        </w:trPr>
        <w:tc>
          <w:tcPr>
            <w:tcW w:w="3051" w:type="dxa"/>
            <w:tcBorders>
              <w:top w:val="nil"/>
              <w:left w:val="nil"/>
              <w:bottom w:val="nil"/>
              <w:right w:val="nil"/>
            </w:tcBorders>
            <w:shd w:val="clear" w:color="auto" w:fill="auto"/>
            <w:vAlign w:val="bottom"/>
            <w:hideMark/>
          </w:tcPr>
          <w:p w14:paraId="2814106D" w14:textId="77777777" w:rsidR="00061E7B" w:rsidRPr="00061E7B" w:rsidRDefault="00061E7B" w:rsidP="00061E7B">
            <w:pPr>
              <w:spacing w:after="0"/>
              <w:rPr>
                <w:rFonts w:ascii="Arial" w:hAnsi="Arial" w:cs="Arial"/>
                <w:b/>
                <w:bCs/>
                <w:color w:val="auto"/>
                <w:sz w:val="16"/>
                <w:szCs w:val="16"/>
              </w:rPr>
            </w:pPr>
            <w:r w:rsidRPr="00061E7B">
              <w:rPr>
                <w:rFonts w:ascii="Arial" w:hAnsi="Arial" w:cs="Arial"/>
                <w:b/>
                <w:bCs/>
                <w:color w:val="auto"/>
                <w:sz w:val="16"/>
                <w:szCs w:val="16"/>
              </w:rPr>
              <w:t>Net increase (or decrease) in cash held</w:t>
            </w:r>
          </w:p>
        </w:tc>
        <w:tc>
          <w:tcPr>
            <w:tcW w:w="880" w:type="dxa"/>
            <w:tcBorders>
              <w:top w:val="nil"/>
              <w:left w:val="nil"/>
              <w:bottom w:val="single" w:sz="4" w:space="0" w:color="auto"/>
              <w:right w:val="nil"/>
            </w:tcBorders>
            <w:shd w:val="clear" w:color="auto" w:fill="auto"/>
            <w:noWrap/>
            <w:vAlign w:val="bottom"/>
            <w:hideMark/>
          </w:tcPr>
          <w:p w14:paraId="24C6FED7" w14:textId="77777777" w:rsidR="00061E7B" w:rsidRPr="00061E7B" w:rsidRDefault="00061E7B" w:rsidP="00061E7B">
            <w:pPr>
              <w:spacing w:after="0"/>
              <w:jc w:val="right"/>
              <w:rPr>
                <w:rFonts w:ascii="Arial" w:hAnsi="Arial" w:cs="Arial"/>
                <w:b/>
                <w:bCs/>
                <w:color w:val="auto"/>
                <w:sz w:val="16"/>
                <w:szCs w:val="16"/>
              </w:rPr>
            </w:pPr>
            <w:r w:rsidRPr="00061E7B">
              <w:rPr>
                <w:rFonts w:ascii="Arial" w:hAnsi="Arial" w:cs="Arial"/>
                <w:b/>
                <w:bCs/>
                <w:color w:val="auto"/>
                <w:sz w:val="16"/>
                <w:szCs w:val="16"/>
              </w:rPr>
              <w:t>(3,029)</w:t>
            </w:r>
          </w:p>
        </w:tc>
        <w:tc>
          <w:tcPr>
            <w:tcW w:w="849" w:type="dxa"/>
            <w:tcBorders>
              <w:top w:val="nil"/>
              <w:left w:val="nil"/>
              <w:bottom w:val="single" w:sz="4" w:space="0" w:color="auto"/>
              <w:right w:val="nil"/>
            </w:tcBorders>
            <w:shd w:val="clear" w:color="000000" w:fill="D9D9D9"/>
            <w:noWrap/>
            <w:vAlign w:val="bottom"/>
            <w:hideMark/>
          </w:tcPr>
          <w:p w14:paraId="012B3E66" w14:textId="77777777" w:rsidR="00061E7B" w:rsidRPr="00061E7B" w:rsidRDefault="00061E7B" w:rsidP="00061E7B">
            <w:pPr>
              <w:spacing w:after="0"/>
              <w:jc w:val="right"/>
              <w:rPr>
                <w:rFonts w:ascii="Arial" w:hAnsi="Arial" w:cs="Arial"/>
                <w:b/>
                <w:bCs/>
                <w:color w:val="auto"/>
                <w:sz w:val="16"/>
                <w:szCs w:val="16"/>
              </w:rPr>
            </w:pPr>
            <w:r w:rsidRPr="00061E7B">
              <w:rPr>
                <w:rFonts w:ascii="Arial" w:hAnsi="Arial" w:cs="Arial"/>
                <w:b/>
                <w:bCs/>
                <w:color w:val="auto"/>
                <w:sz w:val="16"/>
                <w:szCs w:val="16"/>
              </w:rPr>
              <w:t>-</w:t>
            </w:r>
          </w:p>
        </w:tc>
        <w:tc>
          <w:tcPr>
            <w:tcW w:w="860" w:type="dxa"/>
            <w:tcBorders>
              <w:top w:val="nil"/>
              <w:left w:val="nil"/>
              <w:bottom w:val="single" w:sz="4" w:space="0" w:color="auto"/>
              <w:right w:val="nil"/>
            </w:tcBorders>
            <w:shd w:val="clear" w:color="auto" w:fill="auto"/>
            <w:noWrap/>
            <w:vAlign w:val="bottom"/>
            <w:hideMark/>
          </w:tcPr>
          <w:p w14:paraId="73057CAF" w14:textId="77777777" w:rsidR="00061E7B" w:rsidRPr="00061E7B" w:rsidRDefault="00061E7B" w:rsidP="00061E7B">
            <w:pPr>
              <w:spacing w:after="0"/>
              <w:jc w:val="right"/>
              <w:rPr>
                <w:rFonts w:ascii="Arial" w:hAnsi="Arial" w:cs="Arial"/>
                <w:b/>
                <w:bCs/>
                <w:color w:val="auto"/>
                <w:sz w:val="16"/>
                <w:szCs w:val="16"/>
              </w:rPr>
            </w:pPr>
            <w:r w:rsidRPr="00061E7B">
              <w:rPr>
                <w:rFonts w:ascii="Arial" w:hAnsi="Arial" w:cs="Arial"/>
                <w:b/>
                <w:bCs/>
                <w:color w:val="auto"/>
                <w:sz w:val="16"/>
                <w:szCs w:val="16"/>
              </w:rPr>
              <w:t>-</w:t>
            </w:r>
          </w:p>
        </w:tc>
        <w:tc>
          <w:tcPr>
            <w:tcW w:w="860" w:type="dxa"/>
            <w:tcBorders>
              <w:top w:val="nil"/>
              <w:left w:val="nil"/>
              <w:bottom w:val="single" w:sz="4" w:space="0" w:color="auto"/>
              <w:right w:val="nil"/>
            </w:tcBorders>
            <w:shd w:val="clear" w:color="auto" w:fill="auto"/>
            <w:noWrap/>
            <w:vAlign w:val="bottom"/>
            <w:hideMark/>
          </w:tcPr>
          <w:p w14:paraId="348D372B" w14:textId="77777777" w:rsidR="00061E7B" w:rsidRPr="00061E7B" w:rsidRDefault="00061E7B" w:rsidP="00061E7B">
            <w:pPr>
              <w:spacing w:after="0"/>
              <w:jc w:val="right"/>
              <w:rPr>
                <w:rFonts w:ascii="Arial" w:hAnsi="Arial" w:cs="Arial"/>
                <w:b/>
                <w:bCs/>
                <w:color w:val="auto"/>
                <w:sz w:val="16"/>
                <w:szCs w:val="16"/>
              </w:rPr>
            </w:pPr>
            <w:r w:rsidRPr="00061E7B">
              <w:rPr>
                <w:rFonts w:ascii="Arial" w:hAnsi="Arial" w:cs="Arial"/>
                <w:b/>
                <w:bCs/>
                <w:color w:val="auto"/>
                <w:sz w:val="16"/>
                <w:szCs w:val="16"/>
              </w:rPr>
              <w:t>-</w:t>
            </w:r>
          </w:p>
        </w:tc>
        <w:tc>
          <w:tcPr>
            <w:tcW w:w="860" w:type="dxa"/>
            <w:tcBorders>
              <w:top w:val="nil"/>
              <w:left w:val="nil"/>
              <w:bottom w:val="single" w:sz="4" w:space="0" w:color="auto"/>
              <w:right w:val="nil"/>
            </w:tcBorders>
            <w:shd w:val="clear" w:color="auto" w:fill="auto"/>
            <w:noWrap/>
            <w:vAlign w:val="bottom"/>
            <w:hideMark/>
          </w:tcPr>
          <w:p w14:paraId="288A39B9" w14:textId="77777777" w:rsidR="00061E7B" w:rsidRPr="00061E7B" w:rsidRDefault="00061E7B" w:rsidP="00061E7B">
            <w:pPr>
              <w:spacing w:after="0"/>
              <w:jc w:val="right"/>
              <w:rPr>
                <w:rFonts w:ascii="Arial" w:hAnsi="Arial" w:cs="Arial"/>
                <w:b/>
                <w:bCs/>
                <w:color w:val="auto"/>
                <w:sz w:val="16"/>
                <w:szCs w:val="16"/>
              </w:rPr>
            </w:pPr>
            <w:r w:rsidRPr="00061E7B">
              <w:rPr>
                <w:rFonts w:ascii="Arial" w:hAnsi="Arial" w:cs="Arial"/>
                <w:b/>
                <w:bCs/>
                <w:color w:val="auto"/>
                <w:sz w:val="16"/>
                <w:szCs w:val="16"/>
              </w:rPr>
              <w:t>-</w:t>
            </w:r>
          </w:p>
        </w:tc>
      </w:tr>
      <w:tr w:rsidR="00061E7B" w:rsidRPr="00061E7B" w14:paraId="33CA0B01" w14:textId="77777777" w:rsidTr="00061E7B">
        <w:trPr>
          <w:trHeight w:val="450"/>
        </w:trPr>
        <w:tc>
          <w:tcPr>
            <w:tcW w:w="3051" w:type="dxa"/>
            <w:tcBorders>
              <w:top w:val="nil"/>
              <w:left w:val="nil"/>
              <w:bottom w:val="nil"/>
              <w:right w:val="nil"/>
            </w:tcBorders>
            <w:shd w:val="clear" w:color="auto" w:fill="auto"/>
            <w:vAlign w:val="bottom"/>
            <w:hideMark/>
          </w:tcPr>
          <w:p w14:paraId="65B2AC1C" w14:textId="77777777" w:rsidR="00061E7B" w:rsidRPr="00061E7B" w:rsidRDefault="00061E7B" w:rsidP="00061E7B">
            <w:pPr>
              <w:spacing w:after="0"/>
              <w:ind w:leftChars="75" w:left="143"/>
              <w:rPr>
                <w:rFonts w:ascii="Arial" w:hAnsi="Arial" w:cs="Arial"/>
                <w:color w:val="auto"/>
                <w:sz w:val="16"/>
                <w:szCs w:val="16"/>
              </w:rPr>
            </w:pPr>
            <w:r w:rsidRPr="00061E7B">
              <w:rPr>
                <w:rFonts w:ascii="Arial" w:hAnsi="Arial" w:cs="Arial"/>
                <w:color w:val="auto"/>
                <w:sz w:val="16"/>
                <w:szCs w:val="16"/>
              </w:rPr>
              <w:t>Cash and cash equivalents at the beginning of the reporting period</w:t>
            </w:r>
          </w:p>
        </w:tc>
        <w:tc>
          <w:tcPr>
            <w:tcW w:w="880" w:type="dxa"/>
            <w:tcBorders>
              <w:top w:val="nil"/>
              <w:left w:val="nil"/>
              <w:bottom w:val="nil"/>
              <w:right w:val="nil"/>
            </w:tcBorders>
            <w:shd w:val="clear" w:color="auto" w:fill="auto"/>
            <w:noWrap/>
            <w:vAlign w:val="bottom"/>
            <w:hideMark/>
          </w:tcPr>
          <w:p w14:paraId="12818970" w14:textId="77777777" w:rsidR="00061E7B" w:rsidRPr="00061E7B" w:rsidRDefault="00061E7B" w:rsidP="00061E7B">
            <w:pPr>
              <w:spacing w:after="0"/>
              <w:jc w:val="right"/>
              <w:rPr>
                <w:rFonts w:ascii="Arial" w:hAnsi="Arial" w:cs="Arial"/>
                <w:color w:val="auto"/>
                <w:sz w:val="16"/>
                <w:szCs w:val="16"/>
              </w:rPr>
            </w:pPr>
            <w:r w:rsidRPr="00061E7B">
              <w:rPr>
                <w:rFonts w:ascii="Arial" w:hAnsi="Arial" w:cs="Arial"/>
                <w:color w:val="auto"/>
                <w:sz w:val="16"/>
                <w:szCs w:val="16"/>
              </w:rPr>
              <w:t>106,282</w:t>
            </w:r>
          </w:p>
        </w:tc>
        <w:tc>
          <w:tcPr>
            <w:tcW w:w="849" w:type="dxa"/>
            <w:tcBorders>
              <w:top w:val="nil"/>
              <w:left w:val="nil"/>
              <w:bottom w:val="nil"/>
              <w:right w:val="nil"/>
            </w:tcBorders>
            <w:shd w:val="clear" w:color="000000" w:fill="D9D9D9"/>
            <w:noWrap/>
            <w:vAlign w:val="bottom"/>
            <w:hideMark/>
          </w:tcPr>
          <w:p w14:paraId="0E824A4F" w14:textId="77777777" w:rsidR="00061E7B" w:rsidRPr="00061E7B" w:rsidRDefault="00061E7B" w:rsidP="00061E7B">
            <w:pPr>
              <w:spacing w:after="0"/>
              <w:jc w:val="right"/>
              <w:rPr>
                <w:rFonts w:ascii="Arial" w:hAnsi="Arial" w:cs="Arial"/>
                <w:color w:val="auto"/>
                <w:sz w:val="16"/>
                <w:szCs w:val="16"/>
              </w:rPr>
            </w:pPr>
            <w:r w:rsidRPr="00061E7B">
              <w:rPr>
                <w:rFonts w:ascii="Arial" w:hAnsi="Arial" w:cs="Arial"/>
                <w:color w:val="auto"/>
                <w:sz w:val="16"/>
                <w:szCs w:val="16"/>
              </w:rPr>
              <w:t>103,253</w:t>
            </w:r>
          </w:p>
        </w:tc>
        <w:tc>
          <w:tcPr>
            <w:tcW w:w="860" w:type="dxa"/>
            <w:tcBorders>
              <w:top w:val="nil"/>
              <w:left w:val="nil"/>
              <w:bottom w:val="nil"/>
              <w:right w:val="nil"/>
            </w:tcBorders>
            <w:shd w:val="clear" w:color="auto" w:fill="auto"/>
            <w:noWrap/>
            <w:vAlign w:val="bottom"/>
            <w:hideMark/>
          </w:tcPr>
          <w:p w14:paraId="37696A27" w14:textId="77777777" w:rsidR="00061E7B" w:rsidRPr="00061E7B" w:rsidRDefault="00061E7B" w:rsidP="00061E7B">
            <w:pPr>
              <w:spacing w:after="0"/>
              <w:jc w:val="right"/>
              <w:rPr>
                <w:rFonts w:ascii="Arial" w:hAnsi="Arial" w:cs="Arial"/>
                <w:color w:val="auto"/>
                <w:sz w:val="16"/>
                <w:szCs w:val="16"/>
              </w:rPr>
            </w:pPr>
            <w:r w:rsidRPr="00061E7B">
              <w:rPr>
                <w:rFonts w:ascii="Arial" w:hAnsi="Arial" w:cs="Arial"/>
                <w:color w:val="auto"/>
                <w:sz w:val="16"/>
                <w:szCs w:val="16"/>
              </w:rPr>
              <w:t>103,253</w:t>
            </w:r>
          </w:p>
        </w:tc>
        <w:tc>
          <w:tcPr>
            <w:tcW w:w="860" w:type="dxa"/>
            <w:tcBorders>
              <w:top w:val="nil"/>
              <w:left w:val="nil"/>
              <w:bottom w:val="nil"/>
              <w:right w:val="nil"/>
            </w:tcBorders>
            <w:shd w:val="clear" w:color="auto" w:fill="auto"/>
            <w:noWrap/>
            <w:vAlign w:val="bottom"/>
            <w:hideMark/>
          </w:tcPr>
          <w:p w14:paraId="621A2F82" w14:textId="77777777" w:rsidR="00061E7B" w:rsidRPr="00061E7B" w:rsidRDefault="00061E7B" w:rsidP="00061E7B">
            <w:pPr>
              <w:spacing w:after="0"/>
              <w:jc w:val="right"/>
              <w:rPr>
                <w:rFonts w:ascii="Arial" w:hAnsi="Arial" w:cs="Arial"/>
                <w:color w:val="auto"/>
                <w:sz w:val="16"/>
                <w:szCs w:val="16"/>
              </w:rPr>
            </w:pPr>
            <w:r w:rsidRPr="00061E7B">
              <w:rPr>
                <w:rFonts w:ascii="Arial" w:hAnsi="Arial" w:cs="Arial"/>
                <w:color w:val="auto"/>
                <w:sz w:val="16"/>
                <w:szCs w:val="16"/>
              </w:rPr>
              <w:t>103,253</w:t>
            </w:r>
          </w:p>
        </w:tc>
        <w:tc>
          <w:tcPr>
            <w:tcW w:w="860" w:type="dxa"/>
            <w:tcBorders>
              <w:top w:val="nil"/>
              <w:left w:val="nil"/>
              <w:bottom w:val="nil"/>
              <w:right w:val="nil"/>
            </w:tcBorders>
            <w:shd w:val="clear" w:color="auto" w:fill="auto"/>
            <w:noWrap/>
            <w:vAlign w:val="bottom"/>
            <w:hideMark/>
          </w:tcPr>
          <w:p w14:paraId="219D8A29" w14:textId="77777777" w:rsidR="00061E7B" w:rsidRPr="00061E7B" w:rsidRDefault="00061E7B" w:rsidP="00061E7B">
            <w:pPr>
              <w:spacing w:after="0"/>
              <w:jc w:val="right"/>
              <w:rPr>
                <w:rFonts w:ascii="Arial" w:hAnsi="Arial" w:cs="Arial"/>
                <w:color w:val="auto"/>
                <w:sz w:val="16"/>
                <w:szCs w:val="16"/>
              </w:rPr>
            </w:pPr>
            <w:r w:rsidRPr="00061E7B">
              <w:rPr>
                <w:rFonts w:ascii="Arial" w:hAnsi="Arial" w:cs="Arial"/>
                <w:color w:val="auto"/>
                <w:sz w:val="16"/>
                <w:szCs w:val="16"/>
              </w:rPr>
              <w:t>103,253</w:t>
            </w:r>
          </w:p>
        </w:tc>
      </w:tr>
      <w:tr w:rsidR="00061E7B" w:rsidRPr="00061E7B" w14:paraId="6BDCFD20" w14:textId="77777777" w:rsidTr="00061E7B">
        <w:trPr>
          <w:trHeight w:val="525"/>
        </w:trPr>
        <w:tc>
          <w:tcPr>
            <w:tcW w:w="3051" w:type="dxa"/>
            <w:tcBorders>
              <w:top w:val="nil"/>
              <w:left w:val="nil"/>
              <w:bottom w:val="single" w:sz="4" w:space="0" w:color="auto"/>
              <w:right w:val="nil"/>
            </w:tcBorders>
            <w:shd w:val="clear" w:color="auto" w:fill="auto"/>
            <w:vAlign w:val="bottom"/>
            <w:hideMark/>
          </w:tcPr>
          <w:p w14:paraId="69150379" w14:textId="77777777" w:rsidR="00061E7B" w:rsidRPr="00061E7B" w:rsidRDefault="00061E7B" w:rsidP="00061E7B">
            <w:pPr>
              <w:spacing w:after="0"/>
              <w:rPr>
                <w:rFonts w:ascii="Arial" w:hAnsi="Arial" w:cs="Arial"/>
                <w:b/>
                <w:bCs/>
                <w:color w:val="auto"/>
                <w:sz w:val="16"/>
                <w:szCs w:val="16"/>
              </w:rPr>
            </w:pPr>
            <w:r w:rsidRPr="00061E7B">
              <w:rPr>
                <w:rFonts w:ascii="Arial" w:hAnsi="Arial" w:cs="Arial"/>
                <w:b/>
                <w:bCs/>
                <w:color w:val="auto"/>
                <w:sz w:val="16"/>
                <w:szCs w:val="16"/>
              </w:rPr>
              <w:t>Cash and cash equivalents at the end of the reporting period</w:t>
            </w:r>
          </w:p>
        </w:tc>
        <w:tc>
          <w:tcPr>
            <w:tcW w:w="880" w:type="dxa"/>
            <w:tcBorders>
              <w:top w:val="nil"/>
              <w:left w:val="nil"/>
              <w:bottom w:val="single" w:sz="4" w:space="0" w:color="auto"/>
              <w:right w:val="nil"/>
            </w:tcBorders>
            <w:shd w:val="clear" w:color="auto" w:fill="auto"/>
            <w:noWrap/>
            <w:vAlign w:val="bottom"/>
            <w:hideMark/>
          </w:tcPr>
          <w:p w14:paraId="66331830" w14:textId="77777777" w:rsidR="00061E7B" w:rsidRPr="00061E7B" w:rsidRDefault="00061E7B" w:rsidP="00061E7B">
            <w:pPr>
              <w:spacing w:after="0"/>
              <w:jc w:val="right"/>
              <w:rPr>
                <w:rFonts w:ascii="Arial" w:hAnsi="Arial" w:cs="Arial"/>
                <w:b/>
                <w:bCs/>
                <w:color w:val="auto"/>
                <w:sz w:val="16"/>
                <w:szCs w:val="16"/>
              </w:rPr>
            </w:pPr>
            <w:r w:rsidRPr="00061E7B">
              <w:rPr>
                <w:rFonts w:ascii="Arial" w:hAnsi="Arial" w:cs="Arial"/>
                <w:b/>
                <w:bCs/>
                <w:color w:val="auto"/>
                <w:sz w:val="16"/>
                <w:szCs w:val="16"/>
              </w:rPr>
              <w:t>103,253</w:t>
            </w:r>
          </w:p>
        </w:tc>
        <w:tc>
          <w:tcPr>
            <w:tcW w:w="849" w:type="dxa"/>
            <w:tcBorders>
              <w:top w:val="nil"/>
              <w:left w:val="nil"/>
              <w:bottom w:val="single" w:sz="4" w:space="0" w:color="auto"/>
              <w:right w:val="nil"/>
            </w:tcBorders>
            <w:shd w:val="clear" w:color="000000" w:fill="D9D9D9"/>
            <w:noWrap/>
            <w:vAlign w:val="bottom"/>
            <w:hideMark/>
          </w:tcPr>
          <w:p w14:paraId="5133E478" w14:textId="77777777" w:rsidR="00061E7B" w:rsidRPr="00061E7B" w:rsidRDefault="00061E7B" w:rsidP="00061E7B">
            <w:pPr>
              <w:spacing w:after="0"/>
              <w:jc w:val="right"/>
              <w:rPr>
                <w:rFonts w:ascii="Arial" w:hAnsi="Arial" w:cs="Arial"/>
                <w:b/>
                <w:bCs/>
                <w:color w:val="auto"/>
                <w:sz w:val="16"/>
                <w:szCs w:val="16"/>
              </w:rPr>
            </w:pPr>
            <w:r w:rsidRPr="00061E7B">
              <w:rPr>
                <w:rFonts w:ascii="Arial" w:hAnsi="Arial" w:cs="Arial"/>
                <w:b/>
                <w:bCs/>
                <w:color w:val="auto"/>
                <w:sz w:val="16"/>
                <w:szCs w:val="16"/>
              </w:rPr>
              <w:t>103,253</w:t>
            </w:r>
          </w:p>
        </w:tc>
        <w:tc>
          <w:tcPr>
            <w:tcW w:w="860" w:type="dxa"/>
            <w:tcBorders>
              <w:top w:val="nil"/>
              <w:left w:val="nil"/>
              <w:bottom w:val="single" w:sz="4" w:space="0" w:color="auto"/>
              <w:right w:val="nil"/>
            </w:tcBorders>
            <w:shd w:val="clear" w:color="auto" w:fill="auto"/>
            <w:noWrap/>
            <w:vAlign w:val="bottom"/>
            <w:hideMark/>
          </w:tcPr>
          <w:p w14:paraId="4ED0B32C" w14:textId="77777777" w:rsidR="00061E7B" w:rsidRPr="00061E7B" w:rsidRDefault="00061E7B" w:rsidP="00061E7B">
            <w:pPr>
              <w:spacing w:after="0"/>
              <w:jc w:val="right"/>
              <w:rPr>
                <w:rFonts w:ascii="Arial" w:hAnsi="Arial" w:cs="Arial"/>
                <w:b/>
                <w:bCs/>
                <w:color w:val="auto"/>
                <w:sz w:val="16"/>
                <w:szCs w:val="16"/>
              </w:rPr>
            </w:pPr>
            <w:r w:rsidRPr="00061E7B">
              <w:rPr>
                <w:rFonts w:ascii="Arial" w:hAnsi="Arial" w:cs="Arial"/>
                <w:b/>
                <w:bCs/>
                <w:color w:val="auto"/>
                <w:sz w:val="16"/>
                <w:szCs w:val="16"/>
              </w:rPr>
              <w:t>103,253</w:t>
            </w:r>
          </w:p>
        </w:tc>
        <w:tc>
          <w:tcPr>
            <w:tcW w:w="860" w:type="dxa"/>
            <w:tcBorders>
              <w:top w:val="nil"/>
              <w:left w:val="nil"/>
              <w:bottom w:val="single" w:sz="4" w:space="0" w:color="auto"/>
              <w:right w:val="nil"/>
            </w:tcBorders>
            <w:shd w:val="clear" w:color="auto" w:fill="auto"/>
            <w:noWrap/>
            <w:vAlign w:val="bottom"/>
            <w:hideMark/>
          </w:tcPr>
          <w:p w14:paraId="3776882F" w14:textId="77777777" w:rsidR="00061E7B" w:rsidRPr="00061E7B" w:rsidRDefault="00061E7B" w:rsidP="00061E7B">
            <w:pPr>
              <w:spacing w:after="0"/>
              <w:jc w:val="right"/>
              <w:rPr>
                <w:rFonts w:ascii="Arial" w:hAnsi="Arial" w:cs="Arial"/>
                <w:b/>
                <w:bCs/>
                <w:color w:val="auto"/>
                <w:sz w:val="16"/>
                <w:szCs w:val="16"/>
              </w:rPr>
            </w:pPr>
            <w:r w:rsidRPr="00061E7B">
              <w:rPr>
                <w:rFonts w:ascii="Arial" w:hAnsi="Arial" w:cs="Arial"/>
                <w:b/>
                <w:bCs/>
                <w:color w:val="auto"/>
                <w:sz w:val="16"/>
                <w:szCs w:val="16"/>
              </w:rPr>
              <w:t>103,253</w:t>
            </w:r>
          </w:p>
        </w:tc>
        <w:tc>
          <w:tcPr>
            <w:tcW w:w="860" w:type="dxa"/>
            <w:tcBorders>
              <w:top w:val="nil"/>
              <w:left w:val="nil"/>
              <w:bottom w:val="single" w:sz="4" w:space="0" w:color="auto"/>
              <w:right w:val="nil"/>
            </w:tcBorders>
            <w:shd w:val="clear" w:color="auto" w:fill="auto"/>
            <w:noWrap/>
            <w:vAlign w:val="bottom"/>
            <w:hideMark/>
          </w:tcPr>
          <w:p w14:paraId="59534DD0" w14:textId="77777777" w:rsidR="00061E7B" w:rsidRPr="00061E7B" w:rsidRDefault="00061E7B" w:rsidP="00061E7B">
            <w:pPr>
              <w:spacing w:after="0"/>
              <w:jc w:val="right"/>
              <w:rPr>
                <w:rFonts w:ascii="Arial" w:hAnsi="Arial" w:cs="Arial"/>
                <w:b/>
                <w:bCs/>
                <w:color w:val="auto"/>
                <w:sz w:val="16"/>
                <w:szCs w:val="16"/>
              </w:rPr>
            </w:pPr>
            <w:r w:rsidRPr="00061E7B">
              <w:rPr>
                <w:rFonts w:ascii="Arial" w:hAnsi="Arial" w:cs="Arial"/>
                <w:b/>
                <w:bCs/>
                <w:color w:val="auto"/>
                <w:sz w:val="16"/>
                <w:szCs w:val="16"/>
              </w:rPr>
              <w:t>103,253</w:t>
            </w:r>
          </w:p>
        </w:tc>
      </w:tr>
    </w:tbl>
    <w:p w14:paraId="719DACB0" w14:textId="77777777" w:rsidR="00061E7B" w:rsidRDefault="00061E7B">
      <w:pPr>
        <w:spacing w:after="160" w:line="259" w:lineRule="auto"/>
        <w:rPr>
          <w:rFonts w:ascii="Arial" w:hAnsi="Arial" w:cs="Arial"/>
          <w:b/>
          <w:sz w:val="20"/>
          <w:szCs w:val="18"/>
          <w:lang w:eastAsia="en-US"/>
        </w:rPr>
      </w:pPr>
      <w:r>
        <w:rPr>
          <w:rFonts w:ascii="Arial" w:hAnsi="Arial" w:cs="Arial"/>
          <w:b/>
          <w:sz w:val="20"/>
          <w:szCs w:val="18"/>
          <w:lang w:eastAsia="en-US"/>
        </w:rPr>
        <w:br w:type="page"/>
      </w:r>
    </w:p>
    <w:p w14:paraId="2ACDCE47" w14:textId="507E9367" w:rsidR="00651990" w:rsidRPr="00651990" w:rsidRDefault="00651990" w:rsidP="00651990">
      <w:pPr>
        <w:rPr>
          <w:rFonts w:ascii="Arial" w:hAnsi="Arial" w:cs="Arial"/>
          <w:b/>
          <w:sz w:val="20"/>
          <w:szCs w:val="18"/>
          <w:lang w:eastAsia="en-US"/>
        </w:rPr>
      </w:pPr>
      <w:r w:rsidRPr="00651990">
        <w:rPr>
          <w:rFonts w:ascii="Arial" w:hAnsi="Arial" w:cs="Arial"/>
          <w:b/>
          <w:sz w:val="20"/>
          <w:szCs w:val="18"/>
          <w:lang w:eastAsia="en-US"/>
        </w:rPr>
        <w:lastRenderedPageBreak/>
        <w:t>Table 3.5: Departmental capital budget statement (for the period</w:t>
      </w:r>
      <w:r w:rsidR="00840AA6">
        <w:rPr>
          <w:rFonts w:ascii="Arial" w:hAnsi="Arial" w:cs="Arial"/>
          <w:b/>
          <w:sz w:val="20"/>
          <w:szCs w:val="18"/>
          <w:lang w:eastAsia="en-US"/>
        </w:rPr>
        <w:br/>
      </w:r>
      <w:r w:rsidRPr="00651990">
        <w:rPr>
          <w:rFonts w:ascii="Arial" w:hAnsi="Arial" w:cs="Arial"/>
          <w:b/>
          <w:sz w:val="20"/>
          <w:szCs w:val="18"/>
          <w:lang w:eastAsia="en-US"/>
        </w:rPr>
        <w:t>ended</w:t>
      </w:r>
      <w:r w:rsidR="00840AA6">
        <w:rPr>
          <w:rFonts w:ascii="Arial" w:hAnsi="Arial" w:cs="Arial"/>
          <w:b/>
          <w:sz w:val="20"/>
          <w:szCs w:val="18"/>
          <w:lang w:eastAsia="en-US"/>
        </w:rPr>
        <w:t xml:space="preserve"> </w:t>
      </w:r>
      <w:r w:rsidRPr="00651990">
        <w:rPr>
          <w:rFonts w:ascii="Arial" w:hAnsi="Arial" w:cs="Arial"/>
          <w:b/>
          <w:sz w:val="20"/>
          <w:szCs w:val="18"/>
          <w:lang w:eastAsia="en-US"/>
        </w:rPr>
        <w:t>30 June)</w:t>
      </w:r>
    </w:p>
    <w:tbl>
      <w:tblPr>
        <w:tblW w:w="7360" w:type="dxa"/>
        <w:tblLayout w:type="fixed"/>
        <w:tblLook w:val="04A0" w:firstRow="1" w:lastRow="0" w:firstColumn="1" w:lastColumn="0" w:noHBand="0" w:noVBand="1"/>
      </w:tblPr>
      <w:tblGrid>
        <w:gridCol w:w="2860"/>
        <w:gridCol w:w="900"/>
        <w:gridCol w:w="900"/>
        <w:gridCol w:w="900"/>
        <w:gridCol w:w="900"/>
        <w:gridCol w:w="900"/>
      </w:tblGrid>
      <w:tr w:rsidR="00E61068" w:rsidRPr="00E61068" w14:paraId="3BB1022C" w14:textId="77777777" w:rsidTr="008437C8">
        <w:trPr>
          <w:trHeight w:val="765"/>
        </w:trPr>
        <w:tc>
          <w:tcPr>
            <w:tcW w:w="2860" w:type="dxa"/>
            <w:tcBorders>
              <w:top w:val="single" w:sz="4" w:space="0" w:color="auto"/>
              <w:left w:val="nil"/>
              <w:bottom w:val="nil"/>
              <w:right w:val="nil"/>
            </w:tcBorders>
            <w:shd w:val="clear" w:color="000000" w:fill="FFFFFF"/>
            <w:tcMar>
              <w:left w:w="0" w:type="dxa"/>
            </w:tcMar>
            <w:hideMark/>
          </w:tcPr>
          <w:p w14:paraId="6D814ACB" w14:textId="77777777" w:rsidR="00E61068" w:rsidRPr="00E61068" w:rsidRDefault="00E61068" w:rsidP="00840AA6">
            <w:pPr>
              <w:spacing w:before="40" w:after="0"/>
              <w:jc w:val="right"/>
              <w:rPr>
                <w:rFonts w:ascii="Arial" w:hAnsi="Arial" w:cs="Arial"/>
                <w:color w:val="auto"/>
                <w:sz w:val="16"/>
                <w:szCs w:val="16"/>
              </w:rPr>
            </w:pPr>
            <w:r w:rsidRPr="00E61068">
              <w:rPr>
                <w:rFonts w:ascii="Arial" w:hAnsi="Arial" w:cs="Arial"/>
                <w:color w:val="auto"/>
                <w:sz w:val="16"/>
                <w:szCs w:val="16"/>
              </w:rPr>
              <w:t> </w:t>
            </w:r>
          </w:p>
        </w:tc>
        <w:tc>
          <w:tcPr>
            <w:tcW w:w="900" w:type="dxa"/>
            <w:tcBorders>
              <w:top w:val="single" w:sz="4" w:space="0" w:color="auto"/>
              <w:left w:val="nil"/>
              <w:bottom w:val="single" w:sz="4" w:space="0" w:color="auto"/>
              <w:right w:val="nil"/>
            </w:tcBorders>
            <w:shd w:val="clear" w:color="auto" w:fill="auto"/>
            <w:tcMar>
              <w:left w:w="0" w:type="dxa"/>
            </w:tcMar>
            <w:hideMark/>
          </w:tcPr>
          <w:p w14:paraId="141F3E11" w14:textId="77777777" w:rsidR="00E61068" w:rsidRPr="00E61068" w:rsidRDefault="00E61068" w:rsidP="00840AA6">
            <w:pPr>
              <w:spacing w:before="40" w:after="0"/>
              <w:jc w:val="right"/>
              <w:rPr>
                <w:rFonts w:ascii="Arial" w:hAnsi="Arial" w:cs="Arial"/>
                <w:b/>
                <w:bCs/>
                <w:color w:val="auto"/>
                <w:sz w:val="16"/>
                <w:szCs w:val="16"/>
              </w:rPr>
            </w:pPr>
            <w:r w:rsidRPr="00E61068">
              <w:rPr>
                <w:rFonts w:ascii="Arial" w:hAnsi="Arial" w:cs="Arial"/>
                <w:b/>
                <w:bCs/>
                <w:color w:val="auto"/>
                <w:sz w:val="16"/>
                <w:szCs w:val="16"/>
              </w:rPr>
              <w:t>2021–22 Estimated actual</w:t>
            </w:r>
            <w:r w:rsidRPr="00E61068">
              <w:rPr>
                <w:rFonts w:ascii="Arial" w:hAnsi="Arial" w:cs="Arial"/>
                <w:b/>
                <w:bCs/>
                <w:color w:val="auto"/>
                <w:sz w:val="16"/>
                <w:szCs w:val="16"/>
              </w:rPr>
              <w:br/>
            </w:r>
            <w:r w:rsidRPr="00E61068">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000000" w:fill="D9D9D9"/>
            <w:tcMar>
              <w:left w:w="0" w:type="dxa"/>
            </w:tcMar>
            <w:hideMark/>
          </w:tcPr>
          <w:p w14:paraId="0D9CD072" w14:textId="77777777" w:rsidR="00E61068" w:rsidRPr="00E61068" w:rsidRDefault="00E61068" w:rsidP="00840AA6">
            <w:pPr>
              <w:spacing w:before="40" w:after="0"/>
              <w:jc w:val="right"/>
              <w:rPr>
                <w:rFonts w:ascii="Arial" w:hAnsi="Arial" w:cs="Arial"/>
                <w:b/>
                <w:bCs/>
                <w:color w:val="auto"/>
                <w:sz w:val="16"/>
                <w:szCs w:val="16"/>
              </w:rPr>
            </w:pPr>
            <w:r w:rsidRPr="00E61068">
              <w:rPr>
                <w:rFonts w:ascii="Arial" w:hAnsi="Arial" w:cs="Arial"/>
                <w:b/>
                <w:bCs/>
                <w:color w:val="auto"/>
                <w:sz w:val="16"/>
                <w:szCs w:val="16"/>
              </w:rPr>
              <w:t>2022–23</w:t>
            </w:r>
            <w:r w:rsidRPr="00E61068">
              <w:rPr>
                <w:rFonts w:ascii="Arial" w:hAnsi="Arial" w:cs="Arial"/>
                <w:b/>
                <w:bCs/>
                <w:color w:val="auto"/>
                <w:sz w:val="16"/>
                <w:szCs w:val="16"/>
              </w:rPr>
              <w:br/>
              <w:t>Budget</w:t>
            </w:r>
            <w:r w:rsidRPr="00E61068">
              <w:rPr>
                <w:rFonts w:ascii="Arial" w:hAnsi="Arial" w:cs="Arial"/>
                <w:b/>
                <w:bCs/>
                <w:color w:val="auto"/>
                <w:sz w:val="16"/>
                <w:szCs w:val="16"/>
              </w:rPr>
              <w:br/>
            </w:r>
            <w:r w:rsidRPr="00E61068">
              <w:rPr>
                <w:rFonts w:ascii="Arial" w:hAnsi="Arial" w:cs="Arial"/>
                <w:color w:val="auto"/>
                <w:sz w:val="16"/>
                <w:szCs w:val="16"/>
              </w:rPr>
              <w:br/>
              <w:t>$'000</w:t>
            </w:r>
          </w:p>
        </w:tc>
        <w:tc>
          <w:tcPr>
            <w:tcW w:w="900" w:type="dxa"/>
            <w:tcBorders>
              <w:top w:val="single" w:sz="4" w:space="0" w:color="auto"/>
              <w:left w:val="nil"/>
              <w:bottom w:val="single" w:sz="4" w:space="0" w:color="auto"/>
              <w:right w:val="nil"/>
            </w:tcBorders>
            <w:shd w:val="clear" w:color="auto" w:fill="auto"/>
            <w:tcMar>
              <w:left w:w="0" w:type="dxa"/>
            </w:tcMar>
            <w:hideMark/>
          </w:tcPr>
          <w:p w14:paraId="53F556B7" w14:textId="77777777" w:rsidR="00E61068" w:rsidRPr="00E61068" w:rsidRDefault="00E61068" w:rsidP="00840AA6">
            <w:pPr>
              <w:spacing w:before="40" w:after="0"/>
              <w:jc w:val="right"/>
              <w:rPr>
                <w:rFonts w:ascii="Arial" w:hAnsi="Arial" w:cs="Arial"/>
                <w:b/>
                <w:bCs/>
                <w:color w:val="auto"/>
                <w:sz w:val="16"/>
                <w:szCs w:val="16"/>
              </w:rPr>
            </w:pPr>
            <w:r w:rsidRPr="00E61068">
              <w:rPr>
                <w:rFonts w:ascii="Arial" w:hAnsi="Arial" w:cs="Arial"/>
                <w:b/>
                <w:bCs/>
                <w:color w:val="auto"/>
                <w:sz w:val="16"/>
                <w:szCs w:val="16"/>
              </w:rPr>
              <w:t>2023–24 Forward estimate</w:t>
            </w:r>
            <w:r w:rsidRPr="00E61068">
              <w:rPr>
                <w:rFonts w:ascii="Arial" w:hAnsi="Arial" w:cs="Arial"/>
                <w:b/>
                <w:bCs/>
                <w:color w:val="auto"/>
                <w:sz w:val="16"/>
                <w:szCs w:val="16"/>
              </w:rPr>
              <w:br/>
            </w:r>
            <w:r w:rsidRPr="00E61068">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auto" w:fill="auto"/>
            <w:tcMar>
              <w:left w:w="0" w:type="dxa"/>
            </w:tcMar>
            <w:hideMark/>
          </w:tcPr>
          <w:p w14:paraId="060C9841" w14:textId="77777777" w:rsidR="00E61068" w:rsidRPr="00E61068" w:rsidRDefault="00E61068" w:rsidP="00840AA6">
            <w:pPr>
              <w:spacing w:before="40" w:after="0"/>
              <w:jc w:val="right"/>
              <w:rPr>
                <w:rFonts w:ascii="Arial" w:hAnsi="Arial" w:cs="Arial"/>
                <w:b/>
                <w:bCs/>
                <w:color w:val="auto"/>
                <w:sz w:val="16"/>
                <w:szCs w:val="16"/>
              </w:rPr>
            </w:pPr>
            <w:r w:rsidRPr="00E61068">
              <w:rPr>
                <w:rFonts w:ascii="Arial" w:hAnsi="Arial" w:cs="Arial"/>
                <w:b/>
                <w:bCs/>
                <w:color w:val="auto"/>
                <w:sz w:val="16"/>
                <w:szCs w:val="16"/>
              </w:rPr>
              <w:t>2024–25</w:t>
            </w:r>
            <w:r w:rsidRPr="00E61068">
              <w:rPr>
                <w:rFonts w:ascii="Arial" w:hAnsi="Arial" w:cs="Arial"/>
                <w:b/>
                <w:bCs/>
                <w:color w:val="auto"/>
                <w:sz w:val="16"/>
                <w:szCs w:val="16"/>
              </w:rPr>
              <w:br/>
              <w:t>Forward estimate</w:t>
            </w:r>
            <w:r w:rsidRPr="00E61068">
              <w:rPr>
                <w:rFonts w:ascii="Arial" w:hAnsi="Arial" w:cs="Arial"/>
                <w:b/>
                <w:bCs/>
                <w:color w:val="auto"/>
                <w:sz w:val="16"/>
                <w:szCs w:val="16"/>
              </w:rPr>
              <w:br/>
            </w:r>
            <w:r w:rsidRPr="00E61068">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auto" w:fill="auto"/>
            <w:tcMar>
              <w:left w:w="0" w:type="dxa"/>
            </w:tcMar>
            <w:hideMark/>
          </w:tcPr>
          <w:p w14:paraId="2C39AD10" w14:textId="77777777" w:rsidR="00E61068" w:rsidRPr="00E61068" w:rsidRDefault="00E61068" w:rsidP="00840AA6">
            <w:pPr>
              <w:spacing w:before="40" w:after="0"/>
              <w:jc w:val="right"/>
              <w:rPr>
                <w:rFonts w:ascii="Arial" w:hAnsi="Arial" w:cs="Arial"/>
                <w:b/>
                <w:bCs/>
                <w:color w:val="auto"/>
                <w:sz w:val="16"/>
                <w:szCs w:val="16"/>
              </w:rPr>
            </w:pPr>
            <w:r w:rsidRPr="00E61068">
              <w:rPr>
                <w:rFonts w:ascii="Arial" w:hAnsi="Arial" w:cs="Arial"/>
                <w:b/>
                <w:bCs/>
                <w:color w:val="auto"/>
                <w:sz w:val="16"/>
                <w:szCs w:val="16"/>
              </w:rPr>
              <w:t>2025–26</w:t>
            </w:r>
            <w:r w:rsidRPr="00E61068">
              <w:rPr>
                <w:rFonts w:ascii="Arial" w:hAnsi="Arial" w:cs="Arial"/>
                <w:b/>
                <w:bCs/>
                <w:color w:val="auto"/>
                <w:sz w:val="16"/>
                <w:szCs w:val="16"/>
              </w:rPr>
              <w:br/>
              <w:t>Forward estimate</w:t>
            </w:r>
            <w:r w:rsidRPr="00E61068">
              <w:rPr>
                <w:rFonts w:ascii="Arial" w:hAnsi="Arial" w:cs="Arial"/>
                <w:b/>
                <w:bCs/>
                <w:color w:val="auto"/>
                <w:sz w:val="16"/>
                <w:szCs w:val="16"/>
              </w:rPr>
              <w:br/>
            </w:r>
            <w:r w:rsidRPr="00E61068">
              <w:rPr>
                <w:rFonts w:ascii="Arial" w:hAnsi="Arial" w:cs="Arial"/>
                <w:color w:val="auto"/>
                <w:sz w:val="16"/>
                <w:szCs w:val="16"/>
              </w:rPr>
              <w:t>$'000</w:t>
            </w:r>
          </w:p>
        </w:tc>
      </w:tr>
      <w:tr w:rsidR="00E61068" w:rsidRPr="00E61068" w14:paraId="02341741" w14:textId="77777777" w:rsidTr="00E61068">
        <w:trPr>
          <w:trHeight w:val="225"/>
        </w:trPr>
        <w:tc>
          <w:tcPr>
            <w:tcW w:w="2860" w:type="dxa"/>
            <w:tcBorders>
              <w:top w:val="nil"/>
              <w:left w:val="nil"/>
              <w:bottom w:val="nil"/>
              <w:right w:val="nil"/>
            </w:tcBorders>
            <w:shd w:val="clear" w:color="000000" w:fill="FFFFFF"/>
            <w:noWrap/>
            <w:vAlign w:val="bottom"/>
            <w:hideMark/>
          </w:tcPr>
          <w:p w14:paraId="10AD3724" w14:textId="77777777" w:rsidR="00E61068" w:rsidRPr="00E61068" w:rsidRDefault="00E61068" w:rsidP="00E61068">
            <w:pPr>
              <w:spacing w:after="0"/>
              <w:rPr>
                <w:rFonts w:ascii="Arial" w:hAnsi="Arial" w:cs="Arial"/>
                <w:b/>
                <w:bCs/>
                <w:sz w:val="16"/>
                <w:szCs w:val="16"/>
              </w:rPr>
            </w:pPr>
            <w:r w:rsidRPr="00E61068">
              <w:rPr>
                <w:rFonts w:ascii="Arial" w:hAnsi="Arial" w:cs="Arial"/>
                <w:b/>
                <w:bCs/>
                <w:sz w:val="16"/>
                <w:szCs w:val="16"/>
              </w:rPr>
              <w:t>CAPITAL APPROPRIATIONS</w:t>
            </w:r>
          </w:p>
        </w:tc>
        <w:tc>
          <w:tcPr>
            <w:tcW w:w="900" w:type="dxa"/>
            <w:tcBorders>
              <w:top w:val="single" w:sz="4" w:space="0" w:color="auto"/>
              <w:left w:val="nil"/>
              <w:bottom w:val="nil"/>
              <w:right w:val="nil"/>
            </w:tcBorders>
            <w:shd w:val="clear" w:color="000000" w:fill="FFFFFF"/>
            <w:noWrap/>
            <w:vAlign w:val="bottom"/>
            <w:hideMark/>
          </w:tcPr>
          <w:p w14:paraId="60291BCB" w14:textId="77777777" w:rsidR="00E61068" w:rsidRPr="00E61068" w:rsidRDefault="00E61068" w:rsidP="00E61068">
            <w:pPr>
              <w:spacing w:after="0"/>
              <w:jc w:val="right"/>
              <w:rPr>
                <w:rFonts w:ascii="Arial" w:hAnsi="Arial" w:cs="Arial"/>
                <w:sz w:val="16"/>
                <w:szCs w:val="16"/>
              </w:rPr>
            </w:pPr>
            <w:r w:rsidRPr="00E61068">
              <w:rPr>
                <w:rFonts w:ascii="Arial" w:hAnsi="Arial" w:cs="Arial"/>
                <w:sz w:val="16"/>
                <w:szCs w:val="16"/>
              </w:rPr>
              <w:t> </w:t>
            </w:r>
          </w:p>
        </w:tc>
        <w:tc>
          <w:tcPr>
            <w:tcW w:w="900" w:type="dxa"/>
            <w:tcBorders>
              <w:top w:val="single" w:sz="4" w:space="0" w:color="auto"/>
              <w:left w:val="nil"/>
              <w:bottom w:val="nil"/>
              <w:right w:val="nil"/>
            </w:tcBorders>
            <w:shd w:val="clear" w:color="000000" w:fill="D9D9D9"/>
            <w:noWrap/>
            <w:vAlign w:val="bottom"/>
            <w:hideMark/>
          </w:tcPr>
          <w:p w14:paraId="241C3209" w14:textId="77777777" w:rsidR="00E61068" w:rsidRPr="00E61068" w:rsidRDefault="00E61068" w:rsidP="00E61068">
            <w:pPr>
              <w:spacing w:after="0"/>
              <w:jc w:val="right"/>
              <w:rPr>
                <w:rFonts w:ascii="Arial" w:hAnsi="Arial" w:cs="Arial"/>
                <w:sz w:val="16"/>
                <w:szCs w:val="16"/>
              </w:rPr>
            </w:pPr>
            <w:r w:rsidRPr="00E61068">
              <w:rPr>
                <w:rFonts w:ascii="Arial" w:hAnsi="Arial" w:cs="Arial"/>
                <w:sz w:val="16"/>
                <w:szCs w:val="16"/>
              </w:rPr>
              <w:t> </w:t>
            </w:r>
          </w:p>
        </w:tc>
        <w:tc>
          <w:tcPr>
            <w:tcW w:w="900" w:type="dxa"/>
            <w:tcBorders>
              <w:top w:val="single" w:sz="4" w:space="0" w:color="auto"/>
              <w:left w:val="nil"/>
              <w:bottom w:val="nil"/>
              <w:right w:val="nil"/>
            </w:tcBorders>
            <w:shd w:val="clear" w:color="auto" w:fill="auto"/>
            <w:noWrap/>
            <w:vAlign w:val="bottom"/>
            <w:hideMark/>
          </w:tcPr>
          <w:p w14:paraId="68B83D56" w14:textId="77777777" w:rsidR="00E61068" w:rsidRPr="00E61068" w:rsidRDefault="00E61068" w:rsidP="00E61068">
            <w:pPr>
              <w:spacing w:after="0"/>
              <w:jc w:val="right"/>
              <w:rPr>
                <w:rFonts w:ascii="Arial" w:hAnsi="Arial" w:cs="Arial"/>
                <w:sz w:val="16"/>
                <w:szCs w:val="16"/>
              </w:rPr>
            </w:pPr>
            <w:r w:rsidRPr="00E61068">
              <w:rPr>
                <w:rFonts w:ascii="Arial" w:hAnsi="Arial" w:cs="Arial"/>
                <w:sz w:val="16"/>
                <w:szCs w:val="16"/>
              </w:rPr>
              <w:t> </w:t>
            </w:r>
          </w:p>
        </w:tc>
        <w:tc>
          <w:tcPr>
            <w:tcW w:w="900" w:type="dxa"/>
            <w:tcBorders>
              <w:top w:val="single" w:sz="4" w:space="0" w:color="auto"/>
              <w:left w:val="nil"/>
              <w:bottom w:val="nil"/>
              <w:right w:val="nil"/>
            </w:tcBorders>
            <w:shd w:val="clear" w:color="000000" w:fill="FFFFFF"/>
            <w:noWrap/>
            <w:vAlign w:val="bottom"/>
            <w:hideMark/>
          </w:tcPr>
          <w:p w14:paraId="7F1603AD" w14:textId="77777777" w:rsidR="00E61068" w:rsidRPr="00E61068" w:rsidRDefault="00E61068" w:rsidP="00E61068">
            <w:pPr>
              <w:spacing w:after="0"/>
              <w:jc w:val="right"/>
              <w:rPr>
                <w:rFonts w:ascii="Arial" w:hAnsi="Arial" w:cs="Arial"/>
                <w:sz w:val="16"/>
                <w:szCs w:val="16"/>
              </w:rPr>
            </w:pPr>
            <w:r w:rsidRPr="00E61068">
              <w:rPr>
                <w:rFonts w:ascii="Arial" w:hAnsi="Arial" w:cs="Arial"/>
                <w:sz w:val="16"/>
                <w:szCs w:val="16"/>
              </w:rPr>
              <w:t> </w:t>
            </w:r>
          </w:p>
        </w:tc>
        <w:tc>
          <w:tcPr>
            <w:tcW w:w="900" w:type="dxa"/>
            <w:tcBorders>
              <w:top w:val="single" w:sz="4" w:space="0" w:color="auto"/>
              <w:left w:val="nil"/>
              <w:bottom w:val="nil"/>
              <w:right w:val="nil"/>
            </w:tcBorders>
            <w:shd w:val="clear" w:color="000000" w:fill="FFFFFF"/>
            <w:noWrap/>
            <w:vAlign w:val="bottom"/>
            <w:hideMark/>
          </w:tcPr>
          <w:p w14:paraId="0A97F238" w14:textId="77777777" w:rsidR="00E61068" w:rsidRPr="00E61068" w:rsidRDefault="00E61068" w:rsidP="00E61068">
            <w:pPr>
              <w:spacing w:after="0"/>
              <w:jc w:val="right"/>
              <w:rPr>
                <w:rFonts w:ascii="Arial" w:hAnsi="Arial" w:cs="Arial"/>
                <w:sz w:val="16"/>
                <w:szCs w:val="16"/>
              </w:rPr>
            </w:pPr>
            <w:r w:rsidRPr="00E61068">
              <w:rPr>
                <w:rFonts w:ascii="Arial" w:hAnsi="Arial" w:cs="Arial"/>
                <w:sz w:val="16"/>
                <w:szCs w:val="16"/>
              </w:rPr>
              <w:t> </w:t>
            </w:r>
          </w:p>
        </w:tc>
      </w:tr>
      <w:tr w:rsidR="00E61068" w:rsidRPr="00E61068" w14:paraId="6E2997EB" w14:textId="77777777" w:rsidTr="00E61068">
        <w:trPr>
          <w:trHeight w:val="225"/>
        </w:trPr>
        <w:tc>
          <w:tcPr>
            <w:tcW w:w="2860" w:type="dxa"/>
            <w:tcBorders>
              <w:top w:val="nil"/>
              <w:left w:val="nil"/>
              <w:bottom w:val="nil"/>
              <w:right w:val="nil"/>
            </w:tcBorders>
            <w:shd w:val="clear" w:color="000000" w:fill="FFFFFF"/>
            <w:noWrap/>
            <w:vAlign w:val="bottom"/>
            <w:hideMark/>
          </w:tcPr>
          <w:p w14:paraId="236CC1FA" w14:textId="77777777" w:rsidR="00E61068" w:rsidRPr="00E61068" w:rsidRDefault="00E61068" w:rsidP="00E61068">
            <w:pPr>
              <w:spacing w:after="0"/>
              <w:ind w:leftChars="75" w:left="143"/>
              <w:rPr>
                <w:rFonts w:ascii="Arial" w:hAnsi="Arial" w:cs="Arial"/>
                <w:sz w:val="16"/>
                <w:szCs w:val="16"/>
              </w:rPr>
            </w:pPr>
            <w:r w:rsidRPr="00E61068">
              <w:rPr>
                <w:rFonts w:ascii="Arial" w:hAnsi="Arial" w:cs="Arial"/>
                <w:color w:val="auto"/>
                <w:sz w:val="16"/>
                <w:szCs w:val="16"/>
              </w:rPr>
              <w:t>Equity</w:t>
            </w:r>
            <w:r w:rsidRPr="00E61068">
              <w:rPr>
                <w:rFonts w:ascii="Arial" w:hAnsi="Arial" w:cs="Arial"/>
                <w:sz w:val="16"/>
                <w:szCs w:val="16"/>
              </w:rPr>
              <w:t xml:space="preserve"> injections - Bill 2</w:t>
            </w:r>
          </w:p>
        </w:tc>
        <w:tc>
          <w:tcPr>
            <w:tcW w:w="900" w:type="dxa"/>
            <w:tcBorders>
              <w:top w:val="nil"/>
              <w:left w:val="nil"/>
              <w:bottom w:val="nil"/>
              <w:right w:val="nil"/>
            </w:tcBorders>
            <w:shd w:val="clear" w:color="auto" w:fill="auto"/>
            <w:noWrap/>
            <w:vAlign w:val="bottom"/>
            <w:hideMark/>
          </w:tcPr>
          <w:p w14:paraId="1E5A517E" w14:textId="77777777" w:rsidR="00E61068" w:rsidRPr="00E61068" w:rsidRDefault="00E61068" w:rsidP="00E61068">
            <w:pPr>
              <w:spacing w:after="0"/>
              <w:jc w:val="right"/>
              <w:rPr>
                <w:rFonts w:ascii="Arial" w:hAnsi="Arial" w:cs="Arial"/>
                <w:sz w:val="16"/>
                <w:szCs w:val="16"/>
              </w:rPr>
            </w:pPr>
            <w:r w:rsidRPr="00E61068">
              <w:rPr>
                <w:rFonts w:ascii="Arial" w:hAnsi="Arial" w:cs="Arial"/>
                <w:sz w:val="16"/>
                <w:szCs w:val="16"/>
              </w:rPr>
              <w:t>22,104</w:t>
            </w:r>
          </w:p>
        </w:tc>
        <w:tc>
          <w:tcPr>
            <w:tcW w:w="900" w:type="dxa"/>
            <w:tcBorders>
              <w:top w:val="nil"/>
              <w:left w:val="nil"/>
              <w:bottom w:val="nil"/>
              <w:right w:val="nil"/>
            </w:tcBorders>
            <w:shd w:val="clear" w:color="000000" w:fill="D9D9D9"/>
            <w:noWrap/>
            <w:vAlign w:val="bottom"/>
            <w:hideMark/>
          </w:tcPr>
          <w:p w14:paraId="09F505B3" w14:textId="77777777" w:rsidR="00E61068" w:rsidRPr="00E61068" w:rsidRDefault="00E61068" w:rsidP="00E61068">
            <w:pPr>
              <w:spacing w:after="0"/>
              <w:jc w:val="right"/>
              <w:rPr>
                <w:rFonts w:ascii="Arial" w:hAnsi="Arial" w:cs="Arial"/>
                <w:sz w:val="16"/>
                <w:szCs w:val="16"/>
              </w:rPr>
            </w:pPr>
            <w:r w:rsidRPr="00E61068">
              <w:rPr>
                <w:rFonts w:ascii="Arial" w:hAnsi="Arial" w:cs="Arial"/>
                <w:sz w:val="16"/>
                <w:szCs w:val="16"/>
              </w:rPr>
              <w:t>18,406</w:t>
            </w:r>
          </w:p>
        </w:tc>
        <w:tc>
          <w:tcPr>
            <w:tcW w:w="900" w:type="dxa"/>
            <w:tcBorders>
              <w:top w:val="nil"/>
              <w:left w:val="nil"/>
              <w:bottom w:val="nil"/>
              <w:right w:val="nil"/>
            </w:tcBorders>
            <w:shd w:val="clear" w:color="auto" w:fill="auto"/>
            <w:noWrap/>
            <w:vAlign w:val="bottom"/>
            <w:hideMark/>
          </w:tcPr>
          <w:p w14:paraId="17E85CFA" w14:textId="77777777" w:rsidR="00E61068" w:rsidRPr="00E61068" w:rsidRDefault="00E61068" w:rsidP="00E61068">
            <w:pPr>
              <w:spacing w:after="0"/>
              <w:jc w:val="right"/>
              <w:rPr>
                <w:rFonts w:ascii="Arial" w:hAnsi="Arial" w:cs="Arial"/>
                <w:sz w:val="16"/>
                <w:szCs w:val="16"/>
              </w:rPr>
            </w:pPr>
            <w:r w:rsidRPr="00E61068">
              <w:rPr>
                <w:rFonts w:ascii="Arial" w:hAnsi="Arial" w:cs="Arial"/>
                <w:sz w:val="16"/>
                <w:szCs w:val="16"/>
              </w:rPr>
              <w:t>-</w:t>
            </w:r>
          </w:p>
        </w:tc>
        <w:tc>
          <w:tcPr>
            <w:tcW w:w="900" w:type="dxa"/>
            <w:tcBorders>
              <w:top w:val="nil"/>
              <w:left w:val="nil"/>
              <w:bottom w:val="nil"/>
              <w:right w:val="nil"/>
            </w:tcBorders>
            <w:shd w:val="clear" w:color="auto" w:fill="auto"/>
            <w:noWrap/>
            <w:vAlign w:val="bottom"/>
            <w:hideMark/>
          </w:tcPr>
          <w:p w14:paraId="48439818" w14:textId="77777777" w:rsidR="00E61068" w:rsidRPr="00E61068" w:rsidRDefault="00E61068" w:rsidP="00E61068">
            <w:pPr>
              <w:spacing w:after="0"/>
              <w:jc w:val="right"/>
              <w:rPr>
                <w:rFonts w:ascii="Arial" w:hAnsi="Arial" w:cs="Arial"/>
                <w:sz w:val="16"/>
                <w:szCs w:val="16"/>
              </w:rPr>
            </w:pPr>
            <w:r w:rsidRPr="00E61068">
              <w:rPr>
                <w:rFonts w:ascii="Arial" w:hAnsi="Arial" w:cs="Arial"/>
                <w:sz w:val="16"/>
                <w:szCs w:val="16"/>
              </w:rPr>
              <w:t>-</w:t>
            </w:r>
          </w:p>
        </w:tc>
        <w:tc>
          <w:tcPr>
            <w:tcW w:w="900" w:type="dxa"/>
            <w:tcBorders>
              <w:top w:val="nil"/>
              <w:left w:val="nil"/>
              <w:bottom w:val="nil"/>
              <w:right w:val="nil"/>
            </w:tcBorders>
            <w:shd w:val="clear" w:color="auto" w:fill="auto"/>
            <w:noWrap/>
            <w:vAlign w:val="bottom"/>
            <w:hideMark/>
          </w:tcPr>
          <w:p w14:paraId="642EB02D" w14:textId="77777777" w:rsidR="00E61068" w:rsidRPr="00E61068" w:rsidRDefault="00E61068" w:rsidP="00E61068">
            <w:pPr>
              <w:spacing w:after="0"/>
              <w:jc w:val="right"/>
              <w:rPr>
                <w:rFonts w:ascii="Arial" w:hAnsi="Arial" w:cs="Arial"/>
                <w:sz w:val="16"/>
                <w:szCs w:val="16"/>
              </w:rPr>
            </w:pPr>
            <w:r w:rsidRPr="00E61068">
              <w:rPr>
                <w:rFonts w:ascii="Arial" w:hAnsi="Arial" w:cs="Arial"/>
                <w:sz w:val="16"/>
                <w:szCs w:val="16"/>
              </w:rPr>
              <w:t>-</w:t>
            </w:r>
          </w:p>
        </w:tc>
      </w:tr>
      <w:tr w:rsidR="00E61068" w:rsidRPr="00E61068" w14:paraId="15D3A3AE" w14:textId="77777777" w:rsidTr="00E61068">
        <w:trPr>
          <w:trHeight w:val="225"/>
        </w:trPr>
        <w:tc>
          <w:tcPr>
            <w:tcW w:w="2860" w:type="dxa"/>
            <w:tcBorders>
              <w:top w:val="nil"/>
              <w:left w:val="nil"/>
              <w:bottom w:val="nil"/>
              <w:right w:val="nil"/>
            </w:tcBorders>
            <w:shd w:val="clear" w:color="000000" w:fill="FFFFFF"/>
            <w:noWrap/>
            <w:vAlign w:val="bottom"/>
            <w:hideMark/>
          </w:tcPr>
          <w:p w14:paraId="4CB60FF3" w14:textId="77777777" w:rsidR="00E61068" w:rsidRPr="00E61068" w:rsidRDefault="00E61068" w:rsidP="00E61068">
            <w:pPr>
              <w:spacing w:after="0"/>
              <w:ind w:leftChars="75" w:left="143"/>
              <w:rPr>
                <w:rFonts w:ascii="Arial" w:hAnsi="Arial" w:cs="Arial"/>
                <w:b/>
                <w:bCs/>
                <w:sz w:val="16"/>
                <w:szCs w:val="16"/>
              </w:rPr>
            </w:pPr>
            <w:r w:rsidRPr="00E61068">
              <w:rPr>
                <w:rFonts w:ascii="Arial" w:hAnsi="Arial" w:cs="Arial"/>
                <w:b/>
                <w:bCs/>
                <w:sz w:val="16"/>
                <w:szCs w:val="16"/>
              </w:rPr>
              <w:t xml:space="preserve">Total capital </w:t>
            </w:r>
            <w:r w:rsidRPr="00E61068">
              <w:rPr>
                <w:rFonts w:ascii="Arial" w:hAnsi="Arial" w:cs="Arial"/>
                <w:b/>
                <w:bCs/>
                <w:color w:val="auto"/>
                <w:sz w:val="16"/>
                <w:szCs w:val="16"/>
              </w:rPr>
              <w:t>appropriations</w:t>
            </w:r>
          </w:p>
        </w:tc>
        <w:tc>
          <w:tcPr>
            <w:tcW w:w="900" w:type="dxa"/>
            <w:tcBorders>
              <w:top w:val="nil"/>
              <w:left w:val="nil"/>
              <w:bottom w:val="single" w:sz="4" w:space="0" w:color="auto"/>
              <w:right w:val="nil"/>
            </w:tcBorders>
            <w:shd w:val="clear" w:color="auto" w:fill="auto"/>
            <w:noWrap/>
            <w:vAlign w:val="bottom"/>
            <w:hideMark/>
          </w:tcPr>
          <w:p w14:paraId="7F8EC799" w14:textId="77777777" w:rsidR="00E61068" w:rsidRPr="00E61068" w:rsidRDefault="00E61068" w:rsidP="00E61068">
            <w:pPr>
              <w:spacing w:after="0"/>
              <w:jc w:val="right"/>
              <w:rPr>
                <w:rFonts w:ascii="Arial" w:hAnsi="Arial" w:cs="Arial"/>
                <w:b/>
                <w:bCs/>
                <w:sz w:val="16"/>
                <w:szCs w:val="16"/>
              </w:rPr>
            </w:pPr>
            <w:r w:rsidRPr="00E61068">
              <w:rPr>
                <w:rFonts w:ascii="Arial" w:hAnsi="Arial" w:cs="Arial"/>
                <w:b/>
                <w:bCs/>
                <w:sz w:val="16"/>
                <w:szCs w:val="16"/>
              </w:rPr>
              <w:t>22,104</w:t>
            </w:r>
          </w:p>
        </w:tc>
        <w:tc>
          <w:tcPr>
            <w:tcW w:w="900" w:type="dxa"/>
            <w:tcBorders>
              <w:top w:val="nil"/>
              <w:left w:val="nil"/>
              <w:bottom w:val="single" w:sz="4" w:space="0" w:color="auto"/>
              <w:right w:val="nil"/>
            </w:tcBorders>
            <w:shd w:val="clear" w:color="000000" w:fill="D9D9D9"/>
            <w:noWrap/>
            <w:vAlign w:val="bottom"/>
            <w:hideMark/>
          </w:tcPr>
          <w:p w14:paraId="238C2F1F" w14:textId="77777777" w:rsidR="00E61068" w:rsidRPr="00E61068" w:rsidRDefault="00E61068" w:rsidP="00E61068">
            <w:pPr>
              <w:spacing w:after="0"/>
              <w:jc w:val="right"/>
              <w:rPr>
                <w:rFonts w:ascii="Arial" w:hAnsi="Arial" w:cs="Arial"/>
                <w:b/>
                <w:bCs/>
                <w:sz w:val="16"/>
                <w:szCs w:val="16"/>
              </w:rPr>
            </w:pPr>
            <w:r w:rsidRPr="00E61068">
              <w:rPr>
                <w:rFonts w:ascii="Arial" w:hAnsi="Arial" w:cs="Arial"/>
                <w:b/>
                <w:bCs/>
                <w:sz w:val="16"/>
                <w:szCs w:val="16"/>
              </w:rPr>
              <w:t>18,406</w:t>
            </w:r>
          </w:p>
        </w:tc>
        <w:tc>
          <w:tcPr>
            <w:tcW w:w="900" w:type="dxa"/>
            <w:tcBorders>
              <w:top w:val="nil"/>
              <w:left w:val="nil"/>
              <w:bottom w:val="single" w:sz="4" w:space="0" w:color="auto"/>
              <w:right w:val="nil"/>
            </w:tcBorders>
            <w:shd w:val="clear" w:color="auto" w:fill="auto"/>
            <w:noWrap/>
            <w:vAlign w:val="bottom"/>
            <w:hideMark/>
          </w:tcPr>
          <w:p w14:paraId="53F87986" w14:textId="77777777" w:rsidR="00E61068" w:rsidRPr="00E61068" w:rsidRDefault="00E61068" w:rsidP="00E61068">
            <w:pPr>
              <w:spacing w:after="0"/>
              <w:jc w:val="right"/>
              <w:rPr>
                <w:rFonts w:ascii="Arial" w:hAnsi="Arial" w:cs="Arial"/>
                <w:b/>
                <w:bCs/>
                <w:sz w:val="16"/>
                <w:szCs w:val="16"/>
              </w:rPr>
            </w:pPr>
            <w:r w:rsidRPr="00E61068">
              <w:rPr>
                <w:rFonts w:ascii="Arial" w:hAnsi="Arial" w:cs="Arial"/>
                <w:b/>
                <w:bCs/>
                <w:sz w:val="16"/>
                <w:szCs w:val="16"/>
              </w:rPr>
              <w:t>-</w:t>
            </w:r>
          </w:p>
        </w:tc>
        <w:tc>
          <w:tcPr>
            <w:tcW w:w="900" w:type="dxa"/>
            <w:tcBorders>
              <w:top w:val="nil"/>
              <w:left w:val="nil"/>
              <w:bottom w:val="single" w:sz="4" w:space="0" w:color="auto"/>
              <w:right w:val="nil"/>
            </w:tcBorders>
            <w:shd w:val="clear" w:color="auto" w:fill="auto"/>
            <w:noWrap/>
            <w:vAlign w:val="bottom"/>
            <w:hideMark/>
          </w:tcPr>
          <w:p w14:paraId="7E5AEB88" w14:textId="77777777" w:rsidR="00E61068" w:rsidRPr="00E61068" w:rsidRDefault="00E61068" w:rsidP="00E61068">
            <w:pPr>
              <w:spacing w:after="0"/>
              <w:jc w:val="right"/>
              <w:rPr>
                <w:rFonts w:ascii="Arial" w:hAnsi="Arial" w:cs="Arial"/>
                <w:b/>
                <w:bCs/>
                <w:sz w:val="16"/>
                <w:szCs w:val="16"/>
              </w:rPr>
            </w:pPr>
            <w:r w:rsidRPr="00E61068">
              <w:rPr>
                <w:rFonts w:ascii="Arial" w:hAnsi="Arial" w:cs="Arial"/>
                <w:b/>
                <w:bCs/>
                <w:sz w:val="16"/>
                <w:szCs w:val="16"/>
              </w:rPr>
              <w:t>-</w:t>
            </w:r>
          </w:p>
        </w:tc>
        <w:tc>
          <w:tcPr>
            <w:tcW w:w="900" w:type="dxa"/>
            <w:tcBorders>
              <w:top w:val="nil"/>
              <w:left w:val="nil"/>
              <w:bottom w:val="single" w:sz="4" w:space="0" w:color="auto"/>
              <w:right w:val="nil"/>
            </w:tcBorders>
            <w:shd w:val="clear" w:color="auto" w:fill="auto"/>
            <w:noWrap/>
            <w:vAlign w:val="bottom"/>
            <w:hideMark/>
          </w:tcPr>
          <w:p w14:paraId="010AC928" w14:textId="77777777" w:rsidR="00E61068" w:rsidRPr="00E61068" w:rsidRDefault="00E61068" w:rsidP="00E61068">
            <w:pPr>
              <w:spacing w:after="0"/>
              <w:jc w:val="right"/>
              <w:rPr>
                <w:rFonts w:ascii="Arial" w:hAnsi="Arial" w:cs="Arial"/>
                <w:b/>
                <w:bCs/>
                <w:sz w:val="16"/>
                <w:szCs w:val="16"/>
              </w:rPr>
            </w:pPr>
            <w:r w:rsidRPr="00E61068">
              <w:rPr>
                <w:rFonts w:ascii="Arial" w:hAnsi="Arial" w:cs="Arial"/>
                <w:b/>
                <w:bCs/>
                <w:sz w:val="16"/>
                <w:szCs w:val="16"/>
              </w:rPr>
              <w:t>-</w:t>
            </w:r>
          </w:p>
        </w:tc>
      </w:tr>
      <w:tr w:rsidR="00E61068" w:rsidRPr="00E61068" w14:paraId="1A3DE99B" w14:textId="77777777" w:rsidTr="00E61068">
        <w:trPr>
          <w:trHeight w:val="525"/>
        </w:trPr>
        <w:tc>
          <w:tcPr>
            <w:tcW w:w="2860" w:type="dxa"/>
            <w:tcBorders>
              <w:top w:val="nil"/>
              <w:left w:val="nil"/>
              <w:bottom w:val="nil"/>
              <w:right w:val="nil"/>
            </w:tcBorders>
            <w:shd w:val="clear" w:color="000000" w:fill="FFFFFF"/>
            <w:vAlign w:val="bottom"/>
            <w:hideMark/>
          </w:tcPr>
          <w:p w14:paraId="733AFAC3" w14:textId="77777777" w:rsidR="00E61068" w:rsidRPr="00E61068" w:rsidRDefault="00E61068" w:rsidP="00E61068">
            <w:pPr>
              <w:spacing w:after="0"/>
              <w:rPr>
                <w:rFonts w:ascii="Arial" w:hAnsi="Arial" w:cs="Arial"/>
                <w:b/>
                <w:bCs/>
                <w:sz w:val="16"/>
                <w:szCs w:val="16"/>
              </w:rPr>
            </w:pPr>
            <w:r w:rsidRPr="00E61068">
              <w:rPr>
                <w:rFonts w:ascii="Arial" w:hAnsi="Arial" w:cs="Arial"/>
                <w:b/>
                <w:bCs/>
                <w:sz w:val="16"/>
                <w:szCs w:val="16"/>
              </w:rPr>
              <w:t>Total new capital appropriations represented by:</w:t>
            </w:r>
          </w:p>
        </w:tc>
        <w:tc>
          <w:tcPr>
            <w:tcW w:w="900" w:type="dxa"/>
            <w:tcBorders>
              <w:top w:val="nil"/>
              <w:left w:val="nil"/>
              <w:bottom w:val="nil"/>
              <w:right w:val="nil"/>
            </w:tcBorders>
            <w:shd w:val="clear" w:color="000000" w:fill="FFFFFF"/>
            <w:noWrap/>
            <w:vAlign w:val="bottom"/>
            <w:hideMark/>
          </w:tcPr>
          <w:p w14:paraId="38B30B28" w14:textId="77777777" w:rsidR="00E61068" w:rsidRPr="00E61068" w:rsidRDefault="00E61068" w:rsidP="00E61068">
            <w:pPr>
              <w:spacing w:after="0"/>
              <w:jc w:val="right"/>
              <w:rPr>
                <w:rFonts w:ascii="Arial" w:hAnsi="Arial" w:cs="Arial"/>
                <w:sz w:val="16"/>
                <w:szCs w:val="16"/>
              </w:rPr>
            </w:pPr>
            <w:r w:rsidRPr="00E61068">
              <w:rPr>
                <w:rFonts w:ascii="Arial" w:hAnsi="Arial" w:cs="Arial"/>
                <w:sz w:val="16"/>
                <w:szCs w:val="16"/>
              </w:rPr>
              <w:t> </w:t>
            </w:r>
          </w:p>
        </w:tc>
        <w:tc>
          <w:tcPr>
            <w:tcW w:w="900" w:type="dxa"/>
            <w:tcBorders>
              <w:top w:val="nil"/>
              <w:left w:val="nil"/>
              <w:bottom w:val="nil"/>
              <w:right w:val="nil"/>
            </w:tcBorders>
            <w:shd w:val="clear" w:color="000000" w:fill="D9D9D9"/>
            <w:noWrap/>
            <w:vAlign w:val="bottom"/>
            <w:hideMark/>
          </w:tcPr>
          <w:p w14:paraId="47BFC696" w14:textId="77777777" w:rsidR="00E61068" w:rsidRPr="00E61068" w:rsidRDefault="00E61068" w:rsidP="00E61068">
            <w:pPr>
              <w:spacing w:after="0"/>
              <w:jc w:val="right"/>
              <w:rPr>
                <w:rFonts w:ascii="Arial" w:hAnsi="Arial" w:cs="Arial"/>
                <w:sz w:val="16"/>
                <w:szCs w:val="16"/>
              </w:rPr>
            </w:pPr>
            <w:r w:rsidRPr="00E61068">
              <w:rPr>
                <w:rFonts w:ascii="Arial" w:hAnsi="Arial" w:cs="Arial"/>
                <w:sz w:val="16"/>
                <w:szCs w:val="16"/>
              </w:rPr>
              <w:t> </w:t>
            </w:r>
          </w:p>
        </w:tc>
        <w:tc>
          <w:tcPr>
            <w:tcW w:w="900" w:type="dxa"/>
            <w:tcBorders>
              <w:top w:val="nil"/>
              <w:left w:val="nil"/>
              <w:bottom w:val="nil"/>
              <w:right w:val="nil"/>
            </w:tcBorders>
            <w:shd w:val="clear" w:color="auto" w:fill="auto"/>
            <w:noWrap/>
            <w:vAlign w:val="bottom"/>
            <w:hideMark/>
          </w:tcPr>
          <w:p w14:paraId="23324628" w14:textId="77777777" w:rsidR="00E61068" w:rsidRPr="00E61068" w:rsidRDefault="00E61068" w:rsidP="00E61068">
            <w:pPr>
              <w:spacing w:after="0"/>
              <w:jc w:val="right"/>
              <w:rPr>
                <w:rFonts w:ascii="Arial" w:hAnsi="Arial" w:cs="Arial"/>
                <w:sz w:val="16"/>
                <w:szCs w:val="16"/>
              </w:rPr>
            </w:pPr>
          </w:p>
        </w:tc>
        <w:tc>
          <w:tcPr>
            <w:tcW w:w="900" w:type="dxa"/>
            <w:tcBorders>
              <w:top w:val="nil"/>
              <w:left w:val="nil"/>
              <w:bottom w:val="nil"/>
              <w:right w:val="nil"/>
            </w:tcBorders>
            <w:shd w:val="clear" w:color="000000" w:fill="FFFFFF"/>
            <w:noWrap/>
            <w:vAlign w:val="bottom"/>
            <w:hideMark/>
          </w:tcPr>
          <w:p w14:paraId="5ABA21F4" w14:textId="77777777" w:rsidR="00E61068" w:rsidRPr="00E61068" w:rsidRDefault="00E61068" w:rsidP="00E61068">
            <w:pPr>
              <w:spacing w:after="0"/>
              <w:jc w:val="right"/>
              <w:rPr>
                <w:rFonts w:ascii="Arial" w:hAnsi="Arial" w:cs="Arial"/>
                <w:sz w:val="16"/>
                <w:szCs w:val="16"/>
              </w:rPr>
            </w:pPr>
            <w:r w:rsidRPr="00E61068">
              <w:rPr>
                <w:rFonts w:ascii="Arial" w:hAnsi="Arial" w:cs="Arial"/>
                <w:sz w:val="16"/>
                <w:szCs w:val="16"/>
              </w:rPr>
              <w:t> </w:t>
            </w:r>
          </w:p>
        </w:tc>
        <w:tc>
          <w:tcPr>
            <w:tcW w:w="900" w:type="dxa"/>
            <w:tcBorders>
              <w:top w:val="nil"/>
              <w:left w:val="nil"/>
              <w:bottom w:val="nil"/>
              <w:right w:val="nil"/>
            </w:tcBorders>
            <w:shd w:val="clear" w:color="000000" w:fill="FFFFFF"/>
            <w:noWrap/>
            <w:vAlign w:val="bottom"/>
            <w:hideMark/>
          </w:tcPr>
          <w:p w14:paraId="31B57B0A" w14:textId="77777777" w:rsidR="00E61068" w:rsidRPr="00E61068" w:rsidRDefault="00E61068" w:rsidP="00E61068">
            <w:pPr>
              <w:spacing w:after="0"/>
              <w:jc w:val="right"/>
              <w:rPr>
                <w:rFonts w:ascii="Arial" w:hAnsi="Arial" w:cs="Arial"/>
                <w:sz w:val="16"/>
                <w:szCs w:val="16"/>
              </w:rPr>
            </w:pPr>
            <w:r w:rsidRPr="00E61068">
              <w:rPr>
                <w:rFonts w:ascii="Arial" w:hAnsi="Arial" w:cs="Arial"/>
                <w:sz w:val="16"/>
                <w:szCs w:val="16"/>
              </w:rPr>
              <w:t> </w:t>
            </w:r>
          </w:p>
        </w:tc>
      </w:tr>
      <w:tr w:rsidR="00E61068" w:rsidRPr="00E61068" w14:paraId="75EFA9C0" w14:textId="77777777" w:rsidTr="00E61068">
        <w:trPr>
          <w:trHeight w:val="225"/>
        </w:trPr>
        <w:tc>
          <w:tcPr>
            <w:tcW w:w="2860" w:type="dxa"/>
            <w:tcBorders>
              <w:top w:val="nil"/>
              <w:left w:val="nil"/>
              <w:bottom w:val="nil"/>
              <w:right w:val="nil"/>
            </w:tcBorders>
            <w:shd w:val="clear" w:color="000000" w:fill="FFFFFF"/>
            <w:noWrap/>
            <w:vAlign w:val="bottom"/>
            <w:hideMark/>
          </w:tcPr>
          <w:p w14:paraId="543790E9" w14:textId="77777777" w:rsidR="00E61068" w:rsidRPr="00E61068" w:rsidRDefault="00E61068" w:rsidP="00E61068">
            <w:pPr>
              <w:spacing w:after="0"/>
              <w:ind w:leftChars="75" w:left="143"/>
              <w:rPr>
                <w:rFonts w:ascii="Arial" w:hAnsi="Arial" w:cs="Arial"/>
                <w:sz w:val="16"/>
                <w:szCs w:val="16"/>
              </w:rPr>
            </w:pPr>
            <w:r w:rsidRPr="00E61068">
              <w:rPr>
                <w:rFonts w:ascii="Arial" w:hAnsi="Arial" w:cs="Arial"/>
                <w:color w:val="auto"/>
                <w:sz w:val="16"/>
                <w:szCs w:val="16"/>
              </w:rPr>
              <w:t>Purchase</w:t>
            </w:r>
            <w:r w:rsidRPr="00E61068">
              <w:rPr>
                <w:rFonts w:ascii="Arial" w:hAnsi="Arial" w:cs="Arial"/>
                <w:sz w:val="16"/>
                <w:szCs w:val="16"/>
              </w:rPr>
              <w:t xml:space="preserve"> of non-financial assets</w:t>
            </w:r>
          </w:p>
        </w:tc>
        <w:tc>
          <w:tcPr>
            <w:tcW w:w="900" w:type="dxa"/>
            <w:tcBorders>
              <w:top w:val="nil"/>
              <w:left w:val="nil"/>
              <w:bottom w:val="nil"/>
              <w:right w:val="nil"/>
            </w:tcBorders>
            <w:shd w:val="clear" w:color="auto" w:fill="auto"/>
            <w:noWrap/>
            <w:vAlign w:val="bottom"/>
            <w:hideMark/>
          </w:tcPr>
          <w:p w14:paraId="72BF1DEC" w14:textId="77777777" w:rsidR="00E61068" w:rsidRPr="00E61068" w:rsidRDefault="00E61068" w:rsidP="00E61068">
            <w:pPr>
              <w:spacing w:after="0"/>
              <w:jc w:val="right"/>
              <w:rPr>
                <w:rFonts w:ascii="Arial" w:hAnsi="Arial" w:cs="Arial"/>
                <w:sz w:val="16"/>
                <w:szCs w:val="16"/>
              </w:rPr>
            </w:pPr>
            <w:r w:rsidRPr="00E61068">
              <w:rPr>
                <w:rFonts w:ascii="Arial" w:hAnsi="Arial" w:cs="Arial"/>
                <w:sz w:val="16"/>
                <w:szCs w:val="16"/>
              </w:rPr>
              <w:t>22,104</w:t>
            </w:r>
          </w:p>
        </w:tc>
        <w:tc>
          <w:tcPr>
            <w:tcW w:w="900" w:type="dxa"/>
            <w:tcBorders>
              <w:top w:val="nil"/>
              <w:left w:val="nil"/>
              <w:bottom w:val="nil"/>
              <w:right w:val="nil"/>
            </w:tcBorders>
            <w:shd w:val="clear" w:color="000000" w:fill="D9D9D9"/>
            <w:noWrap/>
            <w:vAlign w:val="bottom"/>
            <w:hideMark/>
          </w:tcPr>
          <w:p w14:paraId="28EBDA6D" w14:textId="77777777" w:rsidR="00E61068" w:rsidRPr="00E61068" w:rsidRDefault="00E61068" w:rsidP="00E61068">
            <w:pPr>
              <w:spacing w:after="0"/>
              <w:jc w:val="right"/>
              <w:rPr>
                <w:rFonts w:ascii="Arial" w:hAnsi="Arial" w:cs="Arial"/>
                <w:sz w:val="16"/>
                <w:szCs w:val="16"/>
              </w:rPr>
            </w:pPr>
            <w:r w:rsidRPr="00E61068">
              <w:rPr>
                <w:rFonts w:ascii="Arial" w:hAnsi="Arial" w:cs="Arial"/>
                <w:sz w:val="16"/>
                <w:szCs w:val="16"/>
              </w:rPr>
              <w:t>18,406</w:t>
            </w:r>
          </w:p>
        </w:tc>
        <w:tc>
          <w:tcPr>
            <w:tcW w:w="900" w:type="dxa"/>
            <w:tcBorders>
              <w:top w:val="nil"/>
              <w:left w:val="nil"/>
              <w:bottom w:val="nil"/>
              <w:right w:val="nil"/>
            </w:tcBorders>
            <w:shd w:val="clear" w:color="auto" w:fill="auto"/>
            <w:noWrap/>
            <w:vAlign w:val="bottom"/>
            <w:hideMark/>
          </w:tcPr>
          <w:p w14:paraId="7B274C74" w14:textId="77777777" w:rsidR="00E61068" w:rsidRPr="00E61068" w:rsidRDefault="00E61068" w:rsidP="00E61068">
            <w:pPr>
              <w:spacing w:after="0"/>
              <w:jc w:val="right"/>
              <w:rPr>
                <w:rFonts w:ascii="Arial" w:hAnsi="Arial" w:cs="Arial"/>
                <w:sz w:val="16"/>
                <w:szCs w:val="16"/>
              </w:rPr>
            </w:pPr>
            <w:r w:rsidRPr="00E61068">
              <w:rPr>
                <w:rFonts w:ascii="Arial" w:hAnsi="Arial" w:cs="Arial"/>
                <w:sz w:val="16"/>
                <w:szCs w:val="16"/>
              </w:rPr>
              <w:t>-</w:t>
            </w:r>
          </w:p>
        </w:tc>
        <w:tc>
          <w:tcPr>
            <w:tcW w:w="900" w:type="dxa"/>
            <w:tcBorders>
              <w:top w:val="nil"/>
              <w:left w:val="nil"/>
              <w:bottom w:val="nil"/>
              <w:right w:val="nil"/>
            </w:tcBorders>
            <w:shd w:val="clear" w:color="auto" w:fill="auto"/>
            <w:noWrap/>
            <w:vAlign w:val="bottom"/>
            <w:hideMark/>
          </w:tcPr>
          <w:p w14:paraId="2DACFB92" w14:textId="77777777" w:rsidR="00E61068" w:rsidRPr="00E61068" w:rsidRDefault="00E61068" w:rsidP="00E61068">
            <w:pPr>
              <w:spacing w:after="0"/>
              <w:jc w:val="right"/>
              <w:rPr>
                <w:rFonts w:ascii="Arial" w:hAnsi="Arial" w:cs="Arial"/>
                <w:sz w:val="16"/>
                <w:szCs w:val="16"/>
              </w:rPr>
            </w:pPr>
            <w:r w:rsidRPr="00E61068">
              <w:rPr>
                <w:rFonts w:ascii="Arial" w:hAnsi="Arial" w:cs="Arial"/>
                <w:sz w:val="16"/>
                <w:szCs w:val="16"/>
              </w:rPr>
              <w:t>-</w:t>
            </w:r>
          </w:p>
        </w:tc>
        <w:tc>
          <w:tcPr>
            <w:tcW w:w="900" w:type="dxa"/>
            <w:tcBorders>
              <w:top w:val="nil"/>
              <w:left w:val="nil"/>
              <w:bottom w:val="nil"/>
              <w:right w:val="nil"/>
            </w:tcBorders>
            <w:shd w:val="clear" w:color="auto" w:fill="auto"/>
            <w:noWrap/>
            <w:vAlign w:val="bottom"/>
            <w:hideMark/>
          </w:tcPr>
          <w:p w14:paraId="603BEC93" w14:textId="77777777" w:rsidR="00E61068" w:rsidRPr="00E61068" w:rsidRDefault="00E61068" w:rsidP="00E61068">
            <w:pPr>
              <w:spacing w:after="0"/>
              <w:jc w:val="right"/>
              <w:rPr>
                <w:rFonts w:ascii="Arial" w:hAnsi="Arial" w:cs="Arial"/>
                <w:sz w:val="16"/>
                <w:szCs w:val="16"/>
              </w:rPr>
            </w:pPr>
            <w:r w:rsidRPr="00E61068">
              <w:rPr>
                <w:rFonts w:ascii="Arial" w:hAnsi="Arial" w:cs="Arial"/>
                <w:sz w:val="16"/>
                <w:szCs w:val="16"/>
              </w:rPr>
              <w:t>-</w:t>
            </w:r>
          </w:p>
        </w:tc>
      </w:tr>
      <w:tr w:rsidR="00E61068" w:rsidRPr="00E61068" w14:paraId="3304B073" w14:textId="77777777" w:rsidTr="00E61068">
        <w:trPr>
          <w:trHeight w:val="225"/>
        </w:trPr>
        <w:tc>
          <w:tcPr>
            <w:tcW w:w="2860" w:type="dxa"/>
            <w:tcBorders>
              <w:top w:val="nil"/>
              <w:left w:val="nil"/>
              <w:bottom w:val="nil"/>
              <w:right w:val="nil"/>
            </w:tcBorders>
            <w:shd w:val="clear" w:color="000000" w:fill="FFFFFF"/>
            <w:noWrap/>
            <w:vAlign w:val="bottom"/>
            <w:hideMark/>
          </w:tcPr>
          <w:p w14:paraId="06502F9A" w14:textId="77777777" w:rsidR="00E61068" w:rsidRPr="00E61068" w:rsidRDefault="00E61068" w:rsidP="00E61068">
            <w:pPr>
              <w:spacing w:after="0"/>
              <w:ind w:leftChars="75" w:left="143"/>
              <w:rPr>
                <w:rFonts w:ascii="Arial" w:hAnsi="Arial" w:cs="Arial"/>
                <w:b/>
                <w:bCs/>
                <w:sz w:val="16"/>
                <w:szCs w:val="16"/>
              </w:rPr>
            </w:pPr>
            <w:r w:rsidRPr="00E61068">
              <w:rPr>
                <w:rFonts w:ascii="Arial" w:hAnsi="Arial" w:cs="Arial"/>
                <w:b/>
                <w:bCs/>
                <w:sz w:val="16"/>
                <w:szCs w:val="16"/>
              </w:rPr>
              <w:t xml:space="preserve">Total </w:t>
            </w:r>
            <w:r w:rsidRPr="00E61068">
              <w:rPr>
                <w:rFonts w:ascii="Arial" w:hAnsi="Arial" w:cs="Arial"/>
                <w:b/>
                <w:bCs/>
                <w:color w:val="auto"/>
                <w:sz w:val="16"/>
                <w:szCs w:val="16"/>
              </w:rPr>
              <w:t>items</w:t>
            </w:r>
          </w:p>
        </w:tc>
        <w:tc>
          <w:tcPr>
            <w:tcW w:w="900" w:type="dxa"/>
            <w:tcBorders>
              <w:top w:val="nil"/>
              <w:left w:val="nil"/>
              <w:bottom w:val="single" w:sz="4" w:space="0" w:color="auto"/>
              <w:right w:val="nil"/>
            </w:tcBorders>
            <w:shd w:val="clear" w:color="auto" w:fill="auto"/>
            <w:noWrap/>
            <w:vAlign w:val="bottom"/>
            <w:hideMark/>
          </w:tcPr>
          <w:p w14:paraId="4D3EDC5E" w14:textId="77777777" w:rsidR="00E61068" w:rsidRPr="00E61068" w:rsidRDefault="00E61068" w:rsidP="00E61068">
            <w:pPr>
              <w:spacing w:after="0"/>
              <w:jc w:val="right"/>
              <w:rPr>
                <w:rFonts w:ascii="Arial" w:hAnsi="Arial" w:cs="Arial"/>
                <w:b/>
                <w:bCs/>
                <w:sz w:val="16"/>
                <w:szCs w:val="16"/>
              </w:rPr>
            </w:pPr>
            <w:r w:rsidRPr="00E61068">
              <w:rPr>
                <w:rFonts w:ascii="Arial" w:hAnsi="Arial" w:cs="Arial"/>
                <w:b/>
                <w:bCs/>
                <w:sz w:val="16"/>
                <w:szCs w:val="16"/>
              </w:rPr>
              <w:t>22,104</w:t>
            </w:r>
          </w:p>
        </w:tc>
        <w:tc>
          <w:tcPr>
            <w:tcW w:w="900" w:type="dxa"/>
            <w:tcBorders>
              <w:top w:val="nil"/>
              <w:left w:val="nil"/>
              <w:bottom w:val="single" w:sz="4" w:space="0" w:color="auto"/>
              <w:right w:val="nil"/>
            </w:tcBorders>
            <w:shd w:val="clear" w:color="000000" w:fill="D9D9D9"/>
            <w:noWrap/>
            <w:vAlign w:val="bottom"/>
            <w:hideMark/>
          </w:tcPr>
          <w:p w14:paraId="7F98EF8A" w14:textId="77777777" w:rsidR="00E61068" w:rsidRPr="00E61068" w:rsidRDefault="00E61068" w:rsidP="00E61068">
            <w:pPr>
              <w:spacing w:after="0"/>
              <w:jc w:val="right"/>
              <w:rPr>
                <w:rFonts w:ascii="Arial" w:hAnsi="Arial" w:cs="Arial"/>
                <w:b/>
                <w:bCs/>
                <w:sz w:val="16"/>
                <w:szCs w:val="16"/>
              </w:rPr>
            </w:pPr>
            <w:r w:rsidRPr="00E61068">
              <w:rPr>
                <w:rFonts w:ascii="Arial" w:hAnsi="Arial" w:cs="Arial"/>
                <w:b/>
                <w:bCs/>
                <w:sz w:val="16"/>
                <w:szCs w:val="16"/>
              </w:rPr>
              <w:t>18,406</w:t>
            </w:r>
          </w:p>
        </w:tc>
        <w:tc>
          <w:tcPr>
            <w:tcW w:w="900" w:type="dxa"/>
            <w:tcBorders>
              <w:top w:val="nil"/>
              <w:left w:val="nil"/>
              <w:bottom w:val="single" w:sz="4" w:space="0" w:color="auto"/>
              <w:right w:val="nil"/>
            </w:tcBorders>
            <w:shd w:val="clear" w:color="auto" w:fill="auto"/>
            <w:noWrap/>
            <w:vAlign w:val="bottom"/>
            <w:hideMark/>
          </w:tcPr>
          <w:p w14:paraId="292A88D4" w14:textId="77777777" w:rsidR="00E61068" w:rsidRPr="00E61068" w:rsidRDefault="00E61068" w:rsidP="00E61068">
            <w:pPr>
              <w:spacing w:after="0"/>
              <w:jc w:val="right"/>
              <w:rPr>
                <w:rFonts w:ascii="Arial" w:hAnsi="Arial" w:cs="Arial"/>
                <w:b/>
                <w:bCs/>
                <w:sz w:val="16"/>
                <w:szCs w:val="16"/>
              </w:rPr>
            </w:pPr>
            <w:r w:rsidRPr="00E61068">
              <w:rPr>
                <w:rFonts w:ascii="Arial" w:hAnsi="Arial" w:cs="Arial"/>
                <w:b/>
                <w:bCs/>
                <w:sz w:val="16"/>
                <w:szCs w:val="16"/>
              </w:rPr>
              <w:t>-</w:t>
            </w:r>
          </w:p>
        </w:tc>
        <w:tc>
          <w:tcPr>
            <w:tcW w:w="900" w:type="dxa"/>
            <w:tcBorders>
              <w:top w:val="nil"/>
              <w:left w:val="nil"/>
              <w:bottom w:val="single" w:sz="4" w:space="0" w:color="auto"/>
              <w:right w:val="nil"/>
            </w:tcBorders>
            <w:shd w:val="clear" w:color="auto" w:fill="auto"/>
            <w:noWrap/>
            <w:vAlign w:val="bottom"/>
            <w:hideMark/>
          </w:tcPr>
          <w:p w14:paraId="5FD0050E" w14:textId="77777777" w:rsidR="00E61068" w:rsidRPr="00E61068" w:rsidRDefault="00E61068" w:rsidP="00E61068">
            <w:pPr>
              <w:spacing w:after="0"/>
              <w:jc w:val="right"/>
              <w:rPr>
                <w:rFonts w:ascii="Arial" w:hAnsi="Arial" w:cs="Arial"/>
                <w:b/>
                <w:bCs/>
                <w:sz w:val="16"/>
                <w:szCs w:val="16"/>
              </w:rPr>
            </w:pPr>
            <w:r w:rsidRPr="00E61068">
              <w:rPr>
                <w:rFonts w:ascii="Arial" w:hAnsi="Arial" w:cs="Arial"/>
                <w:b/>
                <w:bCs/>
                <w:sz w:val="16"/>
                <w:szCs w:val="16"/>
              </w:rPr>
              <w:t>-</w:t>
            </w:r>
          </w:p>
        </w:tc>
        <w:tc>
          <w:tcPr>
            <w:tcW w:w="900" w:type="dxa"/>
            <w:tcBorders>
              <w:top w:val="nil"/>
              <w:left w:val="nil"/>
              <w:bottom w:val="single" w:sz="4" w:space="0" w:color="auto"/>
              <w:right w:val="nil"/>
            </w:tcBorders>
            <w:shd w:val="clear" w:color="auto" w:fill="auto"/>
            <w:noWrap/>
            <w:vAlign w:val="bottom"/>
            <w:hideMark/>
          </w:tcPr>
          <w:p w14:paraId="4A5ED455" w14:textId="77777777" w:rsidR="00E61068" w:rsidRPr="00E61068" w:rsidRDefault="00E61068" w:rsidP="00E61068">
            <w:pPr>
              <w:spacing w:after="0"/>
              <w:jc w:val="right"/>
              <w:rPr>
                <w:rFonts w:ascii="Arial" w:hAnsi="Arial" w:cs="Arial"/>
                <w:b/>
                <w:bCs/>
                <w:sz w:val="16"/>
                <w:szCs w:val="16"/>
              </w:rPr>
            </w:pPr>
            <w:r w:rsidRPr="00E61068">
              <w:rPr>
                <w:rFonts w:ascii="Arial" w:hAnsi="Arial" w:cs="Arial"/>
                <w:b/>
                <w:bCs/>
                <w:sz w:val="16"/>
                <w:szCs w:val="16"/>
              </w:rPr>
              <w:t>-</w:t>
            </w:r>
          </w:p>
        </w:tc>
      </w:tr>
      <w:tr w:rsidR="00E61068" w:rsidRPr="00E61068" w14:paraId="50D18A33" w14:textId="77777777" w:rsidTr="00E61068">
        <w:trPr>
          <w:trHeight w:val="450"/>
        </w:trPr>
        <w:tc>
          <w:tcPr>
            <w:tcW w:w="2860" w:type="dxa"/>
            <w:tcBorders>
              <w:top w:val="nil"/>
              <w:left w:val="nil"/>
              <w:bottom w:val="nil"/>
              <w:right w:val="nil"/>
            </w:tcBorders>
            <w:shd w:val="clear" w:color="000000" w:fill="FFFFFF"/>
            <w:vAlign w:val="bottom"/>
            <w:hideMark/>
          </w:tcPr>
          <w:p w14:paraId="55F1F103" w14:textId="77777777" w:rsidR="00E61068" w:rsidRPr="00E61068" w:rsidRDefault="00E61068" w:rsidP="00E61068">
            <w:pPr>
              <w:spacing w:after="0"/>
              <w:rPr>
                <w:rFonts w:ascii="Arial" w:hAnsi="Arial" w:cs="Arial"/>
                <w:b/>
                <w:bCs/>
                <w:color w:val="auto"/>
                <w:sz w:val="16"/>
                <w:szCs w:val="16"/>
              </w:rPr>
            </w:pPr>
            <w:r w:rsidRPr="00E61068">
              <w:rPr>
                <w:rFonts w:ascii="Arial" w:hAnsi="Arial" w:cs="Arial"/>
                <w:b/>
                <w:bCs/>
                <w:color w:val="auto"/>
                <w:sz w:val="16"/>
                <w:szCs w:val="16"/>
              </w:rPr>
              <w:t>PURCHASE OF NON-FINANCIAL ASSETS</w:t>
            </w:r>
          </w:p>
        </w:tc>
        <w:tc>
          <w:tcPr>
            <w:tcW w:w="900" w:type="dxa"/>
            <w:tcBorders>
              <w:top w:val="nil"/>
              <w:left w:val="nil"/>
              <w:bottom w:val="nil"/>
              <w:right w:val="nil"/>
            </w:tcBorders>
            <w:shd w:val="clear" w:color="000000" w:fill="FFFFFF"/>
            <w:noWrap/>
            <w:vAlign w:val="bottom"/>
            <w:hideMark/>
          </w:tcPr>
          <w:p w14:paraId="3DB7D3A3" w14:textId="77777777" w:rsidR="00E61068" w:rsidRPr="00E61068" w:rsidRDefault="00E61068" w:rsidP="00E61068">
            <w:pPr>
              <w:spacing w:after="0"/>
              <w:jc w:val="right"/>
              <w:rPr>
                <w:rFonts w:ascii="Arial" w:hAnsi="Arial" w:cs="Arial"/>
                <w:color w:val="auto"/>
                <w:sz w:val="16"/>
                <w:szCs w:val="16"/>
              </w:rPr>
            </w:pPr>
            <w:r w:rsidRPr="00E61068">
              <w:rPr>
                <w:rFonts w:ascii="Arial" w:hAnsi="Arial" w:cs="Arial"/>
                <w:color w:val="auto"/>
                <w:sz w:val="16"/>
                <w:szCs w:val="16"/>
              </w:rPr>
              <w:t> </w:t>
            </w:r>
          </w:p>
        </w:tc>
        <w:tc>
          <w:tcPr>
            <w:tcW w:w="900" w:type="dxa"/>
            <w:tcBorders>
              <w:top w:val="nil"/>
              <w:left w:val="nil"/>
              <w:bottom w:val="nil"/>
              <w:right w:val="nil"/>
            </w:tcBorders>
            <w:shd w:val="clear" w:color="000000" w:fill="D9D9D9"/>
            <w:noWrap/>
            <w:vAlign w:val="center"/>
            <w:hideMark/>
          </w:tcPr>
          <w:p w14:paraId="503EDBFF" w14:textId="77777777" w:rsidR="00E61068" w:rsidRPr="00E61068" w:rsidRDefault="00E61068" w:rsidP="00E61068">
            <w:pPr>
              <w:spacing w:after="0"/>
              <w:jc w:val="right"/>
              <w:rPr>
                <w:rFonts w:ascii="Arial" w:hAnsi="Arial" w:cs="Arial"/>
                <w:sz w:val="16"/>
                <w:szCs w:val="16"/>
              </w:rPr>
            </w:pPr>
            <w:r w:rsidRPr="00E61068">
              <w:rPr>
                <w:rFonts w:ascii="Arial" w:hAnsi="Arial" w:cs="Arial"/>
                <w:sz w:val="16"/>
                <w:szCs w:val="16"/>
              </w:rPr>
              <w:t> </w:t>
            </w:r>
          </w:p>
        </w:tc>
        <w:tc>
          <w:tcPr>
            <w:tcW w:w="900" w:type="dxa"/>
            <w:tcBorders>
              <w:top w:val="nil"/>
              <w:left w:val="nil"/>
              <w:bottom w:val="nil"/>
              <w:right w:val="nil"/>
            </w:tcBorders>
            <w:shd w:val="clear" w:color="auto" w:fill="auto"/>
            <w:noWrap/>
            <w:vAlign w:val="center"/>
            <w:hideMark/>
          </w:tcPr>
          <w:p w14:paraId="168A9FEE" w14:textId="77777777" w:rsidR="00E61068" w:rsidRPr="00E61068" w:rsidRDefault="00E61068" w:rsidP="00E61068">
            <w:pPr>
              <w:spacing w:after="0"/>
              <w:jc w:val="right"/>
              <w:rPr>
                <w:rFonts w:ascii="Arial" w:hAnsi="Arial" w:cs="Arial"/>
                <w:sz w:val="16"/>
                <w:szCs w:val="16"/>
              </w:rPr>
            </w:pPr>
          </w:p>
        </w:tc>
        <w:tc>
          <w:tcPr>
            <w:tcW w:w="900" w:type="dxa"/>
            <w:tcBorders>
              <w:top w:val="nil"/>
              <w:left w:val="nil"/>
              <w:bottom w:val="nil"/>
              <w:right w:val="nil"/>
            </w:tcBorders>
            <w:shd w:val="clear" w:color="000000" w:fill="FFFFFF"/>
            <w:noWrap/>
            <w:vAlign w:val="bottom"/>
            <w:hideMark/>
          </w:tcPr>
          <w:p w14:paraId="5F261C37" w14:textId="77777777" w:rsidR="00E61068" w:rsidRPr="00E61068" w:rsidRDefault="00E61068" w:rsidP="00E61068">
            <w:pPr>
              <w:spacing w:after="0"/>
              <w:jc w:val="right"/>
              <w:rPr>
                <w:rFonts w:ascii="Arial" w:hAnsi="Arial" w:cs="Arial"/>
                <w:color w:val="auto"/>
                <w:sz w:val="16"/>
                <w:szCs w:val="16"/>
              </w:rPr>
            </w:pPr>
            <w:r w:rsidRPr="00E61068">
              <w:rPr>
                <w:rFonts w:ascii="Arial" w:hAnsi="Arial" w:cs="Arial"/>
                <w:color w:val="auto"/>
                <w:sz w:val="16"/>
                <w:szCs w:val="16"/>
              </w:rPr>
              <w:t> </w:t>
            </w:r>
          </w:p>
        </w:tc>
        <w:tc>
          <w:tcPr>
            <w:tcW w:w="900" w:type="dxa"/>
            <w:tcBorders>
              <w:top w:val="nil"/>
              <w:left w:val="nil"/>
              <w:bottom w:val="nil"/>
              <w:right w:val="nil"/>
            </w:tcBorders>
            <w:shd w:val="clear" w:color="000000" w:fill="FFFFFF"/>
            <w:noWrap/>
            <w:vAlign w:val="bottom"/>
            <w:hideMark/>
          </w:tcPr>
          <w:p w14:paraId="54155102" w14:textId="77777777" w:rsidR="00E61068" w:rsidRPr="00E61068" w:rsidRDefault="00E61068" w:rsidP="00E61068">
            <w:pPr>
              <w:spacing w:after="0"/>
              <w:jc w:val="right"/>
              <w:rPr>
                <w:rFonts w:ascii="Arial" w:hAnsi="Arial" w:cs="Arial"/>
                <w:color w:val="auto"/>
                <w:sz w:val="16"/>
                <w:szCs w:val="16"/>
              </w:rPr>
            </w:pPr>
            <w:r w:rsidRPr="00E61068">
              <w:rPr>
                <w:rFonts w:ascii="Arial" w:hAnsi="Arial" w:cs="Arial"/>
                <w:color w:val="auto"/>
                <w:sz w:val="16"/>
                <w:szCs w:val="16"/>
              </w:rPr>
              <w:t> </w:t>
            </w:r>
          </w:p>
        </w:tc>
      </w:tr>
      <w:tr w:rsidR="00E61068" w:rsidRPr="00E61068" w14:paraId="5F106BB1" w14:textId="77777777" w:rsidTr="00E61068">
        <w:trPr>
          <w:trHeight w:val="450"/>
        </w:trPr>
        <w:tc>
          <w:tcPr>
            <w:tcW w:w="2860" w:type="dxa"/>
            <w:tcBorders>
              <w:top w:val="nil"/>
              <w:left w:val="nil"/>
              <w:bottom w:val="nil"/>
              <w:right w:val="nil"/>
            </w:tcBorders>
            <w:shd w:val="clear" w:color="auto" w:fill="auto"/>
            <w:vAlign w:val="bottom"/>
            <w:hideMark/>
          </w:tcPr>
          <w:p w14:paraId="11AFA384" w14:textId="77777777" w:rsidR="00E61068" w:rsidRPr="00E61068" w:rsidRDefault="00E61068" w:rsidP="00E61068">
            <w:pPr>
              <w:spacing w:after="0"/>
              <w:ind w:leftChars="75" w:left="143"/>
              <w:rPr>
                <w:rFonts w:ascii="Arial" w:hAnsi="Arial" w:cs="Arial"/>
                <w:color w:val="auto"/>
                <w:sz w:val="16"/>
                <w:szCs w:val="16"/>
              </w:rPr>
            </w:pPr>
            <w:r w:rsidRPr="00E61068">
              <w:rPr>
                <w:rFonts w:ascii="Arial" w:hAnsi="Arial" w:cs="Arial"/>
                <w:color w:val="auto"/>
                <w:sz w:val="16"/>
                <w:szCs w:val="16"/>
              </w:rPr>
              <w:t>Funded by capital appropriations - equity injection</w:t>
            </w:r>
            <w:r w:rsidRPr="00E61068">
              <w:rPr>
                <w:rFonts w:ascii="Arial" w:hAnsi="Arial" w:cs="Arial"/>
                <w:color w:val="auto"/>
                <w:sz w:val="16"/>
                <w:szCs w:val="16"/>
                <w:vertAlign w:val="superscript"/>
              </w:rPr>
              <w:t xml:space="preserve"> (a)</w:t>
            </w:r>
          </w:p>
        </w:tc>
        <w:tc>
          <w:tcPr>
            <w:tcW w:w="900" w:type="dxa"/>
            <w:tcBorders>
              <w:top w:val="nil"/>
              <w:left w:val="nil"/>
              <w:bottom w:val="nil"/>
              <w:right w:val="nil"/>
            </w:tcBorders>
            <w:shd w:val="clear" w:color="auto" w:fill="auto"/>
            <w:noWrap/>
            <w:vAlign w:val="bottom"/>
            <w:hideMark/>
          </w:tcPr>
          <w:p w14:paraId="1A20C264" w14:textId="77777777" w:rsidR="00E61068" w:rsidRPr="00E61068" w:rsidRDefault="00E61068" w:rsidP="00E61068">
            <w:pPr>
              <w:spacing w:after="0"/>
              <w:jc w:val="right"/>
              <w:rPr>
                <w:rFonts w:ascii="Arial" w:hAnsi="Arial" w:cs="Arial"/>
                <w:sz w:val="16"/>
                <w:szCs w:val="16"/>
              </w:rPr>
            </w:pPr>
            <w:r w:rsidRPr="00E61068">
              <w:rPr>
                <w:rFonts w:ascii="Arial" w:hAnsi="Arial" w:cs="Arial"/>
                <w:sz w:val="16"/>
                <w:szCs w:val="16"/>
              </w:rPr>
              <w:t>22,104</w:t>
            </w:r>
          </w:p>
        </w:tc>
        <w:tc>
          <w:tcPr>
            <w:tcW w:w="900" w:type="dxa"/>
            <w:tcBorders>
              <w:top w:val="nil"/>
              <w:left w:val="nil"/>
              <w:bottom w:val="nil"/>
              <w:right w:val="nil"/>
            </w:tcBorders>
            <w:shd w:val="clear" w:color="000000" w:fill="D9D9D9"/>
            <w:noWrap/>
            <w:vAlign w:val="bottom"/>
            <w:hideMark/>
          </w:tcPr>
          <w:p w14:paraId="75CE3C15" w14:textId="77777777" w:rsidR="00E61068" w:rsidRPr="00E61068" w:rsidRDefault="00E61068" w:rsidP="00E61068">
            <w:pPr>
              <w:spacing w:after="0"/>
              <w:jc w:val="right"/>
              <w:rPr>
                <w:rFonts w:ascii="Arial" w:hAnsi="Arial" w:cs="Arial"/>
                <w:sz w:val="16"/>
                <w:szCs w:val="16"/>
              </w:rPr>
            </w:pPr>
            <w:r w:rsidRPr="00E61068">
              <w:rPr>
                <w:rFonts w:ascii="Arial" w:hAnsi="Arial" w:cs="Arial"/>
                <w:sz w:val="16"/>
                <w:szCs w:val="16"/>
              </w:rPr>
              <w:t>18,406</w:t>
            </w:r>
          </w:p>
        </w:tc>
        <w:tc>
          <w:tcPr>
            <w:tcW w:w="900" w:type="dxa"/>
            <w:tcBorders>
              <w:top w:val="nil"/>
              <w:left w:val="nil"/>
              <w:bottom w:val="nil"/>
              <w:right w:val="nil"/>
            </w:tcBorders>
            <w:shd w:val="clear" w:color="auto" w:fill="auto"/>
            <w:noWrap/>
            <w:vAlign w:val="bottom"/>
            <w:hideMark/>
          </w:tcPr>
          <w:p w14:paraId="03E3F5F5" w14:textId="77777777" w:rsidR="00E61068" w:rsidRPr="00E61068" w:rsidRDefault="00E61068" w:rsidP="00E61068">
            <w:pPr>
              <w:spacing w:after="0"/>
              <w:jc w:val="right"/>
              <w:rPr>
                <w:rFonts w:ascii="Arial" w:hAnsi="Arial" w:cs="Arial"/>
                <w:sz w:val="16"/>
                <w:szCs w:val="16"/>
              </w:rPr>
            </w:pPr>
            <w:r w:rsidRPr="00E61068">
              <w:rPr>
                <w:rFonts w:ascii="Arial" w:hAnsi="Arial" w:cs="Arial"/>
                <w:sz w:val="16"/>
                <w:szCs w:val="16"/>
              </w:rPr>
              <w:t>-</w:t>
            </w:r>
          </w:p>
        </w:tc>
        <w:tc>
          <w:tcPr>
            <w:tcW w:w="900" w:type="dxa"/>
            <w:tcBorders>
              <w:top w:val="nil"/>
              <w:left w:val="nil"/>
              <w:bottom w:val="nil"/>
              <w:right w:val="nil"/>
            </w:tcBorders>
            <w:shd w:val="clear" w:color="auto" w:fill="auto"/>
            <w:noWrap/>
            <w:vAlign w:val="bottom"/>
            <w:hideMark/>
          </w:tcPr>
          <w:p w14:paraId="5B5F6316" w14:textId="77777777" w:rsidR="00E61068" w:rsidRPr="00E61068" w:rsidRDefault="00E61068" w:rsidP="00E61068">
            <w:pPr>
              <w:spacing w:after="0"/>
              <w:jc w:val="right"/>
              <w:rPr>
                <w:rFonts w:ascii="Arial" w:hAnsi="Arial" w:cs="Arial"/>
                <w:sz w:val="16"/>
                <w:szCs w:val="16"/>
              </w:rPr>
            </w:pPr>
            <w:r w:rsidRPr="00E61068">
              <w:rPr>
                <w:rFonts w:ascii="Arial" w:hAnsi="Arial" w:cs="Arial"/>
                <w:sz w:val="16"/>
                <w:szCs w:val="16"/>
              </w:rPr>
              <w:t>-</w:t>
            </w:r>
          </w:p>
        </w:tc>
        <w:tc>
          <w:tcPr>
            <w:tcW w:w="900" w:type="dxa"/>
            <w:tcBorders>
              <w:top w:val="nil"/>
              <w:left w:val="nil"/>
              <w:bottom w:val="nil"/>
              <w:right w:val="nil"/>
            </w:tcBorders>
            <w:shd w:val="clear" w:color="auto" w:fill="auto"/>
            <w:noWrap/>
            <w:vAlign w:val="bottom"/>
            <w:hideMark/>
          </w:tcPr>
          <w:p w14:paraId="75692DD6" w14:textId="77777777" w:rsidR="00E61068" w:rsidRPr="00E61068" w:rsidRDefault="00E61068" w:rsidP="00E61068">
            <w:pPr>
              <w:spacing w:after="0"/>
              <w:jc w:val="right"/>
              <w:rPr>
                <w:rFonts w:ascii="Arial" w:hAnsi="Arial" w:cs="Arial"/>
                <w:sz w:val="16"/>
                <w:szCs w:val="16"/>
              </w:rPr>
            </w:pPr>
            <w:r w:rsidRPr="00E61068">
              <w:rPr>
                <w:rFonts w:ascii="Arial" w:hAnsi="Arial" w:cs="Arial"/>
                <w:sz w:val="16"/>
                <w:szCs w:val="16"/>
              </w:rPr>
              <w:t>-</w:t>
            </w:r>
          </w:p>
        </w:tc>
      </w:tr>
      <w:tr w:rsidR="00E61068" w:rsidRPr="00E61068" w14:paraId="5F4772EB" w14:textId="77777777" w:rsidTr="00E61068">
        <w:trPr>
          <w:trHeight w:val="450"/>
        </w:trPr>
        <w:tc>
          <w:tcPr>
            <w:tcW w:w="2860" w:type="dxa"/>
            <w:tcBorders>
              <w:top w:val="nil"/>
              <w:left w:val="nil"/>
              <w:bottom w:val="nil"/>
              <w:right w:val="nil"/>
            </w:tcBorders>
            <w:shd w:val="clear" w:color="auto" w:fill="auto"/>
            <w:vAlign w:val="bottom"/>
            <w:hideMark/>
          </w:tcPr>
          <w:p w14:paraId="1400565F" w14:textId="77777777" w:rsidR="00E61068" w:rsidRPr="00E61068" w:rsidRDefault="00E61068" w:rsidP="00E61068">
            <w:pPr>
              <w:spacing w:after="0"/>
              <w:ind w:leftChars="75" w:left="143"/>
              <w:rPr>
                <w:rFonts w:ascii="Arial" w:hAnsi="Arial" w:cs="Arial"/>
                <w:color w:val="auto"/>
                <w:sz w:val="16"/>
                <w:szCs w:val="16"/>
              </w:rPr>
            </w:pPr>
            <w:r w:rsidRPr="00E61068">
              <w:rPr>
                <w:rFonts w:ascii="Arial" w:hAnsi="Arial" w:cs="Arial"/>
                <w:color w:val="auto"/>
                <w:sz w:val="16"/>
                <w:szCs w:val="16"/>
              </w:rPr>
              <w:t xml:space="preserve">Funded internally by departmental resources </w:t>
            </w:r>
            <w:r w:rsidRPr="00E61068">
              <w:rPr>
                <w:rFonts w:ascii="Arial" w:hAnsi="Arial" w:cs="Arial"/>
                <w:color w:val="auto"/>
                <w:sz w:val="16"/>
                <w:szCs w:val="16"/>
                <w:vertAlign w:val="superscript"/>
              </w:rPr>
              <w:t>(b)</w:t>
            </w:r>
          </w:p>
        </w:tc>
        <w:tc>
          <w:tcPr>
            <w:tcW w:w="900" w:type="dxa"/>
            <w:tcBorders>
              <w:top w:val="nil"/>
              <w:left w:val="nil"/>
              <w:bottom w:val="nil"/>
              <w:right w:val="nil"/>
            </w:tcBorders>
            <w:shd w:val="clear" w:color="auto" w:fill="auto"/>
            <w:noWrap/>
            <w:vAlign w:val="bottom"/>
            <w:hideMark/>
          </w:tcPr>
          <w:p w14:paraId="6BFE31A8" w14:textId="77777777" w:rsidR="00E61068" w:rsidRPr="00E61068" w:rsidRDefault="00E61068" w:rsidP="00E61068">
            <w:pPr>
              <w:spacing w:after="0"/>
              <w:jc w:val="right"/>
              <w:rPr>
                <w:rFonts w:ascii="Arial" w:hAnsi="Arial" w:cs="Arial"/>
                <w:sz w:val="16"/>
                <w:szCs w:val="16"/>
              </w:rPr>
            </w:pPr>
            <w:r w:rsidRPr="00E61068">
              <w:rPr>
                <w:rFonts w:ascii="Arial" w:hAnsi="Arial" w:cs="Arial"/>
                <w:sz w:val="16"/>
                <w:szCs w:val="16"/>
              </w:rPr>
              <w:t>5,000</w:t>
            </w:r>
          </w:p>
        </w:tc>
        <w:tc>
          <w:tcPr>
            <w:tcW w:w="900" w:type="dxa"/>
            <w:tcBorders>
              <w:top w:val="nil"/>
              <w:left w:val="nil"/>
              <w:bottom w:val="nil"/>
              <w:right w:val="nil"/>
            </w:tcBorders>
            <w:shd w:val="clear" w:color="000000" w:fill="D9D9D9"/>
            <w:noWrap/>
            <w:vAlign w:val="bottom"/>
            <w:hideMark/>
          </w:tcPr>
          <w:p w14:paraId="11C3EE40" w14:textId="77777777" w:rsidR="00E61068" w:rsidRPr="00E61068" w:rsidRDefault="00E61068" w:rsidP="00E61068">
            <w:pPr>
              <w:spacing w:after="0"/>
              <w:jc w:val="right"/>
              <w:rPr>
                <w:rFonts w:ascii="Arial" w:hAnsi="Arial" w:cs="Arial"/>
                <w:sz w:val="16"/>
                <w:szCs w:val="16"/>
              </w:rPr>
            </w:pPr>
            <w:r w:rsidRPr="00E61068">
              <w:rPr>
                <w:rFonts w:ascii="Arial" w:hAnsi="Arial" w:cs="Arial"/>
                <w:sz w:val="16"/>
                <w:szCs w:val="16"/>
              </w:rPr>
              <w:t>-</w:t>
            </w:r>
          </w:p>
        </w:tc>
        <w:tc>
          <w:tcPr>
            <w:tcW w:w="900" w:type="dxa"/>
            <w:tcBorders>
              <w:top w:val="nil"/>
              <w:left w:val="nil"/>
              <w:bottom w:val="nil"/>
              <w:right w:val="nil"/>
            </w:tcBorders>
            <w:shd w:val="clear" w:color="auto" w:fill="auto"/>
            <w:noWrap/>
            <w:vAlign w:val="bottom"/>
            <w:hideMark/>
          </w:tcPr>
          <w:p w14:paraId="2497B63D" w14:textId="77777777" w:rsidR="00E61068" w:rsidRPr="00E61068" w:rsidRDefault="00E61068" w:rsidP="00E61068">
            <w:pPr>
              <w:spacing w:after="0"/>
              <w:jc w:val="right"/>
              <w:rPr>
                <w:rFonts w:ascii="Arial" w:hAnsi="Arial" w:cs="Arial"/>
                <w:sz w:val="16"/>
                <w:szCs w:val="16"/>
              </w:rPr>
            </w:pPr>
            <w:r w:rsidRPr="00E61068">
              <w:rPr>
                <w:rFonts w:ascii="Arial" w:hAnsi="Arial" w:cs="Arial"/>
                <w:sz w:val="16"/>
                <w:szCs w:val="16"/>
              </w:rPr>
              <w:t>-</w:t>
            </w:r>
          </w:p>
        </w:tc>
        <w:tc>
          <w:tcPr>
            <w:tcW w:w="900" w:type="dxa"/>
            <w:tcBorders>
              <w:top w:val="nil"/>
              <w:left w:val="nil"/>
              <w:bottom w:val="nil"/>
              <w:right w:val="nil"/>
            </w:tcBorders>
            <w:shd w:val="clear" w:color="auto" w:fill="auto"/>
            <w:noWrap/>
            <w:vAlign w:val="bottom"/>
            <w:hideMark/>
          </w:tcPr>
          <w:p w14:paraId="6B370358" w14:textId="77777777" w:rsidR="00E61068" w:rsidRPr="00E61068" w:rsidRDefault="00E61068" w:rsidP="00E61068">
            <w:pPr>
              <w:spacing w:after="0"/>
              <w:jc w:val="right"/>
              <w:rPr>
                <w:rFonts w:ascii="Arial" w:hAnsi="Arial" w:cs="Arial"/>
                <w:sz w:val="16"/>
                <w:szCs w:val="16"/>
              </w:rPr>
            </w:pPr>
            <w:r w:rsidRPr="00E61068">
              <w:rPr>
                <w:rFonts w:ascii="Arial" w:hAnsi="Arial" w:cs="Arial"/>
                <w:sz w:val="16"/>
                <w:szCs w:val="16"/>
              </w:rPr>
              <w:t>-</w:t>
            </w:r>
          </w:p>
        </w:tc>
        <w:tc>
          <w:tcPr>
            <w:tcW w:w="900" w:type="dxa"/>
            <w:tcBorders>
              <w:top w:val="nil"/>
              <w:left w:val="nil"/>
              <w:bottom w:val="nil"/>
              <w:right w:val="nil"/>
            </w:tcBorders>
            <w:shd w:val="clear" w:color="auto" w:fill="auto"/>
            <w:noWrap/>
            <w:vAlign w:val="bottom"/>
            <w:hideMark/>
          </w:tcPr>
          <w:p w14:paraId="38884839" w14:textId="77777777" w:rsidR="00E61068" w:rsidRPr="00E61068" w:rsidRDefault="00E61068" w:rsidP="00E61068">
            <w:pPr>
              <w:spacing w:after="0"/>
              <w:jc w:val="right"/>
              <w:rPr>
                <w:rFonts w:ascii="Arial" w:hAnsi="Arial" w:cs="Arial"/>
                <w:sz w:val="16"/>
                <w:szCs w:val="16"/>
              </w:rPr>
            </w:pPr>
            <w:r w:rsidRPr="00E61068">
              <w:rPr>
                <w:rFonts w:ascii="Arial" w:hAnsi="Arial" w:cs="Arial"/>
                <w:sz w:val="16"/>
                <w:szCs w:val="16"/>
              </w:rPr>
              <w:t>-</w:t>
            </w:r>
          </w:p>
        </w:tc>
      </w:tr>
      <w:tr w:rsidR="00E61068" w:rsidRPr="00E61068" w14:paraId="2A3CE544" w14:textId="77777777" w:rsidTr="00E61068">
        <w:trPr>
          <w:trHeight w:val="450"/>
        </w:trPr>
        <w:tc>
          <w:tcPr>
            <w:tcW w:w="2860" w:type="dxa"/>
            <w:tcBorders>
              <w:top w:val="nil"/>
              <w:left w:val="nil"/>
              <w:bottom w:val="nil"/>
              <w:right w:val="nil"/>
            </w:tcBorders>
            <w:shd w:val="clear" w:color="000000" w:fill="FFFFFF"/>
            <w:vAlign w:val="bottom"/>
            <w:hideMark/>
          </w:tcPr>
          <w:p w14:paraId="531094C3" w14:textId="77777777" w:rsidR="00E61068" w:rsidRPr="00E61068" w:rsidRDefault="00E61068" w:rsidP="00E61068">
            <w:pPr>
              <w:spacing w:after="0"/>
              <w:ind w:leftChars="75" w:left="143"/>
              <w:rPr>
                <w:rFonts w:ascii="Arial" w:hAnsi="Arial" w:cs="Arial"/>
                <w:b/>
                <w:bCs/>
                <w:color w:val="auto"/>
                <w:sz w:val="16"/>
                <w:szCs w:val="16"/>
              </w:rPr>
            </w:pPr>
            <w:r w:rsidRPr="00E61068">
              <w:rPr>
                <w:rFonts w:ascii="Arial" w:hAnsi="Arial" w:cs="Arial"/>
                <w:b/>
                <w:bCs/>
                <w:color w:val="auto"/>
                <w:sz w:val="16"/>
                <w:szCs w:val="16"/>
              </w:rPr>
              <w:t>Total acquisitions of non-financial assets</w:t>
            </w:r>
          </w:p>
        </w:tc>
        <w:tc>
          <w:tcPr>
            <w:tcW w:w="900" w:type="dxa"/>
            <w:tcBorders>
              <w:top w:val="nil"/>
              <w:left w:val="nil"/>
              <w:bottom w:val="single" w:sz="4" w:space="0" w:color="auto"/>
              <w:right w:val="nil"/>
            </w:tcBorders>
            <w:shd w:val="clear" w:color="auto" w:fill="auto"/>
            <w:noWrap/>
            <w:vAlign w:val="bottom"/>
            <w:hideMark/>
          </w:tcPr>
          <w:p w14:paraId="3E27CC30" w14:textId="77777777" w:rsidR="00E61068" w:rsidRPr="00E61068" w:rsidRDefault="00E61068" w:rsidP="00E61068">
            <w:pPr>
              <w:spacing w:after="0"/>
              <w:jc w:val="right"/>
              <w:rPr>
                <w:rFonts w:ascii="Arial" w:hAnsi="Arial" w:cs="Arial"/>
                <w:b/>
                <w:bCs/>
                <w:sz w:val="16"/>
                <w:szCs w:val="16"/>
              </w:rPr>
            </w:pPr>
            <w:r w:rsidRPr="00E61068">
              <w:rPr>
                <w:rFonts w:ascii="Arial" w:hAnsi="Arial" w:cs="Arial"/>
                <w:b/>
                <w:bCs/>
                <w:sz w:val="16"/>
                <w:szCs w:val="16"/>
              </w:rPr>
              <w:t>27,104</w:t>
            </w:r>
          </w:p>
        </w:tc>
        <w:tc>
          <w:tcPr>
            <w:tcW w:w="900" w:type="dxa"/>
            <w:tcBorders>
              <w:top w:val="nil"/>
              <w:left w:val="nil"/>
              <w:bottom w:val="single" w:sz="4" w:space="0" w:color="auto"/>
              <w:right w:val="nil"/>
            </w:tcBorders>
            <w:shd w:val="clear" w:color="000000" w:fill="D9D9D9"/>
            <w:noWrap/>
            <w:vAlign w:val="bottom"/>
            <w:hideMark/>
          </w:tcPr>
          <w:p w14:paraId="17D134FE" w14:textId="77777777" w:rsidR="00E61068" w:rsidRPr="00E61068" w:rsidRDefault="00E61068" w:rsidP="00E61068">
            <w:pPr>
              <w:spacing w:after="0"/>
              <w:jc w:val="right"/>
              <w:rPr>
                <w:rFonts w:ascii="Arial" w:hAnsi="Arial" w:cs="Arial"/>
                <w:b/>
                <w:bCs/>
                <w:sz w:val="16"/>
                <w:szCs w:val="16"/>
              </w:rPr>
            </w:pPr>
            <w:r w:rsidRPr="00E61068">
              <w:rPr>
                <w:rFonts w:ascii="Arial" w:hAnsi="Arial" w:cs="Arial"/>
                <w:b/>
                <w:bCs/>
                <w:sz w:val="16"/>
                <w:szCs w:val="16"/>
              </w:rPr>
              <w:t>18,406</w:t>
            </w:r>
          </w:p>
        </w:tc>
        <w:tc>
          <w:tcPr>
            <w:tcW w:w="900" w:type="dxa"/>
            <w:tcBorders>
              <w:top w:val="nil"/>
              <w:left w:val="nil"/>
              <w:bottom w:val="single" w:sz="4" w:space="0" w:color="auto"/>
              <w:right w:val="nil"/>
            </w:tcBorders>
            <w:shd w:val="clear" w:color="auto" w:fill="auto"/>
            <w:noWrap/>
            <w:vAlign w:val="bottom"/>
            <w:hideMark/>
          </w:tcPr>
          <w:p w14:paraId="4FEAA8CC" w14:textId="77777777" w:rsidR="00E61068" w:rsidRPr="00E61068" w:rsidRDefault="00E61068" w:rsidP="00E61068">
            <w:pPr>
              <w:spacing w:after="0"/>
              <w:jc w:val="right"/>
              <w:rPr>
                <w:rFonts w:ascii="Arial" w:hAnsi="Arial" w:cs="Arial"/>
                <w:b/>
                <w:bCs/>
                <w:sz w:val="16"/>
                <w:szCs w:val="16"/>
              </w:rPr>
            </w:pPr>
            <w:r w:rsidRPr="00E61068">
              <w:rPr>
                <w:rFonts w:ascii="Arial" w:hAnsi="Arial" w:cs="Arial"/>
                <w:b/>
                <w:bCs/>
                <w:sz w:val="16"/>
                <w:szCs w:val="16"/>
              </w:rPr>
              <w:t>-</w:t>
            </w:r>
          </w:p>
        </w:tc>
        <w:tc>
          <w:tcPr>
            <w:tcW w:w="900" w:type="dxa"/>
            <w:tcBorders>
              <w:top w:val="nil"/>
              <w:left w:val="nil"/>
              <w:bottom w:val="single" w:sz="4" w:space="0" w:color="auto"/>
              <w:right w:val="nil"/>
            </w:tcBorders>
            <w:shd w:val="clear" w:color="auto" w:fill="auto"/>
            <w:noWrap/>
            <w:vAlign w:val="bottom"/>
            <w:hideMark/>
          </w:tcPr>
          <w:p w14:paraId="785A809C" w14:textId="77777777" w:rsidR="00E61068" w:rsidRPr="00E61068" w:rsidRDefault="00E61068" w:rsidP="00E61068">
            <w:pPr>
              <w:spacing w:after="0"/>
              <w:jc w:val="right"/>
              <w:rPr>
                <w:rFonts w:ascii="Arial" w:hAnsi="Arial" w:cs="Arial"/>
                <w:b/>
                <w:bCs/>
                <w:sz w:val="16"/>
                <w:szCs w:val="16"/>
              </w:rPr>
            </w:pPr>
            <w:r w:rsidRPr="00E61068">
              <w:rPr>
                <w:rFonts w:ascii="Arial" w:hAnsi="Arial" w:cs="Arial"/>
                <w:b/>
                <w:bCs/>
                <w:sz w:val="16"/>
                <w:szCs w:val="16"/>
              </w:rPr>
              <w:t>-</w:t>
            </w:r>
          </w:p>
        </w:tc>
        <w:tc>
          <w:tcPr>
            <w:tcW w:w="900" w:type="dxa"/>
            <w:tcBorders>
              <w:top w:val="nil"/>
              <w:left w:val="nil"/>
              <w:bottom w:val="single" w:sz="4" w:space="0" w:color="auto"/>
              <w:right w:val="nil"/>
            </w:tcBorders>
            <w:shd w:val="clear" w:color="auto" w:fill="auto"/>
            <w:noWrap/>
            <w:vAlign w:val="bottom"/>
            <w:hideMark/>
          </w:tcPr>
          <w:p w14:paraId="4304CD18" w14:textId="77777777" w:rsidR="00E61068" w:rsidRPr="00E61068" w:rsidRDefault="00E61068" w:rsidP="00E61068">
            <w:pPr>
              <w:spacing w:after="0"/>
              <w:jc w:val="right"/>
              <w:rPr>
                <w:rFonts w:ascii="Arial" w:hAnsi="Arial" w:cs="Arial"/>
                <w:b/>
                <w:bCs/>
                <w:sz w:val="16"/>
                <w:szCs w:val="16"/>
              </w:rPr>
            </w:pPr>
            <w:r w:rsidRPr="00E61068">
              <w:rPr>
                <w:rFonts w:ascii="Arial" w:hAnsi="Arial" w:cs="Arial"/>
                <w:b/>
                <w:bCs/>
                <w:sz w:val="16"/>
                <w:szCs w:val="16"/>
              </w:rPr>
              <w:t>-</w:t>
            </w:r>
          </w:p>
        </w:tc>
      </w:tr>
      <w:tr w:rsidR="00E61068" w:rsidRPr="00E61068" w14:paraId="319CBAF7" w14:textId="77777777" w:rsidTr="00E61068">
        <w:trPr>
          <w:trHeight w:val="750"/>
        </w:trPr>
        <w:tc>
          <w:tcPr>
            <w:tcW w:w="2860" w:type="dxa"/>
            <w:tcBorders>
              <w:top w:val="nil"/>
              <w:left w:val="nil"/>
              <w:bottom w:val="nil"/>
              <w:right w:val="nil"/>
            </w:tcBorders>
            <w:shd w:val="clear" w:color="000000" w:fill="FFFFFF"/>
            <w:vAlign w:val="bottom"/>
            <w:hideMark/>
          </w:tcPr>
          <w:p w14:paraId="7D34297B" w14:textId="77777777" w:rsidR="00E61068" w:rsidRPr="00E61068" w:rsidRDefault="00E61068" w:rsidP="00E61068">
            <w:pPr>
              <w:spacing w:after="0"/>
              <w:rPr>
                <w:rFonts w:ascii="Arial" w:hAnsi="Arial" w:cs="Arial"/>
                <w:b/>
                <w:bCs/>
                <w:color w:val="auto"/>
                <w:sz w:val="16"/>
                <w:szCs w:val="16"/>
              </w:rPr>
            </w:pPr>
            <w:r w:rsidRPr="00E61068">
              <w:rPr>
                <w:rFonts w:ascii="Arial" w:hAnsi="Arial" w:cs="Arial"/>
                <w:b/>
                <w:bCs/>
                <w:color w:val="auto"/>
                <w:sz w:val="16"/>
                <w:szCs w:val="16"/>
              </w:rPr>
              <w:t>RECONCILIATION OF CASH USED TO ACQUIRE ASSETS TO ASSET MOVEMENT TABLE</w:t>
            </w:r>
          </w:p>
        </w:tc>
        <w:tc>
          <w:tcPr>
            <w:tcW w:w="900" w:type="dxa"/>
            <w:tcBorders>
              <w:top w:val="nil"/>
              <w:left w:val="nil"/>
              <w:bottom w:val="nil"/>
              <w:right w:val="nil"/>
            </w:tcBorders>
            <w:shd w:val="clear" w:color="auto" w:fill="auto"/>
            <w:noWrap/>
            <w:vAlign w:val="bottom"/>
            <w:hideMark/>
          </w:tcPr>
          <w:p w14:paraId="55285456" w14:textId="77777777" w:rsidR="00E61068" w:rsidRPr="00E61068" w:rsidRDefault="00E61068" w:rsidP="00E61068">
            <w:pPr>
              <w:spacing w:after="0"/>
              <w:rPr>
                <w:rFonts w:ascii="Arial" w:hAnsi="Arial" w:cs="Arial"/>
                <w:b/>
                <w:bCs/>
                <w:color w:val="auto"/>
                <w:sz w:val="16"/>
                <w:szCs w:val="16"/>
              </w:rPr>
            </w:pPr>
          </w:p>
        </w:tc>
        <w:tc>
          <w:tcPr>
            <w:tcW w:w="900" w:type="dxa"/>
            <w:tcBorders>
              <w:top w:val="nil"/>
              <w:left w:val="nil"/>
              <w:bottom w:val="nil"/>
              <w:right w:val="nil"/>
            </w:tcBorders>
            <w:shd w:val="clear" w:color="000000" w:fill="D9D9D9"/>
            <w:noWrap/>
            <w:vAlign w:val="bottom"/>
            <w:hideMark/>
          </w:tcPr>
          <w:p w14:paraId="07383C70" w14:textId="77777777" w:rsidR="00E61068" w:rsidRPr="00E61068" w:rsidRDefault="00E61068" w:rsidP="00E61068">
            <w:pPr>
              <w:spacing w:after="0"/>
              <w:jc w:val="right"/>
              <w:rPr>
                <w:rFonts w:ascii="Arial" w:hAnsi="Arial" w:cs="Arial"/>
                <w:sz w:val="16"/>
                <w:szCs w:val="16"/>
              </w:rPr>
            </w:pPr>
            <w:r w:rsidRPr="00E61068">
              <w:rPr>
                <w:rFonts w:ascii="Arial" w:hAnsi="Arial" w:cs="Arial"/>
                <w:sz w:val="16"/>
                <w:szCs w:val="16"/>
              </w:rPr>
              <w:t> </w:t>
            </w:r>
          </w:p>
        </w:tc>
        <w:tc>
          <w:tcPr>
            <w:tcW w:w="900" w:type="dxa"/>
            <w:tcBorders>
              <w:top w:val="nil"/>
              <w:left w:val="nil"/>
              <w:bottom w:val="nil"/>
              <w:right w:val="nil"/>
            </w:tcBorders>
            <w:shd w:val="clear" w:color="auto" w:fill="auto"/>
            <w:noWrap/>
            <w:vAlign w:val="bottom"/>
            <w:hideMark/>
          </w:tcPr>
          <w:p w14:paraId="13735C52" w14:textId="77777777" w:rsidR="00E61068" w:rsidRPr="00E61068" w:rsidRDefault="00E61068" w:rsidP="00E61068">
            <w:pPr>
              <w:spacing w:after="0"/>
              <w:jc w:val="right"/>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14:paraId="4BA98224" w14:textId="77777777" w:rsidR="00E61068" w:rsidRPr="00E61068" w:rsidRDefault="00E61068" w:rsidP="00E61068">
            <w:pPr>
              <w:spacing w:after="0"/>
              <w:jc w:val="right"/>
              <w:rPr>
                <w:rFonts w:ascii="Times New Roman" w:hAnsi="Times New Roman"/>
                <w:color w:val="auto"/>
                <w:sz w:val="20"/>
              </w:rPr>
            </w:pPr>
          </w:p>
        </w:tc>
        <w:tc>
          <w:tcPr>
            <w:tcW w:w="900" w:type="dxa"/>
            <w:tcBorders>
              <w:top w:val="nil"/>
              <w:left w:val="nil"/>
              <w:bottom w:val="nil"/>
              <w:right w:val="nil"/>
            </w:tcBorders>
            <w:shd w:val="clear" w:color="auto" w:fill="auto"/>
            <w:noWrap/>
            <w:vAlign w:val="bottom"/>
            <w:hideMark/>
          </w:tcPr>
          <w:p w14:paraId="40F27C70" w14:textId="77777777" w:rsidR="00E61068" w:rsidRPr="00E61068" w:rsidRDefault="00E61068" w:rsidP="00E61068">
            <w:pPr>
              <w:spacing w:after="0"/>
              <w:jc w:val="right"/>
              <w:rPr>
                <w:rFonts w:ascii="Times New Roman" w:hAnsi="Times New Roman"/>
                <w:color w:val="auto"/>
                <w:sz w:val="20"/>
              </w:rPr>
            </w:pPr>
          </w:p>
        </w:tc>
      </w:tr>
      <w:tr w:rsidR="00E61068" w:rsidRPr="00E61068" w14:paraId="545048B7" w14:textId="77777777" w:rsidTr="00E61068">
        <w:trPr>
          <w:trHeight w:val="225"/>
        </w:trPr>
        <w:tc>
          <w:tcPr>
            <w:tcW w:w="2860" w:type="dxa"/>
            <w:tcBorders>
              <w:top w:val="nil"/>
              <w:left w:val="nil"/>
              <w:bottom w:val="nil"/>
              <w:right w:val="nil"/>
            </w:tcBorders>
            <w:shd w:val="clear" w:color="000000" w:fill="FFFFFF"/>
            <w:noWrap/>
            <w:vAlign w:val="bottom"/>
            <w:hideMark/>
          </w:tcPr>
          <w:p w14:paraId="64BD6D3F" w14:textId="77777777" w:rsidR="00E61068" w:rsidRPr="00E61068" w:rsidRDefault="00E61068" w:rsidP="00E61068">
            <w:pPr>
              <w:spacing w:after="0"/>
              <w:ind w:leftChars="75" w:left="143"/>
              <w:rPr>
                <w:rFonts w:ascii="Arial" w:hAnsi="Arial" w:cs="Arial"/>
                <w:color w:val="auto"/>
                <w:sz w:val="16"/>
                <w:szCs w:val="16"/>
              </w:rPr>
            </w:pPr>
            <w:r w:rsidRPr="00E61068">
              <w:rPr>
                <w:rFonts w:ascii="Arial" w:hAnsi="Arial" w:cs="Arial"/>
                <w:color w:val="auto"/>
                <w:sz w:val="16"/>
                <w:szCs w:val="16"/>
              </w:rPr>
              <w:t>Total purchases</w:t>
            </w:r>
          </w:p>
        </w:tc>
        <w:tc>
          <w:tcPr>
            <w:tcW w:w="900" w:type="dxa"/>
            <w:tcBorders>
              <w:top w:val="nil"/>
              <w:left w:val="nil"/>
              <w:bottom w:val="nil"/>
              <w:right w:val="nil"/>
            </w:tcBorders>
            <w:shd w:val="clear" w:color="auto" w:fill="auto"/>
            <w:noWrap/>
            <w:vAlign w:val="bottom"/>
            <w:hideMark/>
          </w:tcPr>
          <w:p w14:paraId="5214E9B8" w14:textId="77777777" w:rsidR="00E61068" w:rsidRPr="00E61068" w:rsidRDefault="00E61068" w:rsidP="00E61068">
            <w:pPr>
              <w:spacing w:after="0"/>
              <w:jc w:val="right"/>
              <w:rPr>
                <w:rFonts w:ascii="Arial" w:hAnsi="Arial" w:cs="Arial"/>
                <w:sz w:val="16"/>
                <w:szCs w:val="16"/>
              </w:rPr>
            </w:pPr>
            <w:r w:rsidRPr="00E61068">
              <w:rPr>
                <w:rFonts w:ascii="Arial" w:hAnsi="Arial" w:cs="Arial"/>
                <w:sz w:val="16"/>
                <w:szCs w:val="16"/>
              </w:rPr>
              <w:t>36,463</w:t>
            </w:r>
          </w:p>
        </w:tc>
        <w:tc>
          <w:tcPr>
            <w:tcW w:w="900" w:type="dxa"/>
            <w:tcBorders>
              <w:top w:val="nil"/>
              <w:left w:val="nil"/>
              <w:bottom w:val="nil"/>
              <w:right w:val="nil"/>
            </w:tcBorders>
            <w:shd w:val="clear" w:color="000000" w:fill="D9D9D9"/>
            <w:noWrap/>
            <w:vAlign w:val="bottom"/>
            <w:hideMark/>
          </w:tcPr>
          <w:p w14:paraId="07571DE6" w14:textId="77777777" w:rsidR="00E61068" w:rsidRPr="00E61068" w:rsidRDefault="00E61068" w:rsidP="00E61068">
            <w:pPr>
              <w:spacing w:after="0"/>
              <w:jc w:val="right"/>
              <w:rPr>
                <w:rFonts w:ascii="Arial" w:hAnsi="Arial" w:cs="Arial"/>
                <w:sz w:val="16"/>
                <w:szCs w:val="16"/>
              </w:rPr>
            </w:pPr>
            <w:r w:rsidRPr="00E61068">
              <w:rPr>
                <w:rFonts w:ascii="Arial" w:hAnsi="Arial" w:cs="Arial"/>
                <w:sz w:val="16"/>
                <w:szCs w:val="16"/>
              </w:rPr>
              <w:t>18,406</w:t>
            </w:r>
          </w:p>
        </w:tc>
        <w:tc>
          <w:tcPr>
            <w:tcW w:w="900" w:type="dxa"/>
            <w:tcBorders>
              <w:top w:val="nil"/>
              <w:left w:val="nil"/>
              <w:bottom w:val="nil"/>
              <w:right w:val="nil"/>
            </w:tcBorders>
            <w:shd w:val="clear" w:color="auto" w:fill="auto"/>
            <w:noWrap/>
            <w:vAlign w:val="bottom"/>
            <w:hideMark/>
          </w:tcPr>
          <w:p w14:paraId="3422C32B" w14:textId="77777777" w:rsidR="00E61068" w:rsidRPr="00E61068" w:rsidRDefault="00E61068" w:rsidP="00E61068">
            <w:pPr>
              <w:spacing w:after="0"/>
              <w:jc w:val="right"/>
              <w:rPr>
                <w:rFonts w:ascii="Arial" w:hAnsi="Arial" w:cs="Arial"/>
                <w:sz w:val="16"/>
                <w:szCs w:val="16"/>
              </w:rPr>
            </w:pPr>
            <w:r w:rsidRPr="00E61068">
              <w:rPr>
                <w:rFonts w:ascii="Arial" w:hAnsi="Arial" w:cs="Arial"/>
                <w:sz w:val="16"/>
                <w:szCs w:val="16"/>
              </w:rPr>
              <w:t>-</w:t>
            </w:r>
          </w:p>
        </w:tc>
        <w:tc>
          <w:tcPr>
            <w:tcW w:w="900" w:type="dxa"/>
            <w:tcBorders>
              <w:top w:val="nil"/>
              <w:left w:val="nil"/>
              <w:bottom w:val="nil"/>
              <w:right w:val="nil"/>
            </w:tcBorders>
            <w:shd w:val="clear" w:color="auto" w:fill="auto"/>
            <w:noWrap/>
            <w:vAlign w:val="bottom"/>
            <w:hideMark/>
          </w:tcPr>
          <w:p w14:paraId="34A60E75" w14:textId="77777777" w:rsidR="00E61068" w:rsidRPr="00E61068" w:rsidRDefault="00E61068" w:rsidP="00E61068">
            <w:pPr>
              <w:spacing w:after="0"/>
              <w:jc w:val="right"/>
              <w:rPr>
                <w:rFonts w:ascii="Arial" w:hAnsi="Arial" w:cs="Arial"/>
                <w:sz w:val="16"/>
                <w:szCs w:val="16"/>
              </w:rPr>
            </w:pPr>
            <w:r w:rsidRPr="00E61068">
              <w:rPr>
                <w:rFonts w:ascii="Arial" w:hAnsi="Arial" w:cs="Arial"/>
                <w:sz w:val="16"/>
                <w:szCs w:val="16"/>
              </w:rPr>
              <w:t>-</w:t>
            </w:r>
          </w:p>
        </w:tc>
        <w:tc>
          <w:tcPr>
            <w:tcW w:w="900" w:type="dxa"/>
            <w:tcBorders>
              <w:top w:val="nil"/>
              <w:left w:val="nil"/>
              <w:bottom w:val="nil"/>
              <w:right w:val="nil"/>
            </w:tcBorders>
            <w:shd w:val="clear" w:color="auto" w:fill="auto"/>
            <w:noWrap/>
            <w:vAlign w:val="bottom"/>
            <w:hideMark/>
          </w:tcPr>
          <w:p w14:paraId="61855D11" w14:textId="77777777" w:rsidR="00E61068" w:rsidRPr="00E61068" w:rsidRDefault="00E61068" w:rsidP="00E61068">
            <w:pPr>
              <w:spacing w:after="0"/>
              <w:jc w:val="right"/>
              <w:rPr>
                <w:rFonts w:ascii="Arial" w:hAnsi="Arial" w:cs="Arial"/>
                <w:sz w:val="16"/>
                <w:szCs w:val="16"/>
              </w:rPr>
            </w:pPr>
            <w:r w:rsidRPr="00E61068">
              <w:rPr>
                <w:rFonts w:ascii="Arial" w:hAnsi="Arial" w:cs="Arial"/>
                <w:sz w:val="16"/>
                <w:szCs w:val="16"/>
              </w:rPr>
              <w:t>-</w:t>
            </w:r>
          </w:p>
        </w:tc>
      </w:tr>
      <w:tr w:rsidR="00E61068" w:rsidRPr="00E61068" w14:paraId="1793C924" w14:textId="77777777" w:rsidTr="00E61068">
        <w:trPr>
          <w:trHeight w:val="450"/>
        </w:trPr>
        <w:tc>
          <w:tcPr>
            <w:tcW w:w="2860" w:type="dxa"/>
            <w:tcBorders>
              <w:top w:val="nil"/>
              <w:left w:val="nil"/>
              <w:bottom w:val="single" w:sz="4" w:space="0" w:color="auto"/>
              <w:right w:val="nil"/>
            </w:tcBorders>
            <w:shd w:val="clear" w:color="000000" w:fill="FFFFFF"/>
            <w:vAlign w:val="bottom"/>
            <w:hideMark/>
          </w:tcPr>
          <w:p w14:paraId="270271C5" w14:textId="77777777" w:rsidR="00E61068" w:rsidRPr="00E61068" w:rsidRDefault="00E61068" w:rsidP="00E61068">
            <w:pPr>
              <w:spacing w:after="0"/>
              <w:ind w:leftChars="75" w:left="143"/>
              <w:rPr>
                <w:rFonts w:ascii="Arial" w:hAnsi="Arial" w:cs="Arial"/>
                <w:b/>
                <w:bCs/>
                <w:color w:val="auto"/>
                <w:sz w:val="16"/>
                <w:szCs w:val="16"/>
              </w:rPr>
            </w:pPr>
            <w:r w:rsidRPr="00E61068">
              <w:rPr>
                <w:rFonts w:ascii="Arial" w:hAnsi="Arial" w:cs="Arial"/>
                <w:b/>
                <w:bCs/>
                <w:color w:val="auto"/>
                <w:sz w:val="16"/>
                <w:szCs w:val="16"/>
              </w:rPr>
              <w:t>Total cash used to acquire assets</w:t>
            </w:r>
          </w:p>
        </w:tc>
        <w:tc>
          <w:tcPr>
            <w:tcW w:w="900" w:type="dxa"/>
            <w:tcBorders>
              <w:top w:val="nil"/>
              <w:left w:val="nil"/>
              <w:bottom w:val="single" w:sz="4" w:space="0" w:color="auto"/>
              <w:right w:val="nil"/>
            </w:tcBorders>
            <w:shd w:val="clear" w:color="auto" w:fill="auto"/>
            <w:noWrap/>
            <w:vAlign w:val="bottom"/>
            <w:hideMark/>
          </w:tcPr>
          <w:p w14:paraId="23D34B84" w14:textId="77777777" w:rsidR="00E61068" w:rsidRPr="00E61068" w:rsidRDefault="00E61068" w:rsidP="00E61068">
            <w:pPr>
              <w:spacing w:after="0"/>
              <w:jc w:val="right"/>
              <w:rPr>
                <w:rFonts w:ascii="Arial" w:hAnsi="Arial" w:cs="Arial"/>
                <w:b/>
                <w:bCs/>
                <w:color w:val="auto"/>
                <w:sz w:val="16"/>
                <w:szCs w:val="16"/>
              </w:rPr>
            </w:pPr>
            <w:r w:rsidRPr="00E61068">
              <w:rPr>
                <w:rFonts w:ascii="Arial" w:hAnsi="Arial" w:cs="Arial"/>
                <w:b/>
                <w:bCs/>
                <w:color w:val="auto"/>
                <w:sz w:val="16"/>
                <w:szCs w:val="16"/>
              </w:rPr>
              <w:t>36,463</w:t>
            </w:r>
          </w:p>
        </w:tc>
        <w:tc>
          <w:tcPr>
            <w:tcW w:w="900" w:type="dxa"/>
            <w:tcBorders>
              <w:top w:val="nil"/>
              <w:left w:val="nil"/>
              <w:bottom w:val="single" w:sz="4" w:space="0" w:color="auto"/>
              <w:right w:val="nil"/>
            </w:tcBorders>
            <w:shd w:val="clear" w:color="000000" w:fill="D9D9D9"/>
            <w:noWrap/>
            <w:vAlign w:val="bottom"/>
            <w:hideMark/>
          </w:tcPr>
          <w:p w14:paraId="7C04BC39" w14:textId="77777777" w:rsidR="00E61068" w:rsidRPr="00E61068" w:rsidRDefault="00E61068" w:rsidP="00E61068">
            <w:pPr>
              <w:spacing w:after="0"/>
              <w:jc w:val="right"/>
              <w:rPr>
                <w:rFonts w:ascii="Arial" w:hAnsi="Arial" w:cs="Arial"/>
                <w:b/>
                <w:bCs/>
                <w:sz w:val="16"/>
                <w:szCs w:val="16"/>
              </w:rPr>
            </w:pPr>
            <w:r w:rsidRPr="00E61068">
              <w:rPr>
                <w:rFonts w:ascii="Arial" w:hAnsi="Arial" w:cs="Arial"/>
                <w:b/>
                <w:bCs/>
                <w:sz w:val="16"/>
                <w:szCs w:val="16"/>
              </w:rPr>
              <w:t>18,406</w:t>
            </w:r>
          </w:p>
        </w:tc>
        <w:tc>
          <w:tcPr>
            <w:tcW w:w="900" w:type="dxa"/>
            <w:tcBorders>
              <w:top w:val="nil"/>
              <w:left w:val="nil"/>
              <w:bottom w:val="single" w:sz="4" w:space="0" w:color="auto"/>
              <w:right w:val="nil"/>
            </w:tcBorders>
            <w:shd w:val="clear" w:color="auto" w:fill="auto"/>
            <w:noWrap/>
            <w:vAlign w:val="bottom"/>
            <w:hideMark/>
          </w:tcPr>
          <w:p w14:paraId="5CB5DC87" w14:textId="77777777" w:rsidR="00E61068" w:rsidRPr="00E61068" w:rsidRDefault="00E61068" w:rsidP="00E61068">
            <w:pPr>
              <w:spacing w:after="0"/>
              <w:jc w:val="right"/>
              <w:rPr>
                <w:rFonts w:ascii="Arial" w:hAnsi="Arial" w:cs="Arial"/>
                <w:b/>
                <w:bCs/>
                <w:sz w:val="16"/>
                <w:szCs w:val="16"/>
              </w:rPr>
            </w:pPr>
            <w:r w:rsidRPr="00E61068">
              <w:rPr>
                <w:rFonts w:ascii="Arial" w:hAnsi="Arial" w:cs="Arial"/>
                <w:b/>
                <w:bCs/>
                <w:sz w:val="16"/>
                <w:szCs w:val="16"/>
              </w:rPr>
              <w:t>-</w:t>
            </w:r>
          </w:p>
        </w:tc>
        <w:tc>
          <w:tcPr>
            <w:tcW w:w="900" w:type="dxa"/>
            <w:tcBorders>
              <w:top w:val="nil"/>
              <w:left w:val="nil"/>
              <w:bottom w:val="single" w:sz="4" w:space="0" w:color="auto"/>
              <w:right w:val="nil"/>
            </w:tcBorders>
            <w:shd w:val="clear" w:color="auto" w:fill="auto"/>
            <w:noWrap/>
            <w:vAlign w:val="bottom"/>
            <w:hideMark/>
          </w:tcPr>
          <w:p w14:paraId="47DA10C4" w14:textId="77777777" w:rsidR="00E61068" w:rsidRPr="00E61068" w:rsidRDefault="00E61068" w:rsidP="00E61068">
            <w:pPr>
              <w:spacing w:after="0"/>
              <w:jc w:val="right"/>
              <w:rPr>
                <w:rFonts w:ascii="Arial" w:hAnsi="Arial" w:cs="Arial"/>
                <w:b/>
                <w:bCs/>
                <w:color w:val="auto"/>
                <w:sz w:val="16"/>
                <w:szCs w:val="16"/>
              </w:rPr>
            </w:pPr>
            <w:r w:rsidRPr="00E61068">
              <w:rPr>
                <w:rFonts w:ascii="Arial" w:hAnsi="Arial" w:cs="Arial"/>
                <w:b/>
                <w:bCs/>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14:paraId="13C2145C" w14:textId="77777777" w:rsidR="00E61068" w:rsidRPr="00E61068" w:rsidRDefault="00E61068" w:rsidP="00E61068">
            <w:pPr>
              <w:spacing w:after="0"/>
              <w:jc w:val="right"/>
              <w:rPr>
                <w:rFonts w:ascii="Arial" w:hAnsi="Arial" w:cs="Arial"/>
                <w:b/>
                <w:bCs/>
                <w:color w:val="auto"/>
                <w:sz w:val="16"/>
                <w:szCs w:val="16"/>
              </w:rPr>
            </w:pPr>
            <w:r w:rsidRPr="00E61068">
              <w:rPr>
                <w:rFonts w:ascii="Arial" w:hAnsi="Arial" w:cs="Arial"/>
                <w:b/>
                <w:bCs/>
                <w:color w:val="auto"/>
                <w:sz w:val="16"/>
                <w:szCs w:val="16"/>
              </w:rPr>
              <w:t>-</w:t>
            </w:r>
          </w:p>
        </w:tc>
      </w:tr>
    </w:tbl>
    <w:p w14:paraId="21596F0C" w14:textId="2F1582C8" w:rsidR="00E61068" w:rsidRPr="00E61068" w:rsidRDefault="00E61068" w:rsidP="00E61068">
      <w:pPr>
        <w:pStyle w:val="FootnoteText"/>
        <w:spacing w:before="120"/>
      </w:pPr>
      <w:r w:rsidRPr="00E61068">
        <w:rPr>
          <w:vertAlign w:val="superscript"/>
        </w:rPr>
        <w:t>(a)</w:t>
      </w:r>
      <w:r>
        <w:tab/>
      </w:r>
      <w:r w:rsidRPr="00E61068">
        <w:t>Includes both current Bill 2 and prior Act 2, 4, 6 appropriations.</w:t>
      </w:r>
    </w:p>
    <w:p w14:paraId="3915AA64" w14:textId="6A1BB488" w:rsidR="00E61068" w:rsidRDefault="00E61068" w:rsidP="00E61068">
      <w:pPr>
        <w:pStyle w:val="FootnoteText"/>
      </w:pPr>
      <w:r w:rsidRPr="00E61068">
        <w:rPr>
          <w:vertAlign w:val="superscript"/>
        </w:rPr>
        <w:t>(b)</w:t>
      </w:r>
      <w:r>
        <w:tab/>
      </w:r>
      <w:r w:rsidRPr="00E61068">
        <w:t>Funded from existing entity cash reserves resulting from prior year Bill 2 underspend.</w:t>
      </w:r>
      <w:r>
        <w:br w:type="page"/>
      </w:r>
    </w:p>
    <w:p w14:paraId="2C785014" w14:textId="2C399BAB" w:rsidR="00651990" w:rsidRPr="00651990" w:rsidRDefault="00651990" w:rsidP="00840AA6">
      <w:pPr>
        <w:keepNext/>
        <w:spacing w:before="120"/>
        <w:rPr>
          <w:rFonts w:ascii="Arial" w:hAnsi="Arial"/>
          <w:b/>
          <w:color w:val="auto"/>
          <w:sz w:val="20"/>
        </w:rPr>
      </w:pPr>
      <w:r w:rsidRPr="00651990">
        <w:rPr>
          <w:rFonts w:ascii="Arial" w:hAnsi="Arial"/>
          <w:b/>
          <w:color w:val="auto"/>
          <w:sz w:val="20"/>
        </w:rPr>
        <w:lastRenderedPageBreak/>
        <w:t xml:space="preserve">Table 3.6: Statement of departmental asset movements </w:t>
      </w:r>
      <w:r w:rsidRPr="00651990">
        <w:rPr>
          <w:rFonts w:ascii="Arial" w:hAnsi="Arial"/>
          <w:b/>
          <w:color w:val="auto"/>
          <w:sz w:val="20"/>
        </w:rPr>
        <w:br/>
        <w:t>(Budget year 2022–23)</w:t>
      </w:r>
    </w:p>
    <w:tbl>
      <w:tblPr>
        <w:tblW w:w="7340" w:type="dxa"/>
        <w:tblLayout w:type="fixed"/>
        <w:tblLook w:val="04A0" w:firstRow="1" w:lastRow="0" w:firstColumn="1" w:lastColumn="0" w:noHBand="0" w:noVBand="1"/>
      </w:tblPr>
      <w:tblGrid>
        <w:gridCol w:w="2920"/>
        <w:gridCol w:w="1020"/>
        <w:gridCol w:w="1360"/>
        <w:gridCol w:w="1020"/>
        <w:gridCol w:w="1020"/>
      </w:tblGrid>
      <w:tr w:rsidR="00840AA6" w:rsidRPr="00840AA6" w14:paraId="1893F2CF" w14:textId="77777777" w:rsidTr="008437C8">
        <w:trPr>
          <w:trHeight w:val="765"/>
        </w:trPr>
        <w:tc>
          <w:tcPr>
            <w:tcW w:w="2920" w:type="dxa"/>
            <w:tcBorders>
              <w:top w:val="single" w:sz="4" w:space="0" w:color="auto"/>
              <w:left w:val="nil"/>
              <w:bottom w:val="nil"/>
              <w:right w:val="nil"/>
            </w:tcBorders>
            <w:shd w:val="clear" w:color="auto" w:fill="auto"/>
            <w:tcMar>
              <w:left w:w="0" w:type="dxa"/>
            </w:tcMar>
            <w:hideMark/>
          </w:tcPr>
          <w:p w14:paraId="012BF0B3" w14:textId="77777777" w:rsidR="00840AA6" w:rsidRPr="00840AA6" w:rsidRDefault="00840AA6" w:rsidP="00840AA6">
            <w:pPr>
              <w:spacing w:before="40" w:after="0"/>
              <w:rPr>
                <w:rFonts w:ascii="Times New Roman" w:hAnsi="Times New Roman"/>
                <w:color w:val="auto"/>
                <w:sz w:val="20"/>
                <w:szCs w:val="24"/>
              </w:rPr>
            </w:pPr>
          </w:p>
        </w:tc>
        <w:tc>
          <w:tcPr>
            <w:tcW w:w="1020" w:type="dxa"/>
            <w:tcBorders>
              <w:top w:val="single" w:sz="4" w:space="0" w:color="auto"/>
              <w:left w:val="nil"/>
              <w:bottom w:val="single" w:sz="4" w:space="0" w:color="auto"/>
              <w:right w:val="nil"/>
            </w:tcBorders>
            <w:shd w:val="clear" w:color="auto" w:fill="auto"/>
            <w:tcMar>
              <w:left w:w="0" w:type="dxa"/>
            </w:tcMar>
            <w:hideMark/>
          </w:tcPr>
          <w:p w14:paraId="0DBDBE26" w14:textId="77777777" w:rsidR="00840AA6" w:rsidRPr="00840AA6" w:rsidRDefault="00840AA6" w:rsidP="00840AA6">
            <w:pPr>
              <w:spacing w:before="40" w:after="0"/>
              <w:jc w:val="right"/>
              <w:rPr>
                <w:rFonts w:ascii="Arial" w:hAnsi="Arial" w:cs="Arial"/>
                <w:b/>
                <w:bCs/>
                <w:color w:val="auto"/>
                <w:sz w:val="16"/>
                <w:szCs w:val="16"/>
              </w:rPr>
            </w:pPr>
            <w:r w:rsidRPr="00840AA6">
              <w:rPr>
                <w:rFonts w:ascii="Arial" w:hAnsi="Arial" w:cs="Arial"/>
                <w:b/>
                <w:bCs/>
                <w:color w:val="auto"/>
                <w:sz w:val="16"/>
                <w:szCs w:val="16"/>
              </w:rPr>
              <w:t>Buildings</w:t>
            </w:r>
            <w:r w:rsidRPr="00840AA6">
              <w:rPr>
                <w:rFonts w:ascii="Arial" w:hAnsi="Arial" w:cs="Arial"/>
                <w:color w:val="auto"/>
                <w:sz w:val="16"/>
                <w:szCs w:val="16"/>
              </w:rPr>
              <w:t xml:space="preserve"> </w:t>
            </w:r>
            <w:r w:rsidRPr="00840AA6">
              <w:rPr>
                <w:rFonts w:ascii="Arial" w:hAnsi="Arial" w:cs="Arial"/>
                <w:color w:val="auto"/>
                <w:sz w:val="16"/>
                <w:szCs w:val="16"/>
              </w:rPr>
              <w:br/>
            </w:r>
            <w:r w:rsidRPr="00840AA6">
              <w:rPr>
                <w:rFonts w:ascii="Arial" w:hAnsi="Arial" w:cs="Arial"/>
                <w:color w:val="auto"/>
                <w:sz w:val="16"/>
                <w:szCs w:val="16"/>
              </w:rPr>
              <w:br/>
            </w:r>
            <w:r w:rsidRPr="00840AA6">
              <w:rPr>
                <w:rFonts w:ascii="Arial" w:hAnsi="Arial" w:cs="Arial"/>
                <w:color w:val="auto"/>
                <w:sz w:val="16"/>
                <w:szCs w:val="16"/>
              </w:rPr>
              <w:br/>
              <w:t>$'000</w:t>
            </w:r>
          </w:p>
        </w:tc>
        <w:tc>
          <w:tcPr>
            <w:tcW w:w="1360" w:type="dxa"/>
            <w:tcBorders>
              <w:top w:val="single" w:sz="4" w:space="0" w:color="auto"/>
              <w:left w:val="nil"/>
              <w:bottom w:val="single" w:sz="4" w:space="0" w:color="auto"/>
              <w:right w:val="nil"/>
            </w:tcBorders>
            <w:shd w:val="clear" w:color="auto" w:fill="auto"/>
            <w:tcMar>
              <w:left w:w="0" w:type="dxa"/>
            </w:tcMar>
            <w:hideMark/>
          </w:tcPr>
          <w:p w14:paraId="43347758" w14:textId="77777777" w:rsidR="00840AA6" w:rsidRPr="00840AA6" w:rsidRDefault="00840AA6" w:rsidP="00840AA6">
            <w:pPr>
              <w:spacing w:before="40" w:after="0"/>
              <w:jc w:val="right"/>
              <w:rPr>
                <w:rFonts w:ascii="Arial" w:hAnsi="Arial" w:cs="Arial"/>
                <w:b/>
                <w:bCs/>
                <w:color w:val="auto"/>
                <w:sz w:val="16"/>
                <w:szCs w:val="16"/>
              </w:rPr>
            </w:pPr>
            <w:r w:rsidRPr="00840AA6">
              <w:rPr>
                <w:rFonts w:ascii="Arial" w:hAnsi="Arial" w:cs="Arial"/>
                <w:b/>
                <w:bCs/>
                <w:color w:val="auto"/>
                <w:sz w:val="16"/>
                <w:szCs w:val="16"/>
              </w:rPr>
              <w:t xml:space="preserve">Property, </w:t>
            </w:r>
            <w:r w:rsidRPr="00840AA6">
              <w:rPr>
                <w:rFonts w:ascii="Arial" w:hAnsi="Arial" w:cs="Arial"/>
                <w:b/>
                <w:bCs/>
                <w:color w:val="auto"/>
                <w:sz w:val="16"/>
                <w:szCs w:val="16"/>
              </w:rPr>
              <w:br/>
              <w:t xml:space="preserve">plant and equipment </w:t>
            </w:r>
            <w:r w:rsidRPr="00840AA6">
              <w:rPr>
                <w:rFonts w:ascii="Arial" w:hAnsi="Arial" w:cs="Arial"/>
                <w:b/>
                <w:bCs/>
                <w:color w:val="auto"/>
                <w:sz w:val="16"/>
                <w:szCs w:val="16"/>
              </w:rPr>
              <w:br/>
            </w:r>
            <w:r w:rsidRPr="00840AA6">
              <w:rPr>
                <w:rFonts w:ascii="Arial" w:hAnsi="Arial" w:cs="Arial"/>
                <w:color w:val="auto"/>
                <w:sz w:val="16"/>
                <w:szCs w:val="16"/>
              </w:rPr>
              <w:t>$'000</w:t>
            </w:r>
          </w:p>
        </w:tc>
        <w:tc>
          <w:tcPr>
            <w:tcW w:w="1020" w:type="dxa"/>
            <w:tcBorders>
              <w:top w:val="single" w:sz="4" w:space="0" w:color="auto"/>
              <w:left w:val="nil"/>
              <w:bottom w:val="single" w:sz="4" w:space="0" w:color="auto"/>
              <w:right w:val="nil"/>
            </w:tcBorders>
            <w:shd w:val="clear" w:color="auto" w:fill="auto"/>
            <w:tcMar>
              <w:left w:w="0" w:type="dxa"/>
            </w:tcMar>
            <w:hideMark/>
          </w:tcPr>
          <w:p w14:paraId="4ED35182" w14:textId="77777777" w:rsidR="00840AA6" w:rsidRPr="00840AA6" w:rsidRDefault="00840AA6" w:rsidP="00840AA6">
            <w:pPr>
              <w:spacing w:before="40" w:after="0"/>
              <w:jc w:val="right"/>
              <w:rPr>
                <w:rFonts w:ascii="Arial" w:hAnsi="Arial" w:cs="Arial"/>
                <w:b/>
                <w:bCs/>
                <w:color w:val="auto"/>
                <w:sz w:val="16"/>
                <w:szCs w:val="16"/>
              </w:rPr>
            </w:pPr>
            <w:r w:rsidRPr="00840AA6">
              <w:rPr>
                <w:rFonts w:ascii="Arial" w:hAnsi="Arial" w:cs="Arial"/>
                <w:b/>
                <w:bCs/>
                <w:color w:val="auto"/>
                <w:sz w:val="16"/>
                <w:szCs w:val="16"/>
              </w:rPr>
              <w:t xml:space="preserve">Intangibles </w:t>
            </w:r>
            <w:r w:rsidRPr="00840AA6">
              <w:rPr>
                <w:rFonts w:ascii="Arial" w:hAnsi="Arial" w:cs="Arial"/>
                <w:b/>
                <w:bCs/>
                <w:color w:val="auto"/>
                <w:sz w:val="16"/>
                <w:szCs w:val="16"/>
              </w:rPr>
              <w:br/>
            </w:r>
            <w:r w:rsidRPr="00840AA6">
              <w:rPr>
                <w:rFonts w:ascii="Arial" w:hAnsi="Arial" w:cs="Arial"/>
                <w:b/>
                <w:bCs/>
                <w:color w:val="auto"/>
                <w:sz w:val="16"/>
                <w:szCs w:val="16"/>
              </w:rPr>
              <w:br/>
            </w:r>
            <w:r w:rsidRPr="00840AA6">
              <w:rPr>
                <w:rFonts w:ascii="Arial" w:hAnsi="Arial" w:cs="Arial"/>
                <w:b/>
                <w:bCs/>
                <w:color w:val="auto"/>
                <w:sz w:val="16"/>
                <w:szCs w:val="16"/>
              </w:rPr>
              <w:br/>
            </w:r>
            <w:r w:rsidRPr="00840AA6">
              <w:rPr>
                <w:rFonts w:ascii="Arial" w:hAnsi="Arial" w:cs="Arial"/>
                <w:color w:val="auto"/>
                <w:sz w:val="16"/>
                <w:szCs w:val="16"/>
              </w:rPr>
              <w:t>$'000</w:t>
            </w:r>
          </w:p>
        </w:tc>
        <w:tc>
          <w:tcPr>
            <w:tcW w:w="1020" w:type="dxa"/>
            <w:tcBorders>
              <w:top w:val="single" w:sz="4" w:space="0" w:color="auto"/>
              <w:left w:val="nil"/>
              <w:bottom w:val="single" w:sz="4" w:space="0" w:color="auto"/>
              <w:right w:val="nil"/>
            </w:tcBorders>
            <w:shd w:val="clear" w:color="auto" w:fill="auto"/>
            <w:tcMar>
              <w:left w:w="0" w:type="dxa"/>
            </w:tcMar>
            <w:hideMark/>
          </w:tcPr>
          <w:p w14:paraId="1BEAC4FE" w14:textId="77777777" w:rsidR="00840AA6" w:rsidRPr="00840AA6" w:rsidRDefault="00840AA6" w:rsidP="00840AA6">
            <w:pPr>
              <w:spacing w:before="40" w:after="0"/>
              <w:jc w:val="right"/>
              <w:rPr>
                <w:rFonts w:ascii="Arial" w:hAnsi="Arial" w:cs="Arial"/>
                <w:b/>
                <w:bCs/>
                <w:color w:val="auto"/>
                <w:sz w:val="16"/>
                <w:szCs w:val="16"/>
              </w:rPr>
            </w:pPr>
            <w:r w:rsidRPr="00840AA6">
              <w:rPr>
                <w:rFonts w:ascii="Arial" w:hAnsi="Arial" w:cs="Arial"/>
                <w:b/>
                <w:bCs/>
                <w:color w:val="auto"/>
                <w:sz w:val="16"/>
                <w:szCs w:val="16"/>
              </w:rPr>
              <w:t xml:space="preserve">Total </w:t>
            </w:r>
            <w:r w:rsidRPr="00840AA6">
              <w:rPr>
                <w:rFonts w:ascii="Arial" w:hAnsi="Arial" w:cs="Arial"/>
                <w:b/>
                <w:bCs/>
                <w:color w:val="auto"/>
                <w:sz w:val="16"/>
                <w:szCs w:val="16"/>
              </w:rPr>
              <w:br/>
            </w:r>
            <w:r w:rsidRPr="00840AA6">
              <w:rPr>
                <w:rFonts w:ascii="Arial" w:hAnsi="Arial" w:cs="Arial"/>
                <w:b/>
                <w:bCs/>
                <w:color w:val="auto"/>
                <w:sz w:val="16"/>
                <w:szCs w:val="16"/>
              </w:rPr>
              <w:br/>
            </w:r>
            <w:r w:rsidRPr="00840AA6">
              <w:rPr>
                <w:rFonts w:ascii="Arial" w:hAnsi="Arial" w:cs="Arial"/>
                <w:b/>
                <w:bCs/>
                <w:color w:val="auto"/>
                <w:sz w:val="16"/>
                <w:szCs w:val="16"/>
              </w:rPr>
              <w:br/>
            </w:r>
            <w:r w:rsidRPr="00840AA6">
              <w:rPr>
                <w:rFonts w:ascii="Arial" w:hAnsi="Arial" w:cs="Arial"/>
                <w:color w:val="auto"/>
                <w:sz w:val="16"/>
                <w:szCs w:val="16"/>
              </w:rPr>
              <w:t>$'000</w:t>
            </w:r>
          </w:p>
        </w:tc>
      </w:tr>
      <w:tr w:rsidR="00840AA6" w:rsidRPr="00840AA6" w14:paraId="4A450001" w14:textId="77777777" w:rsidTr="00840AA6">
        <w:trPr>
          <w:trHeight w:val="225"/>
        </w:trPr>
        <w:tc>
          <w:tcPr>
            <w:tcW w:w="2920" w:type="dxa"/>
            <w:tcBorders>
              <w:top w:val="nil"/>
              <w:left w:val="nil"/>
              <w:bottom w:val="nil"/>
              <w:right w:val="nil"/>
            </w:tcBorders>
            <w:shd w:val="clear" w:color="auto" w:fill="auto"/>
            <w:noWrap/>
            <w:vAlign w:val="bottom"/>
            <w:hideMark/>
          </w:tcPr>
          <w:p w14:paraId="7ED69AF4" w14:textId="77777777" w:rsidR="00840AA6" w:rsidRPr="00840AA6" w:rsidRDefault="00840AA6" w:rsidP="00840AA6">
            <w:pPr>
              <w:spacing w:after="0"/>
              <w:rPr>
                <w:rFonts w:ascii="Arial" w:hAnsi="Arial" w:cs="Arial"/>
                <w:b/>
                <w:bCs/>
                <w:color w:val="auto"/>
                <w:sz w:val="16"/>
                <w:szCs w:val="16"/>
              </w:rPr>
            </w:pPr>
            <w:r w:rsidRPr="00840AA6">
              <w:rPr>
                <w:rFonts w:ascii="Arial" w:hAnsi="Arial" w:cs="Arial"/>
                <w:b/>
                <w:bCs/>
                <w:color w:val="auto"/>
                <w:sz w:val="16"/>
                <w:szCs w:val="16"/>
              </w:rPr>
              <w:t>As at 1 July 2022</w:t>
            </w:r>
          </w:p>
        </w:tc>
        <w:tc>
          <w:tcPr>
            <w:tcW w:w="1020" w:type="dxa"/>
            <w:tcBorders>
              <w:top w:val="nil"/>
              <w:left w:val="nil"/>
              <w:bottom w:val="nil"/>
              <w:right w:val="nil"/>
            </w:tcBorders>
            <w:shd w:val="clear" w:color="auto" w:fill="auto"/>
            <w:noWrap/>
            <w:vAlign w:val="bottom"/>
            <w:hideMark/>
          </w:tcPr>
          <w:p w14:paraId="0A0385D8" w14:textId="77777777" w:rsidR="00840AA6" w:rsidRPr="00840AA6" w:rsidRDefault="00840AA6" w:rsidP="00840AA6">
            <w:pPr>
              <w:spacing w:after="0"/>
              <w:rPr>
                <w:rFonts w:ascii="Arial" w:hAnsi="Arial" w:cs="Arial"/>
                <w:b/>
                <w:bCs/>
                <w:color w:val="auto"/>
                <w:sz w:val="16"/>
                <w:szCs w:val="16"/>
              </w:rPr>
            </w:pPr>
          </w:p>
        </w:tc>
        <w:tc>
          <w:tcPr>
            <w:tcW w:w="1360" w:type="dxa"/>
            <w:tcBorders>
              <w:top w:val="nil"/>
              <w:left w:val="nil"/>
              <w:bottom w:val="nil"/>
              <w:right w:val="nil"/>
            </w:tcBorders>
            <w:shd w:val="clear" w:color="auto" w:fill="auto"/>
            <w:noWrap/>
            <w:vAlign w:val="bottom"/>
            <w:hideMark/>
          </w:tcPr>
          <w:p w14:paraId="4432650B" w14:textId="77777777" w:rsidR="00840AA6" w:rsidRPr="00840AA6" w:rsidRDefault="00840AA6" w:rsidP="00840AA6">
            <w:pPr>
              <w:spacing w:after="0"/>
              <w:jc w:val="right"/>
              <w:rPr>
                <w:rFonts w:ascii="Times New Roman" w:hAnsi="Times New Roman"/>
                <w:color w:val="auto"/>
                <w:sz w:val="20"/>
              </w:rPr>
            </w:pPr>
          </w:p>
        </w:tc>
        <w:tc>
          <w:tcPr>
            <w:tcW w:w="1020" w:type="dxa"/>
            <w:tcBorders>
              <w:top w:val="nil"/>
              <w:left w:val="nil"/>
              <w:bottom w:val="nil"/>
              <w:right w:val="nil"/>
            </w:tcBorders>
            <w:shd w:val="clear" w:color="auto" w:fill="auto"/>
            <w:noWrap/>
            <w:vAlign w:val="bottom"/>
            <w:hideMark/>
          </w:tcPr>
          <w:p w14:paraId="5C5B2BF7" w14:textId="77777777" w:rsidR="00840AA6" w:rsidRPr="00840AA6" w:rsidRDefault="00840AA6" w:rsidP="00840AA6">
            <w:pPr>
              <w:spacing w:after="0"/>
              <w:jc w:val="right"/>
              <w:rPr>
                <w:rFonts w:ascii="Times New Roman" w:hAnsi="Times New Roman"/>
                <w:color w:val="auto"/>
                <w:sz w:val="20"/>
              </w:rPr>
            </w:pPr>
          </w:p>
        </w:tc>
        <w:tc>
          <w:tcPr>
            <w:tcW w:w="1020" w:type="dxa"/>
            <w:tcBorders>
              <w:top w:val="nil"/>
              <w:left w:val="nil"/>
              <w:bottom w:val="nil"/>
              <w:right w:val="nil"/>
            </w:tcBorders>
            <w:shd w:val="clear" w:color="auto" w:fill="auto"/>
            <w:noWrap/>
            <w:vAlign w:val="bottom"/>
            <w:hideMark/>
          </w:tcPr>
          <w:p w14:paraId="30B27BD2" w14:textId="77777777" w:rsidR="00840AA6" w:rsidRPr="00840AA6" w:rsidRDefault="00840AA6" w:rsidP="00840AA6">
            <w:pPr>
              <w:spacing w:after="0"/>
              <w:jc w:val="right"/>
              <w:rPr>
                <w:rFonts w:ascii="Times New Roman" w:hAnsi="Times New Roman"/>
                <w:color w:val="auto"/>
                <w:sz w:val="20"/>
              </w:rPr>
            </w:pPr>
          </w:p>
        </w:tc>
      </w:tr>
      <w:tr w:rsidR="00840AA6" w:rsidRPr="00840AA6" w14:paraId="2968B23A" w14:textId="77777777" w:rsidTr="00840AA6">
        <w:trPr>
          <w:trHeight w:val="225"/>
        </w:trPr>
        <w:tc>
          <w:tcPr>
            <w:tcW w:w="2920" w:type="dxa"/>
            <w:tcBorders>
              <w:top w:val="nil"/>
              <w:left w:val="nil"/>
              <w:bottom w:val="nil"/>
              <w:right w:val="nil"/>
            </w:tcBorders>
            <w:shd w:val="clear" w:color="auto" w:fill="auto"/>
            <w:noWrap/>
            <w:vAlign w:val="bottom"/>
            <w:hideMark/>
          </w:tcPr>
          <w:p w14:paraId="541E0299" w14:textId="77777777" w:rsidR="00840AA6" w:rsidRPr="00840AA6" w:rsidRDefault="00840AA6" w:rsidP="00840AA6">
            <w:pPr>
              <w:spacing w:after="0"/>
              <w:ind w:leftChars="75" w:left="143"/>
              <w:rPr>
                <w:rFonts w:ascii="Arial" w:hAnsi="Arial" w:cs="Arial"/>
                <w:color w:val="auto"/>
                <w:sz w:val="16"/>
                <w:szCs w:val="16"/>
              </w:rPr>
            </w:pPr>
            <w:r w:rsidRPr="00840AA6">
              <w:rPr>
                <w:rFonts w:ascii="Arial" w:hAnsi="Arial" w:cs="Arial"/>
                <w:color w:val="auto"/>
                <w:sz w:val="16"/>
                <w:szCs w:val="16"/>
              </w:rPr>
              <w:t xml:space="preserve">Gross book value </w:t>
            </w:r>
          </w:p>
        </w:tc>
        <w:tc>
          <w:tcPr>
            <w:tcW w:w="1020" w:type="dxa"/>
            <w:tcBorders>
              <w:top w:val="nil"/>
              <w:left w:val="nil"/>
              <w:bottom w:val="nil"/>
              <w:right w:val="nil"/>
            </w:tcBorders>
            <w:shd w:val="clear" w:color="auto" w:fill="auto"/>
            <w:noWrap/>
            <w:vAlign w:val="bottom"/>
            <w:hideMark/>
          </w:tcPr>
          <w:p w14:paraId="1E56986D" w14:textId="77777777" w:rsidR="00840AA6" w:rsidRPr="00840AA6" w:rsidRDefault="00840AA6" w:rsidP="00840AA6">
            <w:pPr>
              <w:spacing w:after="0"/>
              <w:jc w:val="right"/>
              <w:rPr>
                <w:rFonts w:ascii="Arial" w:hAnsi="Arial" w:cs="Arial"/>
                <w:color w:val="auto"/>
                <w:sz w:val="16"/>
                <w:szCs w:val="16"/>
              </w:rPr>
            </w:pPr>
            <w:r w:rsidRPr="00840AA6">
              <w:rPr>
                <w:rFonts w:ascii="Arial" w:hAnsi="Arial" w:cs="Arial"/>
                <w:color w:val="auto"/>
                <w:sz w:val="16"/>
                <w:szCs w:val="16"/>
              </w:rPr>
              <w:t>5,831</w:t>
            </w:r>
          </w:p>
        </w:tc>
        <w:tc>
          <w:tcPr>
            <w:tcW w:w="1360" w:type="dxa"/>
            <w:tcBorders>
              <w:top w:val="nil"/>
              <w:left w:val="nil"/>
              <w:bottom w:val="nil"/>
              <w:right w:val="nil"/>
            </w:tcBorders>
            <w:shd w:val="clear" w:color="auto" w:fill="auto"/>
            <w:noWrap/>
            <w:vAlign w:val="bottom"/>
            <w:hideMark/>
          </w:tcPr>
          <w:p w14:paraId="7B225633" w14:textId="77777777" w:rsidR="00840AA6" w:rsidRPr="00840AA6" w:rsidRDefault="00840AA6" w:rsidP="00840AA6">
            <w:pPr>
              <w:spacing w:after="0"/>
              <w:jc w:val="right"/>
              <w:rPr>
                <w:rFonts w:ascii="Arial" w:hAnsi="Arial" w:cs="Arial"/>
                <w:color w:val="auto"/>
                <w:sz w:val="16"/>
                <w:szCs w:val="16"/>
              </w:rPr>
            </w:pPr>
            <w:r w:rsidRPr="00840AA6">
              <w:rPr>
                <w:rFonts w:ascii="Arial" w:hAnsi="Arial" w:cs="Arial"/>
                <w:color w:val="auto"/>
                <w:sz w:val="16"/>
                <w:szCs w:val="16"/>
              </w:rPr>
              <w:t>2,958</w:t>
            </w:r>
          </w:p>
        </w:tc>
        <w:tc>
          <w:tcPr>
            <w:tcW w:w="1020" w:type="dxa"/>
            <w:tcBorders>
              <w:top w:val="nil"/>
              <w:left w:val="nil"/>
              <w:bottom w:val="nil"/>
              <w:right w:val="nil"/>
            </w:tcBorders>
            <w:shd w:val="clear" w:color="auto" w:fill="auto"/>
            <w:noWrap/>
            <w:vAlign w:val="bottom"/>
            <w:hideMark/>
          </w:tcPr>
          <w:p w14:paraId="6F51E31A" w14:textId="77777777" w:rsidR="00840AA6" w:rsidRPr="00840AA6" w:rsidRDefault="00840AA6" w:rsidP="00840AA6">
            <w:pPr>
              <w:spacing w:after="0"/>
              <w:jc w:val="right"/>
              <w:rPr>
                <w:rFonts w:ascii="Arial" w:hAnsi="Arial" w:cs="Arial"/>
                <w:color w:val="auto"/>
                <w:sz w:val="16"/>
                <w:szCs w:val="16"/>
              </w:rPr>
            </w:pPr>
            <w:r w:rsidRPr="00840AA6">
              <w:rPr>
                <w:rFonts w:ascii="Arial" w:hAnsi="Arial" w:cs="Arial"/>
                <w:color w:val="auto"/>
                <w:sz w:val="16"/>
                <w:szCs w:val="16"/>
              </w:rPr>
              <w:t>213,960</w:t>
            </w:r>
          </w:p>
        </w:tc>
        <w:tc>
          <w:tcPr>
            <w:tcW w:w="1020" w:type="dxa"/>
            <w:tcBorders>
              <w:top w:val="nil"/>
              <w:left w:val="nil"/>
              <w:bottom w:val="nil"/>
              <w:right w:val="nil"/>
            </w:tcBorders>
            <w:shd w:val="clear" w:color="auto" w:fill="auto"/>
            <w:noWrap/>
            <w:vAlign w:val="bottom"/>
            <w:hideMark/>
          </w:tcPr>
          <w:p w14:paraId="338250F6" w14:textId="77777777" w:rsidR="00840AA6" w:rsidRPr="00840AA6" w:rsidRDefault="00840AA6" w:rsidP="00840AA6">
            <w:pPr>
              <w:spacing w:after="0"/>
              <w:jc w:val="right"/>
              <w:rPr>
                <w:rFonts w:ascii="Arial" w:hAnsi="Arial" w:cs="Arial"/>
                <w:b/>
                <w:bCs/>
                <w:color w:val="auto"/>
                <w:sz w:val="16"/>
                <w:szCs w:val="16"/>
              </w:rPr>
            </w:pPr>
            <w:r w:rsidRPr="00840AA6">
              <w:rPr>
                <w:rFonts w:ascii="Arial" w:hAnsi="Arial" w:cs="Arial"/>
                <w:b/>
                <w:bCs/>
                <w:color w:val="auto"/>
                <w:sz w:val="16"/>
                <w:szCs w:val="16"/>
              </w:rPr>
              <w:t>222,749</w:t>
            </w:r>
          </w:p>
        </w:tc>
      </w:tr>
      <w:tr w:rsidR="00840AA6" w:rsidRPr="00840AA6" w14:paraId="74C0612C" w14:textId="77777777" w:rsidTr="00840AA6">
        <w:trPr>
          <w:trHeight w:val="225"/>
        </w:trPr>
        <w:tc>
          <w:tcPr>
            <w:tcW w:w="2920" w:type="dxa"/>
            <w:tcBorders>
              <w:top w:val="nil"/>
              <w:left w:val="nil"/>
              <w:bottom w:val="nil"/>
              <w:right w:val="nil"/>
            </w:tcBorders>
            <w:shd w:val="clear" w:color="auto" w:fill="auto"/>
            <w:noWrap/>
            <w:vAlign w:val="bottom"/>
            <w:hideMark/>
          </w:tcPr>
          <w:p w14:paraId="308A3223" w14:textId="77777777" w:rsidR="00840AA6" w:rsidRPr="00840AA6" w:rsidRDefault="00840AA6" w:rsidP="00840AA6">
            <w:pPr>
              <w:spacing w:after="0"/>
              <w:ind w:leftChars="75" w:left="143"/>
              <w:rPr>
                <w:rFonts w:ascii="Arial" w:hAnsi="Arial" w:cs="Arial"/>
                <w:color w:val="auto"/>
                <w:sz w:val="16"/>
                <w:szCs w:val="16"/>
              </w:rPr>
            </w:pPr>
            <w:r w:rsidRPr="00840AA6">
              <w:rPr>
                <w:rFonts w:ascii="Arial" w:hAnsi="Arial" w:cs="Arial"/>
                <w:color w:val="auto"/>
                <w:sz w:val="16"/>
                <w:szCs w:val="16"/>
              </w:rPr>
              <w:t xml:space="preserve">Gross book value - </w:t>
            </w:r>
            <w:proofErr w:type="spellStart"/>
            <w:r w:rsidRPr="00840AA6">
              <w:rPr>
                <w:rFonts w:ascii="Arial" w:hAnsi="Arial" w:cs="Arial"/>
                <w:color w:val="auto"/>
                <w:sz w:val="16"/>
                <w:szCs w:val="16"/>
              </w:rPr>
              <w:t>RoU</w:t>
            </w:r>
            <w:proofErr w:type="spellEnd"/>
          </w:p>
        </w:tc>
        <w:tc>
          <w:tcPr>
            <w:tcW w:w="1020" w:type="dxa"/>
            <w:tcBorders>
              <w:top w:val="nil"/>
              <w:left w:val="nil"/>
              <w:bottom w:val="nil"/>
              <w:right w:val="nil"/>
            </w:tcBorders>
            <w:shd w:val="clear" w:color="auto" w:fill="auto"/>
            <w:noWrap/>
            <w:vAlign w:val="bottom"/>
            <w:hideMark/>
          </w:tcPr>
          <w:p w14:paraId="40B2451A" w14:textId="77777777" w:rsidR="00840AA6" w:rsidRPr="00840AA6" w:rsidRDefault="00840AA6" w:rsidP="00840AA6">
            <w:pPr>
              <w:spacing w:after="0"/>
              <w:jc w:val="right"/>
              <w:rPr>
                <w:rFonts w:ascii="Arial" w:hAnsi="Arial" w:cs="Arial"/>
                <w:color w:val="auto"/>
                <w:sz w:val="16"/>
                <w:szCs w:val="16"/>
              </w:rPr>
            </w:pPr>
            <w:r w:rsidRPr="00840AA6">
              <w:rPr>
                <w:rFonts w:ascii="Arial" w:hAnsi="Arial" w:cs="Arial"/>
                <w:color w:val="auto"/>
                <w:sz w:val="16"/>
                <w:szCs w:val="16"/>
              </w:rPr>
              <w:t>21,237</w:t>
            </w:r>
          </w:p>
        </w:tc>
        <w:tc>
          <w:tcPr>
            <w:tcW w:w="1360" w:type="dxa"/>
            <w:tcBorders>
              <w:top w:val="nil"/>
              <w:left w:val="nil"/>
              <w:bottom w:val="nil"/>
              <w:right w:val="nil"/>
            </w:tcBorders>
            <w:shd w:val="clear" w:color="auto" w:fill="auto"/>
            <w:noWrap/>
            <w:vAlign w:val="bottom"/>
            <w:hideMark/>
          </w:tcPr>
          <w:p w14:paraId="1211CEDD" w14:textId="77777777" w:rsidR="00840AA6" w:rsidRPr="00840AA6" w:rsidRDefault="00840AA6" w:rsidP="00840AA6">
            <w:pPr>
              <w:spacing w:after="0"/>
              <w:jc w:val="right"/>
              <w:rPr>
                <w:rFonts w:ascii="Arial" w:hAnsi="Arial" w:cs="Arial"/>
                <w:color w:val="auto"/>
                <w:sz w:val="16"/>
                <w:szCs w:val="16"/>
              </w:rPr>
            </w:pPr>
            <w:r w:rsidRPr="00840AA6">
              <w:rPr>
                <w:rFonts w:ascii="Arial" w:hAnsi="Arial" w:cs="Arial"/>
                <w:color w:val="auto"/>
                <w:sz w:val="16"/>
                <w:szCs w:val="16"/>
              </w:rPr>
              <w:t>-</w:t>
            </w:r>
          </w:p>
        </w:tc>
        <w:tc>
          <w:tcPr>
            <w:tcW w:w="1020" w:type="dxa"/>
            <w:tcBorders>
              <w:top w:val="nil"/>
              <w:left w:val="nil"/>
              <w:bottom w:val="nil"/>
              <w:right w:val="nil"/>
            </w:tcBorders>
            <w:shd w:val="clear" w:color="auto" w:fill="auto"/>
            <w:noWrap/>
            <w:vAlign w:val="bottom"/>
            <w:hideMark/>
          </w:tcPr>
          <w:p w14:paraId="5039B4A6" w14:textId="77777777" w:rsidR="00840AA6" w:rsidRPr="00840AA6" w:rsidRDefault="00840AA6" w:rsidP="00840AA6">
            <w:pPr>
              <w:spacing w:after="0"/>
              <w:jc w:val="right"/>
              <w:rPr>
                <w:rFonts w:ascii="Arial" w:hAnsi="Arial" w:cs="Arial"/>
                <w:color w:val="auto"/>
                <w:sz w:val="16"/>
                <w:szCs w:val="16"/>
              </w:rPr>
            </w:pPr>
            <w:r w:rsidRPr="00840AA6">
              <w:rPr>
                <w:rFonts w:ascii="Arial" w:hAnsi="Arial" w:cs="Arial"/>
                <w:color w:val="auto"/>
                <w:sz w:val="16"/>
                <w:szCs w:val="16"/>
              </w:rPr>
              <w:t>-</w:t>
            </w:r>
          </w:p>
        </w:tc>
        <w:tc>
          <w:tcPr>
            <w:tcW w:w="1020" w:type="dxa"/>
            <w:tcBorders>
              <w:top w:val="nil"/>
              <w:left w:val="nil"/>
              <w:bottom w:val="nil"/>
              <w:right w:val="nil"/>
            </w:tcBorders>
            <w:shd w:val="clear" w:color="auto" w:fill="auto"/>
            <w:noWrap/>
            <w:vAlign w:val="bottom"/>
            <w:hideMark/>
          </w:tcPr>
          <w:p w14:paraId="50D41F44" w14:textId="77777777" w:rsidR="00840AA6" w:rsidRPr="00840AA6" w:rsidRDefault="00840AA6" w:rsidP="00840AA6">
            <w:pPr>
              <w:spacing w:after="0"/>
              <w:jc w:val="right"/>
              <w:rPr>
                <w:rFonts w:ascii="Arial" w:hAnsi="Arial" w:cs="Arial"/>
                <w:b/>
                <w:bCs/>
                <w:color w:val="auto"/>
                <w:sz w:val="16"/>
                <w:szCs w:val="16"/>
              </w:rPr>
            </w:pPr>
            <w:r w:rsidRPr="00840AA6">
              <w:rPr>
                <w:rFonts w:ascii="Arial" w:hAnsi="Arial" w:cs="Arial"/>
                <w:b/>
                <w:bCs/>
                <w:color w:val="auto"/>
                <w:sz w:val="16"/>
                <w:szCs w:val="16"/>
              </w:rPr>
              <w:t>21,237</w:t>
            </w:r>
          </w:p>
        </w:tc>
      </w:tr>
      <w:tr w:rsidR="00840AA6" w:rsidRPr="00840AA6" w14:paraId="560F3349" w14:textId="77777777" w:rsidTr="00840AA6">
        <w:trPr>
          <w:trHeight w:val="450"/>
        </w:trPr>
        <w:tc>
          <w:tcPr>
            <w:tcW w:w="2920" w:type="dxa"/>
            <w:tcBorders>
              <w:top w:val="nil"/>
              <w:left w:val="nil"/>
              <w:bottom w:val="nil"/>
              <w:right w:val="nil"/>
            </w:tcBorders>
            <w:shd w:val="clear" w:color="auto" w:fill="auto"/>
            <w:vAlign w:val="bottom"/>
            <w:hideMark/>
          </w:tcPr>
          <w:p w14:paraId="135CBD4A" w14:textId="77777777" w:rsidR="00840AA6" w:rsidRPr="00840AA6" w:rsidRDefault="00840AA6" w:rsidP="00840AA6">
            <w:pPr>
              <w:spacing w:after="0"/>
              <w:ind w:leftChars="75" w:left="143"/>
              <w:rPr>
                <w:rFonts w:ascii="Arial" w:hAnsi="Arial" w:cs="Arial"/>
                <w:color w:val="auto"/>
                <w:sz w:val="16"/>
                <w:szCs w:val="16"/>
              </w:rPr>
            </w:pPr>
            <w:r w:rsidRPr="00840AA6">
              <w:rPr>
                <w:rFonts w:ascii="Arial" w:hAnsi="Arial" w:cs="Arial"/>
                <w:color w:val="auto"/>
                <w:sz w:val="16"/>
                <w:szCs w:val="16"/>
              </w:rPr>
              <w:t>Accumulated depreciation/</w:t>
            </w:r>
            <w:r w:rsidRPr="00840AA6">
              <w:rPr>
                <w:rFonts w:ascii="Arial" w:hAnsi="Arial" w:cs="Arial"/>
                <w:color w:val="auto"/>
                <w:sz w:val="16"/>
                <w:szCs w:val="16"/>
              </w:rPr>
              <w:br/>
              <w:t>amortisation and impairment</w:t>
            </w:r>
          </w:p>
        </w:tc>
        <w:tc>
          <w:tcPr>
            <w:tcW w:w="1020" w:type="dxa"/>
            <w:tcBorders>
              <w:top w:val="nil"/>
              <w:left w:val="nil"/>
              <w:bottom w:val="nil"/>
              <w:right w:val="nil"/>
            </w:tcBorders>
            <w:shd w:val="clear" w:color="auto" w:fill="auto"/>
            <w:noWrap/>
            <w:vAlign w:val="bottom"/>
            <w:hideMark/>
          </w:tcPr>
          <w:p w14:paraId="67D66D5D" w14:textId="77777777" w:rsidR="00840AA6" w:rsidRPr="00840AA6" w:rsidRDefault="00840AA6" w:rsidP="00840AA6">
            <w:pPr>
              <w:spacing w:after="0"/>
              <w:jc w:val="right"/>
              <w:rPr>
                <w:rFonts w:ascii="Arial" w:hAnsi="Arial" w:cs="Arial"/>
                <w:color w:val="auto"/>
                <w:sz w:val="16"/>
                <w:szCs w:val="16"/>
              </w:rPr>
            </w:pPr>
            <w:r w:rsidRPr="00840AA6">
              <w:rPr>
                <w:rFonts w:ascii="Arial" w:hAnsi="Arial" w:cs="Arial"/>
                <w:color w:val="auto"/>
                <w:sz w:val="16"/>
                <w:szCs w:val="16"/>
              </w:rPr>
              <w:t>(1,603)</w:t>
            </w:r>
          </w:p>
        </w:tc>
        <w:tc>
          <w:tcPr>
            <w:tcW w:w="1360" w:type="dxa"/>
            <w:tcBorders>
              <w:top w:val="nil"/>
              <w:left w:val="nil"/>
              <w:bottom w:val="nil"/>
              <w:right w:val="nil"/>
            </w:tcBorders>
            <w:shd w:val="clear" w:color="auto" w:fill="auto"/>
            <w:noWrap/>
            <w:vAlign w:val="bottom"/>
            <w:hideMark/>
          </w:tcPr>
          <w:p w14:paraId="282E6C71" w14:textId="77777777" w:rsidR="00840AA6" w:rsidRPr="00840AA6" w:rsidRDefault="00840AA6" w:rsidP="00840AA6">
            <w:pPr>
              <w:spacing w:after="0"/>
              <w:jc w:val="right"/>
              <w:rPr>
                <w:rFonts w:ascii="Arial" w:hAnsi="Arial" w:cs="Arial"/>
                <w:color w:val="auto"/>
                <w:sz w:val="16"/>
                <w:szCs w:val="16"/>
              </w:rPr>
            </w:pPr>
            <w:r w:rsidRPr="00840AA6">
              <w:rPr>
                <w:rFonts w:ascii="Arial" w:hAnsi="Arial" w:cs="Arial"/>
                <w:color w:val="auto"/>
                <w:sz w:val="16"/>
                <w:szCs w:val="16"/>
              </w:rPr>
              <w:t>(1,294)</w:t>
            </w:r>
          </w:p>
        </w:tc>
        <w:tc>
          <w:tcPr>
            <w:tcW w:w="1020" w:type="dxa"/>
            <w:tcBorders>
              <w:top w:val="nil"/>
              <w:left w:val="nil"/>
              <w:bottom w:val="nil"/>
              <w:right w:val="nil"/>
            </w:tcBorders>
            <w:shd w:val="clear" w:color="auto" w:fill="auto"/>
            <w:noWrap/>
            <w:vAlign w:val="bottom"/>
            <w:hideMark/>
          </w:tcPr>
          <w:p w14:paraId="1802F4DC" w14:textId="77777777" w:rsidR="00840AA6" w:rsidRPr="00840AA6" w:rsidRDefault="00840AA6" w:rsidP="00840AA6">
            <w:pPr>
              <w:spacing w:after="0"/>
              <w:jc w:val="right"/>
              <w:rPr>
                <w:rFonts w:ascii="Arial" w:hAnsi="Arial" w:cs="Arial"/>
                <w:color w:val="auto"/>
                <w:sz w:val="16"/>
                <w:szCs w:val="16"/>
              </w:rPr>
            </w:pPr>
            <w:r w:rsidRPr="00840AA6">
              <w:rPr>
                <w:rFonts w:ascii="Arial" w:hAnsi="Arial" w:cs="Arial"/>
                <w:color w:val="auto"/>
                <w:sz w:val="16"/>
                <w:szCs w:val="16"/>
              </w:rPr>
              <w:t>(148,739)</w:t>
            </w:r>
          </w:p>
        </w:tc>
        <w:tc>
          <w:tcPr>
            <w:tcW w:w="1020" w:type="dxa"/>
            <w:tcBorders>
              <w:top w:val="nil"/>
              <w:left w:val="nil"/>
              <w:bottom w:val="nil"/>
              <w:right w:val="nil"/>
            </w:tcBorders>
            <w:shd w:val="clear" w:color="auto" w:fill="auto"/>
            <w:noWrap/>
            <w:vAlign w:val="bottom"/>
            <w:hideMark/>
          </w:tcPr>
          <w:p w14:paraId="44784C2D" w14:textId="77777777" w:rsidR="00840AA6" w:rsidRPr="00840AA6" w:rsidRDefault="00840AA6" w:rsidP="00840AA6">
            <w:pPr>
              <w:spacing w:after="0"/>
              <w:jc w:val="right"/>
              <w:rPr>
                <w:rFonts w:ascii="Arial" w:hAnsi="Arial" w:cs="Arial"/>
                <w:b/>
                <w:bCs/>
                <w:color w:val="auto"/>
                <w:sz w:val="16"/>
                <w:szCs w:val="16"/>
              </w:rPr>
            </w:pPr>
            <w:r w:rsidRPr="00840AA6">
              <w:rPr>
                <w:rFonts w:ascii="Arial" w:hAnsi="Arial" w:cs="Arial"/>
                <w:b/>
                <w:bCs/>
                <w:color w:val="auto"/>
                <w:sz w:val="16"/>
                <w:szCs w:val="16"/>
              </w:rPr>
              <w:t>(151,636)</w:t>
            </w:r>
          </w:p>
        </w:tc>
      </w:tr>
      <w:tr w:rsidR="00840AA6" w:rsidRPr="00840AA6" w14:paraId="05AD2A8C" w14:textId="77777777" w:rsidTr="00840AA6">
        <w:trPr>
          <w:trHeight w:val="450"/>
        </w:trPr>
        <w:tc>
          <w:tcPr>
            <w:tcW w:w="2920" w:type="dxa"/>
            <w:tcBorders>
              <w:top w:val="nil"/>
              <w:left w:val="nil"/>
              <w:bottom w:val="nil"/>
              <w:right w:val="nil"/>
            </w:tcBorders>
            <w:shd w:val="clear" w:color="auto" w:fill="auto"/>
            <w:vAlign w:val="bottom"/>
            <w:hideMark/>
          </w:tcPr>
          <w:p w14:paraId="202F68AA" w14:textId="77777777" w:rsidR="00840AA6" w:rsidRPr="00840AA6" w:rsidRDefault="00840AA6" w:rsidP="00840AA6">
            <w:pPr>
              <w:spacing w:after="0"/>
              <w:ind w:leftChars="75" w:left="143"/>
              <w:rPr>
                <w:rFonts w:ascii="Arial" w:hAnsi="Arial" w:cs="Arial"/>
                <w:color w:val="auto"/>
                <w:sz w:val="16"/>
                <w:szCs w:val="16"/>
              </w:rPr>
            </w:pPr>
            <w:r w:rsidRPr="00840AA6">
              <w:rPr>
                <w:rFonts w:ascii="Arial" w:hAnsi="Arial" w:cs="Arial"/>
                <w:color w:val="auto"/>
                <w:sz w:val="16"/>
                <w:szCs w:val="16"/>
              </w:rPr>
              <w:t>Accumulated depreciation/</w:t>
            </w:r>
            <w:r w:rsidRPr="00840AA6">
              <w:rPr>
                <w:rFonts w:ascii="Arial" w:hAnsi="Arial" w:cs="Arial"/>
                <w:color w:val="auto"/>
                <w:sz w:val="16"/>
                <w:szCs w:val="16"/>
              </w:rPr>
              <w:br/>
              <w:t xml:space="preserve">amortisation and impairment - </w:t>
            </w:r>
            <w:proofErr w:type="spellStart"/>
            <w:r w:rsidRPr="00840AA6">
              <w:rPr>
                <w:rFonts w:ascii="Arial" w:hAnsi="Arial" w:cs="Arial"/>
                <w:color w:val="auto"/>
                <w:sz w:val="16"/>
                <w:szCs w:val="16"/>
              </w:rPr>
              <w:t>RoU</w:t>
            </w:r>
            <w:proofErr w:type="spellEnd"/>
          </w:p>
        </w:tc>
        <w:tc>
          <w:tcPr>
            <w:tcW w:w="1020" w:type="dxa"/>
            <w:tcBorders>
              <w:top w:val="nil"/>
              <w:left w:val="nil"/>
              <w:bottom w:val="single" w:sz="4" w:space="0" w:color="auto"/>
              <w:right w:val="nil"/>
            </w:tcBorders>
            <w:shd w:val="clear" w:color="auto" w:fill="auto"/>
            <w:noWrap/>
            <w:vAlign w:val="bottom"/>
            <w:hideMark/>
          </w:tcPr>
          <w:p w14:paraId="55CEFFDF" w14:textId="77777777" w:rsidR="00840AA6" w:rsidRPr="00840AA6" w:rsidRDefault="00840AA6" w:rsidP="00840AA6">
            <w:pPr>
              <w:spacing w:after="0"/>
              <w:jc w:val="right"/>
              <w:rPr>
                <w:rFonts w:ascii="Arial" w:hAnsi="Arial" w:cs="Arial"/>
                <w:color w:val="auto"/>
                <w:sz w:val="16"/>
                <w:szCs w:val="16"/>
              </w:rPr>
            </w:pPr>
            <w:r w:rsidRPr="00840AA6">
              <w:rPr>
                <w:rFonts w:ascii="Arial" w:hAnsi="Arial" w:cs="Arial"/>
                <w:color w:val="auto"/>
                <w:sz w:val="16"/>
                <w:szCs w:val="16"/>
              </w:rPr>
              <w:t>(12,233)</w:t>
            </w:r>
          </w:p>
        </w:tc>
        <w:tc>
          <w:tcPr>
            <w:tcW w:w="1360" w:type="dxa"/>
            <w:tcBorders>
              <w:top w:val="nil"/>
              <w:left w:val="nil"/>
              <w:bottom w:val="single" w:sz="4" w:space="0" w:color="auto"/>
              <w:right w:val="nil"/>
            </w:tcBorders>
            <w:shd w:val="clear" w:color="auto" w:fill="auto"/>
            <w:noWrap/>
            <w:vAlign w:val="bottom"/>
            <w:hideMark/>
          </w:tcPr>
          <w:p w14:paraId="013AFE1C" w14:textId="77777777" w:rsidR="00840AA6" w:rsidRPr="00840AA6" w:rsidRDefault="00840AA6" w:rsidP="00840AA6">
            <w:pPr>
              <w:spacing w:after="0"/>
              <w:jc w:val="right"/>
              <w:rPr>
                <w:rFonts w:ascii="Arial" w:hAnsi="Arial" w:cs="Arial"/>
                <w:color w:val="auto"/>
                <w:sz w:val="16"/>
                <w:szCs w:val="16"/>
              </w:rPr>
            </w:pPr>
            <w:r w:rsidRPr="00840AA6">
              <w:rPr>
                <w:rFonts w:ascii="Arial" w:hAnsi="Arial" w:cs="Arial"/>
                <w:color w:val="auto"/>
                <w:sz w:val="16"/>
                <w:szCs w:val="16"/>
              </w:rPr>
              <w:t>-</w:t>
            </w:r>
          </w:p>
        </w:tc>
        <w:tc>
          <w:tcPr>
            <w:tcW w:w="1020" w:type="dxa"/>
            <w:tcBorders>
              <w:top w:val="nil"/>
              <w:left w:val="nil"/>
              <w:bottom w:val="single" w:sz="4" w:space="0" w:color="auto"/>
              <w:right w:val="nil"/>
            </w:tcBorders>
            <w:shd w:val="clear" w:color="auto" w:fill="auto"/>
            <w:noWrap/>
            <w:vAlign w:val="bottom"/>
            <w:hideMark/>
          </w:tcPr>
          <w:p w14:paraId="4F332175" w14:textId="77777777" w:rsidR="00840AA6" w:rsidRPr="00840AA6" w:rsidRDefault="00840AA6" w:rsidP="00840AA6">
            <w:pPr>
              <w:spacing w:after="0"/>
              <w:jc w:val="right"/>
              <w:rPr>
                <w:rFonts w:ascii="Arial" w:hAnsi="Arial" w:cs="Arial"/>
                <w:color w:val="auto"/>
                <w:sz w:val="16"/>
                <w:szCs w:val="16"/>
              </w:rPr>
            </w:pPr>
            <w:r w:rsidRPr="00840AA6">
              <w:rPr>
                <w:rFonts w:ascii="Arial" w:hAnsi="Arial" w:cs="Arial"/>
                <w:color w:val="auto"/>
                <w:sz w:val="16"/>
                <w:szCs w:val="16"/>
              </w:rPr>
              <w:t>-</w:t>
            </w:r>
          </w:p>
        </w:tc>
        <w:tc>
          <w:tcPr>
            <w:tcW w:w="1020" w:type="dxa"/>
            <w:tcBorders>
              <w:top w:val="nil"/>
              <w:left w:val="nil"/>
              <w:bottom w:val="single" w:sz="4" w:space="0" w:color="auto"/>
              <w:right w:val="nil"/>
            </w:tcBorders>
            <w:shd w:val="clear" w:color="auto" w:fill="auto"/>
            <w:noWrap/>
            <w:vAlign w:val="bottom"/>
            <w:hideMark/>
          </w:tcPr>
          <w:p w14:paraId="77976290" w14:textId="77777777" w:rsidR="00840AA6" w:rsidRPr="00840AA6" w:rsidRDefault="00840AA6" w:rsidP="00840AA6">
            <w:pPr>
              <w:spacing w:after="0"/>
              <w:jc w:val="right"/>
              <w:rPr>
                <w:rFonts w:ascii="Arial" w:hAnsi="Arial" w:cs="Arial"/>
                <w:b/>
                <w:bCs/>
                <w:color w:val="auto"/>
                <w:sz w:val="16"/>
                <w:szCs w:val="16"/>
              </w:rPr>
            </w:pPr>
            <w:r w:rsidRPr="00840AA6">
              <w:rPr>
                <w:rFonts w:ascii="Arial" w:hAnsi="Arial" w:cs="Arial"/>
                <w:b/>
                <w:bCs/>
                <w:color w:val="auto"/>
                <w:sz w:val="16"/>
                <w:szCs w:val="16"/>
              </w:rPr>
              <w:t>(12,233)</w:t>
            </w:r>
          </w:p>
        </w:tc>
      </w:tr>
      <w:tr w:rsidR="00840AA6" w:rsidRPr="00840AA6" w14:paraId="5F9C90C3" w14:textId="77777777" w:rsidTr="00840AA6">
        <w:trPr>
          <w:trHeight w:val="225"/>
        </w:trPr>
        <w:tc>
          <w:tcPr>
            <w:tcW w:w="2920" w:type="dxa"/>
            <w:tcBorders>
              <w:top w:val="nil"/>
              <w:left w:val="nil"/>
              <w:bottom w:val="nil"/>
              <w:right w:val="nil"/>
            </w:tcBorders>
            <w:shd w:val="clear" w:color="auto" w:fill="auto"/>
            <w:noWrap/>
            <w:vAlign w:val="bottom"/>
            <w:hideMark/>
          </w:tcPr>
          <w:p w14:paraId="5F45F6A1" w14:textId="77777777" w:rsidR="00840AA6" w:rsidRPr="00840AA6" w:rsidRDefault="00840AA6" w:rsidP="00840AA6">
            <w:pPr>
              <w:spacing w:after="0"/>
              <w:ind w:leftChars="75" w:left="143"/>
              <w:rPr>
                <w:rFonts w:ascii="Arial" w:hAnsi="Arial" w:cs="Arial"/>
                <w:b/>
                <w:bCs/>
                <w:color w:val="auto"/>
                <w:sz w:val="16"/>
                <w:szCs w:val="16"/>
              </w:rPr>
            </w:pPr>
            <w:r w:rsidRPr="00840AA6">
              <w:rPr>
                <w:rFonts w:ascii="Arial" w:hAnsi="Arial" w:cs="Arial"/>
                <w:b/>
                <w:bCs/>
                <w:color w:val="auto"/>
                <w:sz w:val="16"/>
                <w:szCs w:val="16"/>
              </w:rPr>
              <w:t>Opening net book balance</w:t>
            </w:r>
          </w:p>
        </w:tc>
        <w:tc>
          <w:tcPr>
            <w:tcW w:w="1020" w:type="dxa"/>
            <w:tcBorders>
              <w:top w:val="nil"/>
              <w:left w:val="nil"/>
              <w:bottom w:val="single" w:sz="4" w:space="0" w:color="auto"/>
              <w:right w:val="nil"/>
            </w:tcBorders>
            <w:shd w:val="clear" w:color="auto" w:fill="auto"/>
            <w:noWrap/>
            <w:vAlign w:val="bottom"/>
            <w:hideMark/>
          </w:tcPr>
          <w:p w14:paraId="1A135A0E" w14:textId="77777777" w:rsidR="00840AA6" w:rsidRPr="00840AA6" w:rsidRDefault="00840AA6" w:rsidP="00840AA6">
            <w:pPr>
              <w:spacing w:after="0"/>
              <w:jc w:val="right"/>
              <w:rPr>
                <w:rFonts w:ascii="Arial" w:hAnsi="Arial" w:cs="Arial"/>
                <w:b/>
                <w:bCs/>
                <w:color w:val="auto"/>
                <w:sz w:val="16"/>
                <w:szCs w:val="16"/>
              </w:rPr>
            </w:pPr>
            <w:r w:rsidRPr="00840AA6">
              <w:rPr>
                <w:rFonts w:ascii="Arial" w:hAnsi="Arial" w:cs="Arial"/>
                <w:b/>
                <w:bCs/>
                <w:color w:val="auto"/>
                <w:sz w:val="16"/>
                <w:szCs w:val="16"/>
              </w:rPr>
              <w:t>13,232</w:t>
            </w:r>
          </w:p>
        </w:tc>
        <w:tc>
          <w:tcPr>
            <w:tcW w:w="1360" w:type="dxa"/>
            <w:tcBorders>
              <w:top w:val="nil"/>
              <w:left w:val="nil"/>
              <w:bottom w:val="single" w:sz="4" w:space="0" w:color="auto"/>
              <w:right w:val="nil"/>
            </w:tcBorders>
            <w:shd w:val="clear" w:color="auto" w:fill="auto"/>
            <w:noWrap/>
            <w:vAlign w:val="bottom"/>
            <w:hideMark/>
          </w:tcPr>
          <w:p w14:paraId="73727D36" w14:textId="77777777" w:rsidR="00840AA6" w:rsidRPr="00840AA6" w:rsidRDefault="00840AA6" w:rsidP="00840AA6">
            <w:pPr>
              <w:spacing w:after="0"/>
              <w:jc w:val="right"/>
              <w:rPr>
                <w:rFonts w:ascii="Arial" w:hAnsi="Arial" w:cs="Arial"/>
                <w:b/>
                <w:bCs/>
                <w:color w:val="auto"/>
                <w:sz w:val="16"/>
                <w:szCs w:val="16"/>
              </w:rPr>
            </w:pPr>
            <w:r w:rsidRPr="00840AA6">
              <w:rPr>
                <w:rFonts w:ascii="Arial" w:hAnsi="Arial" w:cs="Arial"/>
                <w:b/>
                <w:bCs/>
                <w:color w:val="auto"/>
                <w:sz w:val="16"/>
                <w:szCs w:val="16"/>
              </w:rPr>
              <w:t>1,664</w:t>
            </w:r>
          </w:p>
        </w:tc>
        <w:tc>
          <w:tcPr>
            <w:tcW w:w="1020" w:type="dxa"/>
            <w:tcBorders>
              <w:top w:val="nil"/>
              <w:left w:val="nil"/>
              <w:bottom w:val="single" w:sz="4" w:space="0" w:color="auto"/>
              <w:right w:val="nil"/>
            </w:tcBorders>
            <w:shd w:val="clear" w:color="auto" w:fill="auto"/>
            <w:noWrap/>
            <w:vAlign w:val="bottom"/>
            <w:hideMark/>
          </w:tcPr>
          <w:p w14:paraId="0A3A6E51" w14:textId="77777777" w:rsidR="00840AA6" w:rsidRPr="00840AA6" w:rsidRDefault="00840AA6" w:rsidP="00840AA6">
            <w:pPr>
              <w:spacing w:after="0"/>
              <w:jc w:val="right"/>
              <w:rPr>
                <w:rFonts w:ascii="Arial" w:hAnsi="Arial" w:cs="Arial"/>
                <w:b/>
                <w:bCs/>
                <w:color w:val="auto"/>
                <w:sz w:val="16"/>
                <w:szCs w:val="16"/>
              </w:rPr>
            </w:pPr>
            <w:r w:rsidRPr="00840AA6">
              <w:rPr>
                <w:rFonts w:ascii="Arial" w:hAnsi="Arial" w:cs="Arial"/>
                <w:b/>
                <w:bCs/>
                <w:color w:val="auto"/>
                <w:sz w:val="16"/>
                <w:szCs w:val="16"/>
              </w:rPr>
              <w:t>65,221</w:t>
            </w:r>
          </w:p>
        </w:tc>
        <w:tc>
          <w:tcPr>
            <w:tcW w:w="1020" w:type="dxa"/>
            <w:tcBorders>
              <w:top w:val="nil"/>
              <w:left w:val="nil"/>
              <w:bottom w:val="single" w:sz="4" w:space="0" w:color="auto"/>
              <w:right w:val="nil"/>
            </w:tcBorders>
            <w:shd w:val="clear" w:color="auto" w:fill="auto"/>
            <w:noWrap/>
            <w:vAlign w:val="bottom"/>
            <w:hideMark/>
          </w:tcPr>
          <w:p w14:paraId="7EA6C9E7" w14:textId="77777777" w:rsidR="00840AA6" w:rsidRPr="00840AA6" w:rsidRDefault="00840AA6" w:rsidP="00840AA6">
            <w:pPr>
              <w:spacing w:after="0"/>
              <w:jc w:val="right"/>
              <w:rPr>
                <w:rFonts w:ascii="Arial" w:hAnsi="Arial" w:cs="Arial"/>
                <w:b/>
                <w:bCs/>
                <w:color w:val="auto"/>
                <w:sz w:val="16"/>
                <w:szCs w:val="16"/>
              </w:rPr>
            </w:pPr>
            <w:r w:rsidRPr="00840AA6">
              <w:rPr>
                <w:rFonts w:ascii="Arial" w:hAnsi="Arial" w:cs="Arial"/>
                <w:b/>
                <w:bCs/>
                <w:color w:val="auto"/>
                <w:sz w:val="16"/>
                <w:szCs w:val="16"/>
              </w:rPr>
              <w:t>80,117</w:t>
            </w:r>
          </w:p>
        </w:tc>
      </w:tr>
      <w:tr w:rsidR="00840AA6" w:rsidRPr="00840AA6" w14:paraId="7FB3C63E" w14:textId="77777777" w:rsidTr="00840AA6">
        <w:trPr>
          <w:trHeight w:val="300"/>
        </w:trPr>
        <w:tc>
          <w:tcPr>
            <w:tcW w:w="2920" w:type="dxa"/>
            <w:tcBorders>
              <w:top w:val="nil"/>
              <w:left w:val="nil"/>
              <w:bottom w:val="nil"/>
              <w:right w:val="nil"/>
            </w:tcBorders>
            <w:shd w:val="clear" w:color="auto" w:fill="auto"/>
            <w:noWrap/>
            <w:vAlign w:val="bottom"/>
            <w:hideMark/>
          </w:tcPr>
          <w:p w14:paraId="146A6DC5" w14:textId="77777777" w:rsidR="00840AA6" w:rsidRPr="00840AA6" w:rsidRDefault="00840AA6" w:rsidP="00840AA6">
            <w:pPr>
              <w:spacing w:after="0"/>
              <w:rPr>
                <w:rFonts w:ascii="Arial" w:hAnsi="Arial" w:cs="Arial"/>
                <w:b/>
                <w:bCs/>
                <w:color w:val="auto"/>
                <w:sz w:val="16"/>
                <w:szCs w:val="16"/>
              </w:rPr>
            </w:pPr>
            <w:r w:rsidRPr="00840AA6">
              <w:rPr>
                <w:rFonts w:ascii="Arial" w:hAnsi="Arial" w:cs="Arial"/>
                <w:b/>
                <w:bCs/>
                <w:color w:val="auto"/>
                <w:sz w:val="16"/>
                <w:szCs w:val="16"/>
              </w:rPr>
              <w:t>CAPITAL ASSET ADDITIONS</w:t>
            </w:r>
          </w:p>
        </w:tc>
        <w:tc>
          <w:tcPr>
            <w:tcW w:w="1020" w:type="dxa"/>
            <w:tcBorders>
              <w:top w:val="nil"/>
              <w:left w:val="nil"/>
              <w:bottom w:val="nil"/>
              <w:right w:val="nil"/>
            </w:tcBorders>
            <w:shd w:val="clear" w:color="auto" w:fill="auto"/>
            <w:noWrap/>
            <w:vAlign w:val="bottom"/>
            <w:hideMark/>
          </w:tcPr>
          <w:p w14:paraId="5201EBBE" w14:textId="77777777" w:rsidR="00840AA6" w:rsidRPr="00840AA6" w:rsidRDefault="00840AA6" w:rsidP="00840AA6">
            <w:pPr>
              <w:spacing w:after="0"/>
              <w:rPr>
                <w:rFonts w:ascii="Arial" w:hAnsi="Arial" w:cs="Arial"/>
                <w:b/>
                <w:bCs/>
                <w:color w:val="auto"/>
                <w:sz w:val="16"/>
                <w:szCs w:val="16"/>
              </w:rPr>
            </w:pPr>
          </w:p>
        </w:tc>
        <w:tc>
          <w:tcPr>
            <w:tcW w:w="1360" w:type="dxa"/>
            <w:tcBorders>
              <w:top w:val="nil"/>
              <w:left w:val="nil"/>
              <w:bottom w:val="nil"/>
              <w:right w:val="nil"/>
            </w:tcBorders>
            <w:shd w:val="clear" w:color="auto" w:fill="auto"/>
            <w:noWrap/>
            <w:vAlign w:val="bottom"/>
            <w:hideMark/>
          </w:tcPr>
          <w:p w14:paraId="2EBDB54F" w14:textId="77777777" w:rsidR="00840AA6" w:rsidRPr="00840AA6" w:rsidRDefault="00840AA6" w:rsidP="00840AA6">
            <w:pPr>
              <w:spacing w:after="0"/>
              <w:jc w:val="right"/>
              <w:rPr>
                <w:rFonts w:ascii="Times New Roman" w:hAnsi="Times New Roman"/>
                <w:color w:val="auto"/>
                <w:sz w:val="20"/>
              </w:rPr>
            </w:pPr>
          </w:p>
        </w:tc>
        <w:tc>
          <w:tcPr>
            <w:tcW w:w="1020" w:type="dxa"/>
            <w:tcBorders>
              <w:top w:val="nil"/>
              <w:left w:val="nil"/>
              <w:bottom w:val="nil"/>
              <w:right w:val="nil"/>
            </w:tcBorders>
            <w:shd w:val="clear" w:color="auto" w:fill="auto"/>
            <w:noWrap/>
            <w:vAlign w:val="bottom"/>
            <w:hideMark/>
          </w:tcPr>
          <w:p w14:paraId="3EE17702" w14:textId="77777777" w:rsidR="00840AA6" w:rsidRPr="00840AA6" w:rsidRDefault="00840AA6" w:rsidP="00840AA6">
            <w:pPr>
              <w:spacing w:after="0"/>
              <w:jc w:val="right"/>
              <w:rPr>
                <w:rFonts w:ascii="Times New Roman" w:hAnsi="Times New Roman"/>
                <w:color w:val="auto"/>
                <w:sz w:val="20"/>
              </w:rPr>
            </w:pPr>
          </w:p>
        </w:tc>
        <w:tc>
          <w:tcPr>
            <w:tcW w:w="1020" w:type="dxa"/>
            <w:tcBorders>
              <w:top w:val="nil"/>
              <w:left w:val="nil"/>
              <w:bottom w:val="nil"/>
              <w:right w:val="nil"/>
            </w:tcBorders>
            <w:shd w:val="clear" w:color="auto" w:fill="auto"/>
            <w:noWrap/>
            <w:vAlign w:val="bottom"/>
            <w:hideMark/>
          </w:tcPr>
          <w:p w14:paraId="6A9F635D" w14:textId="77777777" w:rsidR="00840AA6" w:rsidRPr="00840AA6" w:rsidRDefault="00840AA6" w:rsidP="00840AA6">
            <w:pPr>
              <w:spacing w:after="0"/>
              <w:jc w:val="right"/>
              <w:rPr>
                <w:rFonts w:ascii="Times New Roman" w:hAnsi="Times New Roman"/>
                <w:color w:val="auto"/>
                <w:sz w:val="20"/>
              </w:rPr>
            </w:pPr>
          </w:p>
        </w:tc>
      </w:tr>
      <w:tr w:rsidR="00840AA6" w:rsidRPr="00840AA6" w14:paraId="59BADAC5" w14:textId="77777777" w:rsidTr="00840AA6">
        <w:trPr>
          <w:trHeight w:val="450"/>
        </w:trPr>
        <w:tc>
          <w:tcPr>
            <w:tcW w:w="2920" w:type="dxa"/>
            <w:tcBorders>
              <w:top w:val="nil"/>
              <w:left w:val="nil"/>
              <w:bottom w:val="nil"/>
              <w:right w:val="nil"/>
            </w:tcBorders>
            <w:shd w:val="clear" w:color="auto" w:fill="auto"/>
            <w:vAlign w:val="bottom"/>
            <w:hideMark/>
          </w:tcPr>
          <w:p w14:paraId="2EC92219" w14:textId="77777777" w:rsidR="00840AA6" w:rsidRPr="00840AA6" w:rsidRDefault="00840AA6" w:rsidP="00840AA6">
            <w:pPr>
              <w:spacing w:after="0"/>
              <w:ind w:leftChars="75" w:left="143"/>
              <w:rPr>
                <w:rFonts w:ascii="Arial" w:hAnsi="Arial" w:cs="Arial"/>
                <w:b/>
                <w:bCs/>
                <w:color w:val="auto"/>
                <w:sz w:val="16"/>
                <w:szCs w:val="16"/>
              </w:rPr>
            </w:pPr>
            <w:r w:rsidRPr="00840AA6">
              <w:rPr>
                <w:rFonts w:ascii="Arial" w:hAnsi="Arial" w:cs="Arial"/>
                <w:b/>
                <w:bCs/>
                <w:color w:val="auto"/>
                <w:sz w:val="16"/>
                <w:szCs w:val="16"/>
              </w:rPr>
              <w:t>Estimated expenditure on new or replacement assets</w:t>
            </w:r>
          </w:p>
        </w:tc>
        <w:tc>
          <w:tcPr>
            <w:tcW w:w="1020" w:type="dxa"/>
            <w:tcBorders>
              <w:top w:val="nil"/>
              <w:left w:val="nil"/>
              <w:bottom w:val="nil"/>
              <w:right w:val="nil"/>
            </w:tcBorders>
            <w:shd w:val="clear" w:color="auto" w:fill="auto"/>
            <w:noWrap/>
            <w:vAlign w:val="bottom"/>
            <w:hideMark/>
          </w:tcPr>
          <w:p w14:paraId="752DF05F" w14:textId="77777777" w:rsidR="00840AA6" w:rsidRPr="00840AA6" w:rsidRDefault="00840AA6" w:rsidP="00840AA6">
            <w:pPr>
              <w:spacing w:after="0"/>
              <w:ind w:firstLineChars="100" w:firstLine="160"/>
              <w:rPr>
                <w:rFonts w:ascii="Arial" w:hAnsi="Arial" w:cs="Arial"/>
                <w:b/>
                <w:bCs/>
                <w:color w:val="auto"/>
                <w:sz w:val="16"/>
                <w:szCs w:val="16"/>
              </w:rPr>
            </w:pPr>
          </w:p>
        </w:tc>
        <w:tc>
          <w:tcPr>
            <w:tcW w:w="1360" w:type="dxa"/>
            <w:tcBorders>
              <w:top w:val="nil"/>
              <w:left w:val="nil"/>
              <w:bottom w:val="nil"/>
              <w:right w:val="nil"/>
            </w:tcBorders>
            <w:shd w:val="clear" w:color="auto" w:fill="auto"/>
            <w:noWrap/>
            <w:vAlign w:val="bottom"/>
            <w:hideMark/>
          </w:tcPr>
          <w:p w14:paraId="7E6B5DCD" w14:textId="77777777" w:rsidR="00840AA6" w:rsidRPr="00840AA6" w:rsidRDefault="00840AA6" w:rsidP="00840AA6">
            <w:pPr>
              <w:spacing w:after="0"/>
              <w:jc w:val="right"/>
              <w:rPr>
                <w:rFonts w:ascii="Times New Roman" w:hAnsi="Times New Roman"/>
                <w:color w:val="auto"/>
                <w:sz w:val="20"/>
              </w:rPr>
            </w:pPr>
          </w:p>
        </w:tc>
        <w:tc>
          <w:tcPr>
            <w:tcW w:w="1020" w:type="dxa"/>
            <w:tcBorders>
              <w:top w:val="nil"/>
              <w:left w:val="nil"/>
              <w:bottom w:val="nil"/>
              <w:right w:val="nil"/>
            </w:tcBorders>
            <w:shd w:val="clear" w:color="auto" w:fill="auto"/>
            <w:noWrap/>
            <w:vAlign w:val="bottom"/>
            <w:hideMark/>
          </w:tcPr>
          <w:p w14:paraId="77FA73E3" w14:textId="77777777" w:rsidR="00840AA6" w:rsidRPr="00840AA6" w:rsidRDefault="00840AA6" w:rsidP="00840AA6">
            <w:pPr>
              <w:spacing w:after="0"/>
              <w:jc w:val="right"/>
              <w:rPr>
                <w:rFonts w:ascii="Times New Roman" w:hAnsi="Times New Roman"/>
                <w:color w:val="auto"/>
                <w:sz w:val="20"/>
              </w:rPr>
            </w:pPr>
          </w:p>
        </w:tc>
        <w:tc>
          <w:tcPr>
            <w:tcW w:w="1020" w:type="dxa"/>
            <w:tcBorders>
              <w:top w:val="nil"/>
              <w:left w:val="nil"/>
              <w:bottom w:val="nil"/>
              <w:right w:val="nil"/>
            </w:tcBorders>
            <w:shd w:val="clear" w:color="auto" w:fill="auto"/>
            <w:noWrap/>
            <w:vAlign w:val="bottom"/>
            <w:hideMark/>
          </w:tcPr>
          <w:p w14:paraId="5E3CB364" w14:textId="77777777" w:rsidR="00840AA6" w:rsidRPr="00840AA6" w:rsidRDefault="00840AA6" w:rsidP="00840AA6">
            <w:pPr>
              <w:spacing w:after="0"/>
              <w:jc w:val="right"/>
              <w:rPr>
                <w:rFonts w:ascii="Times New Roman" w:hAnsi="Times New Roman"/>
                <w:color w:val="auto"/>
                <w:sz w:val="20"/>
              </w:rPr>
            </w:pPr>
          </w:p>
        </w:tc>
      </w:tr>
      <w:tr w:rsidR="00840AA6" w:rsidRPr="00840AA6" w14:paraId="0ED0DCC8" w14:textId="77777777" w:rsidTr="00840AA6">
        <w:trPr>
          <w:trHeight w:val="225"/>
        </w:trPr>
        <w:tc>
          <w:tcPr>
            <w:tcW w:w="2920" w:type="dxa"/>
            <w:tcBorders>
              <w:top w:val="nil"/>
              <w:left w:val="nil"/>
              <w:bottom w:val="nil"/>
              <w:right w:val="nil"/>
            </w:tcBorders>
            <w:shd w:val="clear" w:color="auto" w:fill="auto"/>
            <w:noWrap/>
            <w:vAlign w:val="bottom"/>
            <w:hideMark/>
          </w:tcPr>
          <w:p w14:paraId="7067906E" w14:textId="77777777" w:rsidR="00840AA6" w:rsidRPr="00840AA6" w:rsidRDefault="00840AA6" w:rsidP="00840AA6">
            <w:pPr>
              <w:spacing w:after="0"/>
              <w:ind w:leftChars="75" w:left="143"/>
              <w:rPr>
                <w:rFonts w:ascii="Arial" w:hAnsi="Arial" w:cs="Arial"/>
                <w:sz w:val="16"/>
                <w:szCs w:val="16"/>
              </w:rPr>
            </w:pPr>
            <w:r w:rsidRPr="00840AA6">
              <w:rPr>
                <w:rFonts w:ascii="Arial" w:hAnsi="Arial" w:cs="Arial"/>
                <w:sz w:val="16"/>
                <w:szCs w:val="16"/>
              </w:rPr>
              <w:t xml:space="preserve">By </w:t>
            </w:r>
            <w:r w:rsidRPr="00840AA6">
              <w:rPr>
                <w:rFonts w:ascii="Arial" w:hAnsi="Arial" w:cs="Arial"/>
                <w:color w:val="auto"/>
                <w:sz w:val="16"/>
                <w:szCs w:val="16"/>
              </w:rPr>
              <w:t>purchase</w:t>
            </w:r>
            <w:r w:rsidRPr="00840AA6">
              <w:rPr>
                <w:rFonts w:ascii="Arial" w:hAnsi="Arial" w:cs="Arial"/>
                <w:sz w:val="16"/>
                <w:szCs w:val="16"/>
              </w:rPr>
              <w:t xml:space="preserve"> - appropriation equity</w:t>
            </w:r>
          </w:p>
        </w:tc>
        <w:tc>
          <w:tcPr>
            <w:tcW w:w="1020" w:type="dxa"/>
            <w:tcBorders>
              <w:top w:val="nil"/>
              <w:left w:val="nil"/>
              <w:bottom w:val="nil"/>
              <w:right w:val="nil"/>
            </w:tcBorders>
            <w:shd w:val="clear" w:color="auto" w:fill="auto"/>
            <w:noWrap/>
            <w:vAlign w:val="bottom"/>
            <w:hideMark/>
          </w:tcPr>
          <w:p w14:paraId="501CB622" w14:textId="77777777" w:rsidR="00840AA6" w:rsidRPr="00840AA6" w:rsidRDefault="00840AA6" w:rsidP="00840AA6">
            <w:pPr>
              <w:spacing w:after="0"/>
              <w:jc w:val="right"/>
              <w:rPr>
                <w:rFonts w:ascii="Arial" w:hAnsi="Arial" w:cs="Arial"/>
                <w:color w:val="auto"/>
                <w:sz w:val="16"/>
                <w:szCs w:val="16"/>
              </w:rPr>
            </w:pPr>
            <w:r w:rsidRPr="00840AA6">
              <w:rPr>
                <w:rFonts w:ascii="Arial" w:hAnsi="Arial" w:cs="Arial"/>
                <w:color w:val="auto"/>
                <w:sz w:val="16"/>
                <w:szCs w:val="16"/>
              </w:rPr>
              <w:t>-</w:t>
            </w:r>
          </w:p>
        </w:tc>
        <w:tc>
          <w:tcPr>
            <w:tcW w:w="1360" w:type="dxa"/>
            <w:tcBorders>
              <w:top w:val="nil"/>
              <w:left w:val="nil"/>
              <w:bottom w:val="nil"/>
              <w:right w:val="nil"/>
            </w:tcBorders>
            <w:shd w:val="clear" w:color="auto" w:fill="auto"/>
            <w:noWrap/>
            <w:vAlign w:val="bottom"/>
            <w:hideMark/>
          </w:tcPr>
          <w:p w14:paraId="78841F06" w14:textId="77777777" w:rsidR="00840AA6" w:rsidRPr="00840AA6" w:rsidRDefault="00840AA6" w:rsidP="00840AA6">
            <w:pPr>
              <w:spacing w:after="0"/>
              <w:jc w:val="right"/>
              <w:rPr>
                <w:rFonts w:ascii="Arial" w:hAnsi="Arial" w:cs="Arial"/>
                <w:color w:val="auto"/>
                <w:sz w:val="16"/>
                <w:szCs w:val="16"/>
              </w:rPr>
            </w:pPr>
            <w:r w:rsidRPr="00840AA6">
              <w:rPr>
                <w:rFonts w:ascii="Arial" w:hAnsi="Arial" w:cs="Arial"/>
                <w:color w:val="auto"/>
                <w:sz w:val="16"/>
                <w:szCs w:val="16"/>
              </w:rPr>
              <w:t>2,307</w:t>
            </w:r>
          </w:p>
        </w:tc>
        <w:tc>
          <w:tcPr>
            <w:tcW w:w="1020" w:type="dxa"/>
            <w:tcBorders>
              <w:top w:val="nil"/>
              <w:left w:val="nil"/>
              <w:bottom w:val="nil"/>
              <w:right w:val="nil"/>
            </w:tcBorders>
            <w:shd w:val="clear" w:color="auto" w:fill="auto"/>
            <w:noWrap/>
            <w:vAlign w:val="bottom"/>
            <w:hideMark/>
          </w:tcPr>
          <w:p w14:paraId="7FA71FDD" w14:textId="77777777" w:rsidR="00840AA6" w:rsidRPr="00840AA6" w:rsidRDefault="00840AA6" w:rsidP="00840AA6">
            <w:pPr>
              <w:spacing w:after="0"/>
              <w:jc w:val="right"/>
              <w:rPr>
                <w:rFonts w:ascii="Arial" w:hAnsi="Arial" w:cs="Arial"/>
                <w:color w:val="auto"/>
                <w:sz w:val="16"/>
                <w:szCs w:val="16"/>
              </w:rPr>
            </w:pPr>
            <w:r w:rsidRPr="00840AA6">
              <w:rPr>
                <w:rFonts w:ascii="Arial" w:hAnsi="Arial" w:cs="Arial"/>
                <w:color w:val="auto"/>
                <w:sz w:val="16"/>
                <w:szCs w:val="16"/>
              </w:rPr>
              <w:t>16,099</w:t>
            </w:r>
          </w:p>
        </w:tc>
        <w:tc>
          <w:tcPr>
            <w:tcW w:w="1020" w:type="dxa"/>
            <w:tcBorders>
              <w:top w:val="nil"/>
              <w:left w:val="nil"/>
              <w:bottom w:val="nil"/>
              <w:right w:val="nil"/>
            </w:tcBorders>
            <w:shd w:val="clear" w:color="auto" w:fill="auto"/>
            <w:noWrap/>
            <w:vAlign w:val="bottom"/>
            <w:hideMark/>
          </w:tcPr>
          <w:p w14:paraId="497E56B3" w14:textId="77777777" w:rsidR="00840AA6" w:rsidRPr="00840AA6" w:rsidRDefault="00840AA6" w:rsidP="00840AA6">
            <w:pPr>
              <w:spacing w:after="0"/>
              <w:jc w:val="right"/>
              <w:rPr>
                <w:rFonts w:ascii="Arial" w:hAnsi="Arial" w:cs="Arial"/>
                <w:b/>
                <w:bCs/>
                <w:color w:val="auto"/>
                <w:sz w:val="16"/>
                <w:szCs w:val="16"/>
              </w:rPr>
            </w:pPr>
            <w:r w:rsidRPr="00840AA6">
              <w:rPr>
                <w:rFonts w:ascii="Arial" w:hAnsi="Arial" w:cs="Arial"/>
                <w:b/>
                <w:bCs/>
                <w:color w:val="auto"/>
                <w:sz w:val="16"/>
                <w:szCs w:val="16"/>
              </w:rPr>
              <w:t>18,406</w:t>
            </w:r>
          </w:p>
        </w:tc>
      </w:tr>
      <w:tr w:rsidR="00840AA6" w:rsidRPr="00840AA6" w14:paraId="6A738B16" w14:textId="77777777" w:rsidTr="00840AA6">
        <w:trPr>
          <w:trHeight w:val="225"/>
        </w:trPr>
        <w:tc>
          <w:tcPr>
            <w:tcW w:w="2920" w:type="dxa"/>
            <w:tcBorders>
              <w:top w:val="nil"/>
              <w:left w:val="nil"/>
              <w:bottom w:val="nil"/>
              <w:right w:val="nil"/>
            </w:tcBorders>
            <w:shd w:val="clear" w:color="auto" w:fill="auto"/>
            <w:noWrap/>
            <w:vAlign w:val="bottom"/>
            <w:hideMark/>
          </w:tcPr>
          <w:p w14:paraId="7DB2B0A1" w14:textId="77777777" w:rsidR="00840AA6" w:rsidRPr="00840AA6" w:rsidRDefault="00840AA6" w:rsidP="00840AA6">
            <w:pPr>
              <w:spacing w:after="0"/>
              <w:ind w:leftChars="75" w:left="143"/>
              <w:rPr>
                <w:rFonts w:ascii="Arial" w:hAnsi="Arial" w:cs="Arial"/>
                <w:color w:val="auto"/>
                <w:sz w:val="16"/>
                <w:szCs w:val="16"/>
              </w:rPr>
            </w:pPr>
            <w:r w:rsidRPr="00840AA6">
              <w:rPr>
                <w:rFonts w:ascii="Arial" w:hAnsi="Arial" w:cs="Arial"/>
                <w:color w:val="auto"/>
                <w:sz w:val="16"/>
                <w:szCs w:val="16"/>
              </w:rPr>
              <w:t xml:space="preserve">By purchase - </w:t>
            </w:r>
            <w:proofErr w:type="spellStart"/>
            <w:r w:rsidRPr="00840AA6">
              <w:rPr>
                <w:rFonts w:ascii="Arial" w:hAnsi="Arial" w:cs="Arial"/>
                <w:color w:val="auto"/>
                <w:sz w:val="16"/>
                <w:szCs w:val="16"/>
              </w:rPr>
              <w:t>RoU</w:t>
            </w:r>
            <w:proofErr w:type="spellEnd"/>
          </w:p>
        </w:tc>
        <w:tc>
          <w:tcPr>
            <w:tcW w:w="1020" w:type="dxa"/>
            <w:tcBorders>
              <w:top w:val="nil"/>
              <w:left w:val="nil"/>
              <w:bottom w:val="single" w:sz="4" w:space="0" w:color="auto"/>
              <w:right w:val="nil"/>
            </w:tcBorders>
            <w:shd w:val="clear" w:color="auto" w:fill="auto"/>
            <w:noWrap/>
            <w:vAlign w:val="bottom"/>
            <w:hideMark/>
          </w:tcPr>
          <w:p w14:paraId="4B2F17BC" w14:textId="77777777" w:rsidR="00840AA6" w:rsidRPr="00840AA6" w:rsidRDefault="00840AA6" w:rsidP="00840AA6">
            <w:pPr>
              <w:spacing w:after="0"/>
              <w:jc w:val="right"/>
              <w:rPr>
                <w:rFonts w:ascii="Arial" w:hAnsi="Arial" w:cs="Arial"/>
                <w:color w:val="auto"/>
                <w:sz w:val="16"/>
                <w:szCs w:val="16"/>
              </w:rPr>
            </w:pPr>
            <w:r w:rsidRPr="00840AA6">
              <w:rPr>
                <w:rFonts w:ascii="Arial" w:hAnsi="Arial" w:cs="Arial"/>
                <w:color w:val="auto"/>
                <w:sz w:val="16"/>
                <w:szCs w:val="16"/>
              </w:rPr>
              <w:t>-</w:t>
            </w:r>
          </w:p>
        </w:tc>
        <w:tc>
          <w:tcPr>
            <w:tcW w:w="1360" w:type="dxa"/>
            <w:tcBorders>
              <w:top w:val="nil"/>
              <w:left w:val="nil"/>
              <w:bottom w:val="single" w:sz="4" w:space="0" w:color="auto"/>
              <w:right w:val="nil"/>
            </w:tcBorders>
            <w:shd w:val="clear" w:color="auto" w:fill="auto"/>
            <w:noWrap/>
            <w:vAlign w:val="bottom"/>
            <w:hideMark/>
          </w:tcPr>
          <w:p w14:paraId="68AE5BE4" w14:textId="77777777" w:rsidR="00840AA6" w:rsidRPr="00840AA6" w:rsidRDefault="00840AA6" w:rsidP="00840AA6">
            <w:pPr>
              <w:spacing w:after="0"/>
              <w:jc w:val="right"/>
              <w:rPr>
                <w:rFonts w:ascii="Arial" w:hAnsi="Arial" w:cs="Arial"/>
                <w:color w:val="auto"/>
                <w:sz w:val="16"/>
                <w:szCs w:val="16"/>
              </w:rPr>
            </w:pPr>
            <w:r w:rsidRPr="00840AA6">
              <w:rPr>
                <w:rFonts w:ascii="Arial" w:hAnsi="Arial" w:cs="Arial"/>
                <w:color w:val="auto"/>
                <w:sz w:val="16"/>
                <w:szCs w:val="16"/>
              </w:rPr>
              <w:t>-</w:t>
            </w:r>
          </w:p>
        </w:tc>
        <w:tc>
          <w:tcPr>
            <w:tcW w:w="1020" w:type="dxa"/>
            <w:tcBorders>
              <w:top w:val="nil"/>
              <w:left w:val="nil"/>
              <w:bottom w:val="single" w:sz="4" w:space="0" w:color="auto"/>
              <w:right w:val="nil"/>
            </w:tcBorders>
            <w:shd w:val="clear" w:color="auto" w:fill="auto"/>
            <w:noWrap/>
            <w:vAlign w:val="bottom"/>
            <w:hideMark/>
          </w:tcPr>
          <w:p w14:paraId="04081672" w14:textId="77777777" w:rsidR="00840AA6" w:rsidRPr="00840AA6" w:rsidRDefault="00840AA6" w:rsidP="00840AA6">
            <w:pPr>
              <w:spacing w:after="0"/>
              <w:jc w:val="right"/>
              <w:rPr>
                <w:rFonts w:ascii="Arial" w:hAnsi="Arial" w:cs="Arial"/>
                <w:color w:val="auto"/>
                <w:sz w:val="16"/>
                <w:szCs w:val="16"/>
              </w:rPr>
            </w:pPr>
            <w:r w:rsidRPr="00840AA6">
              <w:rPr>
                <w:rFonts w:ascii="Arial" w:hAnsi="Arial" w:cs="Arial"/>
                <w:color w:val="auto"/>
                <w:sz w:val="16"/>
                <w:szCs w:val="16"/>
              </w:rPr>
              <w:t>-</w:t>
            </w:r>
          </w:p>
        </w:tc>
        <w:tc>
          <w:tcPr>
            <w:tcW w:w="1020" w:type="dxa"/>
            <w:tcBorders>
              <w:top w:val="nil"/>
              <w:left w:val="nil"/>
              <w:bottom w:val="single" w:sz="4" w:space="0" w:color="auto"/>
              <w:right w:val="nil"/>
            </w:tcBorders>
            <w:shd w:val="clear" w:color="auto" w:fill="auto"/>
            <w:noWrap/>
            <w:vAlign w:val="bottom"/>
            <w:hideMark/>
          </w:tcPr>
          <w:p w14:paraId="4551B402" w14:textId="77777777" w:rsidR="00840AA6" w:rsidRPr="00840AA6" w:rsidRDefault="00840AA6" w:rsidP="00840AA6">
            <w:pPr>
              <w:spacing w:after="0"/>
              <w:jc w:val="right"/>
              <w:rPr>
                <w:rFonts w:ascii="Arial" w:hAnsi="Arial" w:cs="Arial"/>
                <w:b/>
                <w:bCs/>
                <w:color w:val="auto"/>
                <w:sz w:val="16"/>
                <w:szCs w:val="16"/>
              </w:rPr>
            </w:pPr>
            <w:r w:rsidRPr="00840AA6">
              <w:rPr>
                <w:rFonts w:ascii="Arial" w:hAnsi="Arial" w:cs="Arial"/>
                <w:b/>
                <w:bCs/>
                <w:color w:val="auto"/>
                <w:sz w:val="16"/>
                <w:szCs w:val="16"/>
              </w:rPr>
              <w:t>-</w:t>
            </w:r>
          </w:p>
        </w:tc>
      </w:tr>
      <w:tr w:rsidR="00840AA6" w:rsidRPr="00840AA6" w14:paraId="46DE0B61" w14:textId="77777777" w:rsidTr="00840AA6">
        <w:trPr>
          <w:trHeight w:val="225"/>
        </w:trPr>
        <w:tc>
          <w:tcPr>
            <w:tcW w:w="2920" w:type="dxa"/>
            <w:tcBorders>
              <w:top w:val="nil"/>
              <w:left w:val="nil"/>
              <w:bottom w:val="nil"/>
              <w:right w:val="nil"/>
            </w:tcBorders>
            <w:shd w:val="clear" w:color="auto" w:fill="auto"/>
            <w:noWrap/>
            <w:vAlign w:val="bottom"/>
            <w:hideMark/>
          </w:tcPr>
          <w:p w14:paraId="6DABCD71" w14:textId="77777777" w:rsidR="00840AA6" w:rsidRPr="00840AA6" w:rsidRDefault="00840AA6" w:rsidP="00840AA6">
            <w:pPr>
              <w:spacing w:after="0"/>
              <w:ind w:leftChars="75" w:left="143"/>
              <w:rPr>
                <w:rFonts w:ascii="Arial" w:hAnsi="Arial" w:cs="Arial"/>
                <w:b/>
                <w:bCs/>
                <w:sz w:val="16"/>
                <w:szCs w:val="16"/>
              </w:rPr>
            </w:pPr>
            <w:r w:rsidRPr="00840AA6">
              <w:rPr>
                <w:rFonts w:ascii="Arial" w:hAnsi="Arial" w:cs="Arial"/>
                <w:b/>
                <w:bCs/>
                <w:sz w:val="16"/>
                <w:szCs w:val="16"/>
              </w:rPr>
              <w:t xml:space="preserve">Total </w:t>
            </w:r>
            <w:r w:rsidRPr="00840AA6">
              <w:rPr>
                <w:rFonts w:ascii="Arial" w:hAnsi="Arial" w:cs="Arial"/>
                <w:b/>
                <w:bCs/>
                <w:color w:val="auto"/>
                <w:sz w:val="16"/>
                <w:szCs w:val="16"/>
              </w:rPr>
              <w:t>additions</w:t>
            </w:r>
          </w:p>
        </w:tc>
        <w:tc>
          <w:tcPr>
            <w:tcW w:w="1020" w:type="dxa"/>
            <w:tcBorders>
              <w:top w:val="nil"/>
              <w:left w:val="nil"/>
              <w:bottom w:val="single" w:sz="4" w:space="0" w:color="auto"/>
              <w:right w:val="nil"/>
            </w:tcBorders>
            <w:shd w:val="clear" w:color="auto" w:fill="auto"/>
            <w:noWrap/>
            <w:vAlign w:val="bottom"/>
            <w:hideMark/>
          </w:tcPr>
          <w:p w14:paraId="72F54AF4" w14:textId="77777777" w:rsidR="00840AA6" w:rsidRPr="00840AA6" w:rsidRDefault="00840AA6" w:rsidP="00840AA6">
            <w:pPr>
              <w:spacing w:after="0"/>
              <w:jc w:val="right"/>
              <w:rPr>
                <w:rFonts w:ascii="Arial" w:hAnsi="Arial" w:cs="Arial"/>
                <w:b/>
                <w:bCs/>
                <w:color w:val="auto"/>
                <w:sz w:val="16"/>
                <w:szCs w:val="16"/>
              </w:rPr>
            </w:pPr>
            <w:r w:rsidRPr="00840AA6">
              <w:rPr>
                <w:rFonts w:ascii="Arial" w:hAnsi="Arial" w:cs="Arial"/>
                <w:b/>
                <w:bCs/>
                <w:color w:val="auto"/>
                <w:sz w:val="16"/>
                <w:szCs w:val="16"/>
              </w:rPr>
              <w:t>-</w:t>
            </w:r>
          </w:p>
        </w:tc>
        <w:tc>
          <w:tcPr>
            <w:tcW w:w="1360" w:type="dxa"/>
            <w:tcBorders>
              <w:top w:val="nil"/>
              <w:left w:val="nil"/>
              <w:bottom w:val="single" w:sz="4" w:space="0" w:color="auto"/>
              <w:right w:val="nil"/>
            </w:tcBorders>
            <w:shd w:val="clear" w:color="auto" w:fill="auto"/>
            <w:noWrap/>
            <w:vAlign w:val="bottom"/>
            <w:hideMark/>
          </w:tcPr>
          <w:p w14:paraId="474969DA" w14:textId="77777777" w:rsidR="00840AA6" w:rsidRPr="00840AA6" w:rsidRDefault="00840AA6" w:rsidP="00840AA6">
            <w:pPr>
              <w:spacing w:after="0"/>
              <w:jc w:val="right"/>
              <w:rPr>
                <w:rFonts w:ascii="Arial" w:hAnsi="Arial" w:cs="Arial"/>
                <w:b/>
                <w:bCs/>
                <w:color w:val="auto"/>
                <w:sz w:val="16"/>
                <w:szCs w:val="16"/>
              </w:rPr>
            </w:pPr>
            <w:r w:rsidRPr="00840AA6">
              <w:rPr>
                <w:rFonts w:ascii="Arial" w:hAnsi="Arial" w:cs="Arial"/>
                <w:b/>
                <w:bCs/>
                <w:color w:val="auto"/>
                <w:sz w:val="16"/>
                <w:szCs w:val="16"/>
              </w:rPr>
              <w:t>2,307</w:t>
            </w:r>
          </w:p>
        </w:tc>
        <w:tc>
          <w:tcPr>
            <w:tcW w:w="1020" w:type="dxa"/>
            <w:tcBorders>
              <w:top w:val="nil"/>
              <w:left w:val="nil"/>
              <w:bottom w:val="single" w:sz="4" w:space="0" w:color="auto"/>
              <w:right w:val="nil"/>
            </w:tcBorders>
            <w:shd w:val="clear" w:color="auto" w:fill="auto"/>
            <w:noWrap/>
            <w:vAlign w:val="bottom"/>
            <w:hideMark/>
          </w:tcPr>
          <w:p w14:paraId="666EA9BC" w14:textId="77777777" w:rsidR="00840AA6" w:rsidRPr="00840AA6" w:rsidRDefault="00840AA6" w:rsidP="00840AA6">
            <w:pPr>
              <w:spacing w:after="0"/>
              <w:jc w:val="right"/>
              <w:rPr>
                <w:rFonts w:ascii="Arial" w:hAnsi="Arial" w:cs="Arial"/>
                <w:b/>
                <w:bCs/>
                <w:color w:val="auto"/>
                <w:sz w:val="16"/>
                <w:szCs w:val="16"/>
              </w:rPr>
            </w:pPr>
            <w:r w:rsidRPr="00840AA6">
              <w:rPr>
                <w:rFonts w:ascii="Arial" w:hAnsi="Arial" w:cs="Arial"/>
                <w:b/>
                <w:bCs/>
                <w:color w:val="auto"/>
                <w:sz w:val="16"/>
                <w:szCs w:val="16"/>
              </w:rPr>
              <w:t>16,099</w:t>
            </w:r>
          </w:p>
        </w:tc>
        <w:tc>
          <w:tcPr>
            <w:tcW w:w="1020" w:type="dxa"/>
            <w:tcBorders>
              <w:top w:val="nil"/>
              <w:left w:val="nil"/>
              <w:bottom w:val="single" w:sz="4" w:space="0" w:color="auto"/>
              <w:right w:val="nil"/>
            </w:tcBorders>
            <w:shd w:val="clear" w:color="auto" w:fill="auto"/>
            <w:noWrap/>
            <w:vAlign w:val="bottom"/>
            <w:hideMark/>
          </w:tcPr>
          <w:p w14:paraId="3E726D76" w14:textId="77777777" w:rsidR="00840AA6" w:rsidRPr="00840AA6" w:rsidRDefault="00840AA6" w:rsidP="00840AA6">
            <w:pPr>
              <w:spacing w:after="0"/>
              <w:jc w:val="right"/>
              <w:rPr>
                <w:rFonts w:ascii="Arial" w:hAnsi="Arial" w:cs="Arial"/>
                <w:b/>
                <w:bCs/>
                <w:color w:val="auto"/>
                <w:sz w:val="16"/>
                <w:szCs w:val="16"/>
              </w:rPr>
            </w:pPr>
            <w:r w:rsidRPr="00840AA6">
              <w:rPr>
                <w:rFonts w:ascii="Arial" w:hAnsi="Arial" w:cs="Arial"/>
                <w:b/>
                <w:bCs/>
                <w:color w:val="auto"/>
                <w:sz w:val="16"/>
                <w:szCs w:val="16"/>
              </w:rPr>
              <w:t>18,406</w:t>
            </w:r>
          </w:p>
        </w:tc>
      </w:tr>
      <w:tr w:rsidR="00840AA6" w:rsidRPr="00840AA6" w14:paraId="0BC8B4E6" w14:textId="77777777" w:rsidTr="00840AA6">
        <w:trPr>
          <w:trHeight w:val="300"/>
        </w:trPr>
        <w:tc>
          <w:tcPr>
            <w:tcW w:w="2920" w:type="dxa"/>
            <w:tcBorders>
              <w:top w:val="nil"/>
              <w:left w:val="nil"/>
              <w:bottom w:val="nil"/>
              <w:right w:val="nil"/>
            </w:tcBorders>
            <w:shd w:val="clear" w:color="auto" w:fill="auto"/>
            <w:noWrap/>
            <w:vAlign w:val="bottom"/>
            <w:hideMark/>
          </w:tcPr>
          <w:p w14:paraId="4F6754F7" w14:textId="77777777" w:rsidR="00840AA6" w:rsidRPr="00840AA6" w:rsidRDefault="00840AA6" w:rsidP="00840AA6">
            <w:pPr>
              <w:spacing w:after="0"/>
              <w:rPr>
                <w:rFonts w:ascii="Arial" w:hAnsi="Arial" w:cs="Arial"/>
                <w:b/>
                <w:bCs/>
                <w:color w:val="auto"/>
                <w:sz w:val="16"/>
                <w:szCs w:val="16"/>
              </w:rPr>
            </w:pPr>
            <w:r w:rsidRPr="00840AA6">
              <w:rPr>
                <w:rFonts w:ascii="Arial" w:hAnsi="Arial" w:cs="Arial"/>
                <w:b/>
                <w:bCs/>
                <w:color w:val="auto"/>
                <w:sz w:val="16"/>
                <w:szCs w:val="16"/>
              </w:rPr>
              <w:t>Other movements</w:t>
            </w:r>
          </w:p>
        </w:tc>
        <w:tc>
          <w:tcPr>
            <w:tcW w:w="1020" w:type="dxa"/>
            <w:tcBorders>
              <w:top w:val="nil"/>
              <w:left w:val="nil"/>
              <w:bottom w:val="nil"/>
              <w:right w:val="nil"/>
            </w:tcBorders>
            <w:shd w:val="clear" w:color="auto" w:fill="auto"/>
            <w:noWrap/>
            <w:vAlign w:val="bottom"/>
            <w:hideMark/>
          </w:tcPr>
          <w:p w14:paraId="4A336192" w14:textId="77777777" w:rsidR="00840AA6" w:rsidRPr="00840AA6" w:rsidRDefault="00840AA6" w:rsidP="00840AA6">
            <w:pPr>
              <w:spacing w:after="0"/>
              <w:rPr>
                <w:rFonts w:ascii="Arial" w:hAnsi="Arial" w:cs="Arial"/>
                <w:b/>
                <w:bCs/>
                <w:color w:val="auto"/>
                <w:sz w:val="16"/>
                <w:szCs w:val="16"/>
              </w:rPr>
            </w:pPr>
          </w:p>
        </w:tc>
        <w:tc>
          <w:tcPr>
            <w:tcW w:w="1360" w:type="dxa"/>
            <w:tcBorders>
              <w:top w:val="nil"/>
              <w:left w:val="nil"/>
              <w:bottom w:val="nil"/>
              <w:right w:val="nil"/>
            </w:tcBorders>
            <w:shd w:val="clear" w:color="auto" w:fill="auto"/>
            <w:noWrap/>
            <w:vAlign w:val="bottom"/>
            <w:hideMark/>
          </w:tcPr>
          <w:p w14:paraId="3032EFB6" w14:textId="77777777" w:rsidR="00840AA6" w:rsidRPr="00840AA6" w:rsidRDefault="00840AA6" w:rsidP="00840AA6">
            <w:pPr>
              <w:spacing w:after="0"/>
              <w:jc w:val="right"/>
              <w:rPr>
                <w:rFonts w:ascii="Times New Roman" w:hAnsi="Times New Roman"/>
                <w:color w:val="auto"/>
                <w:sz w:val="20"/>
              </w:rPr>
            </w:pPr>
          </w:p>
        </w:tc>
        <w:tc>
          <w:tcPr>
            <w:tcW w:w="1020" w:type="dxa"/>
            <w:tcBorders>
              <w:top w:val="nil"/>
              <w:left w:val="nil"/>
              <w:bottom w:val="nil"/>
              <w:right w:val="nil"/>
            </w:tcBorders>
            <w:shd w:val="clear" w:color="auto" w:fill="auto"/>
            <w:noWrap/>
            <w:vAlign w:val="bottom"/>
            <w:hideMark/>
          </w:tcPr>
          <w:p w14:paraId="2D22F282" w14:textId="77777777" w:rsidR="00840AA6" w:rsidRPr="00840AA6" w:rsidRDefault="00840AA6" w:rsidP="00840AA6">
            <w:pPr>
              <w:spacing w:after="0"/>
              <w:jc w:val="right"/>
              <w:rPr>
                <w:rFonts w:ascii="Times New Roman" w:hAnsi="Times New Roman"/>
                <w:color w:val="auto"/>
                <w:sz w:val="20"/>
              </w:rPr>
            </w:pPr>
          </w:p>
        </w:tc>
        <w:tc>
          <w:tcPr>
            <w:tcW w:w="1020" w:type="dxa"/>
            <w:tcBorders>
              <w:top w:val="nil"/>
              <w:left w:val="nil"/>
              <w:bottom w:val="nil"/>
              <w:right w:val="nil"/>
            </w:tcBorders>
            <w:shd w:val="clear" w:color="auto" w:fill="auto"/>
            <w:noWrap/>
            <w:vAlign w:val="bottom"/>
            <w:hideMark/>
          </w:tcPr>
          <w:p w14:paraId="30BE3374" w14:textId="77777777" w:rsidR="00840AA6" w:rsidRPr="00840AA6" w:rsidRDefault="00840AA6" w:rsidP="00840AA6">
            <w:pPr>
              <w:spacing w:after="0"/>
              <w:jc w:val="right"/>
              <w:rPr>
                <w:rFonts w:ascii="Times New Roman" w:hAnsi="Times New Roman"/>
                <w:color w:val="auto"/>
                <w:sz w:val="20"/>
              </w:rPr>
            </w:pPr>
          </w:p>
        </w:tc>
      </w:tr>
      <w:tr w:rsidR="00840AA6" w:rsidRPr="00840AA6" w14:paraId="5E06C597" w14:textId="77777777" w:rsidTr="00840AA6">
        <w:trPr>
          <w:trHeight w:val="225"/>
        </w:trPr>
        <w:tc>
          <w:tcPr>
            <w:tcW w:w="2920" w:type="dxa"/>
            <w:tcBorders>
              <w:top w:val="nil"/>
              <w:left w:val="nil"/>
              <w:bottom w:val="nil"/>
              <w:right w:val="nil"/>
            </w:tcBorders>
            <w:shd w:val="clear" w:color="auto" w:fill="auto"/>
            <w:noWrap/>
            <w:vAlign w:val="bottom"/>
            <w:hideMark/>
          </w:tcPr>
          <w:p w14:paraId="2DD0812C" w14:textId="77777777" w:rsidR="00840AA6" w:rsidRPr="00840AA6" w:rsidRDefault="00840AA6" w:rsidP="00840AA6">
            <w:pPr>
              <w:spacing w:after="0"/>
              <w:ind w:leftChars="75" w:left="143"/>
              <w:rPr>
                <w:rFonts w:ascii="Arial" w:hAnsi="Arial" w:cs="Arial"/>
                <w:color w:val="auto"/>
                <w:sz w:val="16"/>
                <w:szCs w:val="16"/>
              </w:rPr>
            </w:pPr>
            <w:r w:rsidRPr="00840AA6">
              <w:rPr>
                <w:rFonts w:ascii="Arial" w:hAnsi="Arial" w:cs="Arial"/>
                <w:color w:val="auto"/>
                <w:sz w:val="16"/>
                <w:szCs w:val="16"/>
              </w:rPr>
              <w:t>Depreciation/amortisation expense</w:t>
            </w:r>
          </w:p>
        </w:tc>
        <w:tc>
          <w:tcPr>
            <w:tcW w:w="1020" w:type="dxa"/>
            <w:tcBorders>
              <w:top w:val="nil"/>
              <w:left w:val="nil"/>
              <w:bottom w:val="nil"/>
              <w:right w:val="nil"/>
            </w:tcBorders>
            <w:shd w:val="clear" w:color="auto" w:fill="auto"/>
            <w:noWrap/>
            <w:vAlign w:val="bottom"/>
            <w:hideMark/>
          </w:tcPr>
          <w:p w14:paraId="32F82F81" w14:textId="77777777" w:rsidR="00840AA6" w:rsidRPr="00840AA6" w:rsidRDefault="00840AA6" w:rsidP="00840AA6">
            <w:pPr>
              <w:spacing w:after="0"/>
              <w:jc w:val="right"/>
              <w:rPr>
                <w:rFonts w:ascii="Arial" w:hAnsi="Arial" w:cs="Arial"/>
                <w:color w:val="auto"/>
                <w:sz w:val="16"/>
                <w:szCs w:val="16"/>
              </w:rPr>
            </w:pPr>
            <w:r w:rsidRPr="00840AA6">
              <w:rPr>
                <w:rFonts w:ascii="Arial" w:hAnsi="Arial" w:cs="Arial"/>
                <w:color w:val="auto"/>
                <w:sz w:val="16"/>
                <w:szCs w:val="16"/>
              </w:rPr>
              <w:t>(602)</w:t>
            </w:r>
          </w:p>
        </w:tc>
        <w:tc>
          <w:tcPr>
            <w:tcW w:w="1360" w:type="dxa"/>
            <w:tcBorders>
              <w:top w:val="nil"/>
              <w:left w:val="nil"/>
              <w:bottom w:val="nil"/>
              <w:right w:val="nil"/>
            </w:tcBorders>
            <w:shd w:val="clear" w:color="auto" w:fill="auto"/>
            <w:noWrap/>
            <w:vAlign w:val="bottom"/>
            <w:hideMark/>
          </w:tcPr>
          <w:p w14:paraId="76433C61" w14:textId="77777777" w:rsidR="00840AA6" w:rsidRPr="00840AA6" w:rsidRDefault="00840AA6" w:rsidP="00840AA6">
            <w:pPr>
              <w:spacing w:after="0"/>
              <w:jc w:val="right"/>
              <w:rPr>
                <w:rFonts w:ascii="Arial" w:hAnsi="Arial" w:cs="Arial"/>
                <w:color w:val="auto"/>
                <w:sz w:val="16"/>
                <w:szCs w:val="16"/>
              </w:rPr>
            </w:pPr>
            <w:r w:rsidRPr="00840AA6">
              <w:rPr>
                <w:rFonts w:ascii="Arial" w:hAnsi="Arial" w:cs="Arial"/>
                <w:color w:val="auto"/>
                <w:sz w:val="16"/>
                <w:szCs w:val="16"/>
              </w:rPr>
              <w:t>(953)</w:t>
            </w:r>
          </w:p>
        </w:tc>
        <w:tc>
          <w:tcPr>
            <w:tcW w:w="1020" w:type="dxa"/>
            <w:tcBorders>
              <w:top w:val="nil"/>
              <w:left w:val="nil"/>
              <w:bottom w:val="nil"/>
              <w:right w:val="nil"/>
            </w:tcBorders>
            <w:shd w:val="clear" w:color="auto" w:fill="auto"/>
            <w:noWrap/>
            <w:vAlign w:val="bottom"/>
            <w:hideMark/>
          </w:tcPr>
          <w:p w14:paraId="0C705140" w14:textId="77777777" w:rsidR="00840AA6" w:rsidRPr="00840AA6" w:rsidRDefault="00840AA6" w:rsidP="00840AA6">
            <w:pPr>
              <w:spacing w:after="0"/>
              <w:jc w:val="right"/>
              <w:rPr>
                <w:rFonts w:ascii="Arial" w:hAnsi="Arial" w:cs="Arial"/>
                <w:color w:val="auto"/>
                <w:sz w:val="16"/>
                <w:szCs w:val="16"/>
              </w:rPr>
            </w:pPr>
            <w:r w:rsidRPr="00840AA6">
              <w:rPr>
                <w:rFonts w:ascii="Arial" w:hAnsi="Arial" w:cs="Arial"/>
                <w:color w:val="auto"/>
                <w:sz w:val="16"/>
                <w:szCs w:val="16"/>
              </w:rPr>
              <w:t>(30,540)</w:t>
            </w:r>
          </w:p>
        </w:tc>
        <w:tc>
          <w:tcPr>
            <w:tcW w:w="1020" w:type="dxa"/>
            <w:tcBorders>
              <w:top w:val="nil"/>
              <w:left w:val="nil"/>
              <w:bottom w:val="nil"/>
              <w:right w:val="nil"/>
            </w:tcBorders>
            <w:shd w:val="clear" w:color="auto" w:fill="auto"/>
            <w:noWrap/>
            <w:vAlign w:val="bottom"/>
            <w:hideMark/>
          </w:tcPr>
          <w:p w14:paraId="4BE9A90A" w14:textId="77777777" w:rsidR="00840AA6" w:rsidRPr="00840AA6" w:rsidRDefault="00840AA6" w:rsidP="00840AA6">
            <w:pPr>
              <w:spacing w:after="0"/>
              <w:jc w:val="right"/>
              <w:rPr>
                <w:rFonts w:ascii="Arial" w:hAnsi="Arial" w:cs="Arial"/>
                <w:b/>
                <w:bCs/>
                <w:color w:val="auto"/>
                <w:sz w:val="16"/>
                <w:szCs w:val="16"/>
              </w:rPr>
            </w:pPr>
            <w:r w:rsidRPr="00840AA6">
              <w:rPr>
                <w:rFonts w:ascii="Arial" w:hAnsi="Arial" w:cs="Arial"/>
                <w:b/>
                <w:bCs/>
                <w:color w:val="auto"/>
                <w:sz w:val="16"/>
                <w:szCs w:val="16"/>
              </w:rPr>
              <w:t>(32,095)</w:t>
            </w:r>
          </w:p>
        </w:tc>
      </w:tr>
      <w:tr w:rsidR="00840AA6" w:rsidRPr="00840AA6" w14:paraId="62CE40CF" w14:textId="77777777" w:rsidTr="00840AA6">
        <w:trPr>
          <w:trHeight w:val="450"/>
        </w:trPr>
        <w:tc>
          <w:tcPr>
            <w:tcW w:w="2920" w:type="dxa"/>
            <w:tcBorders>
              <w:top w:val="nil"/>
              <w:left w:val="nil"/>
              <w:bottom w:val="nil"/>
              <w:right w:val="nil"/>
            </w:tcBorders>
            <w:shd w:val="clear" w:color="auto" w:fill="auto"/>
            <w:vAlign w:val="bottom"/>
            <w:hideMark/>
          </w:tcPr>
          <w:p w14:paraId="44D70D58" w14:textId="77777777" w:rsidR="00840AA6" w:rsidRPr="00840AA6" w:rsidRDefault="00840AA6" w:rsidP="00840AA6">
            <w:pPr>
              <w:spacing w:after="0"/>
              <w:ind w:leftChars="75" w:left="143"/>
              <w:rPr>
                <w:rFonts w:ascii="Arial" w:hAnsi="Arial" w:cs="Arial"/>
                <w:color w:val="auto"/>
                <w:sz w:val="16"/>
                <w:szCs w:val="16"/>
              </w:rPr>
            </w:pPr>
            <w:r w:rsidRPr="00840AA6">
              <w:rPr>
                <w:rFonts w:ascii="Arial" w:hAnsi="Arial" w:cs="Arial"/>
                <w:color w:val="auto"/>
                <w:sz w:val="16"/>
                <w:szCs w:val="16"/>
              </w:rPr>
              <w:t xml:space="preserve">Depreciation/amortisation expense - </w:t>
            </w:r>
            <w:proofErr w:type="spellStart"/>
            <w:r w:rsidRPr="00840AA6">
              <w:rPr>
                <w:rFonts w:ascii="Arial" w:hAnsi="Arial" w:cs="Arial"/>
                <w:color w:val="auto"/>
                <w:sz w:val="16"/>
                <w:szCs w:val="16"/>
              </w:rPr>
              <w:t>RoU</w:t>
            </w:r>
            <w:proofErr w:type="spellEnd"/>
          </w:p>
        </w:tc>
        <w:tc>
          <w:tcPr>
            <w:tcW w:w="1020" w:type="dxa"/>
            <w:tcBorders>
              <w:top w:val="nil"/>
              <w:left w:val="nil"/>
              <w:bottom w:val="nil"/>
              <w:right w:val="nil"/>
            </w:tcBorders>
            <w:shd w:val="clear" w:color="auto" w:fill="auto"/>
            <w:noWrap/>
            <w:vAlign w:val="bottom"/>
            <w:hideMark/>
          </w:tcPr>
          <w:p w14:paraId="0927BA7F" w14:textId="77777777" w:rsidR="00840AA6" w:rsidRPr="00840AA6" w:rsidRDefault="00840AA6" w:rsidP="00840AA6">
            <w:pPr>
              <w:spacing w:after="0"/>
              <w:jc w:val="right"/>
              <w:rPr>
                <w:rFonts w:ascii="Arial" w:hAnsi="Arial" w:cs="Arial"/>
                <w:color w:val="auto"/>
                <w:sz w:val="16"/>
                <w:szCs w:val="16"/>
              </w:rPr>
            </w:pPr>
            <w:r w:rsidRPr="00840AA6">
              <w:rPr>
                <w:rFonts w:ascii="Arial" w:hAnsi="Arial" w:cs="Arial"/>
                <w:color w:val="auto"/>
                <w:sz w:val="16"/>
                <w:szCs w:val="16"/>
              </w:rPr>
              <w:t>(3,783)</w:t>
            </w:r>
          </w:p>
        </w:tc>
        <w:tc>
          <w:tcPr>
            <w:tcW w:w="1360" w:type="dxa"/>
            <w:tcBorders>
              <w:top w:val="nil"/>
              <w:left w:val="nil"/>
              <w:bottom w:val="nil"/>
              <w:right w:val="nil"/>
            </w:tcBorders>
            <w:shd w:val="clear" w:color="auto" w:fill="auto"/>
            <w:noWrap/>
            <w:vAlign w:val="bottom"/>
            <w:hideMark/>
          </w:tcPr>
          <w:p w14:paraId="542A3F3A" w14:textId="77777777" w:rsidR="00840AA6" w:rsidRPr="00840AA6" w:rsidRDefault="00840AA6" w:rsidP="00840AA6">
            <w:pPr>
              <w:spacing w:after="0"/>
              <w:jc w:val="right"/>
              <w:rPr>
                <w:rFonts w:ascii="Arial" w:hAnsi="Arial" w:cs="Arial"/>
                <w:color w:val="auto"/>
                <w:sz w:val="16"/>
                <w:szCs w:val="16"/>
              </w:rPr>
            </w:pPr>
            <w:r w:rsidRPr="00840AA6">
              <w:rPr>
                <w:rFonts w:ascii="Arial" w:hAnsi="Arial" w:cs="Arial"/>
                <w:color w:val="auto"/>
                <w:sz w:val="16"/>
                <w:szCs w:val="16"/>
              </w:rPr>
              <w:t>-</w:t>
            </w:r>
          </w:p>
        </w:tc>
        <w:tc>
          <w:tcPr>
            <w:tcW w:w="1020" w:type="dxa"/>
            <w:tcBorders>
              <w:top w:val="nil"/>
              <w:left w:val="nil"/>
              <w:bottom w:val="nil"/>
              <w:right w:val="nil"/>
            </w:tcBorders>
            <w:shd w:val="clear" w:color="auto" w:fill="auto"/>
            <w:noWrap/>
            <w:vAlign w:val="bottom"/>
            <w:hideMark/>
          </w:tcPr>
          <w:p w14:paraId="73C86A89" w14:textId="77777777" w:rsidR="00840AA6" w:rsidRPr="00840AA6" w:rsidRDefault="00840AA6" w:rsidP="00840AA6">
            <w:pPr>
              <w:spacing w:after="0"/>
              <w:jc w:val="right"/>
              <w:rPr>
                <w:rFonts w:ascii="Arial" w:hAnsi="Arial" w:cs="Arial"/>
                <w:color w:val="auto"/>
                <w:sz w:val="16"/>
                <w:szCs w:val="16"/>
              </w:rPr>
            </w:pPr>
            <w:r w:rsidRPr="00840AA6">
              <w:rPr>
                <w:rFonts w:ascii="Arial" w:hAnsi="Arial" w:cs="Arial"/>
                <w:color w:val="auto"/>
                <w:sz w:val="16"/>
                <w:szCs w:val="16"/>
              </w:rPr>
              <w:t>-</w:t>
            </w:r>
          </w:p>
        </w:tc>
        <w:tc>
          <w:tcPr>
            <w:tcW w:w="1020" w:type="dxa"/>
            <w:tcBorders>
              <w:top w:val="nil"/>
              <w:left w:val="nil"/>
              <w:bottom w:val="nil"/>
              <w:right w:val="nil"/>
            </w:tcBorders>
            <w:shd w:val="clear" w:color="auto" w:fill="auto"/>
            <w:noWrap/>
            <w:vAlign w:val="bottom"/>
            <w:hideMark/>
          </w:tcPr>
          <w:p w14:paraId="6AABFB22" w14:textId="77777777" w:rsidR="00840AA6" w:rsidRPr="00840AA6" w:rsidRDefault="00840AA6" w:rsidP="00840AA6">
            <w:pPr>
              <w:spacing w:after="0"/>
              <w:jc w:val="right"/>
              <w:rPr>
                <w:rFonts w:ascii="Arial" w:hAnsi="Arial" w:cs="Arial"/>
                <w:b/>
                <w:bCs/>
                <w:color w:val="auto"/>
                <w:sz w:val="16"/>
                <w:szCs w:val="16"/>
              </w:rPr>
            </w:pPr>
            <w:r w:rsidRPr="00840AA6">
              <w:rPr>
                <w:rFonts w:ascii="Arial" w:hAnsi="Arial" w:cs="Arial"/>
                <w:b/>
                <w:bCs/>
                <w:color w:val="auto"/>
                <w:sz w:val="16"/>
                <w:szCs w:val="16"/>
              </w:rPr>
              <w:t>(3,783)</w:t>
            </w:r>
          </w:p>
        </w:tc>
      </w:tr>
      <w:tr w:rsidR="00840AA6" w:rsidRPr="00840AA6" w14:paraId="7B95D735" w14:textId="77777777" w:rsidTr="00840AA6">
        <w:trPr>
          <w:trHeight w:val="225"/>
        </w:trPr>
        <w:tc>
          <w:tcPr>
            <w:tcW w:w="2920" w:type="dxa"/>
            <w:tcBorders>
              <w:top w:val="nil"/>
              <w:left w:val="nil"/>
              <w:bottom w:val="nil"/>
              <w:right w:val="nil"/>
            </w:tcBorders>
            <w:shd w:val="clear" w:color="auto" w:fill="auto"/>
            <w:noWrap/>
            <w:vAlign w:val="bottom"/>
            <w:hideMark/>
          </w:tcPr>
          <w:p w14:paraId="1D992FE6" w14:textId="77777777" w:rsidR="00840AA6" w:rsidRPr="00840AA6" w:rsidRDefault="00840AA6" w:rsidP="00840AA6">
            <w:pPr>
              <w:spacing w:after="0"/>
              <w:ind w:leftChars="75" w:left="143"/>
              <w:rPr>
                <w:rFonts w:ascii="Arial" w:hAnsi="Arial" w:cs="Arial"/>
                <w:b/>
                <w:bCs/>
                <w:sz w:val="16"/>
                <w:szCs w:val="16"/>
              </w:rPr>
            </w:pPr>
            <w:r w:rsidRPr="00840AA6">
              <w:rPr>
                <w:rFonts w:ascii="Arial" w:hAnsi="Arial" w:cs="Arial"/>
                <w:b/>
                <w:bCs/>
                <w:sz w:val="16"/>
                <w:szCs w:val="16"/>
              </w:rPr>
              <w:t xml:space="preserve">Total </w:t>
            </w:r>
            <w:r w:rsidRPr="00840AA6">
              <w:rPr>
                <w:rFonts w:ascii="Arial" w:hAnsi="Arial" w:cs="Arial"/>
                <w:b/>
                <w:bCs/>
                <w:color w:val="auto"/>
                <w:sz w:val="16"/>
                <w:szCs w:val="16"/>
              </w:rPr>
              <w:t>other</w:t>
            </w:r>
            <w:r w:rsidRPr="00840AA6">
              <w:rPr>
                <w:rFonts w:ascii="Arial" w:hAnsi="Arial" w:cs="Arial"/>
                <w:b/>
                <w:bCs/>
                <w:sz w:val="16"/>
                <w:szCs w:val="16"/>
              </w:rPr>
              <w:t xml:space="preserve"> movements</w:t>
            </w:r>
          </w:p>
        </w:tc>
        <w:tc>
          <w:tcPr>
            <w:tcW w:w="1020" w:type="dxa"/>
            <w:tcBorders>
              <w:top w:val="single" w:sz="4" w:space="0" w:color="auto"/>
              <w:left w:val="nil"/>
              <w:bottom w:val="single" w:sz="4" w:space="0" w:color="auto"/>
              <w:right w:val="nil"/>
            </w:tcBorders>
            <w:shd w:val="clear" w:color="auto" w:fill="auto"/>
            <w:noWrap/>
            <w:vAlign w:val="bottom"/>
            <w:hideMark/>
          </w:tcPr>
          <w:p w14:paraId="18CF5736" w14:textId="77777777" w:rsidR="00840AA6" w:rsidRPr="00840AA6" w:rsidRDefault="00840AA6" w:rsidP="00840AA6">
            <w:pPr>
              <w:spacing w:after="0"/>
              <w:jc w:val="right"/>
              <w:rPr>
                <w:rFonts w:ascii="Arial" w:hAnsi="Arial" w:cs="Arial"/>
                <w:b/>
                <w:bCs/>
                <w:color w:val="auto"/>
                <w:sz w:val="16"/>
                <w:szCs w:val="16"/>
              </w:rPr>
            </w:pPr>
            <w:r w:rsidRPr="00840AA6">
              <w:rPr>
                <w:rFonts w:ascii="Arial" w:hAnsi="Arial" w:cs="Arial"/>
                <w:b/>
                <w:bCs/>
                <w:color w:val="auto"/>
                <w:sz w:val="16"/>
                <w:szCs w:val="16"/>
              </w:rPr>
              <w:t>(4,385)</w:t>
            </w:r>
          </w:p>
        </w:tc>
        <w:tc>
          <w:tcPr>
            <w:tcW w:w="1360" w:type="dxa"/>
            <w:tcBorders>
              <w:top w:val="single" w:sz="4" w:space="0" w:color="auto"/>
              <w:left w:val="nil"/>
              <w:bottom w:val="single" w:sz="4" w:space="0" w:color="auto"/>
              <w:right w:val="nil"/>
            </w:tcBorders>
            <w:shd w:val="clear" w:color="auto" w:fill="auto"/>
            <w:noWrap/>
            <w:vAlign w:val="bottom"/>
            <w:hideMark/>
          </w:tcPr>
          <w:p w14:paraId="65515F1F" w14:textId="77777777" w:rsidR="00840AA6" w:rsidRPr="00840AA6" w:rsidRDefault="00840AA6" w:rsidP="00840AA6">
            <w:pPr>
              <w:spacing w:after="0"/>
              <w:jc w:val="right"/>
              <w:rPr>
                <w:rFonts w:ascii="Arial" w:hAnsi="Arial" w:cs="Arial"/>
                <w:b/>
                <w:bCs/>
                <w:color w:val="auto"/>
                <w:sz w:val="16"/>
                <w:szCs w:val="16"/>
              </w:rPr>
            </w:pPr>
            <w:r w:rsidRPr="00840AA6">
              <w:rPr>
                <w:rFonts w:ascii="Arial" w:hAnsi="Arial" w:cs="Arial"/>
                <w:b/>
                <w:bCs/>
                <w:color w:val="auto"/>
                <w:sz w:val="16"/>
                <w:szCs w:val="16"/>
              </w:rPr>
              <w:t>(953)</w:t>
            </w:r>
          </w:p>
        </w:tc>
        <w:tc>
          <w:tcPr>
            <w:tcW w:w="1020" w:type="dxa"/>
            <w:tcBorders>
              <w:top w:val="single" w:sz="4" w:space="0" w:color="auto"/>
              <w:left w:val="nil"/>
              <w:bottom w:val="single" w:sz="4" w:space="0" w:color="auto"/>
              <w:right w:val="nil"/>
            </w:tcBorders>
            <w:shd w:val="clear" w:color="auto" w:fill="auto"/>
            <w:noWrap/>
            <w:vAlign w:val="bottom"/>
            <w:hideMark/>
          </w:tcPr>
          <w:p w14:paraId="7DBB246A" w14:textId="77777777" w:rsidR="00840AA6" w:rsidRPr="00840AA6" w:rsidRDefault="00840AA6" w:rsidP="00840AA6">
            <w:pPr>
              <w:spacing w:after="0"/>
              <w:jc w:val="right"/>
              <w:rPr>
                <w:rFonts w:ascii="Arial" w:hAnsi="Arial" w:cs="Arial"/>
                <w:b/>
                <w:bCs/>
                <w:color w:val="auto"/>
                <w:sz w:val="16"/>
                <w:szCs w:val="16"/>
              </w:rPr>
            </w:pPr>
            <w:r w:rsidRPr="00840AA6">
              <w:rPr>
                <w:rFonts w:ascii="Arial" w:hAnsi="Arial" w:cs="Arial"/>
                <w:b/>
                <w:bCs/>
                <w:color w:val="auto"/>
                <w:sz w:val="16"/>
                <w:szCs w:val="16"/>
              </w:rPr>
              <w:t>(30,540)</w:t>
            </w:r>
          </w:p>
        </w:tc>
        <w:tc>
          <w:tcPr>
            <w:tcW w:w="1020" w:type="dxa"/>
            <w:tcBorders>
              <w:top w:val="single" w:sz="4" w:space="0" w:color="auto"/>
              <w:left w:val="nil"/>
              <w:bottom w:val="single" w:sz="4" w:space="0" w:color="auto"/>
              <w:right w:val="nil"/>
            </w:tcBorders>
            <w:shd w:val="clear" w:color="auto" w:fill="auto"/>
            <w:noWrap/>
            <w:vAlign w:val="bottom"/>
            <w:hideMark/>
          </w:tcPr>
          <w:p w14:paraId="0F70F5E4" w14:textId="77777777" w:rsidR="00840AA6" w:rsidRPr="00840AA6" w:rsidRDefault="00840AA6" w:rsidP="00840AA6">
            <w:pPr>
              <w:spacing w:after="0"/>
              <w:jc w:val="right"/>
              <w:rPr>
                <w:rFonts w:ascii="Arial" w:hAnsi="Arial" w:cs="Arial"/>
                <w:b/>
                <w:bCs/>
                <w:color w:val="auto"/>
                <w:sz w:val="16"/>
                <w:szCs w:val="16"/>
              </w:rPr>
            </w:pPr>
            <w:r w:rsidRPr="00840AA6">
              <w:rPr>
                <w:rFonts w:ascii="Arial" w:hAnsi="Arial" w:cs="Arial"/>
                <w:b/>
                <w:bCs/>
                <w:color w:val="auto"/>
                <w:sz w:val="16"/>
                <w:szCs w:val="16"/>
              </w:rPr>
              <w:t>(35,878)</w:t>
            </w:r>
          </w:p>
        </w:tc>
      </w:tr>
      <w:tr w:rsidR="00840AA6" w:rsidRPr="00840AA6" w14:paraId="4EEBD4EB" w14:textId="77777777" w:rsidTr="00840AA6">
        <w:trPr>
          <w:trHeight w:val="300"/>
        </w:trPr>
        <w:tc>
          <w:tcPr>
            <w:tcW w:w="2920" w:type="dxa"/>
            <w:tcBorders>
              <w:top w:val="nil"/>
              <w:left w:val="nil"/>
              <w:bottom w:val="nil"/>
              <w:right w:val="nil"/>
            </w:tcBorders>
            <w:shd w:val="clear" w:color="auto" w:fill="auto"/>
            <w:noWrap/>
            <w:vAlign w:val="bottom"/>
            <w:hideMark/>
          </w:tcPr>
          <w:p w14:paraId="3E6E12FA" w14:textId="77777777" w:rsidR="00840AA6" w:rsidRPr="00840AA6" w:rsidRDefault="00840AA6" w:rsidP="00840AA6">
            <w:pPr>
              <w:spacing w:after="0"/>
              <w:rPr>
                <w:rFonts w:ascii="Arial" w:hAnsi="Arial" w:cs="Arial"/>
                <w:b/>
                <w:bCs/>
                <w:color w:val="auto"/>
                <w:sz w:val="16"/>
                <w:szCs w:val="16"/>
              </w:rPr>
            </w:pPr>
            <w:r w:rsidRPr="00840AA6">
              <w:rPr>
                <w:rFonts w:ascii="Arial" w:hAnsi="Arial" w:cs="Arial"/>
                <w:b/>
                <w:bCs/>
                <w:color w:val="auto"/>
                <w:sz w:val="16"/>
                <w:szCs w:val="16"/>
              </w:rPr>
              <w:t>As at 30 June 2023</w:t>
            </w:r>
          </w:p>
        </w:tc>
        <w:tc>
          <w:tcPr>
            <w:tcW w:w="1020" w:type="dxa"/>
            <w:tcBorders>
              <w:top w:val="nil"/>
              <w:left w:val="nil"/>
              <w:bottom w:val="nil"/>
              <w:right w:val="nil"/>
            </w:tcBorders>
            <w:shd w:val="clear" w:color="auto" w:fill="auto"/>
            <w:noWrap/>
            <w:vAlign w:val="bottom"/>
            <w:hideMark/>
          </w:tcPr>
          <w:p w14:paraId="1FDACB14" w14:textId="77777777" w:rsidR="00840AA6" w:rsidRPr="00840AA6" w:rsidRDefault="00840AA6" w:rsidP="00840AA6">
            <w:pPr>
              <w:spacing w:after="0"/>
              <w:rPr>
                <w:rFonts w:ascii="Arial" w:hAnsi="Arial" w:cs="Arial"/>
                <w:b/>
                <w:bCs/>
                <w:color w:val="auto"/>
                <w:sz w:val="16"/>
                <w:szCs w:val="16"/>
              </w:rPr>
            </w:pPr>
          </w:p>
        </w:tc>
        <w:tc>
          <w:tcPr>
            <w:tcW w:w="1360" w:type="dxa"/>
            <w:tcBorders>
              <w:top w:val="nil"/>
              <w:left w:val="nil"/>
              <w:bottom w:val="nil"/>
              <w:right w:val="nil"/>
            </w:tcBorders>
            <w:shd w:val="clear" w:color="auto" w:fill="auto"/>
            <w:noWrap/>
            <w:vAlign w:val="bottom"/>
            <w:hideMark/>
          </w:tcPr>
          <w:p w14:paraId="27AD71F8" w14:textId="77777777" w:rsidR="00840AA6" w:rsidRPr="00840AA6" w:rsidRDefault="00840AA6" w:rsidP="00840AA6">
            <w:pPr>
              <w:spacing w:after="0"/>
              <w:jc w:val="right"/>
              <w:rPr>
                <w:rFonts w:ascii="Times New Roman" w:hAnsi="Times New Roman"/>
                <w:color w:val="auto"/>
                <w:sz w:val="20"/>
              </w:rPr>
            </w:pPr>
          </w:p>
        </w:tc>
        <w:tc>
          <w:tcPr>
            <w:tcW w:w="1020" w:type="dxa"/>
            <w:tcBorders>
              <w:top w:val="nil"/>
              <w:left w:val="nil"/>
              <w:bottom w:val="nil"/>
              <w:right w:val="nil"/>
            </w:tcBorders>
            <w:shd w:val="clear" w:color="auto" w:fill="auto"/>
            <w:noWrap/>
            <w:vAlign w:val="bottom"/>
            <w:hideMark/>
          </w:tcPr>
          <w:p w14:paraId="43F9F74F" w14:textId="77777777" w:rsidR="00840AA6" w:rsidRPr="00840AA6" w:rsidRDefault="00840AA6" w:rsidP="00840AA6">
            <w:pPr>
              <w:spacing w:after="0"/>
              <w:jc w:val="right"/>
              <w:rPr>
                <w:rFonts w:ascii="Times New Roman" w:hAnsi="Times New Roman"/>
                <w:color w:val="auto"/>
                <w:sz w:val="20"/>
              </w:rPr>
            </w:pPr>
          </w:p>
        </w:tc>
        <w:tc>
          <w:tcPr>
            <w:tcW w:w="1020" w:type="dxa"/>
            <w:tcBorders>
              <w:top w:val="nil"/>
              <w:left w:val="nil"/>
              <w:bottom w:val="nil"/>
              <w:right w:val="nil"/>
            </w:tcBorders>
            <w:shd w:val="clear" w:color="auto" w:fill="auto"/>
            <w:noWrap/>
            <w:vAlign w:val="bottom"/>
            <w:hideMark/>
          </w:tcPr>
          <w:p w14:paraId="67915EB9" w14:textId="77777777" w:rsidR="00840AA6" w:rsidRPr="00840AA6" w:rsidRDefault="00840AA6" w:rsidP="00840AA6">
            <w:pPr>
              <w:spacing w:after="0"/>
              <w:jc w:val="right"/>
              <w:rPr>
                <w:rFonts w:ascii="Times New Roman" w:hAnsi="Times New Roman"/>
                <w:color w:val="auto"/>
                <w:sz w:val="20"/>
              </w:rPr>
            </w:pPr>
          </w:p>
        </w:tc>
      </w:tr>
      <w:tr w:rsidR="00840AA6" w:rsidRPr="00840AA6" w14:paraId="749513DF" w14:textId="77777777" w:rsidTr="00840AA6">
        <w:trPr>
          <w:trHeight w:val="225"/>
        </w:trPr>
        <w:tc>
          <w:tcPr>
            <w:tcW w:w="2920" w:type="dxa"/>
            <w:tcBorders>
              <w:top w:val="nil"/>
              <w:left w:val="nil"/>
              <w:bottom w:val="nil"/>
              <w:right w:val="nil"/>
            </w:tcBorders>
            <w:shd w:val="clear" w:color="auto" w:fill="auto"/>
            <w:noWrap/>
            <w:vAlign w:val="bottom"/>
            <w:hideMark/>
          </w:tcPr>
          <w:p w14:paraId="485422EC" w14:textId="77777777" w:rsidR="00840AA6" w:rsidRPr="00840AA6" w:rsidRDefault="00840AA6" w:rsidP="00840AA6">
            <w:pPr>
              <w:spacing w:after="0"/>
              <w:ind w:leftChars="75" w:left="143"/>
              <w:rPr>
                <w:rFonts w:ascii="Arial" w:hAnsi="Arial" w:cs="Arial"/>
                <w:color w:val="auto"/>
                <w:sz w:val="16"/>
                <w:szCs w:val="16"/>
              </w:rPr>
            </w:pPr>
            <w:r w:rsidRPr="00840AA6">
              <w:rPr>
                <w:rFonts w:ascii="Arial" w:hAnsi="Arial" w:cs="Arial"/>
                <w:color w:val="auto"/>
                <w:sz w:val="16"/>
                <w:szCs w:val="16"/>
              </w:rPr>
              <w:t>Gross book value</w:t>
            </w:r>
          </w:p>
        </w:tc>
        <w:tc>
          <w:tcPr>
            <w:tcW w:w="1020" w:type="dxa"/>
            <w:tcBorders>
              <w:top w:val="nil"/>
              <w:left w:val="nil"/>
              <w:bottom w:val="nil"/>
              <w:right w:val="nil"/>
            </w:tcBorders>
            <w:shd w:val="clear" w:color="auto" w:fill="auto"/>
            <w:noWrap/>
            <w:vAlign w:val="bottom"/>
            <w:hideMark/>
          </w:tcPr>
          <w:p w14:paraId="5ECC929F" w14:textId="77777777" w:rsidR="00840AA6" w:rsidRPr="00840AA6" w:rsidRDefault="00840AA6" w:rsidP="00840AA6">
            <w:pPr>
              <w:spacing w:after="0"/>
              <w:jc w:val="right"/>
              <w:rPr>
                <w:rFonts w:ascii="Arial" w:hAnsi="Arial" w:cs="Arial"/>
                <w:color w:val="auto"/>
                <w:sz w:val="16"/>
                <w:szCs w:val="16"/>
              </w:rPr>
            </w:pPr>
            <w:r w:rsidRPr="00840AA6">
              <w:rPr>
                <w:rFonts w:ascii="Arial" w:hAnsi="Arial" w:cs="Arial"/>
                <w:color w:val="auto"/>
                <w:sz w:val="16"/>
                <w:szCs w:val="16"/>
              </w:rPr>
              <w:t>5,831</w:t>
            </w:r>
          </w:p>
        </w:tc>
        <w:tc>
          <w:tcPr>
            <w:tcW w:w="1360" w:type="dxa"/>
            <w:tcBorders>
              <w:top w:val="nil"/>
              <w:left w:val="nil"/>
              <w:bottom w:val="nil"/>
              <w:right w:val="nil"/>
            </w:tcBorders>
            <w:shd w:val="clear" w:color="auto" w:fill="auto"/>
            <w:noWrap/>
            <w:vAlign w:val="bottom"/>
            <w:hideMark/>
          </w:tcPr>
          <w:p w14:paraId="6921C443" w14:textId="77777777" w:rsidR="00840AA6" w:rsidRPr="00840AA6" w:rsidRDefault="00840AA6" w:rsidP="00840AA6">
            <w:pPr>
              <w:spacing w:after="0"/>
              <w:jc w:val="right"/>
              <w:rPr>
                <w:rFonts w:ascii="Arial" w:hAnsi="Arial" w:cs="Arial"/>
                <w:color w:val="auto"/>
                <w:sz w:val="16"/>
                <w:szCs w:val="16"/>
              </w:rPr>
            </w:pPr>
            <w:r w:rsidRPr="00840AA6">
              <w:rPr>
                <w:rFonts w:ascii="Arial" w:hAnsi="Arial" w:cs="Arial"/>
                <w:color w:val="auto"/>
                <w:sz w:val="16"/>
                <w:szCs w:val="16"/>
              </w:rPr>
              <w:t>5,265</w:t>
            </w:r>
          </w:p>
        </w:tc>
        <w:tc>
          <w:tcPr>
            <w:tcW w:w="1020" w:type="dxa"/>
            <w:tcBorders>
              <w:top w:val="nil"/>
              <w:left w:val="nil"/>
              <w:bottom w:val="nil"/>
              <w:right w:val="nil"/>
            </w:tcBorders>
            <w:shd w:val="clear" w:color="auto" w:fill="auto"/>
            <w:noWrap/>
            <w:vAlign w:val="bottom"/>
            <w:hideMark/>
          </w:tcPr>
          <w:p w14:paraId="4F732AC3" w14:textId="77777777" w:rsidR="00840AA6" w:rsidRPr="00840AA6" w:rsidRDefault="00840AA6" w:rsidP="00840AA6">
            <w:pPr>
              <w:spacing w:after="0"/>
              <w:jc w:val="right"/>
              <w:rPr>
                <w:rFonts w:ascii="Arial" w:hAnsi="Arial" w:cs="Arial"/>
                <w:color w:val="auto"/>
                <w:sz w:val="16"/>
                <w:szCs w:val="16"/>
              </w:rPr>
            </w:pPr>
            <w:r w:rsidRPr="00840AA6">
              <w:rPr>
                <w:rFonts w:ascii="Arial" w:hAnsi="Arial" w:cs="Arial"/>
                <w:color w:val="auto"/>
                <w:sz w:val="16"/>
                <w:szCs w:val="16"/>
              </w:rPr>
              <w:t>230,059</w:t>
            </w:r>
          </w:p>
        </w:tc>
        <w:tc>
          <w:tcPr>
            <w:tcW w:w="1020" w:type="dxa"/>
            <w:tcBorders>
              <w:top w:val="nil"/>
              <w:left w:val="nil"/>
              <w:bottom w:val="nil"/>
              <w:right w:val="nil"/>
            </w:tcBorders>
            <w:shd w:val="clear" w:color="auto" w:fill="auto"/>
            <w:noWrap/>
            <w:vAlign w:val="bottom"/>
            <w:hideMark/>
          </w:tcPr>
          <w:p w14:paraId="103C4E50" w14:textId="77777777" w:rsidR="00840AA6" w:rsidRPr="00840AA6" w:rsidRDefault="00840AA6" w:rsidP="00840AA6">
            <w:pPr>
              <w:spacing w:after="0"/>
              <w:jc w:val="right"/>
              <w:rPr>
                <w:rFonts w:ascii="Arial" w:hAnsi="Arial" w:cs="Arial"/>
                <w:b/>
                <w:bCs/>
                <w:color w:val="auto"/>
                <w:sz w:val="16"/>
                <w:szCs w:val="16"/>
              </w:rPr>
            </w:pPr>
            <w:r w:rsidRPr="00840AA6">
              <w:rPr>
                <w:rFonts w:ascii="Arial" w:hAnsi="Arial" w:cs="Arial"/>
                <w:b/>
                <w:bCs/>
                <w:color w:val="auto"/>
                <w:sz w:val="16"/>
                <w:szCs w:val="16"/>
              </w:rPr>
              <w:t>241,155</w:t>
            </w:r>
          </w:p>
        </w:tc>
      </w:tr>
      <w:tr w:rsidR="00840AA6" w:rsidRPr="00840AA6" w14:paraId="15D06738" w14:textId="77777777" w:rsidTr="00840AA6">
        <w:trPr>
          <w:trHeight w:val="225"/>
        </w:trPr>
        <w:tc>
          <w:tcPr>
            <w:tcW w:w="2920" w:type="dxa"/>
            <w:tcBorders>
              <w:top w:val="nil"/>
              <w:left w:val="nil"/>
              <w:bottom w:val="nil"/>
              <w:right w:val="nil"/>
            </w:tcBorders>
            <w:shd w:val="clear" w:color="auto" w:fill="auto"/>
            <w:noWrap/>
            <w:vAlign w:val="bottom"/>
            <w:hideMark/>
          </w:tcPr>
          <w:p w14:paraId="162856CA" w14:textId="77777777" w:rsidR="00840AA6" w:rsidRPr="00840AA6" w:rsidRDefault="00840AA6" w:rsidP="00840AA6">
            <w:pPr>
              <w:spacing w:after="0"/>
              <w:ind w:leftChars="75" w:left="143"/>
              <w:rPr>
                <w:rFonts w:ascii="Arial" w:hAnsi="Arial" w:cs="Arial"/>
                <w:color w:val="auto"/>
                <w:sz w:val="16"/>
                <w:szCs w:val="16"/>
              </w:rPr>
            </w:pPr>
            <w:r w:rsidRPr="00840AA6">
              <w:rPr>
                <w:rFonts w:ascii="Arial" w:hAnsi="Arial" w:cs="Arial"/>
                <w:color w:val="auto"/>
                <w:sz w:val="16"/>
                <w:szCs w:val="16"/>
              </w:rPr>
              <w:t xml:space="preserve">Gross book value - </w:t>
            </w:r>
            <w:proofErr w:type="spellStart"/>
            <w:r w:rsidRPr="00840AA6">
              <w:rPr>
                <w:rFonts w:ascii="Arial" w:hAnsi="Arial" w:cs="Arial"/>
                <w:color w:val="auto"/>
                <w:sz w:val="16"/>
                <w:szCs w:val="16"/>
              </w:rPr>
              <w:t>RoU</w:t>
            </w:r>
            <w:proofErr w:type="spellEnd"/>
          </w:p>
        </w:tc>
        <w:tc>
          <w:tcPr>
            <w:tcW w:w="1020" w:type="dxa"/>
            <w:tcBorders>
              <w:top w:val="nil"/>
              <w:left w:val="nil"/>
              <w:bottom w:val="nil"/>
              <w:right w:val="nil"/>
            </w:tcBorders>
            <w:shd w:val="clear" w:color="auto" w:fill="auto"/>
            <w:noWrap/>
            <w:vAlign w:val="bottom"/>
            <w:hideMark/>
          </w:tcPr>
          <w:p w14:paraId="249631C4" w14:textId="77777777" w:rsidR="00840AA6" w:rsidRPr="00840AA6" w:rsidRDefault="00840AA6" w:rsidP="00840AA6">
            <w:pPr>
              <w:spacing w:after="0"/>
              <w:jc w:val="right"/>
              <w:rPr>
                <w:rFonts w:ascii="Arial" w:hAnsi="Arial" w:cs="Arial"/>
                <w:color w:val="auto"/>
                <w:sz w:val="16"/>
                <w:szCs w:val="16"/>
              </w:rPr>
            </w:pPr>
            <w:r w:rsidRPr="00840AA6">
              <w:rPr>
                <w:rFonts w:ascii="Arial" w:hAnsi="Arial" w:cs="Arial"/>
                <w:color w:val="auto"/>
                <w:sz w:val="16"/>
                <w:szCs w:val="16"/>
              </w:rPr>
              <w:t>21,237</w:t>
            </w:r>
          </w:p>
        </w:tc>
        <w:tc>
          <w:tcPr>
            <w:tcW w:w="1360" w:type="dxa"/>
            <w:tcBorders>
              <w:top w:val="nil"/>
              <w:left w:val="nil"/>
              <w:bottom w:val="nil"/>
              <w:right w:val="nil"/>
            </w:tcBorders>
            <w:shd w:val="clear" w:color="auto" w:fill="auto"/>
            <w:noWrap/>
            <w:vAlign w:val="bottom"/>
            <w:hideMark/>
          </w:tcPr>
          <w:p w14:paraId="30FFF064" w14:textId="77777777" w:rsidR="00840AA6" w:rsidRPr="00840AA6" w:rsidRDefault="00840AA6" w:rsidP="00840AA6">
            <w:pPr>
              <w:spacing w:after="0"/>
              <w:jc w:val="right"/>
              <w:rPr>
                <w:rFonts w:ascii="Arial" w:hAnsi="Arial" w:cs="Arial"/>
                <w:color w:val="auto"/>
                <w:sz w:val="16"/>
                <w:szCs w:val="16"/>
              </w:rPr>
            </w:pPr>
            <w:r w:rsidRPr="00840AA6">
              <w:rPr>
                <w:rFonts w:ascii="Arial" w:hAnsi="Arial" w:cs="Arial"/>
                <w:color w:val="auto"/>
                <w:sz w:val="16"/>
                <w:szCs w:val="16"/>
              </w:rPr>
              <w:t>-</w:t>
            </w:r>
          </w:p>
        </w:tc>
        <w:tc>
          <w:tcPr>
            <w:tcW w:w="1020" w:type="dxa"/>
            <w:tcBorders>
              <w:top w:val="nil"/>
              <w:left w:val="nil"/>
              <w:bottom w:val="nil"/>
              <w:right w:val="nil"/>
            </w:tcBorders>
            <w:shd w:val="clear" w:color="auto" w:fill="auto"/>
            <w:noWrap/>
            <w:vAlign w:val="bottom"/>
            <w:hideMark/>
          </w:tcPr>
          <w:p w14:paraId="65B5EB0B" w14:textId="77777777" w:rsidR="00840AA6" w:rsidRPr="00840AA6" w:rsidRDefault="00840AA6" w:rsidP="00840AA6">
            <w:pPr>
              <w:spacing w:after="0"/>
              <w:jc w:val="right"/>
              <w:rPr>
                <w:rFonts w:ascii="Arial" w:hAnsi="Arial" w:cs="Arial"/>
                <w:color w:val="auto"/>
                <w:sz w:val="16"/>
                <w:szCs w:val="16"/>
              </w:rPr>
            </w:pPr>
            <w:r w:rsidRPr="00840AA6">
              <w:rPr>
                <w:rFonts w:ascii="Arial" w:hAnsi="Arial" w:cs="Arial"/>
                <w:color w:val="auto"/>
                <w:sz w:val="16"/>
                <w:szCs w:val="16"/>
              </w:rPr>
              <w:t>-</w:t>
            </w:r>
          </w:p>
        </w:tc>
        <w:tc>
          <w:tcPr>
            <w:tcW w:w="1020" w:type="dxa"/>
            <w:tcBorders>
              <w:top w:val="nil"/>
              <w:left w:val="nil"/>
              <w:bottom w:val="nil"/>
              <w:right w:val="nil"/>
            </w:tcBorders>
            <w:shd w:val="clear" w:color="auto" w:fill="auto"/>
            <w:noWrap/>
            <w:vAlign w:val="bottom"/>
            <w:hideMark/>
          </w:tcPr>
          <w:p w14:paraId="0F06E01D" w14:textId="77777777" w:rsidR="00840AA6" w:rsidRPr="00840AA6" w:rsidRDefault="00840AA6" w:rsidP="00840AA6">
            <w:pPr>
              <w:spacing w:after="0"/>
              <w:jc w:val="right"/>
              <w:rPr>
                <w:rFonts w:ascii="Arial" w:hAnsi="Arial" w:cs="Arial"/>
                <w:b/>
                <w:bCs/>
                <w:color w:val="auto"/>
                <w:sz w:val="16"/>
                <w:szCs w:val="16"/>
              </w:rPr>
            </w:pPr>
            <w:r w:rsidRPr="00840AA6">
              <w:rPr>
                <w:rFonts w:ascii="Arial" w:hAnsi="Arial" w:cs="Arial"/>
                <w:b/>
                <w:bCs/>
                <w:color w:val="auto"/>
                <w:sz w:val="16"/>
                <w:szCs w:val="16"/>
              </w:rPr>
              <w:t>21,237</w:t>
            </w:r>
          </w:p>
        </w:tc>
      </w:tr>
      <w:tr w:rsidR="00840AA6" w:rsidRPr="00840AA6" w14:paraId="649B4AEE" w14:textId="77777777" w:rsidTr="00840AA6">
        <w:trPr>
          <w:trHeight w:val="450"/>
        </w:trPr>
        <w:tc>
          <w:tcPr>
            <w:tcW w:w="2920" w:type="dxa"/>
            <w:tcBorders>
              <w:top w:val="nil"/>
              <w:left w:val="nil"/>
              <w:bottom w:val="nil"/>
              <w:right w:val="nil"/>
            </w:tcBorders>
            <w:shd w:val="clear" w:color="auto" w:fill="auto"/>
            <w:vAlign w:val="bottom"/>
            <w:hideMark/>
          </w:tcPr>
          <w:p w14:paraId="77148909" w14:textId="77777777" w:rsidR="00840AA6" w:rsidRPr="00840AA6" w:rsidRDefault="00840AA6" w:rsidP="00840AA6">
            <w:pPr>
              <w:spacing w:after="0"/>
              <w:ind w:leftChars="75" w:left="143"/>
              <w:rPr>
                <w:rFonts w:ascii="Arial" w:hAnsi="Arial" w:cs="Arial"/>
                <w:color w:val="auto"/>
                <w:sz w:val="16"/>
                <w:szCs w:val="16"/>
              </w:rPr>
            </w:pPr>
            <w:r w:rsidRPr="00840AA6">
              <w:rPr>
                <w:rFonts w:ascii="Arial" w:hAnsi="Arial" w:cs="Arial"/>
                <w:color w:val="auto"/>
                <w:sz w:val="16"/>
                <w:szCs w:val="16"/>
              </w:rPr>
              <w:t>Accumulated depreciation/</w:t>
            </w:r>
            <w:r w:rsidRPr="00840AA6">
              <w:rPr>
                <w:rFonts w:ascii="Arial" w:hAnsi="Arial" w:cs="Arial"/>
                <w:color w:val="auto"/>
                <w:sz w:val="16"/>
                <w:szCs w:val="16"/>
              </w:rPr>
              <w:br/>
              <w:t>amortisation and impairment</w:t>
            </w:r>
          </w:p>
        </w:tc>
        <w:tc>
          <w:tcPr>
            <w:tcW w:w="1020" w:type="dxa"/>
            <w:tcBorders>
              <w:top w:val="nil"/>
              <w:left w:val="nil"/>
              <w:bottom w:val="nil"/>
              <w:right w:val="nil"/>
            </w:tcBorders>
            <w:shd w:val="clear" w:color="auto" w:fill="auto"/>
            <w:noWrap/>
            <w:vAlign w:val="bottom"/>
            <w:hideMark/>
          </w:tcPr>
          <w:p w14:paraId="69DA193A" w14:textId="77777777" w:rsidR="00840AA6" w:rsidRPr="00840AA6" w:rsidRDefault="00840AA6" w:rsidP="00840AA6">
            <w:pPr>
              <w:spacing w:after="0"/>
              <w:jc w:val="right"/>
              <w:rPr>
                <w:rFonts w:ascii="Arial" w:hAnsi="Arial" w:cs="Arial"/>
                <w:color w:val="auto"/>
                <w:sz w:val="16"/>
                <w:szCs w:val="16"/>
              </w:rPr>
            </w:pPr>
            <w:r w:rsidRPr="00840AA6">
              <w:rPr>
                <w:rFonts w:ascii="Arial" w:hAnsi="Arial" w:cs="Arial"/>
                <w:color w:val="auto"/>
                <w:sz w:val="16"/>
                <w:szCs w:val="16"/>
              </w:rPr>
              <w:t>(2,205)</w:t>
            </w:r>
          </w:p>
        </w:tc>
        <w:tc>
          <w:tcPr>
            <w:tcW w:w="1360" w:type="dxa"/>
            <w:tcBorders>
              <w:top w:val="nil"/>
              <w:left w:val="nil"/>
              <w:bottom w:val="nil"/>
              <w:right w:val="nil"/>
            </w:tcBorders>
            <w:shd w:val="clear" w:color="auto" w:fill="auto"/>
            <w:noWrap/>
            <w:vAlign w:val="bottom"/>
            <w:hideMark/>
          </w:tcPr>
          <w:p w14:paraId="6F06A2C1" w14:textId="77777777" w:rsidR="00840AA6" w:rsidRPr="00840AA6" w:rsidRDefault="00840AA6" w:rsidP="00840AA6">
            <w:pPr>
              <w:spacing w:after="0"/>
              <w:jc w:val="right"/>
              <w:rPr>
                <w:rFonts w:ascii="Arial" w:hAnsi="Arial" w:cs="Arial"/>
                <w:color w:val="auto"/>
                <w:sz w:val="16"/>
                <w:szCs w:val="16"/>
              </w:rPr>
            </w:pPr>
            <w:r w:rsidRPr="00840AA6">
              <w:rPr>
                <w:rFonts w:ascii="Arial" w:hAnsi="Arial" w:cs="Arial"/>
                <w:color w:val="auto"/>
                <w:sz w:val="16"/>
                <w:szCs w:val="16"/>
              </w:rPr>
              <w:t>(2,247)</w:t>
            </w:r>
          </w:p>
        </w:tc>
        <w:tc>
          <w:tcPr>
            <w:tcW w:w="1020" w:type="dxa"/>
            <w:tcBorders>
              <w:top w:val="nil"/>
              <w:left w:val="nil"/>
              <w:bottom w:val="nil"/>
              <w:right w:val="nil"/>
            </w:tcBorders>
            <w:shd w:val="clear" w:color="auto" w:fill="auto"/>
            <w:noWrap/>
            <w:vAlign w:val="bottom"/>
            <w:hideMark/>
          </w:tcPr>
          <w:p w14:paraId="6C9EBA66" w14:textId="77777777" w:rsidR="00840AA6" w:rsidRPr="00840AA6" w:rsidRDefault="00840AA6" w:rsidP="00840AA6">
            <w:pPr>
              <w:spacing w:after="0"/>
              <w:jc w:val="right"/>
              <w:rPr>
                <w:rFonts w:ascii="Arial" w:hAnsi="Arial" w:cs="Arial"/>
                <w:color w:val="auto"/>
                <w:sz w:val="16"/>
                <w:szCs w:val="16"/>
              </w:rPr>
            </w:pPr>
            <w:r w:rsidRPr="00840AA6">
              <w:rPr>
                <w:rFonts w:ascii="Arial" w:hAnsi="Arial" w:cs="Arial"/>
                <w:color w:val="auto"/>
                <w:sz w:val="16"/>
                <w:szCs w:val="16"/>
              </w:rPr>
              <w:t>(179,279)</w:t>
            </w:r>
          </w:p>
        </w:tc>
        <w:tc>
          <w:tcPr>
            <w:tcW w:w="1020" w:type="dxa"/>
            <w:tcBorders>
              <w:top w:val="nil"/>
              <w:left w:val="nil"/>
              <w:bottom w:val="nil"/>
              <w:right w:val="nil"/>
            </w:tcBorders>
            <w:shd w:val="clear" w:color="auto" w:fill="auto"/>
            <w:noWrap/>
            <w:vAlign w:val="bottom"/>
            <w:hideMark/>
          </w:tcPr>
          <w:p w14:paraId="2061D7AA" w14:textId="77777777" w:rsidR="00840AA6" w:rsidRPr="00840AA6" w:rsidRDefault="00840AA6" w:rsidP="00840AA6">
            <w:pPr>
              <w:spacing w:after="0"/>
              <w:jc w:val="right"/>
              <w:rPr>
                <w:rFonts w:ascii="Arial" w:hAnsi="Arial" w:cs="Arial"/>
                <w:b/>
                <w:bCs/>
                <w:color w:val="auto"/>
                <w:sz w:val="16"/>
                <w:szCs w:val="16"/>
              </w:rPr>
            </w:pPr>
            <w:r w:rsidRPr="00840AA6">
              <w:rPr>
                <w:rFonts w:ascii="Arial" w:hAnsi="Arial" w:cs="Arial"/>
                <w:b/>
                <w:bCs/>
                <w:color w:val="auto"/>
                <w:sz w:val="16"/>
                <w:szCs w:val="16"/>
              </w:rPr>
              <w:t>(183,731)</w:t>
            </w:r>
          </w:p>
        </w:tc>
      </w:tr>
      <w:tr w:rsidR="00840AA6" w:rsidRPr="00840AA6" w14:paraId="4FC7BB9C" w14:textId="77777777" w:rsidTr="00840AA6">
        <w:trPr>
          <w:trHeight w:val="450"/>
        </w:trPr>
        <w:tc>
          <w:tcPr>
            <w:tcW w:w="2920" w:type="dxa"/>
            <w:tcBorders>
              <w:top w:val="nil"/>
              <w:left w:val="nil"/>
              <w:bottom w:val="nil"/>
              <w:right w:val="nil"/>
            </w:tcBorders>
            <w:shd w:val="clear" w:color="auto" w:fill="auto"/>
            <w:vAlign w:val="bottom"/>
            <w:hideMark/>
          </w:tcPr>
          <w:p w14:paraId="349672D0" w14:textId="77777777" w:rsidR="00840AA6" w:rsidRPr="00840AA6" w:rsidRDefault="00840AA6" w:rsidP="00840AA6">
            <w:pPr>
              <w:spacing w:after="0"/>
              <w:ind w:leftChars="75" w:left="143"/>
              <w:rPr>
                <w:rFonts w:ascii="Arial" w:hAnsi="Arial" w:cs="Arial"/>
                <w:color w:val="auto"/>
                <w:sz w:val="16"/>
                <w:szCs w:val="16"/>
              </w:rPr>
            </w:pPr>
            <w:r w:rsidRPr="00840AA6">
              <w:rPr>
                <w:rFonts w:ascii="Arial" w:hAnsi="Arial" w:cs="Arial"/>
                <w:color w:val="auto"/>
                <w:sz w:val="16"/>
                <w:szCs w:val="16"/>
              </w:rPr>
              <w:t>Accumulated depreciation/</w:t>
            </w:r>
            <w:r w:rsidRPr="00840AA6">
              <w:rPr>
                <w:rFonts w:ascii="Arial" w:hAnsi="Arial" w:cs="Arial"/>
                <w:color w:val="auto"/>
                <w:sz w:val="16"/>
                <w:szCs w:val="16"/>
              </w:rPr>
              <w:br/>
              <w:t xml:space="preserve">amortisation and impairment - </w:t>
            </w:r>
            <w:proofErr w:type="spellStart"/>
            <w:r w:rsidRPr="00840AA6">
              <w:rPr>
                <w:rFonts w:ascii="Arial" w:hAnsi="Arial" w:cs="Arial"/>
                <w:color w:val="auto"/>
                <w:sz w:val="16"/>
                <w:szCs w:val="16"/>
              </w:rPr>
              <w:t>RoU</w:t>
            </w:r>
            <w:proofErr w:type="spellEnd"/>
          </w:p>
        </w:tc>
        <w:tc>
          <w:tcPr>
            <w:tcW w:w="1020" w:type="dxa"/>
            <w:tcBorders>
              <w:top w:val="nil"/>
              <w:left w:val="nil"/>
              <w:bottom w:val="single" w:sz="4" w:space="0" w:color="auto"/>
              <w:right w:val="nil"/>
            </w:tcBorders>
            <w:shd w:val="clear" w:color="auto" w:fill="auto"/>
            <w:noWrap/>
            <w:vAlign w:val="bottom"/>
            <w:hideMark/>
          </w:tcPr>
          <w:p w14:paraId="0ABF740D" w14:textId="77777777" w:rsidR="00840AA6" w:rsidRPr="00840AA6" w:rsidRDefault="00840AA6" w:rsidP="00840AA6">
            <w:pPr>
              <w:spacing w:after="0"/>
              <w:jc w:val="right"/>
              <w:rPr>
                <w:rFonts w:ascii="Arial" w:hAnsi="Arial" w:cs="Arial"/>
                <w:color w:val="auto"/>
                <w:sz w:val="16"/>
                <w:szCs w:val="16"/>
              </w:rPr>
            </w:pPr>
            <w:r w:rsidRPr="00840AA6">
              <w:rPr>
                <w:rFonts w:ascii="Arial" w:hAnsi="Arial" w:cs="Arial"/>
                <w:color w:val="auto"/>
                <w:sz w:val="16"/>
                <w:szCs w:val="16"/>
              </w:rPr>
              <w:t>(16,016)</w:t>
            </w:r>
          </w:p>
        </w:tc>
        <w:tc>
          <w:tcPr>
            <w:tcW w:w="1360" w:type="dxa"/>
            <w:tcBorders>
              <w:top w:val="nil"/>
              <w:left w:val="nil"/>
              <w:bottom w:val="single" w:sz="4" w:space="0" w:color="auto"/>
              <w:right w:val="nil"/>
            </w:tcBorders>
            <w:shd w:val="clear" w:color="auto" w:fill="auto"/>
            <w:noWrap/>
            <w:vAlign w:val="bottom"/>
            <w:hideMark/>
          </w:tcPr>
          <w:p w14:paraId="6DD3CC12" w14:textId="77777777" w:rsidR="00840AA6" w:rsidRPr="00840AA6" w:rsidRDefault="00840AA6" w:rsidP="00840AA6">
            <w:pPr>
              <w:spacing w:after="0"/>
              <w:jc w:val="right"/>
              <w:rPr>
                <w:rFonts w:ascii="Arial" w:hAnsi="Arial" w:cs="Arial"/>
                <w:color w:val="auto"/>
                <w:sz w:val="16"/>
                <w:szCs w:val="16"/>
              </w:rPr>
            </w:pPr>
            <w:r w:rsidRPr="00840AA6">
              <w:rPr>
                <w:rFonts w:ascii="Arial" w:hAnsi="Arial" w:cs="Arial"/>
                <w:color w:val="auto"/>
                <w:sz w:val="16"/>
                <w:szCs w:val="16"/>
              </w:rPr>
              <w:t>-</w:t>
            </w:r>
          </w:p>
        </w:tc>
        <w:tc>
          <w:tcPr>
            <w:tcW w:w="1020" w:type="dxa"/>
            <w:tcBorders>
              <w:top w:val="nil"/>
              <w:left w:val="nil"/>
              <w:bottom w:val="single" w:sz="4" w:space="0" w:color="auto"/>
              <w:right w:val="nil"/>
            </w:tcBorders>
            <w:shd w:val="clear" w:color="auto" w:fill="auto"/>
            <w:noWrap/>
            <w:vAlign w:val="bottom"/>
            <w:hideMark/>
          </w:tcPr>
          <w:p w14:paraId="7148B4F7" w14:textId="77777777" w:rsidR="00840AA6" w:rsidRPr="00840AA6" w:rsidRDefault="00840AA6" w:rsidP="00840AA6">
            <w:pPr>
              <w:spacing w:after="0"/>
              <w:jc w:val="right"/>
              <w:rPr>
                <w:rFonts w:ascii="Arial" w:hAnsi="Arial" w:cs="Arial"/>
                <w:color w:val="auto"/>
                <w:sz w:val="16"/>
                <w:szCs w:val="16"/>
              </w:rPr>
            </w:pPr>
            <w:r w:rsidRPr="00840AA6">
              <w:rPr>
                <w:rFonts w:ascii="Arial" w:hAnsi="Arial" w:cs="Arial"/>
                <w:color w:val="auto"/>
                <w:sz w:val="16"/>
                <w:szCs w:val="16"/>
              </w:rPr>
              <w:t>-</w:t>
            </w:r>
          </w:p>
        </w:tc>
        <w:tc>
          <w:tcPr>
            <w:tcW w:w="1020" w:type="dxa"/>
            <w:tcBorders>
              <w:top w:val="nil"/>
              <w:left w:val="nil"/>
              <w:bottom w:val="single" w:sz="4" w:space="0" w:color="auto"/>
              <w:right w:val="nil"/>
            </w:tcBorders>
            <w:shd w:val="clear" w:color="auto" w:fill="auto"/>
            <w:noWrap/>
            <w:vAlign w:val="bottom"/>
            <w:hideMark/>
          </w:tcPr>
          <w:p w14:paraId="0D534D43" w14:textId="77777777" w:rsidR="00840AA6" w:rsidRPr="00840AA6" w:rsidRDefault="00840AA6" w:rsidP="00840AA6">
            <w:pPr>
              <w:spacing w:after="0"/>
              <w:jc w:val="right"/>
              <w:rPr>
                <w:rFonts w:ascii="Arial" w:hAnsi="Arial" w:cs="Arial"/>
                <w:b/>
                <w:bCs/>
                <w:color w:val="auto"/>
                <w:sz w:val="16"/>
                <w:szCs w:val="16"/>
              </w:rPr>
            </w:pPr>
            <w:r w:rsidRPr="00840AA6">
              <w:rPr>
                <w:rFonts w:ascii="Arial" w:hAnsi="Arial" w:cs="Arial"/>
                <w:b/>
                <w:bCs/>
                <w:color w:val="auto"/>
                <w:sz w:val="16"/>
                <w:szCs w:val="16"/>
              </w:rPr>
              <w:t>(16,016)</w:t>
            </w:r>
          </w:p>
        </w:tc>
      </w:tr>
      <w:tr w:rsidR="00840AA6" w:rsidRPr="00840AA6" w14:paraId="06A2BC8B" w14:textId="77777777" w:rsidTr="00840AA6">
        <w:trPr>
          <w:trHeight w:val="225"/>
        </w:trPr>
        <w:tc>
          <w:tcPr>
            <w:tcW w:w="2920" w:type="dxa"/>
            <w:tcBorders>
              <w:top w:val="nil"/>
              <w:left w:val="nil"/>
              <w:bottom w:val="single" w:sz="4" w:space="0" w:color="auto"/>
              <w:right w:val="nil"/>
            </w:tcBorders>
            <w:shd w:val="clear" w:color="auto" w:fill="auto"/>
            <w:noWrap/>
            <w:vAlign w:val="bottom"/>
            <w:hideMark/>
          </w:tcPr>
          <w:p w14:paraId="3C753952" w14:textId="77777777" w:rsidR="00840AA6" w:rsidRPr="00840AA6" w:rsidRDefault="00840AA6" w:rsidP="00840AA6">
            <w:pPr>
              <w:spacing w:after="0"/>
              <w:ind w:leftChars="75" w:left="143"/>
              <w:rPr>
                <w:rFonts w:ascii="Arial" w:hAnsi="Arial" w:cs="Arial"/>
                <w:b/>
                <w:bCs/>
                <w:color w:val="auto"/>
                <w:sz w:val="16"/>
                <w:szCs w:val="16"/>
              </w:rPr>
            </w:pPr>
            <w:r w:rsidRPr="00840AA6">
              <w:rPr>
                <w:rFonts w:ascii="Arial" w:hAnsi="Arial" w:cs="Arial"/>
                <w:b/>
                <w:bCs/>
                <w:color w:val="auto"/>
                <w:sz w:val="16"/>
                <w:szCs w:val="16"/>
              </w:rPr>
              <w:t>Closing net book balance</w:t>
            </w:r>
          </w:p>
        </w:tc>
        <w:tc>
          <w:tcPr>
            <w:tcW w:w="1020" w:type="dxa"/>
            <w:tcBorders>
              <w:top w:val="nil"/>
              <w:left w:val="nil"/>
              <w:bottom w:val="single" w:sz="4" w:space="0" w:color="auto"/>
              <w:right w:val="nil"/>
            </w:tcBorders>
            <w:shd w:val="clear" w:color="auto" w:fill="auto"/>
            <w:noWrap/>
            <w:vAlign w:val="bottom"/>
            <w:hideMark/>
          </w:tcPr>
          <w:p w14:paraId="7824DCF9" w14:textId="77777777" w:rsidR="00840AA6" w:rsidRPr="00840AA6" w:rsidRDefault="00840AA6" w:rsidP="00840AA6">
            <w:pPr>
              <w:spacing w:after="0"/>
              <w:jc w:val="right"/>
              <w:rPr>
                <w:rFonts w:ascii="Arial" w:hAnsi="Arial" w:cs="Arial"/>
                <w:b/>
                <w:bCs/>
                <w:color w:val="auto"/>
                <w:sz w:val="16"/>
                <w:szCs w:val="16"/>
              </w:rPr>
            </w:pPr>
            <w:r w:rsidRPr="00840AA6">
              <w:rPr>
                <w:rFonts w:ascii="Arial" w:hAnsi="Arial" w:cs="Arial"/>
                <w:b/>
                <w:bCs/>
                <w:color w:val="auto"/>
                <w:sz w:val="16"/>
                <w:szCs w:val="16"/>
              </w:rPr>
              <w:t>8,847</w:t>
            </w:r>
          </w:p>
        </w:tc>
        <w:tc>
          <w:tcPr>
            <w:tcW w:w="1360" w:type="dxa"/>
            <w:tcBorders>
              <w:top w:val="nil"/>
              <w:left w:val="nil"/>
              <w:bottom w:val="single" w:sz="4" w:space="0" w:color="auto"/>
              <w:right w:val="nil"/>
            </w:tcBorders>
            <w:shd w:val="clear" w:color="auto" w:fill="auto"/>
            <w:noWrap/>
            <w:vAlign w:val="bottom"/>
            <w:hideMark/>
          </w:tcPr>
          <w:p w14:paraId="393E22A9" w14:textId="77777777" w:rsidR="00840AA6" w:rsidRPr="00840AA6" w:rsidRDefault="00840AA6" w:rsidP="00840AA6">
            <w:pPr>
              <w:spacing w:after="0"/>
              <w:jc w:val="right"/>
              <w:rPr>
                <w:rFonts w:ascii="Arial" w:hAnsi="Arial" w:cs="Arial"/>
                <w:b/>
                <w:bCs/>
                <w:color w:val="auto"/>
                <w:sz w:val="16"/>
                <w:szCs w:val="16"/>
              </w:rPr>
            </w:pPr>
            <w:r w:rsidRPr="00840AA6">
              <w:rPr>
                <w:rFonts w:ascii="Arial" w:hAnsi="Arial" w:cs="Arial"/>
                <w:b/>
                <w:bCs/>
                <w:color w:val="auto"/>
                <w:sz w:val="16"/>
                <w:szCs w:val="16"/>
              </w:rPr>
              <w:t>3,018</w:t>
            </w:r>
          </w:p>
        </w:tc>
        <w:tc>
          <w:tcPr>
            <w:tcW w:w="1020" w:type="dxa"/>
            <w:tcBorders>
              <w:top w:val="nil"/>
              <w:left w:val="nil"/>
              <w:bottom w:val="single" w:sz="4" w:space="0" w:color="auto"/>
              <w:right w:val="nil"/>
            </w:tcBorders>
            <w:shd w:val="clear" w:color="auto" w:fill="auto"/>
            <w:noWrap/>
            <w:vAlign w:val="bottom"/>
            <w:hideMark/>
          </w:tcPr>
          <w:p w14:paraId="1FC47DF2" w14:textId="77777777" w:rsidR="00840AA6" w:rsidRPr="00840AA6" w:rsidRDefault="00840AA6" w:rsidP="00840AA6">
            <w:pPr>
              <w:spacing w:after="0"/>
              <w:jc w:val="right"/>
              <w:rPr>
                <w:rFonts w:ascii="Arial" w:hAnsi="Arial" w:cs="Arial"/>
                <w:b/>
                <w:bCs/>
                <w:color w:val="auto"/>
                <w:sz w:val="16"/>
                <w:szCs w:val="16"/>
              </w:rPr>
            </w:pPr>
            <w:r w:rsidRPr="00840AA6">
              <w:rPr>
                <w:rFonts w:ascii="Arial" w:hAnsi="Arial" w:cs="Arial"/>
                <w:b/>
                <w:bCs/>
                <w:color w:val="auto"/>
                <w:sz w:val="16"/>
                <w:szCs w:val="16"/>
              </w:rPr>
              <w:t>50,780</w:t>
            </w:r>
          </w:p>
        </w:tc>
        <w:tc>
          <w:tcPr>
            <w:tcW w:w="1020" w:type="dxa"/>
            <w:tcBorders>
              <w:top w:val="nil"/>
              <w:left w:val="nil"/>
              <w:bottom w:val="single" w:sz="4" w:space="0" w:color="auto"/>
              <w:right w:val="nil"/>
            </w:tcBorders>
            <w:shd w:val="clear" w:color="auto" w:fill="auto"/>
            <w:noWrap/>
            <w:vAlign w:val="bottom"/>
            <w:hideMark/>
          </w:tcPr>
          <w:p w14:paraId="50206A81" w14:textId="77777777" w:rsidR="00840AA6" w:rsidRPr="00840AA6" w:rsidRDefault="00840AA6" w:rsidP="00840AA6">
            <w:pPr>
              <w:spacing w:after="0"/>
              <w:jc w:val="right"/>
              <w:rPr>
                <w:rFonts w:ascii="Arial" w:hAnsi="Arial" w:cs="Arial"/>
                <w:b/>
                <w:bCs/>
                <w:color w:val="auto"/>
                <w:sz w:val="16"/>
                <w:szCs w:val="16"/>
              </w:rPr>
            </w:pPr>
            <w:r w:rsidRPr="00840AA6">
              <w:rPr>
                <w:rFonts w:ascii="Arial" w:hAnsi="Arial" w:cs="Arial"/>
                <w:b/>
                <w:bCs/>
                <w:color w:val="auto"/>
                <w:sz w:val="16"/>
                <w:szCs w:val="16"/>
              </w:rPr>
              <w:t>62,645</w:t>
            </w:r>
          </w:p>
        </w:tc>
      </w:tr>
    </w:tbl>
    <w:p w14:paraId="2C4FF23D" w14:textId="3454B5E7" w:rsidR="00D01706" w:rsidRPr="00840AA6" w:rsidRDefault="00840AA6" w:rsidP="00840AA6">
      <w:pPr>
        <w:pStyle w:val="FootnoteText"/>
        <w:spacing w:before="120"/>
      </w:pPr>
      <w:proofErr w:type="spellStart"/>
      <w:r w:rsidRPr="00840AA6">
        <w:t>RoU</w:t>
      </w:r>
      <w:proofErr w:type="spellEnd"/>
      <w:r w:rsidRPr="00840AA6">
        <w:t xml:space="preserve"> = Right-of-Use asset</w:t>
      </w:r>
    </w:p>
    <w:sectPr w:rsidR="00D01706" w:rsidRPr="00840AA6" w:rsidSect="00357948">
      <w:headerReference w:type="even" r:id="rId21"/>
      <w:headerReference w:type="default" r:id="rId22"/>
      <w:headerReference w:type="first" r:id="rId23"/>
      <w:pgSz w:w="11906" w:h="16838"/>
      <w:pgMar w:top="2466" w:right="2268" w:bottom="2126" w:left="2268" w:header="1899" w:footer="18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3EA3BD" w14:textId="77777777" w:rsidR="001477D3" w:rsidRDefault="001477D3" w:rsidP="00913388">
      <w:pPr>
        <w:spacing w:after="0"/>
      </w:pPr>
      <w:r>
        <w:separator/>
      </w:r>
    </w:p>
    <w:p w14:paraId="7E286DF4" w14:textId="77777777" w:rsidR="001477D3" w:rsidRDefault="001477D3"/>
  </w:endnote>
  <w:endnote w:type="continuationSeparator" w:id="0">
    <w:p w14:paraId="0183B2C7" w14:textId="77777777" w:rsidR="001477D3" w:rsidRDefault="001477D3" w:rsidP="00913388">
      <w:pPr>
        <w:spacing w:after="0"/>
      </w:pPr>
      <w:r>
        <w:continuationSeparator/>
      </w:r>
    </w:p>
    <w:p w14:paraId="47B8CD58" w14:textId="77777777" w:rsidR="001477D3" w:rsidRDefault="001477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auto"/>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443524" w14:textId="1FDDA987" w:rsidR="001477D3" w:rsidRPr="00913388" w:rsidRDefault="001477D3" w:rsidP="00886943">
    <w:pPr>
      <w:pStyle w:val="FooterEven"/>
      <w:rPr>
        <w:rFonts w:cs="Arial"/>
        <w:szCs w:val="18"/>
      </w:rPr>
    </w:pPr>
    <w:r w:rsidRPr="001C6402">
      <w:rPr>
        <w:rStyle w:val="PageNumber"/>
        <w:b/>
        <w:bCs/>
        <w:color w:val="000000"/>
      </w:rPr>
      <w:t xml:space="preserve">Page </w:t>
    </w:r>
    <w:r w:rsidRPr="001C6402">
      <w:rPr>
        <w:rStyle w:val="PageNumber"/>
        <w:b/>
        <w:bCs/>
        <w:color w:val="000000"/>
      </w:rPr>
      <w:fldChar w:fldCharType="begin"/>
    </w:r>
    <w:r w:rsidRPr="001C6402">
      <w:rPr>
        <w:rStyle w:val="PageNumber"/>
        <w:b/>
        <w:bCs/>
        <w:color w:val="000000"/>
      </w:rPr>
      <w:instrText xml:space="preserve"> PAGE </w:instrText>
    </w:r>
    <w:r w:rsidRPr="001C6402">
      <w:rPr>
        <w:rStyle w:val="PageNumber"/>
        <w:b/>
        <w:bCs/>
        <w:color w:val="000000"/>
      </w:rPr>
      <w:fldChar w:fldCharType="separate"/>
    </w:r>
    <w:r w:rsidR="00A90047">
      <w:rPr>
        <w:rStyle w:val="PageNumber"/>
        <w:b/>
        <w:bCs/>
        <w:noProof/>
        <w:color w:val="000000"/>
      </w:rPr>
      <w:t>182</w:t>
    </w:r>
    <w:r w:rsidRPr="001C6402">
      <w:rPr>
        <w:rStyle w:val="PageNumber"/>
        <w:b/>
        <w:bCs/>
        <w:color w:val="000000"/>
      </w:rPr>
      <w:fldChar w:fldCharType="end"/>
    </w:r>
    <w:r w:rsidRPr="001C6402">
      <w:rPr>
        <w:rStyle w:val="PageNumber"/>
        <w:color w:val="000000"/>
      </w:rPr>
      <w:t xml:space="preserve">  </w:t>
    </w:r>
    <w:proofErr w:type="gramStart"/>
    <w:r w:rsidRPr="001C6402">
      <w:rPr>
        <w:rStyle w:val="PageNumber"/>
        <w:color w:val="000000"/>
      </w:rPr>
      <w:t xml:space="preserve">|  </w:t>
    </w:r>
    <w:proofErr w:type="gramEnd"/>
    <w:r w:rsidRPr="001C6402">
      <w:rPr>
        <w:rStyle w:val="PageNumber"/>
        <w:color w:val="000000"/>
      </w:rPr>
      <w:fldChar w:fldCharType="begin"/>
    </w:r>
    <w:r w:rsidRPr="001C6402">
      <w:rPr>
        <w:rStyle w:val="PageNumber"/>
        <w:color w:val="000000"/>
      </w:rPr>
      <w:instrText xml:space="preserve"> STYLEREF  "Heading 1"  \* MERGEFORMAT </w:instrText>
    </w:r>
    <w:r w:rsidRPr="001C6402">
      <w:rPr>
        <w:rStyle w:val="PageNumber"/>
        <w:color w:val="000000"/>
      </w:rPr>
      <w:fldChar w:fldCharType="separate"/>
    </w:r>
    <w:r w:rsidR="00A90047">
      <w:rPr>
        <w:rStyle w:val="PageNumber"/>
        <w:noProof/>
        <w:color w:val="000000"/>
      </w:rPr>
      <w:t>Australian Digital Health Agency</w:t>
    </w:r>
    <w:r w:rsidRPr="001C6402">
      <w:rPr>
        <w:rStyle w:val="PageNumbe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2789817"/>
      <w:docPartObj>
        <w:docPartGallery w:val="Page Numbers (Bottom of Page)"/>
        <w:docPartUnique/>
      </w:docPartObj>
    </w:sdtPr>
    <w:sdtEndPr>
      <w:rPr>
        <w:noProof/>
      </w:rPr>
    </w:sdtEndPr>
    <w:sdtContent>
      <w:p w14:paraId="30EC0AFC" w14:textId="0602B15A" w:rsidR="001477D3" w:rsidRDefault="001477D3" w:rsidP="00886943">
        <w:pPr>
          <w:pStyle w:val="FooterOdd"/>
        </w:pPr>
        <w:r w:rsidRPr="00B24417">
          <w:rPr>
            <w:rStyle w:val="PageNumber"/>
          </w:rPr>
          <w:fldChar w:fldCharType="begin"/>
        </w:r>
        <w:r w:rsidRPr="00B24417">
          <w:rPr>
            <w:rStyle w:val="PageNumber"/>
          </w:rPr>
          <w:instrText xml:space="preserve"> STYLEREF  "Heading 1"  \* MERGEFORMAT </w:instrText>
        </w:r>
        <w:r w:rsidRPr="00B24417">
          <w:rPr>
            <w:rStyle w:val="PageNumber"/>
          </w:rPr>
          <w:fldChar w:fldCharType="separate"/>
        </w:r>
        <w:r w:rsidR="00295D9C" w:rsidRPr="00295D9C">
          <w:rPr>
            <w:rStyle w:val="PageNumber"/>
            <w:bCs/>
            <w:noProof/>
            <w:lang w:val="en-US"/>
          </w:rPr>
          <w:t>Australian Digital Health</w:t>
        </w:r>
        <w:r w:rsidR="00295D9C">
          <w:rPr>
            <w:rStyle w:val="PageNumber"/>
            <w:noProof/>
          </w:rPr>
          <w:t xml:space="preserve"> Agency</w:t>
        </w:r>
        <w:r w:rsidRPr="00B24417">
          <w:rPr>
            <w:rStyle w:val="PageNumber"/>
          </w:rPr>
          <w:fldChar w:fldCharType="end"/>
        </w:r>
        <w:r w:rsidRPr="00B628E8">
          <w:rPr>
            <w:rStyle w:val="PageNumber"/>
          </w:rPr>
          <w:t xml:space="preserve"> </w:t>
        </w:r>
        <w:r>
          <w:rPr>
            <w:rStyle w:val="PageNumber"/>
          </w:rPr>
          <w:t xml:space="preserve"> </w:t>
        </w:r>
        <w:proofErr w:type="gramStart"/>
        <w:r w:rsidRPr="00B628E8">
          <w:rPr>
            <w:rStyle w:val="PageNumber"/>
          </w:rPr>
          <w:t>|</w:t>
        </w:r>
        <w:r>
          <w:rPr>
            <w:rStyle w:val="PageNumber"/>
          </w:rPr>
          <w:t xml:space="preserve"> </w:t>
        </w:r>
        <w:r w:rsidRPr="00B628E8">
          <w:rPr>
            <w:rStyle w:val="PageNumber"/>
          </w:rPr>
          <w:t xml:space="preserve"> </w:t>
        </w:r>
        <w:r w:rsidRPr="00B628E8">
          <w:rPr>
            <w:rStyle w:val="PageNumber"/>
            <w:b/>
            <w:bCs/>
          </w:rPr>
          <w:t>Page</w:t>
        </w:r>
        <w:proofErr w:type="gramEnd"/>
        <w:r w:rsidRPr="00B628E8">
          <w:rPr>
            <w:rStyle w:val="PageNumber"/>
            <w:b/>
            <w:bCs/>
          </w:rPr>
          <w:t xml:space="preserve"> </w:t>
        </w:r>
        <w:r w:rsidRPr="00B628E8">
          <w:rPr>
            <w:rStyle w:val="PageNumber"/>
            <w:b/>
            <w:bCs/>
          </w:rPr>
          <w:fldChar w:fldCharType="begin"/>
        </w:r>
        <w:r w:rsidRPr="00B628E8">
          <w:rPr>
            <w:rStyle w:val="PageNumber"/>
            <w:b/>
            <w:bCs/>
          </w:rPr>
          <w:instrText xml:space="preserve"> PAGE  \* Arabic </w:instrText>
        </w:r>
        <w:r w:rsidRPr="00B628E8">
          <w:rPr>
            <w:rStyle w:val="PageNumber"/>
            <w:b/>
            <w:bCs/>
          </w:rPr>
          <w:fldChar w:fldCharType="separate"/>
        </w:r>
        <w:r w:rsidR="00295D9C">
          <w:rPr>
            <w:rStyle w:val="PageNumber"/>
            <w:b/>
            <w:bCs/>
            <w:noProof/>
          </w:rPr>
          <w:t>165</w:t>
        </w:r>
        <w:r w:rsidRPr="00B628E8">
          <w:rPr>
            <w:rStyle w:val="PageNumber"/>
            <w:b/>
            <w:bCs/>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4703318"/>
      <w:docPartObj>
        <w:docPartGallery w:val="Page Numbers (Bottom of Page)"/>
        <w:docPartUnique/>
      </w:docPartObj>
    </w:sdtPr>
    <w:sdtEndPr>
      <w:rPr>
        <w:noProof/>
      </w:rPr>
    </w:sdtEndPr>
    <w:sdtContent>
      <w:p w14:paraId="6CE5DFBF" w14:textId="46272F2D" w:rsidR="001477D3" w:rsidRDefault="001477D3" w:rsidP="00886943">
        <w:pPr>
          <w:pStyle w:val="FooterOdd"/>
        </w:pPr>
        <w:r w:rsidRPr="00B24417">
          <w:rPr>
            <w:rStyle w:val="PageNumber"/>
          </w:rPr>
          <w:fldChar w:fldCharType="begin"/>
        </w:r>
        <w:r w:rsidRPr="00B24417">
          <w:rPr>
            <w:rStyle w:val="PageNumber"/>
          </w:rPr>
          <w:instrText xml:space="preserve"> STYLEREF  "Heading 1"  \* MERGEFORMAT </w:instrText>
        </w:r>
        <w:r w:rsidRPr="00B24417">
          <w:rPr>
            <w:rStyle w:val="PageNumber"/>
          </w:rPr>
          <w:fldChar w:fldCharType="separate"/>
        </w:r>
        <w:r w:rsidR="00A90047" w:rsidRPr="00A90047">
          <w:rPr>
            <w:rStyle w:val="PageNumber"/>
            <w:bCs/>
            <w:noProof/>
            <w:lang w:val="en-US"/>
          </w:rPr>
          <w:t>Australian Digital Health</w:t>
        </w:r>
        <w:r w:rsidR="00A90047">
          <w:rPr>
            <w:rStyle w:val="PageNumber"/>
            <w:noProof/>
          </w:rPr>
          <w:t xml:space="preserve"> Agency</w:t>
        </w:r>
        <w:r w:rsidRPr="00B24417">
          <w:rPr>
            <w:rStyle w:val="PageNumber"/>
          </w:rPr>
          <w:fldChar w:fldCharType="end"/>
        </w:r>
        <w:r w:rsidRPr="00B628E8">
          <w:rPr>
            <w:rStyle w:val="PageNumber"/>
          </w:rPr>
          <w:t xml:space="preserve"> </w:t>
        </w:r>
        <w:r>
          <w:rPr>
            <w:rStyle w:val="PageNumber"/>
          </w:rPr>
          <w:t xml:space="preserve"> </w:t>
        </w:r>
        <w:proofErr w:type="gramStart"/>
        <w:r w:rsidRPr="00B628E8">
          <w:rPr>
            <w:rStyle w:val="PageNumber"/>
          </w:rPr>
          <w:t>|</w:t>
        </w:r>
        <w:r>
          <w:rPr>
            <w:rStyle w:val="PageNumber"/>
          </w:rPr>
          <w:t xml:space="preserve"> </w:t>
        </w:r>
        <w:r w:rsidRPr="00B628E8">
          <w:rPr>
            <w:rStyle w:val="PageNumber"/>
          </w:rPr>
          <w:t xml:space="preserve"> </w:t>
        </w:r>
        <w:r w:rsidRPr="00B628E8">
          <w:rPr>
            <w:rStyle w:val="PageNumber"/>
            <w:b/>
            <w:bCs/>
          </w:rPr>
          <w:t>Page</w:t>
        </w:r>
        <w:proofErr w:type="gramEnd"/>
        <w:r w:rsidRPr="00B628E8">
          <w:rPr>
            <w:rStyle w:val="PageNumber"/>
            <w:b/>
            <w:bCs/>
          </w:rPr>
          <w:t xml:space="preserve"> </w:t>
        </w:r>
        <w:r w:rsidRPr="00B628E8">
          <w:rPr>
            <w:rStyle w:val="PageNumber"/>
            <w:b/>
            <w:bCs/>
          </w:rPr>
          <w:fldChar w:fldCharType="begin"/>
        </w:r>
        <w:r w:rsidRPr="00B628E8">
          <w:rPr>
            <w:rStyle w:val="PageNumber"/>
            <w:b/>
            <w:bCs/>
          </w:rPr>
          <w:instrText xml:space="preserve"> PAGE  \* Arabic </w:instrText>
        </w:r>
        <w:r w:rsidRPr="00B628E8">
          <w:rPr>
            <w:rStyle w:val="PageNumber"/>
            <w:b/>
            <w:bCs/>
          </w:rPr>
          <w:fldChar w:fldCharType="separate"/>
        </w:r>
        <w:r w:rsidR="00A90047">
          <w:rPr>
            <w:rStyle w:val="PageNumber"/>
            <w:b/>
            <w:bCs/>
            <w:noProof/>
          </w:rPr>
          <w:t>177</w:t>
        </w:r>
        <w:r w:rsidRPr="00B628E8">
          <w:rPr>
            <w:rStyle w:val="PageNumber"/>
            <w:b/>
            <w:bCs/>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FD2C24" w14:textId="5F26B091" w:rsidR="001477D3" w:rsidRDefault="001477D3" w:rsidP="00913388">
      <w:pPr>
        <w:spacing w:after="0"/>
      </w:pPr>
      <w:r>
        <w:separator/>
      </w:r>
    </w:p>
  </w:footnote>
  <w:footnote w:type="continuationSeparator" w:id="0">
    <w:p w14:paraId="6B9C7C5A" w14:textId="77777777" w:rsidR="001477D3" w:rsidRDefault="001477D3" w:rsidP="00913388">
      <w:pPr>
        <w:spacing w:after="0"/>
      </w:pPr>
      <w:r>
        <w:continuationSeparator/>
      </w:r>
    </w:p>
    <w:p w14:paraId="58AED217" w14:textId="77777777" w:rsidR="001477D3" w:rsidRDefault="001477D3"/>
  </w:footnote>
  <w:footnote w:id="1">
    <w:p w14:paraId="08725AE2" w14:textId="01DEC641" w:rsidR="001477D3" w:rsidRPr="007D7165" w:rsidRDefault="001477D3" w:rsidP="0058544F">
      <w:pPr>
        <w:pStyle w:val="FootnoteText"/>
        <w:spacing w:after="120"/>
        <w:rPr>
          <w:color w:val="auto"/>
        </w:rPr>
      </w:pPr>
      <w:r>
        <w:rPr>
          <w:rStyle w:val="FootnoteReference"/>
        </w:rPr>
        <w:footnoteRef/>
      </w:r>
      <w:r>
        <w:tab/>
      </w:r>
      <w:r w:rsidRPr="00AE0682">
        <w:t xml:space="preserve">For more information about the strategic direction of the </w:t>
      </w:r>
      <w:r>
        <w:rPr>
          <w:rFonts w:cs="Arial"/>
          <w:szCs w:val="15"/>
        </w:rPr>
        <w:t xml:space="preserve">Australian Digital Health </w:t>
      </w:r>
      <w:r w:rsidRPr="002847BF">
        <w:rPr>
          <w:rFonts w:cs="Arial"/>
          <w:szCs w:val="15"/>
        </w:rPr>
        <w:t>Agency</w:t>
      </w:r>
      <w:r w:rsidRPr="00AE0682">
        <w:t>, refer to the current Corporate Plan, available at</w:t>
      </w:r>
      <w:r>
        <w:t>:</w:t>
      </w:r>
      <w:r w:rsidRPr="0019008C">
        <w:rPr>
          <w:rFonts w:cs="Arial"/>
          <w:szCs w:val="15"/>
        </w:rPr>
        <w:t xml:space="preserve"> </w:t>
      </w:r>
      <w:r w:rsidRPr="0079275E">
        <w:rPr>
          <w:rFonts w:cs="Arial"/>
          <w:szCs w:val="15"/>
        </w:rPr>
        <w:t>www.digitalhealth.gov.au/about-the-agency/corporate-plan</w:t>
      </w:r>
    </w:p>
  </w:footnote>
  <w:footnote w:id="2">
    <w:p w14:paraId="21B212CB" w14:textId="40629369" w:rsidR="001477D3" w:rsidRDefault="001477D3" w:rsidP="0058544F">
      <w:pPr>
        <w:pStyle w:val="FootnoteText"/>
        <w:spacing w:after="120"/>
      </w:pPr>
      <w:r>
        <w:rPr>
          <w:rStyle w:val="FootnoteReference"/>
        </w:rPr>
        <w:footnoteRef/>
      </w:r>
      <w:r>
        <w:t xml:space="preserve"> </w:t>
      </w:r>
      <w:r>
        <w:tab/>
        <w:t>This is a new performance measure for 2022–23, therefore there is no performance result for 2021–22.</w:t>
      </w:r>
    </w:p>
  </w:footnote>
  <w:footnote w:id="3">
    <w:p w14:paraId="5D15BF78" w14:textId="6A89CB15" w:rsidR="001477D3" w:rsidRDefault="001477D3" w:rsidP="00D4021C">
      <w:pPr>
        <w:pStyle w:val="FootnoteText"/>
      </w:pPr>
      <w:r>
        <w:rPr>
          <w:rStyle w:val="FootnoteReference"/>
        </w:rPr>
        <w:footnoteRef/>
      </w:r>
      <w:r>
        <w:t xml:space="preserve"> </w:t>
      </w:r>
      <w:r>
        <w:tab/>
        <w:t>This is a new performance measure for 2022–23, therefore there is no performance result for 2021–22.</w:t>
      </w:r>
    </w:p>
  </w:footnote>
  <w:footnote w:id="4">
    <w:p w14:paraId="7E1B756D" w14:textId="2AFF4DC6" w:rsidR="001477D3" w:rsidRDefault="001477D3">
      <w:pPr>
        <w:pStyle w:val="FootnoteText"/>
      </w:pPr>
      <w:r>
        <w:rPr>
          <w:rStyle w:val="FootnoteReference"/>
        </w:rPr>
        <w:footnoteRef/>
      </w:r>
      <w:r>
        <w:t xml:space="preserve"> </w:t>
      </w:r>
      <w:r>
        <w:tab/>
        <w:t>Cross views are the viewing by HCPs of digital health documents uploaded by other HCPs.</w:t>
      </w:r>
    </w:p>
  </w:footnote>
  <w:footnote w:id="5">
    <w:p w14:paraId="247786F6" w14:textId="79946D25" w:rsidR="001477D3" w:rsidRDefault="001477D3" w:rsidP="00D4021C">
      <w:pPr>
        <w:pStyle w:val="FootnoteText"/>
      </w:pPr>
      <w:r>
        <w:rPr>
          <w:rStyle w:val="FootnoteReference"/>
        </w:rPr>
        <w:footnoteRef/>
      </w:r>
      <w:r>
        <w:t xml:space="preserve"> </w:t>
      </w:r>
      <w:r>
        <w:tab/>
        <w:t>This is a new performance measure for 2022–23, therefore there is no performance result for 2021–22.</w:t>
      </w:r>
    </w:p>
  </w:footnote>
  <w:footnote w:id="6">
    <w:p w14:paraId="47443AC7" w14:textId="11CA3FAB" w:rsidR="001477D3" w:rsidRDefault="001477D3">
      <w:pPr>
        <w:pStyle w:val="FootnoteText"/>
      </w:pPr>
      <w:r>
        <w:rPr>
          <w:rStyle w:val="FootnoteReference"/>
        </w:rPr>
        <w:footnoteRef/>
      </w:r>
      <w:r>
        <w:t xml:space="preserve"> </w:t>
      </w:r>
      <w:r>
        <w:tab/>
      </w:r>
      <w:r>
        <w:rPr>
          <w:rFonts w:eastAsiaTheme="minorHAnsi"/>
        </w:rPr>
        <w:t>The Agency’s Benefit Management Approach encompasses a benefits model and is underpinned by a structured evaluation approach that incorporates a number of factors, including Australian population estimates, meaningful use, benefit change assumptions and stakeholder interdependencies.</w:t>
      </w:r>
    </w:p>
  </w:footnote>
  <w:footnote w:id="7">
    <w:p w14:paraId="268422A7" w14:textId="77777777" w:rsidR="001477D3" w:rsidRDefault="001477D3" w:rsidP="00040B16">
      <w:pPr>
        <w:pStyle w:val="FootnoteText"/>
        <w:ind w:left="0" w:firstLine="0"/>
      </w:pPr>
      <w:r>
        <w:rPr>
          <w:rStyle w:val="FootnoteReference"/>
        </w:rPr>
        <w:footnoteRef/>
      </w:r>
      <w:r>
        <w:t xml:space="preserve"> </w:t>
      </w:r>
      <w:r>
        <w:tab/>
        <w:t>A partnership value index is a measurement of partner performance and value.</w:t>
      </w:r>
    </w:p>
  </w:footnote>
  <w:footnote w:id="8">
    <w:p w14:paraId="5E717EBC" w14:textId="24D5ACF3" w:rsidR="001477D3" w:rsidRDefault="001477D3" w:rsidP="0058544F">
      <w:pPr>
        <w:pStyle w:val="FootnoteText"/>
        <w:spacing w:after="120"/>
      </w:pPr>
      <w:r>
        <w:rPr>
          <w:rStyle w:val="FootnoteReference"/>
        </w:rPr>
        <w:footnoteRef/>
      </w:r>
      <w:r>
        <w:tab/>
        <w:t>A percentage t</w:t>
      </w:r>
      <w:r w:rsidRPr="00B962C7">
        <w:t>arget will be set once the baseline has been established</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D9992A" w14:textId="29DFDF34" w:rsidR="001477D3" w:rsidRPr="00C45A8A" w:rsidRDefault="001477D3" w:rsidP="00D1671F">
    <w:pPr>
      <w:framePr w:w="851" w:h="1701" w:hRule="exact" w:wrap="around" w:vAnchor="page" w:hAnchor="margin" w:x="7939" w:y="5501" w:anchorLock="1"/>
      <w:shd w:val="pct95" w:color="auto" w:fill="auto"/>
      <w:spacing w:before="140"/>
      <w:textDirection w:val="btLr"/>
      <w:rPr>
        <w:rFonts w:ascii="Arial" w:hAnsi="Arial" w:cs="Arial"/>
        <w:b/>
        <w:color w:val="FFFFFF" w:themeColor="background1"/>
        <w:spacing w:val="10"/>
        <w:sz w:val="24"/>
      </w:rPr>
    </w:pPr>
    <w:r>
      <w:rPr>
        <w:rFonts w:ascii="Arial" w:hAnsi="Arial" w:cs="Arial"/>
        <w:b/>
        <w:color w:val="FFFFFF" w:themeColor="background1"/>
        <w:spacing w:val="10"/>
        <w:sz w:val="24"/>
      </w:rPr>
      <w:t xml:space="preserve">     </w:t>
    </w:r>
    <w:r w:rsidRPr="00C45A8A">
      <w:rPr>
        <w:rFonts w:ascii="Arial" w:hAnsi="Arial" w:cs="Arial"/>
        <w:b/>
        <w:color w:val="FFFFFF" w:themeColor="background1"/>
        <w:spacing w:val="10"/>
        <w:sz w:val="24"/>
      </w:rPr>
      <w:t>Digital</w:t>
    </w:r>
    <w:r w:rsidRPr="00C45A8A">
      <w:rPr>
        <w:rFonts w:ascii="Arial" w:hAnsi="Arial" w:cs="Arial"/>
        <w:b/>
        <w:color w:val="FFFFFF" w:themeColor="background1"/>
        <w:spacing w:val="10"/>
        <w:sz w:val="24"/>
      </w:rPr>
      <w:br/>
    </w:r>
    <w:r>
      <w:rPr>
        <w:rFonts w:ascii="Arial" w:hAnsi="Arial" w:cs="Arial"/>
        <w:b/>
        <w:color w:val="FFFFFF" w:themeColor="background1"/>
        <w:spacing w:val="10"/>
        <w:sz w:val="24"/>
      </w:rPr>
      <w:t xml:space="preserve">     </w:t>
    </w:r>
    <w:r w:rsidRPr="00C45A8A">
      <w:rPr>
        <w:rFonts w:ascii="Arial" w:hAnsi="Arial" w:cs="Arial"/>
        <w:b/>
        <w:color w:val="FFFFFF" w:themeColor="background1"/>
        <w:spacing w:val="10"/>
        <w:sz w:val="24"/>
      </w:rPr>
      <w:t>Health</w:t>
    </w:r>
  </w:p>
  <w:p w14:paraId="46043179" w14:textId="305CD0B2" w:rsidR="001477D3" w:rsidRPr="00A052E0" w:rsidRDefault="001477D3" w:rsidP="00E353A3">
    <w:pPr>
      <w:pStyle w:val="Header"/>
      <w:tabs>
        <w:tab w:val="clear" w:pos="4513"/>
        <w:tab w:val="clear" w:pos="9026"/>
        <w:tab w:val="left" w:pos="1851"/>
      </w:tabs>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DDA376" w14:textId="325EBA33" w:rsidR="001477D3" w:rsidRDefault="001477D3">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27BB96" w14:textId="6B2BE713" w:rsidR="001477D3" w:rsidRPr="00886943" w:rsidRDefault="001477D3" w:rsidP="00886943">
    <w:pPr>
      <w:tabs>
        <w:tab w:val="center" w:pos="4513"/>
        <w:tab w:val="right" w:pos="9026"/>
      </w:tabs>
      <w:spacing w:before="40" w:after="0"/>
    </w:pPr>
    <w:r w:rsidRPr="00886943">
      <w:rPr>
        <w:rFonts w:ascii="Arial" w:hAnsi="Arial" w:cs="Arial"/>
        <w:noProof/>
        <w:position w:val="-6"/>
        <w:sz w:val="18"/>
        <w:szCs w:val="18"/>
      </w:rPr>
      <w:drawing>
        <wp:inline distT="0" distB="0" distL="0" distR="0" wp14:anchorId="2485E013" wp14:editId="1D0EF651">
          <wp:extent cx="1358265" cy="170815"/>
          <wp:effectExtent l="0" t="0" r="0" b="635"/>
          <wp:docPr id="13" name="Picture 13" descr="Budget October 2022-23" title="Budg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8265" cy="170815"/>
                  </a:xfrm>
                  <a:prstGeom prst="rect">
                    <a:avLst/>
                  </a:prstGeom>
                  <a:noFill/>
                  <a:ln>
                    <a:noFill/>
                  </a:ln>
                </pic:spPr>
              </pic:pic>
            </a:graphicData>
          </a:graphic>
        </wp:inline>
      </w:drawing>
    </w:r>
    <w:r w:rsidRPr="00886943">
      <w:rPr>
        <w:rFonts w:ascii="Arial" w:hAnsi="Arial" w:cs="Arial"/>
        <w:sz w:val="18"/>
        <w:szCs w:val="18"/>
      </w:rPr>
      <w:t xml:space="preserve">  </w:t>
    </w:r>
    <w:proofErr w:type="gramStart"/>
    <w:r w:rsidRPr="00886943">
      <w:rPr>
        <w:rFonts w:ascii="Arial" w:hAnsi="Arial" w:cs="Arial"/>
        <w:sz w:val="18"/>
        <w:szCs w:val="18"/>
      </w:rPr>
      <w:t>|  Portfolio</w:t>
    </w:r>
    <w:proofErr w:type="gramEnd"/>
    <w:r w:rsidRPr="00886943">
      <w:rPr>
        <w:rFonts w:ascii="Arial" w:hAnsi="Arial" w:cs="Arial"/>
        <w:sz w:val="18"/>
        <w:szCs w:val="18"/>
      </w:rPr>
      <w:t xml:space="preserve"> Budget Statements</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985317" w14:textId="77777777" w:rsidR="001477D3" w:rsidRPr="00C45A8A" w:rsidRDefault="001477D3" w:rsidP="00CE4F8C">
    <w:pPr>
      <w:framePr w:w="851" w:h="1701" w:hRule="exact" w:wrap="around" w:vAnchor="page" w:hAnchor="margin" w:x="7939" w:y="5501" w:anchorLock="1"/>
      <w:shd w:val="pct95" w:color="auto" w:fill="auto"/>
      <w:spacing w:before="140"/>
      <w:textDirection w:val="btLr"/>
      <w:rPr>
        <w:rFonts w:ascii="Arial" w:hAnsi="Arial" w:cs="Arial"/>
        <w:b/>
        <w:color w:val="FFFFFF" w:themeColor="background1"/>
        <w:spacing w:val="10"/>
        <w:sz w:val="24"/>
      </w:rPr>
    </w:pPr>
    <w:r>
      <w:rPr>
        <w:rFonts w:ascii="Arial" w:hAnsi="Arial" w:cs="Arial"/>
        <w:b/>
        <w:color w:val="FFFFFF" w:themeColor="background1"/>
        <w:spacing w:val="10"/>
        <w:sz w:val="24"/>
      </w:rPr>
      <w:t xml:space="preserve">     </w:t>
    </w:r>
    <w:r w:rsidRPr="00C45A8A">
      <w:rPr>
        <w:rFonts w:ascii="Arial" w:hAnsi="Arial" w:cs="Arial"/>
        <w:b/>
        <w:color w:val="FFFFFF" w:themeColor="background1"/>
        <w:spacing w:val="10"/>
        <w:sz w:val="24"/>
      </w:rPr>
      <w:t>Digital</w:t>
    </w:r>
    <w:r w:rsidRPr="00C45A8A">
      <w:rPr>
        <w:rFonts w:ascii="Arial" w:hAnsi="Arial" w:cs="Arial"/>
        <w:b/>
        <w:color w:val="FFFFFF" w:themeColor="background1"/>
        <w:spacing w:val="10"/>
        <w:sz w:val="24"/>
      </w:rPr>
      <w:br/>
    </w:r>
    <w:r>
      <w:rPr>
        <w:rFonts w:ascii="Arial" w:hAnsi="Arial" w:cs="Arial"/>
        <w:b/>
        <w:color w:val="FFFFFF" w:themeColor="background1"/>
        <w:spacing w:val="10"/>
        <w:sz w:val="24"/>
      </w:rPr>
      <w:t xml:space="preserve">     </w:t>
    </w:r>
    <w:r w:rsidRPr="00C45A8A">
      <w:rPr>
        <w:rFonts w:ascii="Arial" w:hAnsi="Arial" w:cs="Arial"/>
        <w:b/>
        <w:color w:val="FFFFFF" w:themeColor="background1"/>
        <w:spacing w:val="10"/>
        <w:sz w:val="24"/>
      </w:rPr>
      <w:t>Health</w:t>
    </w:r>
  </w:p>
  <w:p w14:paraId="432D8551" w14:textId="4EB54B2C" w:rsidR="001477D3" w:rsidRDefault="001477D3" w:rsidP="00886943">
    <w:pPr>
      <w:tabs>
        <w:tab w:val="center" w:pos="4150"/>
        <w:tab w:val="right" w:pos="8306"/>
      </w:tabs>
      <w:spacing w:after="0"/>
      <w:jc w:val="right"/>
    </w:pPr>
    <w:r w:rsidRPr="00886943">
      <w:rPr>
        <w:rFonts w:ascii="Arial" w:hAnsi="Arial" w:cs="Arial"/>
        <w:sz w:val="18"/>
        <w:szCs w:val="18"/>
      </w:rPr>
      <w:t>Portfolio Budget Statements</w:t>
    </w:r>
    <w:r w:rsidRPr="00886943">
      <w:t xml:space="preserve"> |  </w:t>
    </w:r>
    <w:bookmarkStart w:id="12" w:name="_GoBack"/>
    <w:r w:rsidRPr="00886943">
      <w:rPr>
        <w:noProof/>
        <w:position w:val="-6"/>
      </w:rPr>
      <w:drawing>
        <wp:inline distT="0" distB="0" distL="0" distR="0" wp14:anchorId="792CF77C" wp14:editId="6316F114">
          <wp:extent cx="1358265" cy="170815"/>
          <wp:effectExtent l="0" t="0" r="0" b="635"/>
          <wp:docPr id="5" name="Picture 5" descr="Budget October 2022-23" title="Budg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8265" cy="170815"/>
                  </a:xfrm>
                  <a:prstGeom prst="rect">
                    <a:avLst/>
                  </a:prstGeom>
                  <a:noFill/>
                  <a:ln>
                    <a:noFill/>
                  </a:ln>
                </pic:spPr>
              </pic:pic>
            </a:graphicData>
          </a:graphic>
        </wp:inline>
      </w:drawing>
    </w:r>
    <w:bookmarkEnd w:id="12"/>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72AFD1" w14:textId="3DAADB0E" w:rsidR="001477D3" w:rsidRDefault="001477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77269E" w14:textId="04DAA406" w:rsidR="001477D3" w:rsidRDefault="001477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66C7FB" w14:textId="513B40C9" w:rsidR="001477D3" w:rsidRPr="00C45A8A" w:rsidRDefault="001477D3" w:rsidP="008E0329">
    <w:pPr>
      <w:framePr w:w="851" w:h="1701" w:hRule="exact" w:wrap="around" w:vAnchor="page" w:hAnchor="margin" w:x="7939" w:y="5501" w:anchorLock="1"/>
      <w:shd w:val="pct95" w:color="auto" w:fill="auto"/>
      <w:spacing w:before="140"/>
      <w:textDirection w:val="btLr"/>
      <w:rPr>
        <w:rFonts w:ascii="Arial" w:hAnsi="Arial" w:cs="Arial"/>
        <w:b/>
        <w:color w:val="FFFFFF" w:themeColor="background1"/>
        <w:spacing w:val="10"/>
        <w:sz w:val="24"/>
      </w:rPr>
    </w:pPr>
    <w:r>
      <w:rPr>
        <w:rFonts w:ascii="Arial" w:hAnsi="Arial" w:cs="Arial"/>
        <w:b/>
        <w:color w:val="FFFFFF" w:themeColor="background1"/>
        <w:spacing w:val="10"/>
        <w:sz w:val="24"/>
      </w:rPr>
      <w:t xml:space="preserve">     </w:t>
    </w:r>
    <w:r w:rsidRPr="00C45A8A">
      <w:rPr>
        <w:rFonts w:ascii="Arial" w:hAnsi="Arial" w:cs="Arial"/>
        <w:b/>
        <w:color w:val="FFFFFF" w:themeColor="background1"/>
        <w:spacing w:val="10"/>
        <w:sz w:val="24"/>
      </w:rPr>
      <w:t>Digital</w:t>
    </w:r>
    <w:r w:rsidRPr="00C45A8A">
      <w:rPr>
        <w:rFonts w:ascii="Arial" w:hAnsi="Arial" w:cs="Arial"/>
        <w:b/>
        <w:color w:val="FFFFFF" w:themeColor="background1"/>
        <w:spacing w:val="10"/>
        <w:sz w:val="24"/>
      </w:rPr>
      <w:br/>
    </w:r>
    <w:r>
      <w:rPr>
        <w:rFonts w:ascii="Arial" w:hAnsi="Arial" w:cs="Arial"/>
        <w:b/>
        <w:color w:val="FFFFFF" w:themeColor="background1"/>
        <w:spacing w:val="10"/>
        <w:sz w:val="24"/>
      </w:rPr>
      <w:t xml:space="preserve">     </w:t>
    </w:r>
    <w:r w:rsidRPr="00C45A8A">
      <w:rPr>
        <w:rFonts w:ascii="Arial" w:hAnsi="Arial" w:cs="Arial"/>
        <w:b/>
        <w:color w:val="FFFFFF" w:themeColor="background1"/>
        <w:spacing w:val="10"/>
        <w:sz w:val="24"/>
      </w:rPr>
      <w:t>Health</w:t>
    </w:r>
  </w:p>
  <w:p w14:paraId="5115267F" w14:textId="52D31CDF" w:rsidR="001477D3" w:rsidRDefault="001477D3" w:rsidP="00A052E0">
    <w:pPr>
      <w:pStyle w:val="Header"/>
      <w:tabs>
        <w:tab w:val="clear" w:pos="4513"/>
        <w:tab w:val="clear" w:pos="9026"/>
        <w:tab w:val="left" w:pos="1851"/>
        <w:tab w:val="center" w:pos="3685"/>
        <w:tab w:val="left" w:pos="4850"/>
      </w:tab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E4C84" w14:textId="73BF16CD" w:rsidR="001477D3" w:rsidRDefault="001477D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E6B98" w14:textId="10EE8EE9" w:rsidR="001477D3" w:rsidRPr="00886943" w:rsidRDefault="001477D3" w:rsidP="00886943">
    <w:pPr>
      <w:tabs>
        <w:tab w:val="center" w:pos="4513"/>
        <w:tab w:val="right" w:pos="9026"/>
      </w:tabs>
      <w:spacing w:before="40" w:after="0"/>
    </w:pPr>
    <w:r w:rsidRPr="00886943">
      <w:rPr>
        <w:rFonts w:ascii="Arial" w:hAnsi="Arial" w:cs="Arial"/>
        <w:noProof/>
        <w:position w:val="-6"/>
        <w:sz w:val="18"/>
        <w:szCs w:val="18"/>
      </w:rPr>
      <w:drawing>
        <wp:inline distT="0" distB="0" distL="0" distR="0" wp14:anchorId="139B7DF7" wp14:editId="3011B29A">
          <wp:extent cx="1358265" cy="170815"/>
          <wp:effectExtent l="0" t="0" r="0" b="635"/>
          <wp:docPr id="2" name="Picture 2" descr="Budget October 2022-23" title="Budg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8265" cy="170815"/>
                  </a:xfrm>
                  <a:prstGeom prst="rect">
                    <a:avLst/>
                  </a:prstGeom>
                  <a:noFill/>
                  <a:ln>
                    <a:noFill/>
                  </a:ln>
                </pic:spPr>
              </pic:pic>
            </a:graphicData>
          </a:graphic>
        </wp:inline>
      </w:drawing>
    </w:r>
    <w:r w:rsidRPr="00886943">
      <w:rPr>
        <w:rFonts w:ascii="Arial" w:hAnsi="Arial" w:cs="Arial"/>
        <w:sz w:val="18"/>
        <w:szCs w:val="18"/>
      </w:rPr>
      <w:t xml:space="preserve">  </w:t>
    </w:r>
    <w:proofErr w:type="gramStart"/>
    <w:r w:rsidRPr="00886943">
      <w:rPr>
        <w:rFonts w:ascii="Arial" w:hAnsi="Arial" w:cs="Arial"/>
        <w:sz w:val="18"/>
        <w:szCs w:val="18"/>
      </w:rPr>
      <w:t>|  Portfolio</w:t>
    </w:r>
    <w:proofErr w:type="gramEnd"/>
    <w:r w:rsidRPr="00886943">
      <w:rPr>
        <w:rFonts w:ascii="Arial" w:hAnsi="Arial" w:cs="Arial"/>
        <w:sz w:val="18"/>
        <w:szCs w:val="18"/>
      </w:rPr>
      <w:t xml:space="preserve"> Budget Statements</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DF0A95" w14:textId="66ECBF04" w:rsidR="001477D3" w:rsidRPr="00C45A8A" w:rsidRDefault="001477D3" w:rsidP="00D1671F">
    <w:pPr>
      <w:framePr w:w="851" w:h="1701" w:hRule="exact" w:wrap="around" w:vAnchor="page" w:hAnchor="margin" w:x="7939" w:y="5501" w:anchorLock="1"/>
      <w:shd w:val="pct95" w:color="auto" w:fill="auto"/>
      <w:spacing w:before="140"/>
      <w:textDirection w:val="btLr"/>
      <w:rPr>
        <w:rFonts w:ascii="Arial" w:hAnsi="Arial" w:cs="Arial"/>
        <w:b/>
        <w:color w:val="FFFFFF" w:themeColor="background1"/>
        <w:spacing w:val="10"/>
        <w:sz w:val="24"/>
      </w:rPr>
    </w:pPr>
    <w:r>
      <w:rPr>
        <w:rFonts w:ascii="Arial" w:hAnsi="Arial" w:cs="Arial"/>
        <w:b/>
        <w:color w:val="FFFFFF" w:themeColor="background1"/>
        <w:spacing w:val="10"/>
        <w:sz w:val="24"/>
      </w:rPr>
      <w:t xml:space="preserve">     </w:t>
    </w:r>
    <w:r w:rsidRPr="00C45A8A">
      <w:rPr>
        <w:rFonts w:ascii="Arial" w:hAnsi="Arial" w:cs="Arial"/>
        <w:b/>
        <w:color w:val="FFFFFF" w:themeColor="background1"/>
        <w:spacing w:val="10"/>
        <w:sz w:val="24"/>
      </w:rPr>
      <w:t>Digital</w:t>
    </w:r>
    <w:r w:rsidRPr="00C45A8A">
      <w:rPr>
        <w:rFonts w:ascii="Arial" w:hAnsi="Arial" w:cs="Arial"/>
        <w:b/>
        <w:color w:val="FFFFFF" w:themeColor="background1"/>
        <w:spacing w:val="10"/>
        <w:sz w:val="24"/>
      </w:rPr>
      <w:br/>
    </w:r>
    <w:r>
      <w:rPr>
        <w:rFonts w:ascii="Arial" w:hAnsi="Arial" w:cs="Arial"/>
        <w:b/>
        <w:color w:val="FFFFFF" w:themeColor="background1"/>
        <w:spacing w:val="10"/>
        <w:sz w:val="24"/>
      </w:rPr>
      <w:t xml:space="preserve">     </w:t>
    </w:r>
    <w:r w:rsidRPr="00C45A8A">
      <w:rPr>
        <w:rFonts w:ascii="Arial" w:hAnsi="Arial" w:cs="Arial"/>
        <w:b/>
        <w:color w:val="FFFFFF" w:themeColor="background1"/>
        <w:spacing w:val="10"/>
        <w:sz w:val="24"/>
      </w:rPr>
      <w:t>Health</w:t>
    </w:r>
  </w:p>
  <w:p w14:paraId="1ECB8075" w14:textId="107BD102" w:rsidR="001477D3" w:rsidRDefault="001477D3" w:rsidP="00886943">
    <w:pPr>
      <w:tabs>
        <w:tab w:val="center" w:pos="4150"/>
        <w:tab w:val="right" w:pos="8306"/>
      </w:tabs>
      <w:spacing w:after="0"/>
      <w:jc w:val="right"/>
    </w:pPr>
    <w:r w:rsidRPr="00886943">
      <w:rPr>
        <w:rFonts w:ascii="Arial" w:hAnsi="Arial" w:cs="Arial"/>
        <w:sz w:val="18"/>
        <w:szCs w:val="18"/>
      </w:rPr>
      <w:t>Portfolio Budget Statements</w:t>
    </w:r>
    <w:r w:rsidRPr="00886943">
      <w:t xml:space="preserve"> |  </w:t>
    </w:r>
    <w:r w:rsidRPr="00886943">
      <w:rPr>
        <w:noProof/>
        <w:position w:val="-6"/>
      </w:rPr>
      <w:drawing>
        <wp:inline distT="0" distB="0" distL="0" distR="0" wp14:anchorId="5F142B93" wp14:editId="4B3BF32F">
          <wp:extent cx="1358265" cy="170815"/>
          <wp:effectExtent l="0" t="0" r="0" b="635"/>
          <wp:docPr id="4" name="Picture 4" descr="Budget October 2022-23" title="Budget October 202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8265" cy="170815"/>
                  </a:xfrm>
                  <a:prstGeom prst="rect">
                    <a:avLst/>
                  </a:prstGeom>
                  <a:noFill/>
                  <a:ln>
                    <a:noFill/>
                  </a:ln>
                </pic:spPr>
              </pic:pic>
            </a:graphicData>
          </a:graphic>
        </wp:inline>
      </w:drawing>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F7C9AE" w14:textId="080774AD" w:rsidR="001477D3" w:rsidRDefault="001477D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B41AF8" w14:textId="43F8CE6B" w:rsidR="001477D3" w:rsidRPr="00886943" w:rsidRDefault="001477D3" w:rsidP="00886943">
    <w:pPr>
      <w:tabs>
        <w:tab w:val="center" w:pos="4513"/>
        <w:tab w:val="right" w:pos="9026"/>
      </w:tabs>
      <w:spacing w:before="40" w:after="0"/>
    </w:pPr>
    <w:r w:rsidRPr="00886943">
      <w:rPr>
        <w:rFonts w:ascii="Arial" w:hAnsi="Arial" w:cs="Arial"/>
        <w:noProof/>
        <w:position w:val="-6"/>
        <w:sz w:val="18"/>
        <w:szCs w:val="18"/>
      </w:rPr>
      <w:drawing>
        <wp:inline distT="0" distB="0" distL="0" distR="0" wp14:anchorId="7ED7D5FE" wp14:editId="16B8AD2C">
          <wp:extent cx="1358265" cy="170815"/>
          <wp:effectExtent l="0" t="0" r="0" b="635"/>
          <wp:docPr id="12" name="Picture 12" descr="Budget October 2022-23" title="Budg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8265" cy="170815"/>
                  </a:xfrm>
                  <a:prstGeom prst="rect">
                    <a:avLst/>
                  </a:prstGeom>
                  <a:noFill/>
                  <a:ln>
                    <a:noFill/>
                  </a:ln>
                </pic:spPr>
              </pic:pic>
            </a:graphicData>
          </a:graphic>
        </wp:inline>
      </w:drawing>
    </w:r>
    <w:r w:rsidRPr="00886943">
      <w:rPr>
        <w:rFonts w:ascii="Arial" w:hAnsi="Arial" w:cs="Arial"/>
        <w:sz w:val="18"/>
        <w:szCs w:val="18"/>
      </w:rPr>
      <w:t xml:space="preserve">  </w:t>
    </w:r>
    <w:proofErr w:type="gramStart"/>
    <w:r w:rsidRPr="00886943">
      <w:rPr>
        <w:rFonts w:ascii="Arial" w:hAnsi="Arial" w:cs="Arial"/>
        <w:sz w:val="18"/>
        <w:szCs w:val="18"/>
      </w:rPr>
      <w:t>|  Portfolio</w:t>
    </w:r>
    <w:proofErr w:type="gramEnd"/>
    <w:r w:rsidRPr="00886943">
      <w:rPr>
        <w:rFonts w:ascii="Arial" w:hAnsi="Arial" w:cs="Arial"/>
        <w:sz w:val="18"/>
        <w:szCs w:val="18"/>
      </w:rPr>
      <w:t xml:space="preserve"> Budget Statements</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C8C6F5" w14:textId="7821510E" w:rsidR="001477D3" w:rsidRPr="00C45A8A" w:rsidRDefault="001477D3" w:rsidP="00D1671F">
    <w:pPr>
      <w:framePr w:w="851" w:h="1701" w:hRule="exact" w:wrap="around" w:vAnchor="page" w:hAnchor="margin" w:x="7939" w:y="5501" w:anchorLock="1"/>
      <w:shd w:val="pct95" w:color="auto" w:fill="auto"/>
      <w:spacing w:before="140"/>
      <w:textDirection w:val="btLr"/>
      <w:rPr>
        <w:rFonts w:ascii="Arial" w:hAnsi="Arial" w:cs="Arial"/>
        <w:b/>
        <w:color w:val="FFFFFF" w:themeColor="background1"/>
        <w:spacing w:val="10"/>
        <w:sz w:val="24"/>
      </w:rPr>
    </w:pPr>
    <w:r>
      <w:rPr>
        <w:rFonts w:ascii="Arial" w:hAnsi="Arial" w:cs="Arial"/>
        <w:b/>
        <w:color w:val="FFFFFF" w:themeColor="background1"/>
        <w:spacing w:val="10"/>
        <w:sz w:val="24"/>
      </w:rPr>
      <w:t xml:space="preserve">     </w:t>
    </w:r>
    <w:r w:rsidRPr="00C45A8A">
      <w:rPr>
        <w:rFonts w:ascii="Arial" w:hAnsi="Arial" w:cs="Arial"/>
        <w:b/>
        <w:color w:val="FFFFFF" w:themeColor="background1"/>
        <w:spacing w:val="10"/>
        <w:sz w:val="24"/>
      </w:rPr>
      <w:t>Digital</w:t>
    </w:r>
    <w:r w:rsidRPr="00C45A8A">
      <w:rPr>
        <w:rFonts w:ascii="Arial" w:hAnsi="Arial" w:cs="Arial"/>
        <w:b/>
        <w:color w:val="FFFFFF" w:themeColor="background1"/>
        <w:spacing w:val="10"/>
        <w:sz w:val="24"/>
      </w:rPr>
      <w:br/>
    </w:r>
    <w:r>
      <w:rPr>
        <w:rFonts w:ascii="Arial" w:hAnsi="Arial" w:cs="Arial"/>
        <w:b/>
        <w:color w:val="FFFFFF" w:themeColor="background1"/>
        <w:spacing w:val="10"/>
        <w:sz w:val="24"/>
      </w:rPr>
      <w:t xml:space="preserve">     </w:t>
    </w:r>
    <w:r w:rsidRPr="00C45A8A">
      <w:rPr>
        <w:rFonts w:ascii="Arial" w:hAnsi="Arial" w:cs="Arial"/>
        <w:b/>
        <w:color w:val="FFFFFF" w:themeColor="background1"/>
        <w:spacing w:val="10"/>
        <w:sz w:val="24"/>
      </w:rPr>
      <w:t>Health</w:t>
    </w:r>
  </w:p>
  <w:p w14:paraId="37A5ECC6" w14:textId="49DAC671" w:rsidR="001477D3" w:rsidRDefault="001477D3" w:rsidP="00886943">
    <w:pPr>
      <w:tabs>
        <w:tab w:val="center" w:pos="4150"/>
        <w:tab w:val="right" w:pos="8306"/>
      </w:tabs>
      <w:spacing w:after="0"/>
      <w:jc w:val="right"/>
    </w:pPr>
    <w:r w:rsidRPr="00886943">
      <w:rPr>
        <w:rFonts w:ascii="Arial" w:hAnsi="Arial" w:cs="Arial"/>
        <w:sz w:val="18"/>
        <w:szCs w:val="18"/>
      </w:rPr>
      <w:t>Portfolio Budget Statements</w:t>
    </w:r>
    <w:r w:rsidRPr="00886943">
      <w:t xml:space="preserve"> |  </w:t>
    </w:r>
    <w:r w:rsidRPr="00886943">
      <w:rPr>
        <w:noProof/>
        <w:position w:val="-6"/>
      </w:rPr>
      <w:drawing>
        <wp:inline distT="0" distB="0" distL="0" distR="0" wp14:anchorId="4E29ACE5" wp14:editId="1A897226">
          <wp:extent cx="1358265" cy="170815"/>
          <wp:effectExtent l="0" t="0" r="0" b="635"/>
          <wp:docPr id="14" name="Picture 14" descr="Budget October 2022-23" title="Budg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8265" cy="17081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942EA"/>
    <w:multiLevelType w:val="hybridMultilevel"/>
    <w:tmpl w:val="5DE6CF1E"/>
    <w:lvl w:ilvl="0" w:tplc="76ECD804">
      <w:start w:val="1"/>
      <w:numFmt w:val="bullet"/>
      <w:lvlText w:val="­"/>
      <w:lvlJc w:val="left"/>
      <w:pPr>
        <w:ind w:left="360" w:hanging="360"/>
      </w:pPr>
      <w:rPr>
        <w:rFonts w:ascii="Courier New" w:hAnsi="Courier New"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 w15:restartNumberingAfterBreak="0">
    <w:nsid w:val="081713F7"/>
    <w:multiLevelType w:val="hybridMultilevel"/>
    <w:tmpl w:val="5D5C01FA"/>
    <w:lvl w:ilvl="0" w:tplc="2D5C8174">
      <w:start w:val="1"/>
      <w:numFmt w:val="bullet"/>
      <w:lvlText w:val="•"/>
      <w:lvlJc w:val="left"/>
      <w:pPr>
        <w:tabs>
          <w:tab w:val="num" w:pos="720"/>
        </w:tabs>
        <w:ind w:left="720" w:hanging="360"/>
      </w:pPr>
      <w:rPr>
        <w:rFonts w:ascii="Arial" w:hAnsi="Arial" w:hint="default"/>
      </w:rPr>
    </w:lvl>
    <w:lvl w:ilvl="1" w:tplc="CCAEBCAC" w:tentative="1">
      <w:start w:val="1"/>
      <w:numFmt w:val="bullet"/>
      <w:lvlText w:val="•"/>
      <w:lvlJc w:val="left"/>
      <w:pPr>
        <w:tabs>
          <w:tab w:val="num" w:pos="1440"/>
        </w:tabs>
        <w:ind w:left="1440" w:hanging="360"/>
      </w:pPr>
      <w:rPr>
        <w:rFonts w:ascii="Arial" w:hAnsi="Arial" w:hint="default"/>
      </w:rPr>
    </w:lvl>
    <w:lvl w:ilvl="2" w:tplc="B6848092" w:tentative="1">
      <w:start w:val="1"/>
      <w:numFmt w:val="bullet"/>
      <w:lvlText w:val="•"/>
      <w:lvlJc w:val="left"/>
      <w:pPr>
        <w:tabs>
          <w:tab w:val="num" w:pos="2160"/>
        </w:tabs>
        <w:ind w:left="2160" w:hanging="360"/>
      </w:pPr>
      <w:rPr>
        <w:rFonts w:ascii="Arial" w:hAnsi="Arial" w:hint="default"/>
      </w:rPr>
    </w:lvl>
    <w:lvl w:ilvl="3" w:tplc="D068DBE6" w:tentative="1">
      <w:start w:val="1"/>
      <w:numFmt w:val="bullet"/>
      <w:lvlText w:val="•"/>
      <w:lvlJc w:val="left"/>
      <w:pPr>
        <w:tabs>
          <w:tab w:val="num" w:pos="2880"/>
        </w:tabs>
        <w:ind w:left="2880" w:hanging="360"/>
      </w:pPr>
      <w:rPr>
        <w:rFonts w:ascii="Arial" w:hAnsi="Arial" w:hint="default"/>
      </w:rPr>
    </w:lvl>
    <w:lvl w:ilvl="4" w:tplc="C7B03396" w:tentative="1">
      <w:start w:val="1"/>
      <w:numFmt w:val="bullet"/>
      <w:lvlText w:val="•"/>
      <w:lvlJc w:val="left"/>
      <w:pPr>
        <w:tabs>
          <w:tab w:val="num" w:pos="3600"/>
        </w:tabs>
        <w:ind w:left="3600" w:hanging="360"/>
      </w:pPr>
      <w:rPr>
        <w:rFonts w:ascii="Arial" w:hAnsi="Arial" w:hint="default"/>
      </w:rPr>
    </w:lvl>
    <w:lvl w:ilvl="5" w:tplc="5002C84E" w:tentative="1">
      <w:start w:val="1"/>
      <w:numFmt w:val="bullet"/>
      <w:lvlText w:val="•"/>
      <w:lvlJc w:val="left"/>
      <w:pPr>
        <w:tabs>
          <w:tab w:val="num" w:pos="4320"/>
        </w:tabs>
        <w:ind w:left="4320" w:hanging="360"/>
      </w:pPr>
      <w:rPr>
        <w:rFonts w:ascii="Arial" w:hAnsi="Arial" w:hint="default"/>
      </w:rPr>
    </w:lvl>
    <w:lvl w:ilvl="6" w:tplc="CBC4A47C" w:tentative="1">
      <w:start w:val="1"/>
      <w:numFmt w:val="bullet"/>
      <w:lvlText w:val="•"/>
      <w:lvlJc w:val="left"/>
      <w:pPr>
        <w:tabs>
          <w:tab w:val="num" w:pos="5040"/>
        </w:tabs>
        <w:ind w:left="5040" w:hanging="360"/>
      </w:pPr>
      <w:rPr>
        <w:rFonts w:ascii="Arial" w:hAnsi="Arial" w:hint="default"/>
      </w:rPr>
    </w:lvl>
    <w:lvl w:ilvl="7" w:tplc="DB7EEDE2" w:tentative="1">
      <w:start w:val="1"/>
      <w:numFmt w:val="bullet"/>
      <w:lvlText w:val="•"/>
      <w:lvlJc w:val="left"/>
      <w:pPr>
        <w:tabs>
          <w:tab w:val="num" w:pos="5760"/>
        </w:tabs>
        <w:ind w:left="5760" w:hanging="360"/>
      </w:pPr>
      <w:rPr>
        <w:rFonts w:ascii="Arial" w:hAnsi="Arial" w:hint="default"/>
      </w:rPr>
    </w:lvl>
    <w:lvl w:ilvl="8" w:tplc="AF8AB92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9EA1540"/>
    <w:multiLevelType w:val="hybridMultilevel"/>
    <w:tmpl w:val="DEE6D04C"/>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 w15:restartNumberingAfterBreak="0">
    <w:nsid w:val="0FFB545F"/>
    <w:multiLevelType w:val="hybridMultilevel"/>
    <w:tmpl w:val="2D86C99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95D4216"/>
    <w:multiLevelType w:val="multilevel"/>
    <w:tmpl w:val="2D4E997E"/>
    <w:lvl w:ilvl="0">
      <w:start w:val="1"/>
      <w:numFmt w:val="decimal"/>
      <w:lvlText w:val="%1"/>
      <w:lvlJc w:val="left"/>
      <w:pPr>
        <w:ind w:left="710" w:hanging="710"/>
      </w:pPr>
      <w:rPr>
        <w:rFonts w:hint="default"/>
      </w:rPr>
    </w:lvl>
    <w:lvl w:ilvl="1">
      <w:start w:val="1"/>
      <w:numFmt w:val="decimal"/>
      <w:lvlText w:val="%1.%2"/>
      <w:lvlJc w:val="left"/>
      <w:pPr>
        <w:ind w:left="710" w:hanging="7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B9379EC"/>
    <w:multiLevelType w:val="hybridMultilevel"/>
    <w:tmpl w:val="2EB4181E"/>
    <w:lvl w:ilvl="0" w:tplc="085E5AAE">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1D963B16"/>
    <w:multiLevelType w:val="hybridMultilevel"/>
    <w:tmpl w:val="0246B0C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1DB1284"/>
    <w:multiLevelType w:val="hybridMultilevel"/>
    <w:tmpl w:val="2CFAE2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25E33A7"/>
    <w:multiLevelType w:val="hybridMultilevel"/>
    <w:tmpl w:val="BBC6229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4016B8A"/>
    <w:multiLevelType w:val="hybridMultilevel"/>
    <w:tmpl w:val="B80666DC"/>
    <w:lvl w:ilvl="0" w:tplc="5B0E820C">
      <w:start w:val="1"/>
      <w:numFmt w:val="bullet"/>
      <w:lvlText w:val="•"/>
      <w:lvlJc w:val="left"/>
      <w:pPr>
        <w:tabs>
          <w:tab w:val="num" w:pos="720"/>
        </w:tabs>
        <w:ind w:left="720" w:hanging="360"/>
      </w:pPr>
      <w:rPr>
        <w:rFonts w:ascii="Arial" w:hAnsi="Arial" w:hint="default"/>
      </w:rPr>
    </w:lvl>
    <w:lvl w:ilvl="1" w:tplc="7820CF96" w:tentative="1">
      <w:start w:val="1"/>
      <w:numFmt w:val="bullet"/>
      <w:lvlText w:val="•"/>
      <w:lvlJc w:val="left"/>
      <w:pPr>
        <w:tabs>
          <w:tab w:val="num" w:pos="1440"/>
        </w:tabs>
        <w:ind w:left="1440" w:hanging="360"/>
      </w:pPr>
      <w:rPr>
        <w:rFonts w:ascii="Arial" w:hAnsi="Arial" w:hint="default"/>
      </w:rPr>
    </w:lvl>
    <w:lvl w:ilvl="2" w:tplc="4B28AECE" w:tentative="1">
      <w:start w:val="1"/>
      <w:numFmt w:val="bullet"/>
      <w:lvlText w:val="•"/>
      <w:lvlJc w:val="left"/>
      <w:pPr>
        <w:tabs>
          <w:tab w:val="num" w:pos="2160"/>
        </w:tabs>
        <w:ind w:left="2160" w:hanging="360"/>
      </w:pPr>
      <w:rPr>
        <w:rFonts w:ascii="Arial" w:hAnsi="Arial" w:hint="default"/>
      </w:rPr>
    </w:lvl>
    <w:lvl w:ilvl="3" w:tplc="C6A8BBDA" w:tentative="1">
      <w:start w:val="1"/>
      <w:numFmt w:val="bullet"/>
      <w:lvlText w:val="•"/>
      <w:lvlJc w:val="left"/>
      <w:pPr>
        <w:tabs>
          <w:tab w:val="num" w:pos="2880"/>
        </w:tabs>
        <w:ind w:left="2880" w:hanging="360"/>
      </w:pPr>
      <w:rPr>
        <w:rFonts w:ascii="Arial" w:hAnsi="Arial" w:hint="default"/>
      </w:rPr>
    </w:lvl>
    <w:lvl w:ilvl="4" w:tplc="2E4C6E90" w:tentative="1">
      <w:start w:val="1"/>
      <w:numFmt w:val="bullet"/>
      <w:lvlText w:val="•"/>
      <w:lvlJc w:val="left"/>
      <w:pPr>
        <w:tabs>
          <w:tab w:val="num" w:pos="3600"/>
        </w:tabs>
        <w:ind w:left="3600" w:hanging="360"/>
      </w:pPr>
      <w:rPr>
        <w:rFonts w:ascii="Arial" w:hAnsi="Arial" w:hint="default"/>
      </w:rPr>
    </w:lvl>
    <w:lvl w:ilvl="5" w:tplc="295E8184" w:tentative="1">
      <w:start w:val="1"/>
      <w:numFmt w:val="bullet"/>
      <w:lvlText w:val="•"/>
      <w:lvlJc w:val="left"/>
      <w:pPr>
        <w:tabs>
          <w:tab w:val="num" w:pos="4320"/>
        </w:tabs>
        <w:ind w:left="4320" w:hanging="360"/>
      </w:pPr>
      <w:rPr>
        <w:rFonts w:ascii="Arial" w:hAnsi="Arial" w:hint="default"/>
      </w:rPr>
    </w:lvl>
    <w:lvl w:ilvl="6" w:tplc="34224456" w:tentative="1">
      <w:start w:val="1"/>
      <w:numFmt w:val="bullet"/>
      <w:lvlText w:val="•"/>
      <w:lvlJc w:val="left"/>
      <w:pPr>
        <w:tabs>
          <w:tab w:val="num" w:pos="5040"/>
        </w:tabs>
        <w:ind w:left="5040" w:hanging="360"/>
      </w:pPr>
      <w:rPr>
        <w:rFonts w:ascii="Arial" w:hAnsi="Arial" w:hint="default"/>
      </w:rPr>
    </w:lvl>
    <w:lvl w:ilvl="7" w:tplc="F6884C6C" w:tentative="1">
      <w:start w:val="1"/>
      <w:numFmt w:val="bullet"/>
      <w:lvlText w:val="•"/>
      <w:lvlJc w:val="left"/>
      <w:pPr>
        <w:tabs>
          <w:tab w:val="num" w:pos="5760"/>
        </w:tabs>
        <w:ind w:left="5760" w:hanging="360"/>
      </w:pPr>
      <w:rPr>
        <w:rFonts w:ascii="Arial" w:hAnsi="Arial" w:hint="default"/>
      </w:rPr>
    </w:lvl>
    <w:lvl w:ilvl="8" w:tplc="5498D14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71C745C"/>
    <w:multiLevelType w:val="hybridMultilevel"/>
    <w:tmpl w:val="B33472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B6D749E"/>
    <w:multiLevelType w:val="hybridMultilevel"/>
    <w:tmpl w:val="29063B82"/>
    <w:lvl w:ilvl="0" w:tplc="76ECD804">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48C20923"/>
    <w:multiLevelType w:val="hybridMultilevel"/>
    <w:tmpl w:val="B68ED924"/>
    <w:lvl w:ilvl="0" w:tplc="BAA6E296">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A7E7BFC"/>
    <w:multiLevelType w:val="hybridMultilevel"/>
    <w:tmpl w:val="9FD2C11C"/>
    <w:lvl w:ilvl="0" w:tplc="6A5A89C4">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0801793"/>
    <w:multiLevelType w:val="hybridMultilevel"/>
    <w:tmpl w:val="946A493A"/>
    <w:lvl w:ilvl="0" w:tplc="76ECD804">
      <w:start w:val="1"/>
      <w:numFmt w:val="bullet"/>
      <w:lvlText w:val="­"/>
      <w:lvlJc w:val="left"/>
      <w:pPr>
        <w:ind w:left="360" w:hanging="360"/>
      </w:pPr>
      <w:rPr>
        <w:rFonts w:ascii="Courier New" w:hAnsi="Courier New"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5" w15:restartNumberingAfterBreak="0">
    <w:nsid w:val="5BF93165"/>
    <w:multiLevelType w:val="hybridMultilevel"/>
    <w:tmpl w:val="89A63B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C7A0C08"/>
    <w:multiLevelType w:val="hybridMultilevel"/>
    <w:tmpl w:val="39608C00"/>
    <w:lvl w:ilvl="0" w:tplc="0C090001">
      <w:start w:val="1"/>
      <w:numFmt w:val="bullet"/>
      <w:lvlText w:val=""/>
      <w:lvlJc w:val="left"/>
      <w:pPr>
        <w:ind w:left="1027" w:hanging="360"/>
      </w:pPr>
      <w:rPr>
        <w:rFonts w:ascii="Symbol" w:hAnsi="Symbol" w:hint="default"/>
      </w:rPr>
    </w:lvl>
    <w:lvl w:ilvl="1" w:tplc="0C090003" w:tentative="1">
      <w:start w:val="1"/>
      <w:numFmt w:val="bullet"/>
      <w:lvlText w:val="o"/>
      <w:lvlJc w:val="left"/>
      <w:pPr>
        <w:ind w:left="1747" w:hanging="360"/>
      </w:pPr>
      <w:rPr>
        <w:rFonts w:ascii="Courier New" w:hAnsi="Courier New" w:cs="Courier New" w:hint="default"/>
      </w:rPr>
    </w:lvl>
    <w:lvl w:ilvl="2" w:tplc="0C090005" w:tentative="1">
      <w:start w:val="1"/>
      <w:numFmt w:val="bullet"/>
      <w:lvlText w:val=""/>
      <w:lvlJc w:val="left"/>
      <w:pPr>
        <w:ind w:left="2467" w:hanging="360"/>
      </w:pPr>
      <w:rPr>
        <w:rFonts w:ascii="Wingdings" w:hAnsi="Wingdings" w:hint="default"/>
      </w:rPr>
    </w:lvl>
    <w:lvl w:ilvl="3" w:tplc="0C090001" w:tentative="1">
      <w:start w:val="1"/>
      <w:numFmt w:val="bullet"/>
      <w:lvlText w:val=""/>
      <w:lvlJc w:val="left"/>
      <w:pPr>
        <w:ind w:left="3187" w:hanging="360"/>
      </w:pPr>
      <w:rPr>
        <w:rFonts w:ascii="Symbol" w:hAnsi="Symbol" w:hint="default"/>
      </w:rPr>
    </w:lvl>
    <w:lvl w:ilvl="4" w:tplc="0C090003" w:tentative="1">
      <w:start w:val="1"/>
      <w:numFmt w:val="bullet"/>
      <w:lvlText w:val="o"/>
      <w:lvlJc w:val="left"/>
      <w:pPr>
        <w:ind w:left="3907" w:hanging="360"/>
      </w:pPr>
      <w:rPr>
        <w:rFonts w:ascii="Courier New" w:hAnsi="Courier New" w:cs="Courier New" w:hint="default"/>
      </w:rPr>
    </w:lvl>
    <w:lvl w:ilvl="5" w:tplc="0C090005" w:tentative="1">
      <w:start w:val="1"/>
      <w:numFmt w:val="bullet"/>
      <w:lvlText w:val=""/>
      <w:lvlJc w:val="left"/>
      <w:pPr>
        <w:ind w:left="4627" w:hanging="360"/>
      </w:pPr>
      <w:rPr>
        <w:rFonts w:ascii="Wingdings" w:hAnsi="Wingdings" w:hint="default"/>
      </w:rPr>
    </w:lvl>
    <w:lvl w:ilvl="6" w:tplc="0C090001" w:tentative="1">
      <w:start w:val="1"/>
      <w:numFmt w:val="bullet"/>
      <w:lvlText w:val=""/>
      <w:lvlJc w:val="left"/>
      <w:pPr>
        <w:ind w:left="5347" w:hanging="360"/>
      </w:pPr>
      <w:rPr>
        <w:rFonts w:ascii="Symbol" w:hAnsi="Symbol" w:hint="default"/>
      </w:rPr>
    </w:lvl>
    <w:lvl w:ilvl="7" w:tplc="0C090003" w:tentative="1">
      <w:start w:val="1"/>
      <w:numFmt w:val="bullet"/>
      <w:lvlText w:val="o"/>
      <w:lvlJc w:val="left"/>
      <w:pPr>
        <w:ind w:left="6067" w:hanging="360"/>
      </w:pPr>
      <w:rPr>
        <w:rFonts w:ascii="Courier New" w:hAnsi="Courier New" w:cs="Courier New" w:hint="default"/>
      </w:rPr>
    </w:lvl>
    <w:lvl w:ilvl="8" w:tplc="0C090005" w:tentative="1">
      <w:start w:val="1"/>
      <w:numFmt w:val="bullet"/>
      <w:lvlText w:val=""/>
      <w:lvlJc w:val="left"/>
      <w:pPr>
        <w:ind w:left="6787" w:hanging="360"/>
      </w:pPr>
      <w:rPr>
        <w:rFonts w:ascii="Wingdings" w:hAnsi="Wingdings" w:hint="default"/>
      </w:rPr>
    </w:lvl>
  </w:abstractNum>
  <w:abstractNum w:abstractNumId="17" w15:restartNumberingAfterBreak="0">
    <w:nsid w:val="604215EB"/>
    <w:multiLevelType w:val="hybridMultilevel"/>
    <w:tmpl w:val="4FE68DCA"/>
    <w:lvl w:ilvl="0" w:tplc="EDC64CB0">
      <w:start w:val="337"/>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AE05269"/>
    <w:multiLevelType w:val="hybridMultilevel"/>
    <w:tmpl w:val="1196E3D0"/>
    <w:lvl w:ilvl="0" w:tplc="3996C034">
      <w:numFmt w:val="bullet"/>
      <w:lvlText w:val="•"/>
      <w:lvlJc w:val="left"/>
      <w:pPr>
        <w:ind w:left="1080" w:hanging="720"/>
      </w:pPr>
      <w:rPr>
        <w:rFonts w:ascii="Book Antiqua" w:eastAsia="Times New Roman" w:hAnsi="Book Antiqu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D385831"/>
    <w:multiLevelType w:val="hybridMultilevel"/>
    <w:tmpl w:val="70D409F0"/>
    <w:lvl w:ilvl="0" w:tplc="83107C34">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912714A"/>
    <w:multiLevelType w:val="hybridMultilevel"/>
    <w:tmpl w:val="06727B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A347C59"/>
    <w:multiLevelType w:val="hybridMultilevel"/>
    <w:tmpl w:val="021AF8AC"/>
    <w:lvl w:ilvl="0" w:tplc="76ECD804">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C3E1C0B"/>
    <w:multiLevelType w:val="hybridMultilevel"/>
    <w:tmpl w:val="2A72B1B6"/>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F763580"/>
    <w:multiLevelType w:val="hybridMultilevel"/>
    <w:tmpl w:val="39305336"/>
    <w:lvl w:ilvl="0" w:tplc="76ECD804">
      <w:start w:val="1"/>
      <w:numFmt w:val="bullet"/>
      <w:lvlText w:val="­"/>
      <w:lvlJc w:val="left"/>
      <w:pPr>
        <w:ind w:left="360" w:hanging="360"/>
      </w:pPr>
      <w:rPr>
        <w:rFonts w:ascii="Courier New" w:hAnsi="Courier New"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4" w15:restartNumberingAfterBreak="0">
    <w:nsid w:val="7F786ACF"/>
    <w:multiLevelType w:val="hybridMultilevel"/>
    <w:tmpl w:val="37C4D1CC"/>
    <w:lvl w:ilvl="0" w:tplc="76ECD804">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5"/>
  </w:num>
  <w:num w:numId="2">
    <w:abstractNumId w:val="18"/>
  </w:num>
  <w:num w:numId="3">
    <w:abstractNumId w:val="19"/>
  </w:num>
  <w:num w:numId="4">
    <w:abstractNumId w:val="13"/>
  </w:num>
  <w:num w:numId="5">
    <w:abstractNumId w:val="16"/>
  </w:num>
  <w:num w:numId="6">
    <w:abstractNumId w:val="22"/>
  </w:num>
  <w:num w:numId="7">
    <w:abstractNumId w:val="21"/>
  </w:num>
  <w:num w:numId="8">
    <w:abstractNumId w:val="6"/>
  </w:num>
  <w:num w:numId="9">
    <w:abstractNumId w:val="4"/>
  </w:num>
  <w:num w:numId="10">
    <w:abstractNumId w:val="10"/>
  </w:num>
  <w:num w:numId="11">
    <w:abstractNumId w:val="2"/>
  </w:num>
  <w:num w:numId="12">
    <w:abstractNumId w:val="1"/>
  </w:num>
  <w:num w:numId="13">
    <w:abstractNumId w:val="9"/>
  </w:num>
  <w:num w:numId="14">
    <w:abstractNumId w:val="15"/>
  </w:num>
  <w:num w:numId="15">
    <w:abstractNumId w:val="3"/>
  </w:num>
  <w:num w:numId="16">
    <w:abstractNumId w:val="8"/>
  </w:num>
  <w:num w:numId="17">
    <w:abstractNumId w:val="20"/>
  </w:num>
  <w:num w:numId="18">
    <w:abstractNumId w:val="17"/>
  </w:num>
  <w:num w:numId="19">
    <w:abstractNumId w:val="7"/>
  </w:num>
  <w:num w:numId="20">
    <w:abstractNumId w:val="12"/>
  </w:num>
  <w:num w:numId="21">
    <w:abstractNumId w:val="23"/>
  </w:num>
  <w:num w:numId="22">
    <w:abstractNumId w:val="14"/>
  </w:num>
  <w:num w:numId="23">
    <w:abstractNumId w:val="0"/>
  </w:num>
  <w:num w:numId="24">
    <w:abstractNumId w:val="11"/>
  </w:num>
  <w:num w:numId="25">
    <w:abstractNumId w:val="24"/>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ocumentProtection w:edit="trackedChanges" w:enforcement="0"/>
  <w:defaultTabStop w:val="720"/>
  <w:evenAndOddHeaders/>
  <w:characterSpacingControl w:val="doNotCompress"/>
  <w:hdrShapeDefaults>
    <o:shapedefaults v:ext="edit" spidmax="1904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388"/>
    <w:rsid w:val="0000776D"/>
    <w:rsid w:val="00021EA9"/>
    <w:rsid w:val="00030AAA"/>
    <w:rsid w:val="00040B16"/>
    <w:rsid w:val="00043533"/>
    <w:rsid w:val="00050055"/>
    <w:rsid w:val="00055118"/>
    <w:rsid w:val="00061E7B"/>
    <w:rsid w:val="00064266"/>
    <w:rsid w:val="00066289"/>
    <w:rsid w:val="00081A6F"/>
    <w:rsid w:val="000829A0"/>
    <w:rsid w:val="0008316B"/>
    <w:rsid w:val="000B0315"/>
    <w:rsid w:val="000B1265"/>
    <w:rsid w:val="000C1352"/>
    <w:rsid w:val="000C3248"/>
    <w:rsid w:val="000C4E2F"/>
    <w:rsid w:val="000E18A0"/>
    <w:rsid w:val="000E60A0"/>
    <w:rsid w:val="000F71D4"/>
    <w:rsid w:val="00100861"/>
    <w:rsid w:val="00103117"/>
    <w:rsid w:val="0010527D"/>
    <w:rsid w:val="0010644C"/>
    <w:rsid w:val="0011262C"/>
    <w:rsid w:val="0012006A"/>
    <w:rsid w:val="00122284"/>
    <w:rsid w:val="00125EB1"/>
    <w:rsid w:val="00131281"/>
    <w:rsid w:val="00132BD2"/>
    <w:rsid w:val="001477D3"/>
    <w:rsid w:val="00163530"/>
    <w:rsid w:val="00167BE0"/>
    <w:rsid w:val="00167F59"/>
    <w:rsid w:val="0019008C"/>
    <w:rsid w:val="001A5523"/>
    <w:rsid w:val="001B0BCC"/>
    <w:rsid w:val="001B0E23"/>
    <w:rsid w:val="001B122A"/>
    <w:rsid w:val="001B1680"/>
    <w:rsid w:val="001B1F7F"/>
    <w:rsid w:val="001B2954"/>
    <w:rsid w:val="001B6BCB"/>
    <w:rsid w:val="001C120D"/>
    <w:rsid w:val="001D2455"/>
    <w:rsid w:val="001E6157"/>
    <w:rsid w:val="001F2153"/>
    <w:rsid w:val="001F3C46"/>
    <w:rsid w:val="001F4ABB"/>
    <w:rsid w:val="00214AFF"/>
    <w:rsid w:val="00224060"/>
    <w:rsid w:val="0022421E"/>
    <w:rsid w:val="0024539A"/>
    <w:rsid w:val="00247A9C"/>
    <w:rsid w:val="00263945"/>
    <w:rsid w:val="00274315"/>
    <w:rsid w:val="00277487"/>
    <w:rsid w:val="00280050"/>
    <w:rsid w:val="002928A4"/>
    <w:rsid w:val="00295D9C"/>
    <w:rsid w:val="00297C1A"/>
    <w:rsid w:val="002B12E1"/>
    <w:rsid w:val="002B2DED"/>
    <w:rsid w:val="002C2F1E"/>
    <w:rsid w:val="002C4A64"/>
    <w:rsid w:val="002C7161"/>
    <w:rsid w:val="002D1075"/>
    <w:rsid w:val="002E0591"/>
    <w:rsid w:val="002E2C78"/>
    <w:rsid w:val="002E6836"/>
    <w:rsid w:val="002E7C66"/>
    <w:rsid w:val="002F0654"/>
    <w:rsid w:val="002F2D64"/>
    <w:rsid w:val="002F4D56"/>
    <w:rsid w:val="002F7204"/>
    <w:rsid w:val="003058FD"/>
    <w:rsid w:val="0030654E"/>
    <w:rsid w:val="00313509"/>
    <w:rsid w:val="0031688F"/>
    <w:rsid w:val="00325459"/>
    <w:rsid w:val="003312E4"/>
    <w:rsid w:val="0033496F"/>
    <w:rsid w:val="00335E26"/>
    <w:rsid w:val="003437EF"/>
    <w:rsid w:val="003445C8"/>
    <w:rsid w:val="00344D7A"/>
    <w:rsid w:val="00357948"/>
    <w:rsid w:val="0036079B"/>
    <w:rsid w:val="00364CF0"/>
    <w:rsid w:val="0037037F"/>
    <w:rsid w:val="00371754"/>
    <w:rsid w:val="0038504E"/>
    <w:rsid w:val="00393EAE"/>
    <w:rsid w:val="00394836"/>
    <w:rsid w:val="003B33F2"/>
    <w:rsid w:val="003B4B66"/>
    <w:rsid w:val="003B58A2"/>
    <w:rsid w:val="003B6172"/>
    <w:rsid w:val="003B6765"/>
    <w:rsid w:val="003C3C6E"/>
    <w:rsid w:val="003D35CD"/>
    <w:rsid w:val="003E6D66"/>
    <w:rsid w:val="003F3353"/>
    <w:rsid w:val="004110CA"/>
    <w:rsid w:val="00422DD0"/>
    <w:rsid w:val="004245DC"/>
    <w:rsid w:val="00430346"/>
    <w:rsid w:val="00430C49"/>
    <w:rsid w:val="00434171"/>
    <w:rsid w:val="004410EA"/>
    <w:rsid w:val="00444C0E"/>
    <w:rsid w:val="00444CC3"/>
    <w:rsid w:val="0045239F"/>
    <w:rsid w:val="00452DF7"/>
    <w:rsid w:val="00455179"/>
    <w:rsid w:val="00465692"/>
    <w:rsid w:val="00466F29"/>
    <w:rsid w:val="00476A6E"/>
    <w:rsid w:val="00481768"/>
    <w:rsid w:val="00482A91"/>
    <w:rsid w:val="004C575E"/>
    <w:rsid w:val="004E756D"/>
    <w:rsid w:val="004F02DD"/>
    <w:rsid w:val="004F4253"/>
    <w:rsid w:val="005023B9"/>
    <w:rsid w:val="00506BFD"/>
    <w:rsid w:val="00515C8E"/>
    <w:rsid w:val="00525BA5"/>
    <w:rsid w:val="00530E74"/>
    <w:rsid w:val="00531167"/>
    <w:rsid w:val="005339D0"/>
    <w:rsid w:val="00534798"/>
    <w:rsid w:val="00557787"/>
    <w:rsid w:val="00561F53"/>
    <w:rsid w:val="005652FF"/>
    <w:rsid w:val="00567E76"/>
    <w:rsid w:val="00573826"/>
    <w:rsid w:val="00582176"/>
    <w:rsid w:val="0058544F"/>
    <w:rsid w:val="005A5357"/>
    <w:rsid w:val="005B0E9D"/>
    <w:rsid w:val="005B1A38"/>
    <w:rsid w:val="005C3A7B"/>
    <w:rsid w:val="005C78DF"/>
    <w:rsid w:val="005D36FF"/>
    <w:rsid w:val="005D52B5"/>
    <w:rsid w:val="005F7C48"/>
    <w:rsid w:val="006033D9"/>
    <w:rsid w:val="00604DCA"/>
    <w:rsid w:val="0063406D"/>
    <w:rsid w:val="00643FDF"/>
    <w:rsid w:val="0064600D"/>
    <w:rsid w:val="00651990"/>
    <w:rsid w:val="00655CD5"/>
    <w:rsid w:val="006666D4"/>
    <w:rsid w:val="00671B7E"/>
    <w:rsid w:val="00672C7F"/>
    <w:rsid w:val="00693E5D"/>
    <w:rsid w:val="006A1DB8"/>
    <w:rsid w:val="006A229F"/>
    <w:rsid w:val="006B2798"/>
    <w:rsid w:val="006B537D"/>
    <w:rsid w:val="006C5B01"/>
    <w:rsid w:val="006C6E52"/>
    <w:rsid w:val="006D7E30"/>
    <w:rsid w:val="006E2E84"/>
    <w:rsid w:val="006E6DC3"/>
    <w:rsid w:val="006F4FC5"/>
    <w:rsid w:val="006F7142"/>
    <w:rsid w:val="0070186C"/>
    <w:rsid w:val="007059F0"/>
    <w:rsid w:val="00711386"/>
    <w:rsid w:val="00714C55"/>
    <w:rsid w:val="00715FF1"/>
    <w:rsid w:val="0072253B"/>
    <w:rsid w:val="00734B90"/>
    <w:rsid w:val="0073716F"/>
    <w:rsid w:val="007378B4"/>
    <w:rsid w:val="00741A08"/>
    <w:rsid w:val="00744D1F"/>
    <w:rsid w:val="00750D51"/>
    <w:rsid w:val="00762B59"/>
    <w:rsid w:val="00766A76"/>
    <w:rsid w:val="00786ED1"/>
    <w:rsid w:val="007A4707"/>
    <w:rsid w:val="007A5E74"/>
    <w:rsid w:val="007A607E"/>
    <w:rsid w:val="007B2F0D"/>
    <w:rsid w:val="007C3BB1"/>
    <w:rsid w:val="007D0899"/>
    <w:rsid w:val="007D183F"/>
    <w:rsid w:val="007E6CC6"/>
    <w:rsid w:val="007F06A4"/>
    <w:rsid w:val="007F410B"/>
    <w:rsid w:val="007F62B9"/>
    <w:rsid w:val="00805596"/>
    <w:rsid w:val="00810AEB"/>
    <w:rsid w:val="00816375"/>
    <w:rsid w:val="00816C56"/>
    <w:rsid w:val="008174E3"/>
    <w:rsid w:val="00831C56"/>
    <w:rsid w:val="00832385"/>
    <w:rsid w:val="00840AA6"/>
    <w:rsid w:val="008437C8"/>
    <w:rsid w:val="0085440A"/>
    <w:rsid w:val="00861801"/>
    <w:rsid w:val="008622A8"/>
    <w:rsid w:val="00863ED8"/>
    <w:rsid w:val="0087314B"/>
    <w:rsid w:val="00873693"/>
    <w:rsid w:val="00886943"/>
    <w:rsid w:val="008946F1"/>
    <w:rsid w:val="008958BD"/>
    <w:rsid w:val="008A24BD"/>
    <w:rsid w:val="008A6435"/>
    <w:rsid w:val="008B140D"/>
    <w:rsid w:val="008C5234"/>
    <w:rsid w:val="008C63CC"/>
    <w:rsid w:val="008E0329"/>
    <w:rsid w:val="008E4307"/>
    <w:rsid w:val="008F2A7E"/>
    <w:rsid w:val="008F7F8F"/>
    <w:rsid w:val="009078CA"/>
    <w:rsid w:val="00912E4E"/>
    <w:rsid w:val="00913388"/>
    <w:rsid w:val="00923205"/>
    <w:rsid w:val="0093002D"/>
    <w:rsid w:val="00931AF4"/>
    <w:rsid w:val="009320AF"/>
    <w:rsid w:val="00963B44"/>
    <w:rsid w:val="009658EF"/>
    <w:rsid w:val="009716EC"/>
    <w:rsid w:val="00977906"/>
    <w:rsid w:val="0098284E"/>
    <w:rsid w:val="00986CC6"/>
    <w:rsid w:val="00993E14"/>
    <w:rsid w:val="009957CA"/>
    <w:rsid w:val="00996E56"/>
    <w:rsid w:val="009C524E"/>
    <w:rsid w:val="009D7012"/>
    <w:rsid w:val="009D71AC"/>
    <w:rsid w:val="009E17AA"/>
    <w:rsid w:val="009E2144"/>
    <w:rsid w:val="009E2FAE"/>
    <w:rsid w:val="009E6DF2"/>
    <w:rsid w:val="009F04E0"/>
    <w:rsid w:val="009F5F68"/>
    <w:rsid w:val="00A01D68"/>
    <w:rsid w:val="00A052E0"/>
    <w:rsid w:val="00A05986"/>
    <w:rsid w:val="00A20239"/>
    <w:rsid w:val="00A20D36"/>
    <w:rsid w:val="00A279E1"/>
    <w:rsid w:val="00A306FD"/>
    <w:rsid w:val="00A54836"/>
    <w:rsid w:val="00A54E29"/>
    <w:rsid w:val="00A668BF"/>
    <w:rsid w:val="00A6794D"/>
    <w:rsid w:val="00A70F1C"/>
    <w:rsid w:val="00A71464"/>
    <w:rsid w:val="00A714B2"/>
    <w:rsid w:val="00A717AF"/>
    <w:rsid w:val="00A86D5D"/>
    <w:rsid w:val="00A90047"/>
    <w:rsid w:val="00A90CF4"/>
    <w:rsid w:val="00A924D1"/>
    <w:rsid w:val="00AA0C83"/>
    <w:rsid w:val="00AA58BB"/>
    <w:rsid w:val="00AB1453"/>
    <w:rsid w:val="00AB3B11"/>
    <w:rsid w:val="00AB738A"/>
    <w:rsid w:val="00AC1A69"/>
    <w:rsid w:val="00AC70B2"/>
    <w:rsid w:val="00AE5F5E"/>
    <w:rsid w:val="00B01A58"/>
    <w:rsid w:val="00B212F5"/>
    <w:rsid w:val="00B34F2C"/>
    <w:rsid w:val="00B44735"/>
    <w:rsid w:val="00B71F5A"/>
    <w:rsid w:val="00B761A4"/>
    <w:rsid w:val="00B87B5E"/>
    <w:rsid w:val="00B87C3F"/>
    <w:rsid w:val="00B92AE0"/>
    <w:rsid w:val="00B93949"/>
    <w:rsid w:val="00B971D2"/>
    <w:rsid w:val="00BA2FAA"/>
    <w:rsid w:val="00BB1128"/>
    <w:rsid w:val="00BB35FF"/>
    <w:rsid w:val="00BC0659"/>
    <w:rsid w:val="00BD1057"/>
    <w:rsid w:val="00BD1814"/>
    <w:rsid w:val="00BD4C45"/>
    <w:rsid w:val="00BE5E11"/>
    <w:rsid w:val="00BE6563"/>
    <w:rsid w:val="00BF0065"/>
    <w:rsid w:val="00BF2311"/>
    <w:rsid w:val="00BF3E17"/>
    <w:rsid w:val="00BF709A"/>
    <w:rsid w:val="00C17B07"/>
    <w:rsid w:val="00C263FF"/>
    <w:rsid w:val="00C352CD"/>
    <w:rsid w:val="00C45468"/>
    <w:rsid w:val="00C47583"/>
    <w:rsid w:val="00C60259"/>
    <w:rsid w:val="00C62CB6"/>
    <w:rsid w:val="00C63991"/>
    <w:rsid w:val="00C65FC3"/>
    <w:rsid w:val="00C6624C"/>
    <w:rsid w:val="00C72A24"/>
    <w:rsid w:val="00C81AEA"/>
    <w:rsid w:val="00C8206D"/>
    <w:rsid w:val="00C8464E"/>
    <w:rsid w:val="00C8551E"/>
    <w:rsid w:val="00C874A2"/>
    <w:rsid w:val="00CA0E4F"/>
    <w:rsid w:val="00CA1CD3"/>
    <w:rsid w:val="00CA1F94"/>
    <w:rsid w:val="00CA3B60"/>
    <w:rsid w:val="00CB1320"/>
    <w:rsid w:val="00CB3108"/>
    <w:rsid w:val="00CB3FB2"/>
    <w:rsid w:val="00CE0120"/>
    <w:rsid w:val="00CE2F67"/>
    <w:rsid w:val="00CE4DC2"/>
    <w:rsid w:val="00CE4F8C"/>
    <w:rsid w:val="00CE5ABD"/>
    <w:rsid w:val="00CE5E8F"/>
    <w:rsid w:val="00CF19DE"/>
    <w:rsid w:val="00CF40C3"/>
    <w:rsid w:val="00D01706"/>
    <w:rsid w:val="00D06BD6"/>
    <w:rsid w:val="00D1154C"/>
    <w:rsid w:val="00D11C89"/>
    <w:rsid w:val="00D128AD"/>
    <w:rsid w:val="00D16399"/>
    <w:rsid w:val="00D164CE"/>
    <w:rsid w:val="00D1671F"/>
    <w:rsid w:val="00D4021C"/>
    <w:rsid w:val="00D43CF2"/>
    <w:rsid w:val="00D47DD8"/>
    <w:rsid w:val="00D52150"/>
    <w:rsid w:val="00D61C39"/>
    <w:rsid w:val="00D62099"/>
    <w:rsid w:val="00D62CB2"/>
    <w:rsid w:val="00D645CB"/>
    <w:rsid w:val="00D70BA5"/>
    <w:rsid w:val="00D840BE"/>
    <w:rsid w:val="00D94106"/>
    <w:rsid w:val="00D97E1B"/>
    <w:rsid w:val="00DA0416"/>
    <w:rsid w:val="00DA556A"/>
    <w:rsid w:val="00DA6AB5"/>
    <w:rsid w:val="00DB1FD9"/>
    <w:rsid w:val="00DC5950"/>
    <w:rsid w:val="00DE17F5"/>
    <w:rsid w:val="00DE73AC"/>
    <w:rsid w:val="00DF01D7"/>
    <w:rsid w:val="00DF22BE"/>
    <w:rsid w:val="00DF3A82"/>
    <w:rsid w:val="00E05AC6"/>
    <w:rsid w:val="00E12076"/>
    <w:rsid w:val="00E121AF"/>
    <w:rsid w:val="00E1258E"/>
    <w:rsid w:val="00E20158"/>
    <w:rsid w:val="00E30D17"/>
    <w:rsid w:val="00E3147B"/>
    <w:rsid w:val="00E333B3"/>
    <w:rsid w:val="00E353A3"/>
    <w:rsid w:val="00E37D11"/>
    <w:rsid w:val="00E408BA"/>
    <w:rsid w:val="00E47983"/>
    <w:rsid w:val="00E559DF"/>
    <w:rsid w:val="00E56E43"/>
    <w:rsid w:val="00E61068"/>
    <w:rsid w:val="00E63790"/>
    <w:rsid w:val="00E6524A"/>
    <w:rsid w:val="00E70D5B"/>
    <w:rsid w:val="00E734D7"/>
    <w:rsid w:val="00E746F8"/>
    <w:rsid w:val="00E80697"/>
    <w:rsid w:val="00E8354B"/>
    <w:rsid w:val="00E91A35"/>
    <w:rsid w:val="00EA324F"/>
    <w:rsid w:val="00EB460A"/>
    <w:rsid w:val="00EB495F"/>
    <w:rsid w:val="00EB7218"/>
    <w:rsid w:val="00EC0FC1"/>
    <w:rsid w:val="00EE705B"/>
    <w:rsid w:val="00EE7F96"/>
    <w:rsid w:val="00EF1642"/>
    <w:rsid w:val="00F14D6C"/>
    <w:rsid w:val="00F23BBC"/>
    <w:rsid w:val="00F5153E"/>
    <w:rsid w:val="00F519A7"/>
    <w:rsid w:val="00F76D21"/>
    <w:rsid w:val="00F85B63"/>
    <w:rsid w:val="00F87114"/>
    <w:rsid w:val="00FA06C5"/>
    <w:rsid w:val="00FA38F6"/>
    <w:rsid w:val="00FA664C"/>
    <w:rsid w:val="00FC4239"/>
    <w:rsid w:val="00FD2286"/>
    <w:rsid w:val="00FE19C1"/>
    <w:rsid w:val="00FE227F"/>
    <w:rsid w:val="00FE399B"/>
    <w:rsid w:val="00FE51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90465"/>
    <o:shapelayout v:ext="edit">
      <o:idmap v:ext="edit" data="1"/>
    </o:shapelayout>
  </w:shapeDefaults>
  <w:decimalSymbol w:val="."/>
  <w:listSeparator w:val=","/>
  <w14:docId w14:val="4F70C299"/>
  <w15:chartTrackingRefBased/>
  <w15:docId w15:val="{2F518D2A-6FB8-42A1-A454-7A4B74737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3248"/>
    <w:pPr>
      <w:spacing w:after="120" w:line="240" w:lineRule="auto"/>
    </w:pPr>
    <w:rPr>
      <w:rFonts w:ascii="Book Antiqua" w:eastAsia="Times New Roman" w:hAnsi="Book Antiqua"/>
      <w:color w:val="000000"/>
      <w:sz w:val="19"/>
      <w:szCs w:val="20"/>
      <w:lang w:eastAsia="en-AU"/>
    </w:rPr>
  </w:style>
  <w:style w:type="paragraph" w:styleId="Heading1">
    <w:name w:val="heading 1"/>
    <w:basedOn w:val="Normal"/>
    <w:next w:val="Normal"/>
    <w:link w:val="Heading1Char"/>
    <w:qFormat/>
    <w:rsid w:val="00863ED8"/>
    <w:pPr>
      <w:keepNext/>
      <w:spacing w:after="720"/>
      <w:outlineLvl w:val="0"/>
    </w:pPr>
    <w:rPr>
      <w:rFonts w:ascii="Arial" w:hAnsi="Arial"/>
      <w:b/>
      <w:bCs/>
      <w:snapToGrid w:val="0"/>
      <w:color w:val="auto"/>
      <w:sz w:val="36"/>
    </w:rPr>
  </w:style>
  <w:style w:type="paragraph" w:styleId="Heading2">
    <w:name w:val="heading 2"/>
    <w:basedOn w:val="Normal"/>
    <w:next w:val="Normal"/>
    <w:link w:val="Heading2Char"/>
    <w:uiPriority w:val="9"/>
    <w:unhideWhenUsed/>
    <w:qFormat/>
    <w:rsid w:val="000C3248"/>
    <w:pPr>
      <w:keepNext/>
      <w:keepLines/>
      <w:spacing w:after="240"/>
      <w:outlineLvl w:val="1"/>
    </w:pPr>
    <w:rPr>
      <w:rFonts w:ascii="Arial" w:hAnsi="Arial" w:cs="Arial"/>
      <w:b/>
      <w:iCs/>
      <w:sz w:val="26"/>
      <w:szCs w:val="26"/>
    </w:rPr>
  </w:style>
  <w:style w:type="paragraph" w:styleId="Heading3">
    <w:name w:val="heading 3"/>
    <w:basedOn w:val="Normal"/>
    <w:next w:val="Normal"/>
    <w:link w:val="Heading3Char"/>
    <w:unhideWhenUsed/>
    <w:qFormat/>
    <w:rsid w:val="000C3248"/>
    <w:pPr>
      <w:keepNext/>
      <w:spacing w:before="120"/>
      <w:outlineLvl w:val="2"/>
    </w:pPr>
    <w:rPr>
      <w:rFonts w:ascii="Arial Bold" w:hAnsi="Arial Bold"/>
      <w:b/>
      <w:color w:val="auto"/>
      <w:sz w:val="22"/>
    </w:rPr>
  </w:style>
  <w:style w:type="paragraph" w:styleId="Heading4">
    <w:name w:val="heading 4"/>
    <w:basedOn w:val="Normal"/>
    <w:next w:val="Normal"/>
    <w:link w:val="Heading4Char"/>
    <w:unhideWhenUsed/>
    <w:qFormat/>
    <w:rsid w:val="00FE19C1"/>
    <w:pPr>
      <w:keepNext/>
      <w:keepLines/>
      <w:spacing w:before="240"/>
      <w:outlineLvl w:val="3"/>
    </w:pPr>
    <w:rPr>
      <w:rFonts w:ascii="Arial" w:hAnsi="Arial"/>
      <w:b/>
      <w:sz w:val="20"/>
    </w:rPr>
  </w:style>
  <w:style w:type="paragraph" w:styleId="Heading5">
    <w:name w:val="heading 5"/>
    <w:basedOn w:val="Normal"/>
    <w:next w:val="Normal"/>
    <w:link w:val="Heading5Char"/>
    <w:uiPriority w:val="9"/>
    <w:semiHidden/>
    <w:unhideWhenUsed/>
    <w:qFormat/>
    <w:rsid w:val="00BC0659"/>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E333B3"/>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63ED8"/>
    <w:rPr>
      <w:rFonts w:ascii="Arial" w:eastAsia="Times New Roman" w:hAnsi="Arial"/>
      <w:b/>
      <w:bCs/>
      <w:snapToGrid w:val="0"/>
      <w:sz w:val="36"/>
      <w:szCs w:val="20"/>
      <w:lang w:eastAsia="en-AU"/>
    </w:rPr>
  </w:style>
  <w:style w:type="paragraph" w:customStyle="1" w:styleId="EntitySubtitle">
    <w:name w:val="Entity Subtitle"/>
    <w:basedOn w:val="Normal"/>
    <w:link w:val="EntitySubtitleChar"/>
    <w:qFormat/>
    <w:rsid w:val="00913388"/>
    <w:pPr>
      <w:keepNext/>
      <w:tabs>
        <w:tab w:val="left" w:pos="5830"/>
      </w:tabs>
      <w:spacing w:before="440"/>
      <w:ind w:right="-68"/>
      <w:jc w:val="center"/>
      <w:outlineLvl w:val="0"/>
    </w:pPr>
    <w:rPr>
      <w:rFonts w:ascii="Arial Bold" w:hAnsi="Arial Bold" w:cs="Arial"/>
      <w:b/>
      <w:bCs/>
      <w:sz w:val="44"/>
      <w:szCs w:val="56"/>
    </w:rPr>
  </w:style>
  <w:style w:type="character" w:customStyle="1" w:styleId="EntitySubtitleChar">
    <w:name w:val="Entity Subtitle Char"/>
    <w:basedOn w:val="DefaultParagraphFont"/>
    <w:link w:val="EntitySubtitle"/>
    <w:rsid w:val="00913388"/>
    <w:rPr>
      <w:rFonts w:ascii="Arial Bold" w:eastAsia="Times New Roman" w:hAnsi="Arial Bold" w:cs="Arial"/>
      <w:b/>
      <w:bCs/>
      <w:color w:val="000000"/>
      <w:sz w:val="44"/>
      <w:szCs w:val="56"/>
      <w:lang w:eastAsia="en-AU"/>
    </w:rPr>
  </w:style>
  <w:style w:type="paragraph" w:styleId="Header">
    <w:name w:val="header"/>
    <w:basedOn w:val="Normal"/>
    <w:link w:val="HeaderChar"/>
    <w:uiPriority w:val="99"/>
    <w:unhideWhenUsed/>
    <w:rsid w:val="00913388"/>
    <w:pPr>
      <w:tabs>
        <w:tab w:val="center" w:pos="4513"/>
        <w:tab w:val="right" w:pos="9026"/>
      </w:tabs>
      <w:spacing w:after="0"/>
    </w:pPr>
  </w:style>
  <w:style w:type="character" w:customStyle="1" w:styleId="HeaderChar">
    <w:name w:val="Header Char"/>
    <w:basedOn w:val="DefaultParagraphFont"/>
    <w:link w:val="Header"/>
    <w:uiPriority w:val="99"/>
    <w:rsid w:val="00913388"/>
    <w:rPr>
      <w:rFonts w:ascii="Book Antiqua" w:eastAsia="Times New Roman" w:hAnsi="Book Antiqua"/>
      <w:color w:val="000000"/>
      <w:sz w:val="20"/>
      <w:szCs w:val="20"/>
      <w:lang w:eastAsia="en-AU"/>
    </w:rPr>
  </w:style>
  <w:style w:type="paragraph" w:styleId="Footer">
    <w:name w:val="footer"/>
    <w:basedOn w:val="Normal"/>
    <w:link w:val="FooterChar"/>
    <w:uiPriority w:val="99"/>
    <w:unhideWhenUsed/>
    <w:rsid w:val="00913388"/>
    <w:pPr>
      <w:tabs>
        <w:tab w:val="center" w:pos="4513"/>
        <w:tab w:val="right" w:pos="9026"/>
      </w:tabs>
      <w:spacing w:after="0"/>
    </w:pPr>
  </w:style>
  <w:style w:type="character" w:customStyle="1" w:styleId="FooterChar">
    <w:name w:val="Footer Char"/>
    <w:basedOn w:val="DefaultParagraphFont"/>
    <w:link w:val="Footer"/>
    <w:uiPriority w:val="99"/>
    <w:rsid w:val="00913388"/>
    <w:rPr>
      <w:rFonts w:ascii="Book Antiqua" w:eastAsia="Times New Roman" w:hAnsi="Book Antiqua"/>
      <w:color w:val="000000"/>
      <w:sz w:val="20"/>
      <w:szCs w:val="20"/>
      <w:lang w:eastAsia="en-AU"/>
    </w:rPr>
  </w:style>
  <w:style w:type="character" w:styleId="Hyperlink">
    <w:name w:val="Hyperlink"/>
    <w:basedOn w:val="DefaultParagraphFont"/>
    <w:uiPriority w:val="99"/>
    <w:unhideWhenUsed/>
    <w:rsid w:val="00913388"/>
    <w:rPr>
      <w:color w:val="0563C1" w:themeColor="hyperlink"/>
      <w:u w:val="single"/>
    </w:rPr>
  </w:style>
  <w:style w:type="paragraph" w:styleId="TOC1">
    <w:name w:val="toc 1"/>
    <w:next w:val="Normal"/>
    <w:autoRedefine/>
    <w:uiPriority w:val="39"/>
    <w:qFormat/>
    <w:rsid w:val="00913388"/>
    <w:pPr>
      <w:tabs>
        <w:tab w:val="right" w:leader="dot" w:pos="7360"/>
      </w:tabs>
      <w:spacing w:before="360" w:after="120" w:line="240" w:lineRule="auto"/>
    </w:pPr>
    <w:rPr>
      <w:rFonts w:ascii="Arial Bold" w:eastAsia="Times New Roman" w:hAnsi="Arial Bold"/>
      <w:b/>
      <w:noProof/>
      <w:color w:val="000000"/>
      <w:sz w:val="20"/>
      <w:szCs w:val="20"/>
      <w:lang w:eastAsia="en-AU"/>
    </w:rPr>
  </w:style>
  <w:style w:type="paragraph" w:styleId="TOC2">
    <w:name w:val="toc 2"/>
    <w:next w:val="Normal"/>
    <w:autoRedefine/>
    <w:uiPriority w:val="39"/>
    <w:qFormat/>
    <w:rsid w:val="00913388"/>
    <w:pPr>
      <w:tabs>
        <w:tab w:val="left" w:pos="993"/>
        <w:tab w:val="right" w:leader="dot" w:pos="7360"/>
      </w:tabs>
      <w:spacing w:before="60" w:after="120" w:line="240" w:lineRule="auto"/>
    </w:pPr>
    <w:rPr>
      <w:rFonts w:ascii="Arial" w:eastAsia="Times New Roman" w:hAnsi="Arial"/>
      <w:color w:val="000000"/>
      <w:sz w:val="20"/>
      <w:szCs w:val="20"/>
      <w:lang w:eastAsia="en-AU"/>
    </w:rPr>
  </w:style>
  <w:style w:type="paragraph" w:customStyle="1" w:styleId="Header2-Left">
    <w:name w:val="Header 2 - Left"/>
    <w:basedOn w:val="Normal"/>
    <w:link w:val="Header2-LeftChar"/>
    <w:qFormat/>
    <w:locked/>
    <w:rsid w:val="0024539A"/>
    <w:pPr>
      <w:pBdr>
        <w:bottom w:val="single" w:sz="4" w:space="1" w:color="auto"/>
      </w:pBdr>
    </w:pPr>
    <w:rPr>
      <w:rFonts w:ascii="Arial" w:hAnsi="Arial"/>
      <w:sz w:val="18"/>
    </w:rPr>
  </w:style>
  <w:style w:type="character" w:customStyle="1" w:styleId="Header2-LeftChar">
    <w:name w:val="Header 2 - Left Char"/>
    <w:basedOn w:val="DefaultParagraphFont"/>
    <w:link w:val="Header2-Left"/>
    <w:rsid w:val="0024539A"/>
    <w:rPr>
      <w:rFonts w:ascii="Arial" w:eastAsia="Times New Roman" w:hAnsi="Arial"/>
      <w:color w:val="000000"/>
      <w:sz w:val="18"/>
      <w:szCs w:val="20"/>
      <w:lang w:eastAsia="en-AU"/>
    </w:rPr>
  </w:style>
  <w:style w:type="character" w:customStyle="1" w:styleId="Heading2Char">
    <w:name w:val="Heading 2 Char"/>
    <w:basedOn w:val="DefaultParagraphFont"/>
    <w:link w:val="Heading2"/>
    <w:uiPriority w:val="9"/>
    <w:rsid w:val="000C3248"/>
    <w:rPr>
      <w:rFonts w:ascii="Arial" w:eastAsia="Times New Roman" w:hAnsi="Arial" w:cs="Arial"/>
      <w:b/>
      <w:iCs/>
      <w:color w:val="000000"/>
      <w:sz w:val="26"/>
      <w:szCs w:val="26"/>
      <w:lang w:eastAsia="en-AU"/>
    </w:rPr>
  </w:style>
  <w:style w:type="character" w:customStyle="1" w:styleId="Heading3Char">
    <w:name w:val="Heading 3 Char"/>
    <w:basedOn w:val="DefaultParagraphFont"/>
    <w:link w:val="Heading3"/>
    <w:rsid w:val="000C3248"/>
    <w:rPr>
      <w:rFonts w:ascii="Arial Bold" w:eastAsia="Times New Roman" w:hAnsi="Arial Bold"/>
      <w:b/>
      <w:sz w:val="22"/>
      <w:szCs w:val="20"/>
      <w:lang w:eastAsia="en-AU"/>
    </w:rPr>
  </w:style>
  <w:style w:type="paragraph" w:styleId="FootnoteText">
    <w:name w:val="footnote text"/>
    <w:aliases w:val="(NECG) Footnote Text"/>
    <w:basedOn w:val="Normal"/>
    <w:link w:val="FootnoteTextChar"/>
    <w:qFormat/>
    <w:rsid w:val="0024539A"/>
    <w:pPr>
      <w:tabs>
        <w:tab w:val="left" w:pos="284"/>
      </w:tabs>
      <w:spacing w:after="0"/>
      <w:ind w:left="284" w:hanging="284"/>
    </w:pPr>
    <w:rPr>
      <w:rFonts w:ascii="Arial" w:hAnsi="Arial"/>
      <w:sz w:val="15"/>
    </w:rPr>
  </w:style>
  <w:style w:type="character" w:customStyle="1" w:styleId="FootnoteTextChar">
    <w:name w:val="Footnote Text Char"/>
    <w:aliases w:val="(NECG) Footnote Text Char"/>
    <w:basedOn w:val="DefaultParagraphFont"/>
    <w:link w:val="FootnoteText"/>
    <w:rsid w:val="0024539A"/>
    <w:rPr>
      <w:rFonts w:ascii="Arial" w:eastAsia="Times New Roman" w:hAnsi="Arial"/>
      <w:color w:val="000000"/>
      <w:sz w:val="15"/>
      <w:szCs w:val="20"/>
      <w:lang w:eastAsia="en-AU"/>
    </w:rPr>
  </w:style>
  <w:style w:type="character" w:styleId="FootnoteReference">
    <w:name w:val="footnote reference"/>
    <w:aliases w:val="(NECG) Footnote Reference"/>
    <w:basedOn w:val="DefaultParagraphFont"/>
    <w:rsid w:val="0024539A"/>
    <w:rPr>
      <w:rFonts w:ascii="Arial" w:hAnsi="Arial"/>
      <w:caps w:val="0"/>
      <w:smallCaps w:val="0"/>
      <w:strike w:val="0"/>
      <w:dstrike w:val="0"/>
      <w:vanish w:val="0"/>
      <w:sz w:val="15"/>
      <w:vertAlign w:val="superscript"/>
    </w:rPr>
  </w:style>
  <w:style w:type="paragraph" w:styleId="ListParagraph">
    <w:name w:val="List Paragraph"/>
    <w:aliases w:val="Bullet List Paragraph,Bullet Point,Bullet point,Bulletr List Paragraph,Content descriptions,FooterText,L,List Bullet 1,List Paragraph1,List Paragraph11,List Paragraph2,List Paragraph21,Listeafsnit1,NFP GP Bulleted List,Recommendation"/>
    <w:basedOn w:val="Normal"/>
    <w:link w:val="ListParagraphChar"/>
    <w:uiPriority w:val="34"/>
    <w:qFormat/>
    <w:rsid w:val="0024539A"/>
    <w:pPr>
      <w:numPr>
        <w:numId w:val="1"/>
      </w:numPr>
      <w:contextualSpacing/>
    </w:pPr>
  </w:style>
  <w:style w:type="character" w:customStyle="1" w:styleId="ListParagraphChar">
    <w:name w:val="List Paragraph Char"/>
    <w:aliases w:val="Bullet List Paragraph Char,Bullet Point Char,Bullet point Char,Bulletr List Paragraph Char,Content descriptions Char,FooterText Char,L Char,List Bullet 1 Char,List Paragraph1 Char,List Paragraph11 Char,List Paragraph2 Char"/>
    <w:basedOn w:val="DefaultParagraphFont"/>
    <w:link w:val="ListParagraph"/>
    <w:uiPriority w:val="34"/>
    <w:qFormat/>
    <w:rsid w:val="0024539A"/>
    <w:rPr>
      <w:rFonts w:ascii="Book Antiqua" w:eastAsia="Times New Roman" w:hAnsi="Book Antiqua"/>
      <w:color w:val="000000"/>
      <w:sz w:val="20"/>
      <w:szCs w:val="20"/>
      <w:lang w:eastAsia="en-AU"/>
    </w:rPr>
  </w:style>
  <w:style w:type="paragraph" w:customStyle="1" w:styleId="Tablenumberandreference">
    <w:name w:val="Table number and reference"/>
    <w:qFormat/>
    <w:rsid w:val="0024539A"/>
    <w:pPr>
      <w:spacing w:after="120" w:line="240" w:lineRule="auto"/>
    </w:pPr>
    <w:rPr>
      <w:rFonts w:ascii="Arial" w:eastAsia="Times New Roman" w:hAnsi="Arial" w:cs="Arial"/>
      <w:b/>
      <w:color w:val="000000"/>
      <w:sz w:val="20"/>
      <w:szCs w:val="18"/>
    </w:rPr>
  </w:style>
  <w:style w:type="paragraph" w:customStyle="1" w:styleId="Header1-Right">
    <w:name w:val="Header 1 - Right"/>
    <w:basedOn w:val="Normal"/>
    <w:next w:val="Normal"/>
    <w:link w:val="Header1-RightChar"/>
    <w:qFormat/>
    <w:locked/>
    <w:rsid w:val="0024539A"/>
    <w:pPr>
      <w:pBdr>
        <w:bottom w:val="single" w:sz="4" w:space="1" w:color="auto"/>
      </w:pBdr>
      <w:tabs>
        <w:tab w:val="center" w:pos="4513"/>
        <w:tab w:val="right" w:pos="9026"/>
      </w:tabs>
      <w:spacing w:after="0"/>
      <w:jc w:val="right"/>
    </w:pPr>
    <w:rPr>
      <w:rFonts w:ascii="Arial" w:hAnsi="Arial" w:cs="Arial"/>
      <w:sz w:val="18"/>
      <w:szCs w:val="18"/>
      <w:lang w:val="en-US" w:eastAsia="en-US"/>
    </w:rPr>
  </w:style>
  <w:style w:type="character" w:customStyle="1" w:styleId="Header1-RightChar">
    <w:name w:val="Header 1 - Right Char"/>
    <w:basedOn w:val="DefaultParagraphFont"/>
    <w:link w:val="Header1-Right"/>
    <w:rsid w:val="0024539A"/>
    <w:rPr>
      <w:rFonts w:ascii="Arial" w:eastAsia="Times New Roman" w:hAnsi="Arial" w:cs="Arial"/>
      <w:color w:val="000000"/>
      <w:sz w:val="18"/>
      <w:szCs w:val="18"/>
      <w:lang w:val="en-US"/>
    </w:rPr>
  </w:style>
  <w:style w:type="table" w:styleId="TableGrid">
    <w:name w:val="Table Grid"/>
    <w:basedOn w:val="TableNormal"/>
    <w:rsid w:val="002453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FE19C1"/>
    <w:rPr>
      <w:rFonts w:ascii="Arial" w:eastAsia="Times New Roman" w:hAnsi="Arial"/>
      <w:b/>
      <w:color w:val="000000"/>
      <w:sz w:val="20"/>
      <w:szCs w:val="20"/>
      <w:lang w:eastAsia="en-AU"/>
    </w:rPr>
  </w:style>
  <w:style w:type="paragraph" w:customStyle="1" w:styleId="OutcomeStatement">
    <w:name w:val="Outcome Statement"/>
    <w:basedOn w:val="Normal"/>
    <w:link w:val="OutcomeStatementChar"/>
    <w:qFormat/>
    <w:locked/>
    <w:rsid w:val="00BC0659"/>
    <w:pPr>
      <w:widowControl w:val="0"/>
      <w:pBdr>
        <w:top w:val="single" w:sz="4" w:space="4" w:color="auto"/>
        <w:left w:val="single" w:sz="4" w:space="4" w:color="auto"/>
        <w:bottom w:val="single" w:sz="4" w:space="2" w:color="auto"/>
        <w:right w:val="single" w:sz="4" w:space="4" w:color="auto"/>
      </w:pBdr>
      <w:shd w:val="clear" w:color="auto" w:fill="D9D9D9"/>
      <w:tabs>
        <w:tab w:val="left" w:pos="1134"/>
      </w:tabs>
      <w:spacing w:after="0"/>
    </w:pPr>
    <w:rPr>
      <w:rFonts w:ascii="Arial" w:hAnsi="Arial"/>
      <w:bCs/>
      <w:iCs/>
      <w:snapToGrid w:val="0"/>
      <w:sz w:val="18"/>
      <w:szCs w:val="26"/>
    </w:rPr>
  </w:style>
  <w:style w:type="character" w:customStyle="1" w:styleId="OutcomeStatementChar">
    <w:name w:val="Outcome Statement Char"/>
    <w:basedOn w:val="DefaultParagraphFont"/>
    <w:link w:val="OutcomeStatement"/>
    <w:rsid w:val="00BC0659"/>
    <w:rPr>
      <w:rFonts w:ascii="Arial" w:eastAsia="Times New Roman" w:hAnsi="Arial"/>
      <w:bCs/>
      <w:iCs/>
      <w:snapToGrid w:val="0"/>
      <w:color w:val="000000"/>
      <w:sz w:val="18"/>
      <w:szCs w:val="26"/>
      <w:shd w:val="clear" w:color="auto" w:fill="D9D9D9"/>
      <w:lang w:eastAsia="en-AU"/>
    </w:rPr>
  </w:style>
  <w:style w:type="paragraph" w:customStyle="1" w:styleId="Tabletextnormal9pt">
    <w:name w:val="Table text (normal) 9pt"/>
    <w:basedOn w:val="Normal"/>
    <w:qFormat/>
    <w:locked/>
    <w:rsid w:val="00BC0659"/>
    <w:pPr>
      <w:spacing w:before="40" w:after="40"/>
    </w:pPr>
    <w:rPr>
      <w:rFonts w:ascii="Arial" w:hAnsi="Arial" w:cs="Arial"/>
      <w:sz w:val="18"/>
      <w:szCs w:val="18"/>
    </w:rPr>
  </w:style>
  <w:style w:type="paragraph" w:customStyle="1" w:styleId="Tableheadingrow9pt">
    <w:name w:val="Table heading row 9pt"/>
    <w:basedOn w:val="Normal"/>
    <w:link w:val="Tableheadingrow9ptChar"/>
    <w:qFormat/>
    <w:locked/>
    <w:rsid w:val="00BC0659"/>
    <w:pPr>
      <w:spacing w:before="40" w:after="40"/>
    </w:pPr>
    <w:rPr>
      <w:rFonts w:ascii="Arial" w:hAnsi="Arial" w:cs="Arial"/>
      <w:b/>
      <w:sz w:val="18"/>
      <w:szCs w:val="18"/>
    </w:rPr>
  </w:style>
  <w:style w:type="character" w:customStyle="1" w:styleId="Tableheadingrow9ptChar">
    <w:name w:val="Table heading row 9pt Char"/>
    <w:basedOn w:val="DefaultParagraphFont"/>
    <w:link w:val="Tableheadingrow9pt"/>
    <w:rsid w:val="00BC0659"/>
    <w:rPr>
      <w:rFonts w:ascii="Arial" w:eastAsia="Times New Roman" w:hAnsi="Arial" w:cs="Arial"/>
      <w:b/>
      <w:color w:val="000000"/>
      <w:sz w:val="18"/>
      <w:szCs w:val="18"/>
      <w:lang w:eastAsia="en-AU"/>
    </w:rPr>
  </w:style>
  <w:style w:type="paragraph" w:customStyle="1" w:styleId="Tableheadingrowmeasures85pt">
    <w:name w:val="Table heading row (measures) 8.5pt"/>
    <w:basedOn w:val="Tabletextnormal9pt"/>
    <w:qFormat/>
    <w:rsid w:val="00BC0659"/>
    <w:rPr>
      <w:b/>
      <w:sz w:val="17"/>
      <w:szCs w:val="17"/>
      <w:lang w:eastAsia="en-US"/>
    </w:rPr>
  </w:style>
  <w:style w:type="paragraph" w:customStyle="1" w:styleId="Tabletextmeasures85pt">
    <w:name w:val="Table text (measures) 8.5pt"/>
    <w:basedOn w:val="Tabletextnormal9pt"/>
    <w:qFormat/>
    <w:rsid w:val="00BC0659"/>
    <w:rPr>
      <w:sz w:val="17"/>
      <w:szCs w:val="17"/>
    </w:rPr>
  </w:style>
  <w:style w:type="character" w:customStyle="1" w:styleId="Heading5Char">
    <w:name w:val="Heading 5 Char"/>
    <w:basedOn w:val="DefaultParagraphFont"/>
    <w:link w:val="Heading5"/>
    <w:uiPriority w:val="9"/>
    <w:semiHidden/>
    <w:rsid w:val="00BC0659"/>
    <w:rPr>
      <w:rFonts w:asciiTheme="majorHAnsi" w:eastAsiaTheme="majorEastAsia" w:hAnsiTheme="majorHAnsi" w:cstheme="majorBidi"/>
      <w:color w:val="2E74B5" w:themeColor="accent1" w:themeShade="BF"/>
      <w:sz w:val="20"/>
      <w:szCs w:val="20"/>
      <w:lang w:eastAsia="en-AU"/>
    </w:rPr>
  </w:style>
  <w:style w:type="paragraph" w:customStyle="1" w:styleId="StyleTableGraphicItalicRed">
    <w:name w:val="Style Table Graphic + Italic Red"/>
    <w:basedOn w:val="Normal"/>
    <w:rsid w:val="00CF40C3"/>
    <w:pPr>
      <w:spacing w:after="60" w:line="200" w:lineRule="exact"/>
    </w:pPr>
    <w:rPr>
      <w:i/>
      <w:iCs/>
      <w:color w:val="FF0000"/>
    </w:rPr>
  </w:style>
  <w:style w:type="character" w:styleId="CommentReference">
    <w:name w:val="annotation reference"/>
    <w:basedOn w:val="DefaultParagraphFont"/>
    <w:uiPriority w:val="99"/>
    <w:semiHidden/>
    <w:unhideWhenUsed/>
    <w:rsid w:val="00274315"/>
    <w:rPr>
      <w:sz w:val="16"/>
      <w:szCs w:val="16"/>
    </w:rPr>
  </w:style>
  <w:style w:type="paragraph" w:styleId="CommentText">
    <w:name w:val="annotation text"/>
    <w:basedOn w:val="Normal"/>
    <w:link w:val="CommentTextChar"/>
    <w:uiPriority w:val="99"/>
    <w:unhideWhenUsed/>
    <w:rsid w:val="00274315"/>
  </w:style>
  <w:style w:type="character" w:customStyle="1" w:styleId="CommentTextChar">
    <w:name w:val="Comment Text Char"/>
    <w:basedOn w:val="DefaultParagraphFont"/>
    <w:link w:val="CommentText"/>
    <w:uiPriority w:val="99"/>
    <w:rsid w:val="00274315"/>
    <w:rPr>
      <w:rFonts w:ascii="Book Antiqua" w:eastAsia="Times New Roman" w:hAnsi="Book Antiqua"/>
      <w:color w:val="000000"/>
      <w:sz w:val="20"/>
      <w:szCs w:val="20"/>
      <w:lang w:eastAsia="en-AU"/>
    </w:rPr>
  </w:style>
  <w:style w:type="paragraph" w:styleId="BalloonText">
    <w:name w:val="Balloon Text"/>
    <w:basedOn w:val="Normal"/>
    <w:link w:val="BalloonTextChar"/>
    <w:uiPriority w:val="99"/>
    <w:semiHidden/>
    <w:unhideWhenUsed/>
    <w:rsid w:val="0027431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4315"/>
    <w:rPr>
      <w:rFonts w:ascii="Segoe UI" w:eastAsia="Times New Roman" w:hAnsi="Segoe UI" w:cs="Segoe UI"/>
      <w:color w:val="000000"/>
      <w:sz w:val="18"/>
      <w:szCs w:val="18"/>
      <w:lang w:eastAsia="en-AU"/>
    </w:rPr>
  </w:style>
  <w:style w:type="paragraph" w:customStyle="1" w:styleId="Default">
    <w:name w:val="Default"/>
    <w:rsid w:val="005023B9"/>
    <w:pPr>
      <w:autoSpaceDE w:val="0"/>
      <w:autoSpaceDN w:val="0"/>
      <w:adjustRightInd w:val="0"/>
      <w:spacing w:after="0" w:line="240" w:lineRule="auto"/>
    </w:pPr>
    <w:rPr>
      <w:rFonts w:ascii="Arial" w:hAnsi="Arial" w:cs="Arial"/>
      <w:color w:val="000000"/>
    </w:rPr>
  </w:style>
  <w:style w:type="paragraph" w:styleId="Revision">
    <w:name w:val="Revision"/>
    <w:hidden/>
    <w:uiPriority w:val="99"/>
    <w:semiHidden/>
    <w:rsid w:val="00C263FF"/>
    <w:pPr>
      <w:spacing w:after="0" w:line="240" w:lineRule="auto"/>
    </w:pPr>
    <w:rPr>
      <w:rFonts w:ascii="Book Antiqua" w:eastAsia="Times New Roman" w:hAnsi="Book Antiqua"/>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9C524E"/>
    <w:rPr>
      <w:b/>
      <w:bCs/>
    </w:rPr>
  </w:style>
  <w:style w:type="character" w:customStyle="1" w:styleId="CommentSubjectChar">
    <w:name w:val="Comment Subject Char"/>
    <w:basedOn w:val="CommentTextChar"/>
    <w:link w:val="CommentSubject"/>
    <w:uiPriority w:val="99"/>
    <w:semiHidden/>
    <w:rsid w:val="009C524E"/>
    <w:rPr>
      <w:rFonts w:ascii="Book Antiqua" w:eastAsia="Times New Roman" w:hAnsi="Book Antiqua"/>
      <w:b/>
      <w:bCs/>
      <w:color w:val="000000"/>
      <w:sz w:val="20"/>
      <w:szCs w:val="20"/>
      <w:lang w:eastAsia="en-AU"/>
    </w:rPr>
  </w:style>
  <w:style w:type="paragraph" w:customStyle="1" w:styleId="TableBullet">
    <w:name w:val="Table Bullet"/>
    <w:basedOn w:val="Tabletextnormal9pt"/>
    <w:qFormat/>
    <w:rsid w:val="0064600D"/>
    <w:pPr>
      <w:tabs>
        <w:tab w:val="left" w:pos="357"/>
      </w:tabs>
      <w:contextualSpacing/>
    </w:pPr>
  </w:style>
  <w:style w:type="paragraph" w:customStyle="1" w:styleId="xmsonormal">
    <w:name w:val="x_msonormal"/>
    <w:basedOn w:val="Normal"/>
    <w:rsid w:val="00066289"/>
    <w:pPr>
      <w:spacing w:after="0"/>
    </w:pPr>
    <w:rPr>
      <w:rFonts w:ascii="Calibri" w:eastAsiaTheme="minorHAnsi" w:hAnsi="Calibri" w:cs="Calibri"/>
      <w:color w:val="auto"/>
      <w:sz w:val="22"/>
      <w:szCs w:val="22"/>
    </w:rPr>
  </w:style>
  <w:style w:type="character" w:customStyle="1" w:styleId="Header1-Right-OddChar">
    <w:name w:val="Header 1 - Right - Odd Char"/>
    <w:basedOn w:val="DefaultParagraphFont"/>
    <w:link w:val="Header1-Right-Odd"/>
    <w:locked/>
    <w:rsid w:val="00A052E0"/>
    <w:rPr>
      <w:rFonts w:ascii="Arial" w:eastAsia="Times New Roman" w:hAnsi="Arial" w:cs="Arial"/>
      <w:color w:val="000000" w:themeColor="text1"/>
      <w:sz w:val="18"/>
      <w:szCs w:val="18"/>
      <w:lang w:val="en-US"/>
    </w:rPr>
  </w:style>
  <w:style w:type="paragraph" w:customStyle="1" w:styleId="Header1-Right-Odd">
    <w:name w:val="Header 1 - Right - Odd"/>
    <w:basedOn w:val="Normal"/>
    <w:next w:val="Normal"/>
    <w:link w:val="Header1-Right-OddChar"/>
    <w:qFormat/>
    <w:locked/>
    <w:rsid w:val="00A052E0"/>
    <w:pPr>
      <w:pBdr>
        <w:bottom w:val="single" w:sz="4" w:space="1" w:color="auto"/>
      </w:pBdr>
      <w:tabs>
        <w:tab w:val="center" w:pos="4513"/>
        <w:tab w:val="right" w:pos="9026"/>
      </w:tabs>
      <w:spacing w:before="40"/>
      <w:jc w:val="right"/>
    </w:pPr>
    <w:rPr>
      <w:rFonts w:ascii="Arial" w:hAnsi="Arial" w:cs="Arial"/>
      <w:color w:val="000000" w:themeColor="text1"/>
      <w:sz w:val="18"/>
      <w:szCs w:val="18"/>
      <w:lang w:val="en-US" w:eastAsia="en-US"/>
    </w:rPr>
  </w:style>
  <w:style w:type="character" w:customStyle="1" w:styleId="Heading6Char">
    <w:name w:val="Heading 6 Char"/>
    <w:basedOn w:val="DefaultParagraphFont"/>
    <w:link w:val="Heading6"/>
    <w:uiPriority w:val="9"/>
    <w:semiHidden/>
    <w:rsid w:val="00E333B3"/>
    <w:rPr>
      <w:rFonts w:asciiTheme="majorHAnsi" w:eastAsiaTheme="majorEastAsia" w:hAnsiTheme="majorHAnsi" w:cstheme="majorBidi"/>
      <w:color w:val="1F4D78" w:themeColor="accent1" w:themeShade="7F"/>
      <w:sz w:val="20"/>
      <w:szCs w:val="20"/>
      <w:lang w:eastAsia="en-AU"/>
    </w:rPr>
  </w:style>
  <w:style w:type="paragraph" w:customStyle="1" w:styleId="PartHeading-TOC">
    <w:name w:val="Part Heading - TOC"/>
    <w:basedOn w:val="Normal"/>
    <w:rsid w:val="00A714B2"/>
    <w:pPr>
      <w:spacing w:before="240" w:after="480"/>
      <w:jc w:val="center"/>
    </w:pPr>
    <w:rPr>
      <w:rFonts w:ascii="Arial Bold" w:hAnsi="Arial Bold" w:cs="Arial"/>
      <w:b/>
      <w:bCs/>
      <w:color w:val="auto"/>
      <w:kern w:val="28"/>
      <w:sz w:val="52"/>
      <w:szCs w:val="32"/>
    </w:rPr>
  </w:style>
  <w:style w:type="character" w:styleId="PageNumber">
    <w:name w:val="page number"/>
    <w:rsid w:val="00886943"/>
    <w:rPr>
      <w:rFonts w:ascii="Arial" w:hAnsi="Arial" w:cs="Arial"/>
      <w:color w:val="auto"/>
    </w:rPr>
  </w:style>
  <w:style w:type="paragraph" w:customStyle="1" w:styleId="FooterOdd">
    <w:name w:val="Footer Odd"/>
    <w:basedOn w:val="Footer"/>
    <w:qFormat/>
    <w:rsid w:val="00886943"/>
    <w:pPr>
      <w:pBdr>
        <w:top w:val="single" w:sz="4" w:space="10" w:color="000000"/>
      </w:pBdr>
      <w:tabs>
        <w:tab w:val="clear" w:pos="4513"/>
        <w:tab w:val="clear" w:pos="9026"/>
        <w:tab w:val="center" w:pos="4153"/>
        <w:tab w:val="right" w:pos="8306"/>
      </w:tabs>
      <w:jc w:val="right"/>
    </w:pPr>
    <w:rPr>
      <w:rFonts w:ascii="Arial" w:hAnsi="Arial"/>
      <w:sz w:val="18"/>
    </w:rPr>
  </w:style>
  <w:style w:type="paragraph" w:customStyle="1" w:styleId="FooterEven">
    <w:name w:val="Footer Even"/>
    <w:basedOn w:val="Footer"/>
    <w:qFormat/>
    <w:rsid w:val="00886943"/>
    <w:pPr>
      <w:pBdr>
        <w:top w:val="single" w:sz="4" w:space="10" w:color="000000"/>
      </w:pBdr>
      <w:tabs>
        <w:tab w:val="clear" w:pos="4513"/>
        <w:tab w:val="clear" w:pos="9026"/>
        <w:tab w:val="center" w:pos="4153"/>
        <w:tab w:val="right" w:pos="8306"/>
      </w:tabs>
    </w:pPr>
    <w:rPr>
      <w:rFonts w:ascii="Arial" w:hAnsi="Arial"/>
      <w:color w:val="auto"/>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40205">
      <w:bodyDiv w:val="1"/>
      <w:marLeft w:val="0"/>
      <w:marRight w:val="0"/>
      <w:marTop w:val="0"/>
      <w:marBottom w:val="0"/>
      <w:divBdr>
        <w:top w:val="none" w:sz="0" w:space="0" w:color="auto"/>
        <w:left w:val="none" w:sz="0" w:space="0" w:color="auto"/>
        <w:bottom w:val="none" w:sz="0" w:space="0" w:color="auto"/>
        <w:right w:val="none" w:sz="0" w:space="0" w:color="auto"/>
      </w:divBdr>
    </w:div>
    <w:div w:id="188446746">
      <w:bodyDiv w:val="1"/>
      <w:marLeft w:val="0"/>
      <w:marRight w:val="0"/>
      <w:marTop w:val="0"/>
      <w:marBottom w:val="0"/>
      <w:divBdr>
        <w:top w:val="none" w:sz="0" w:space="0" w:color="auto"/>
        <w:left w:val="none" w:sz="0" w:space="0" w:color="auto"/>
        <w:bottom w:val="none" w:sz="0" w:space="0" w:color="auto"/>
        <w:right w:val="none" w:sz="0" w:space="0" w:color="auto"/>
      </w:divBdr>
    </w:div>
    <w:div w:id="224419595">
      <w:bodyDiv w:val="1"/>
      <w:marLeft w:val="0"/>
      <w:marRight w:val="0"/>
      <w:marTop w:val="0"/>
      <w:marBottom w:val="0"/>
      <w:divBdr>
        <w:top w:val="none" w:sz="0" w:space="0" w:color="auto"/>
        <w:left w:val="none" w:sz="0" w:space="0" w:color="auto"/>
        <w:bottom w:val="none" w:sz="0" w:space="0" w:color="auto"/>
        <w:right w:val="none" w:sz="0" w:space="0" w:color="auto"/>
      </w:divBdr>
    </w:div>
    <w:div w:id="318310914">
      <w:bodyDiv w:val="1"/>
      <w:marLeft w:val="0"/>
      <w:marRight w:val="0"/>
      <w:marTop w:val="0"/>
      <w:marBottom w:val="0"/>
      <w:divBdr>
        <w:top w:val="none" w:sz="0" w:space="0" w:color="auto"/>
        <w:left w:val="none" w:sz="0" w:space="0" w:color="auto"/>
        <w:bottom w:val="none" w:sz="0" w:space="0" w:color="auto"/>
        <w:right w:val="none" w:sz="0" w:space="0" w:color="auto"/>
      </w:divBdr>
    </w:div>
    <w:div w:id="359551082">
      <w:bodyDiv w:val="1"/>
      <w:marLeft w:val="0"/>
      <w:marRight w:val="0"/>
      <w:marTop w:val="0"/>
      <w:marBottom w:val="0"/>
      <w:divBdr>
        <w:top w:val="none" w:sz="0" w:space="0" w:color="auto"/>
        <w:left w:val="none" w:sz="0" w:space="0" w:color="auto"/>
        <w:bottom w:val="none" w:sz="0" w:space="0" w:color="auto"/>
        <w:right w:val="none" w:sz="0" w:space="0" w:color="auto"/>
      </w:divBdr>
    </w:div>
    <w:div w:id="414591549">
      <w:bodyDiv w:val="1"/>
      <w:marLeft w:val="0"/>
      <w:marRight w:val="0"/>
      <w:marTop w:val="0"/>
      <w:marBottom w:val="0"/>
      <w:divBdr>
        <w:top w:val="none" w:sz="0" w:space="0" w:color="auto"/>
        <w:left w:val="none" w:sz="0" w:space="0" w:color="auto"/>
        <w:bottom w:val="none" w:sz="0" w:space="0" w:color="auto"/>
        <w:right w:val="none" w:sz="0" w:space="0" w:color="auto"/>
      </w:divBdr>
    </w:div>
    <w:div w:id="468521469">
      <w:bodyDiv w:val="1"/>
      <w:marLeft w:val="0"/>
      <w:marRight w:val="0"/>
      <w:marTop w:val="0"/>
      <w:marBottom w:val="0"/>
      <w:divBdr>
        <w:top w:val="none" w:sz="0" w:space="0" w:color="auto"/>
        <w:left w:val="none" w:sz="0" w:space="0" w:color="auto"/>
        <w:bottom w:val="none" w:sz="0" w:space="0" w:color="auto"/>
        <w:right w:val="none" w:sz="0" w:space="0" w:color="auto"/>
      </w:divBdr>
    </w:div>
    <w:div w:id="474757669">
      <w:bodyDiv w:val="1"/>
      <w:marLeft w:val="0"/>
      <w:marRight w:val="0"/>
      <w:marTop w:val="0"/>
      <w:marBottom w:val="0"/>
      <w:divBdr>
        <w:top w:val="none" w:sz="0" w:space="0" w:color="auto"/>
        <w:left w:val="none" w:sz="0" w:space="0" w:color="auto"/>
        <w:bottom w:val="none" w:sz="0" w:space="0" w:color="auto"/>
        <w:right w:val="none" w:sz="0" w:space="0" w:color="auto"/>
      </w:divBdr>
    </w:div>
    <w:div w:id="476531563">
      <w:bodyDiv w:val="1"/>
      <w:marLeft w:val="0"/>
      <w:marRight w:val="0"/>
      <w:marTop w:val="0"/>
      <w:marBottom w:val="0"/>
      <w:divBdr>
        <w:top w:val="none" w:sz="0" w:space="0" w:color="auto"/>
        <w:left w:val="none" w:sz="0" w:space="0" w:color="auto"/>
        <w:bottom w:val="none" w:sz="0" w:space="0" w:color="auto"/>
        <w:right w:val="none" w:sz="0" w:space="0" w:color="auto"/>
      </w:divBdr>
    </w:div>
    <w:div w:id="573974106">
      <w:bodyDiv w:val="1"/>
      <w:marLeft w:val="0"/>
      <w:marRight w:val="0"/>
      <w:marTop w:val="0"/>
      <w:marBottom w:val="0"/>
      <w:divBdr>
        <w:top w:val="none" w:sz="0" w:space="0" w:color="auto"/>
        <w:left w:val="none" w:sz="0" w:space="0" w:color="auto"/>
        <w:bottom w:val="none" w:sz="0" w:space="0" w:color="auto"/>
        <w:right w:val="none" w:sz="0" w:space="0" w:color="auto"/>
      </w:divBdr>
    </w:div>
    <w:div w:id="579095556">
      <w:bodyDiv w:val="1"/>
      <w:marLeft w:val="0"/>
      <w:marRight w:val="0"/>
      <w:marTop w:val="0"/>
      <w:marBottom w:val="0"/>
      <w:divBdr>
        <w:top w:val="none" w:sz="0" w:space="0" w:color="auto"/>
        <w:left w:val="none" w:sz="0" w:space="0" w:color="auto"/>
        <w:bottom w:val="none" w:sz="0" w:space="0" w:color="auto"/>
        <w:right w:val="none" w:sz="0" w:space="0" w:color="auto"/>
      </w:divBdr>
    </w:div>
    <w:div w:id="600841737">
      <w:bodyDiv w:val="1"/>
      <w:marLeft w:val="0"/>
      <w:marRight w:val="0"/>
      <w:marTop w:val="0"/>
      <w:marBottom w:val="0"/>
      <w:divBdr>
        <w:top w:val="none" w:sz="0" w:space="0" w:color="auto"/>
        <w:left w:val="none" w:sz="0" w:space="0" w:color="auto"/>
        <w:bottom w:val="none" w:sz="0" w:space="0" w:color="auto"/>
        <w:right w:val="none" w:sz="0" w:space="0" w:color="auto"/>
      </w:divBdr>
    </w:div>
    <w:div w:id="674577492">
      <w:bodyDiv w:val="1"/>
      <w:marLeft w:val="0"/>
      <w:marRight w:val="0"/>
      <w:marTop w:val="0"/>
      <w:marBottom w:val="0"/>
      <w:divBdr>
        <w:top w:val="none" w:sz="0" w:space="0" w:color="auto"/>
        <w:left w:val="none" w:sz="0" w:space="0" w:color="auto"/>
        <w:bottom w:val="none" w:sz="0" w:space="0" w:color="auto"/>
        <w:right w:val="none" w:sz="0" w:space="0" w:color="auto"/>
      </w:divBdr>
    </w:div>
    <w:div w:id="826895594">
      <w:bodyDiv w:val="1"/>
      <w:marLeft w:val="0"/>
      <w:marRight w:val="0"/>
      <w:marTop w:val="0"/>
      <w:marBottom w:val="0"/>
      <w:divBdr>
        <w:top w:val="none" w:sz="0" w:space="0" w:color="auto"/>
        <w:left w:val="none" w:sz="0" w:space="0" w:color="auto"/>
        <w:bottom w:val="none" w:sz="0" w:space="0" w:color="auto"/>
        <w:right w:val="none" w:sz="0" w:space="0" w:color="auto"/>
      </w:divBdr>
    </w:div>
    <w:div w:id="837774082">
      <w:bodyDiv w:val="1"/>
      <w:marLeft w:val="0"/>
      <w:marRight w:val="0"/>
      <w:marTop w:val="0"/>
      <w:marBottom w:val="0"/>
      <w:divBdr>
        <w:top w:val="none" w:sz="0" w:space="0" w:color="auto"/>
        <w:left w:val="none" w:sz="0" w:space="0" w:color="auto"/>
        <w:bottom w:val="none" w:sz="0" w:space="0" w:color="auto"/>
        <w:right w:val="none" w:sz="0" w:space="0" w:color="auto"/>
      </w:divBdr>
    </w:div>
    <w:div w:id="871039218">
      <w:bodyDiv w:val="1"/>
      <w:marLeft w:val="0"/>
      <w:marRight w:val="0"/>
      <w:marTop w:val="0"/>
      <w:marBottom w:val="0"/>
      <w:divBdr>
        <w:top w:val="none" w:sz="0" w:space="0" w:color="auto"/>
        <w:left w:val="none" w:sz="0" w:space="0" w:color="auto"/>
        <w:bottom w:val="none" w:sz="0" w:space="0" w:color="auto"/>
        <w:right w:val="none" w:sz="0" w:space="0" w:color="auto"/>
      </w:divBdr>
    </w:div>
    <w:div w:id="872033095">
      <w:bodyDiv w:val="1"/>
      <w:marLeft w:val="0"/>
      <w:marRight w:val="0"/>
      <w:marTop w:val="0"/>
      <w:marBottom w:val="0"/>
      <w:divBdr>
        <w:top w:val="none" w:sz="0" w:space="0" w:color="auto"/>
        <w:left w:val="none" w:sz="0" w:space="0" w:color="auto"/>
        <w:bottom w:val="none" w:sz="0" w:space="0" w:color="auto"/>
        <w:right w:val="none" w:sz="0" w:space="0" w:color="auto"/>
      </w:divBdr>
    </w:div>
    <w:div w:id="897277159">
      <w:bodyDiv w:val="1"/>
      <w:marLeft w:val="0"/>
      <w:marRight w:val="0"/>
      <w:marTop w:val="0"/>
      <w:marBottom w:val="0"/>
      <w:divBdr>
        <w:top w:val="none" w:sz="0" w:space="0" w:color="auto"/>
        <w:left w:val="none" w:sz="0" w:space="0" w:color="auto"/>
        <w:bottom w:val="none" w:sz="0" w:space="0" w:color="auto"/>
        <w:right w:val="none" w:sz="0" w:space="0" w:color="auto"/>
      </w:divBdr>
    </w:div>
    <w:div w:id="957760818">
      <w:bodyDiv w:val="1"/>
      <w:marLeft w:val="0"/>
      <w:marRight w:val="0"/>
      <w:marTop w:val="0"/>
      <w:marBottom w:val="0"/>
      <w:divBdr>
        <w:top w:val="none" w:sz="0" w:space="0" w:color="auto"/>
        <w:left w:val="none" w:sz="0" w:space="0" w:color="auto"/>
        <w:bottom w:val="none" w:sz="0" w:space="0" w:color="auto"/>
        <w:right w:val="none" w:sz="0" w:space="0" w:color="auto"/>
      </w:divBdr>
    </w:div>
    <w:div w:id="987629534">
      <w:bodyDiv w:val="1"/>
      <w:marLeft w:val="0"/>
      <w:marRight w:val="0"/>
      <w:marTop w:val="0"/>
      <w:marBottom w:val="0"/>
      <w:divBdr>
        <w:top w:val="none" w:sz="0" w:space="0" w:color="auto"/>
        <w:left w:val="none" w:sz="0" w:space="0" w:color="auto"/>
        <w:bottom w:val="none" w:sz="0" w:space="0" w:color="auto"/>
        <w:right w:val="none" w:sz="0" w:space="0" w:color="auto"/>
      </w:divBdr>
    </w:div>
    <w:div w:id="1087312889">
      <w:bodyDiv w:val="1"/>
      <w:marLeft w:val="0"/>
      <w:marRight w:val="0"/>
      <w:marTop w:val="0"/>
      <w:marBottom w:val="0"/>
      <w:divBdr>
        <w:top w:val="none" w:sz="0" w:space="0" w:color="auto"/>
        <w:left w:val="none" w:sz="0" w:space="0" w:color="auto"/>
        <w:bottom w:val="none" w:sz="0" w:space="0" w:color="auto"/>
        <w:right w:val="none" w:sz="0" w:space="0" w:color="auto"/>
      </w:divBdr>
    </w:div>
    <w:div w:id="1142499007">
      <w:bodyDiv w:val="1"/>
      <w:marLeft w:val="0"/>
      <w:marRight w:val="0"/>
      <w:marTop w:val="0"/>
      <w:marBottom w:val="0"/>
      <w:divBdr>
        <w:top w:val="none" w:sz="0" w:space="0" w:color="auto"/>
        <w:left w:val="none" w:sz="0" w:space="0" w:color="auto"/>
        <w:bottom w:val="none" w:sz="0" w:space="0" w:color="auto"/>
        <w:right w:val="none" w:sz="0" w:space="0" w:color="auto"/>
      </w:divBdr>
    </w:div>
    <w:div w:id="1328173835">
      <w:bodyDiv w:val="1"/>
      <w:marLeft w:val="0"/>
      <w:marRight w:val="0"/>
      <w:marTop w:val="0"/>
      <w:marBottom w:val="0"/>
      <w:divBdr>
        <w:top w:val="none" w:sz="0" w:space="0" w:color="auto"/>
        <w:left w:val="none" w:sz="0" w:space="0" w:color="auto"/>
        <w:bottom w:val="none" w:sz="0" w:space="0" w:color="auto"/>
        <w:right w:val="none" w:sz="0" w:space="0" w:color="auto"/>
      </w:divBdr>
    </w:div>
    <w:div w:id="1440104565">
      <w:bodyDiv w:val="1"/>
      <w:marLeft w:val="0"/>
      <w:marRight w:val="0"/>
      <w:marTop w:val="0"/>
      <w:marBottom w:val="0"/>
      <w:divBdr>
        <w:top w:val="none" w:sz="0" w:space="0" w:color="auto"/>
        <w:left w:val="none" w:sz="0" w:space="0" w:color="auto"/>
        <w:bottom w:val="none" w:sz="0" w:space="0" w:color="auto"/>
        <w:right w:val="none" w:sz="0" w:space="0" w:color="auto"/>
      </w:divBdr>
    </w:div>
    <w:div w:id="1528371074">
      <w:bodyDiv w:val="1"/>
      <w:marLeft w:val="0"/>
      <w:marRight w:val="0"/>
      <w:marTop w:val="0"/>
      <w:marBottom w:val="0"/>
      <w:divBdr>
        <w:top w:val="none" w:sz="0" w:space="0" w:color="auto"/>
        <w:left w:val="none" w:sz="0" w:space="0" w:color="auto"/>
        <w:bottom w:val="none" w:sz="0" w:space="0" w:color="auto"/>
        <w:right w:val="none" w:sz="0" w:space="0" w:color="auto"/>
      </w:divBdr>
    </w:div>
    <w:div w:id="1544749661">
      <w:bodyDiv w:val="1"/>
      <w:marLeft w:val="0"/>
      <w:marRight w:val="0"/>
      <w:marTop w:val="0"/>
      <w:marBottom w:val="0"/>
      <w:divBdr>
        <w:top w:val="none" w:sz="0" w:space="0" w:color="auto"/>
        <w:left w:val="none" w:sz="0" w:space="0" w:color="auto"/>
        <w:bottom w:val="none" w:sz="0" w:space="0" w:color="auto"/>
        <w:right w:val="none" w:sz="0" w:space="0" w:color="auto"/>
      </w:divBdr>
    </w:div>
    <w:div w:id="1552693129">
      <w:bodyDiv w:val="1"/>
      <w:marLeft w:val="0"/>
      <w:marRight w:val="0"/>
      <w:marTop w:val="0"/>
      <w:marBottom w:val="0"/>
      <w:divBdr>
        <w:top w:val="none" w:sz="0" w:space="0" w:color="auto"/>
        <w:left w:val="none" w:sz="0" w:space="0" w:color="auto"/>
        <w:bottom w:val="none" w:sz="0" w:space="0" w:color="auto"/>
        <w:right w:val="none" w:sz="0" w:space="0" w:color="auto"/>
      </w:divBdr>
    </w:div>
    <w:div w:id="1629242054">
      <w:bodyDiv w:val="1"/>
      <w:marLeft w:val="0"/>
      <w:marRight w:val="0"/>
      <w:marTop w:val="0"/>
      <w:marBottom w:val="0"/>
      <w:divBdr>
        <w:top w:val="none" w:sz="0" w:space="0" w:color="auto"/>
        <w:left w:val="none" w:sz="0" w:space="0" w:color="auto"/>
        <w:bottom w:val="none" w:sz="0" w:space="0" w:color="auto"/>
        <w:right w:val="none" w:sz="0" w:space="0" w:color="auto"/>
      </w:divBdr>
    </w:div>
    <w:div w:id="1630933499">
      <w:bodyDiv w:val="1"/>
      <w:marLeft w:val="0"/>
      <w:marRight w:val="0"/>
      <w:marTop w:val="0"/>
      <w:marBottom w:val="0"/>
      <w:divBdr>
        <w:top w:val="none" w:sz="0" w:space="0" w:color="auto"/>
        <w:left w:val="none" w:sz="0" w:space="0" w:color="auto"/>
        <w:bottom w:val="none" w:sz="0" w:space="0" w:color="auto"/>
        <w:right w:val="none" w:sz="0" w:space="0" w:color="auto"/>
      </w:divBdr>
    </w:div>
    <w:div w:id="1640960641">
      <w:bodyDiv w:val="1"/>
      <w:marLeft w:val="0"/>
      <w:marRight w:val="0"/>
      <w:marTop w:val="0"/>
      <w:marBottom w:val="0"/>
      <w:divBdr>
        <w:top w:val="none" w:sz="0" w:space="0" w:color="auto"/>
        <w:left w:val="none" w:sz="0" w:space="0" w:color="auto"/>
        <w:bottom w:val="none" w:sz="0" w:space="0" w:color="auto"/>
        <w:right w:val="none" w:sz="0" w:space="0" w:color="auto"/>
      </w:divBdr>
    </w:div>
    <w:div w:id="1641306270">
      <w:bodyDiv w:val="1"/>
      <w:marLeft w:val="0"/>
      <w:marRight w:val="0"/>
      <w:marTop w:val="0"/>
      <w:marBottom w:val="0"/>
      <w:divBdr>
        <w:top w:val="none" w:sz="0" w:space="0" w:color="auto"/>
        <w:left w:val="none" w:sz="0" w:space="0" w:color="auto"/>
        <w:bottom w:val="none" w:sz="0" w:space="0" w:color="auto"/>
        <w:right w:val="none" w:sz="0" w:space="0" w:color="auto"/>
      </w:divBdr>
    </w:div>
    <w:div w:id="1670020314">
      <w:bodyDiv w:val="1"/>
      <w:marLeft w:val="0"/>
      <w:marRight w:val="0"/>
      <w:marTop w:val="0"/>
      <w:marBottom w:val="0"/>
      <w:divBdr>
        <w:top w:val="none" w:sz="0" w:space="0" w:color="auto"/>
        <w:left w:val="none" w:sz="0" w:space="0" w:color="auto"/>
        <w:bottom w:val="none" w:sz="0" w:space="0" w:color="auto"/>
        <w:right w:val="none" w:sz="0" w:space="0" w:color="auto"/>
      </w:divBdr>
    </w:div>
    <w:div w:id="1734113142">
      <w:bodyDiv w:val="1"/>
      <w:marLeft w:val="0"/>
      <w:marRight w:val="0"/>
      <w:marTop w:val="0"/>
      <w:marBottom w:val="0"/>
      <w:divBdr>
        <w:top w:val="none" w:sz="0" w:space="0" w:color="auto"/>
        <w:left w:val="none" w:sz="0" w:space="0" w:color="auto"/>
        <w:bottom w:val="none" w:sz="0" w:space="0" w:color="auto"/>
        <w:right w:val="none" w:sz="0" w:space="0" w:color="auto"/>
      </w:divBdr>
    </w:div>
    <w:div w:id="1742365824">
      <w:bodyDiv w:val="1"/>
      <w:marLeft w:val="0"/>
      <w:marRight w:val="0"/>
      <w:marTop w:val="0"/>
      <w:marBottom w:val="0"/>
      <w:divBdr>
        <w:top w:val="none" w:sz="0" w:space="0" w:color="auto"/>
        <w:left w:val="none" w:sz="0" w:space="0" w:color="auto"/>
        <w:bottom w:val="none" w:sz="0" w:space="0" w:color="auto"/>
        <w:right w:val="none" w:sz="0" w:space="0" w:color="auto"/>
      </w:divBdr>
    </w:div>
    <w:div w:id="1757939478">
      <w:bodyDiv w:val="1"/>
      <w:marLeft w:val="0"/>
      <w:marRight w:val="0"/>
      <w:marTop w:val="0"/>
      <w:marBottom w:val="0"/>
      <w:divBdr>
        <w:top w:val="none" w:sz="0" w:space="0" w:color="auto"/>
        <w:left w:val="none" w:sz="0" w:space="0" w:color="auto"/>
        <w:bottom w:val="none" w:sz="0" w:space="0" w:color="auto"/>
        <w:right w:val="none" w:sz="0" w:space="0" w:color="auto"/>
      </w:divBdr>
    </w:div>
    <w:div w:id="1842427996">
      <w:bodyDiv w:val="1"/>
      <w:marLeft w:val="0"/>
      <w:marRight w:val="0"/>
      <w:marTop w:val="0"/>
      <w:marBottom w:val="0"/>
      <w:divBdr>
        <w:top w:val="none" w:sz="0" w:space="0" w:color="auto"/>
        <w:left w:val="none" w:sz="0" w:space="0" w:color="auto"/>
        <w:bottom w:val="none" w:sz="0" w:space="0" w:color="auto"/>
        <w:right w:val="none" w:sz="0" w:space="0" w:color="auto"/>
      </w:divBdr>
    </w:div>
    <w:div w:id="1848127667">
      <w:bodyDiv w:val="1"/>
      <w:marLeft w:val="0"/>
      <w:marRight w:val="0"/>
      <w:marTop w:val="0"/>
      <w:marBottom w:val="0"/>
      <w:divBdr>
        <w:top w:val="none" w:sz="0" w:space="0" w:color="auto"/>
        <w:left w:val="none" w:sz="0" w:space="0" w:color="auto"/>
        <w:bottom w:val="none" w:sz="0" w:space="0" w:color="auto"/>
        <w:right w:val="none" w:sz="0" w:space="0" w:color="auto"/>
      </w:divBdr>
    </w:div>
    <w:div w:id="1866282168">
      <w:bodyDiv w:val="1"/>
      <w:marLeft w:val="0"/>
      <w:marRight w:val="0"/>
      <w:marTop w:val="0"/>
      <w:marBottom w:val="0"/>
      <w:divBdr>
        <w:top w:val="none" w:sz="0" w:space="0" w:color="auto"/>
        <w:left w:val="none" w:sz="0" w:space="0" w:color="auto"/>
        <w:bottom w:val="none" w:sz="0" w:space="0" w:color="auto"/>
        <w:right w:val="none" w:sz="0" w:space="0" w:color="auto"/>
      </w:divBdr>
    </w:div>
    <w:div w:id="1916469797">
      <w:bodyDiv w:val="1"/>
      <w:marLeft w:val="0"/>
      <w:marRight w:val="0"/>
      <w:marTop w:val="0"/>
      <w:marBottom w:val="0"/>
      <w:divBdr>
        <w:top w:val="none" w:sz="0" w:space="0" w:color="auto"/>
        <w:left w:val="none" w:sz="0" w:space="0" w:color="auto"/>
        <w:bottom w:val="none" w:sz="0" w:space="0" w:color="auto"/>
        <w:right w:val="none" w:sz="0" w:space="0" w:color="auto"/>
      </w:divBdr>
    </w:div>
    <w:div w:id="1998726535">
      <w:bodyDiv w:val="1"/>
      <w:marLeft w:val="0"/>
      <w:marRight w:val="0"/>
      <w:marTop w:val="0"/>
      <w:marBottom w:val="0"/>
      <w:divBdr>
        <w:top w:val="none" w:sz="0" w:space="0" w:color="auto"/>
        <w:left w:val="none" w:sz="0" w:space="0" w:color="auto"/>
        <w:bottom w:val="none" w:sz="0" w:space="0" w:color="auto"/>
        <w:right w:val="none" w:sz="0" w:space="0" w:color="auto"/>
      </w:divBdr>
    </w:div>
    <w:div w:id="2012025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header" Target="header1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3.xml"/><Relationship Id="rId10" Type="http://schemas.openxmlformats.org/officeDocument/2006/relationships/footer" Target="footer2.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eader" Target="header12.xml"/></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1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5B8B38-B00E-45B5-9C18-80EF91FE8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5009</TotalTime>
  <Pages>18</Pages>
  <Words>3739</Words>
  <Characters>21317</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25006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Johnstone, Aiden</dc:creator>
  <cp:keywords/>
  <dc:description/>
  <cp:lastModifiedBy>Packwood, Nigel</cp:lastModifiedBy>
  <cp:revision>263</cp:revision>
  <cp:lastPrinted>2022-10-22T21:33:00Z</cp:lastPrinted>
  <dcterms:created xsi:type="dcterms:W3CDTF">2021-04-21T00:54:00Z</dcterms:created>
  <dcterms:modified xsi:type="dcterms:W3CDTF">2022-10-25T03:12:00Z</dcterms:modified>
</cp:coreProperties>
</file>