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438F72" w14:textId="420CEB7D" w:rsidR="008F2E23" w:rsidRPr="005A30E6" w:rsidRDefault="00B203AE" w:rsidP="005A30E6">
      <w:pPr>
        <w:pStyle w:val="Title"/>
      </w:pPr>
      <w:r>
        <w:t xml:space="preserve">Funding </w:t>
      </w:r>
      <w:r w:rsidR="00DC6032" w:rsidRPr="00DC6032">
        <w:t xml:space="preserve">Australia’s </w:t>
      </w:r>
      <w:r w:rsidR="00A31D26">
        <w:t>g</w:t>
      </w:r>
      <w:r w:rsidR="00DC6032" w:rsidRPr="00DC6032">
        <w:t xml:space="preserve">reen and </w:t>
      </w:r>
      <w:r w:rsidR="00A31D26">
        <w:t>g</w:t>
      </w:r>
      <w:r w:rsidR="00DC6032" w:rsidRPr="00DC6032">
        <w:t>old decade</w:t>
      </w:r>
    </w:p>
    <w:p w14:paraId="54652F9C" w14:textId="51127560" w:rsidR="00054AD4" w:rsidRPr="00054AD4" w:rsidRDefault="00B203AE" w:rsidP="00054AD4">
      <w:pPr>
        <w:pStyle w:val="Heading1"/>
      </w:pPr>
      <w:r w:rsidRPr="00B203AE">
        <w:t>Total value of package</w:t>
      </w:r>
    </w:p>
    <w:p w14:paraId="2FA8F00A" w14:textId="78F264D2" w:rsidR="00054AD4" w:rsidRPr="00054AD4" w:rsidRDefault="00054AD4" w:rsidP="00054AD4">
      <w:pPr>
        <w:rPr>
          <w:b/>
          <w:bCs/>
          <w:lang w:val="en-GB"/>
        </w:rPr>
      </w:pPr>
      <w:r w:rsidRPr="00054AD4">
        <w:rPr>
          <w:b/>
          <w:bCs/>
          <w:lang w:val="en-GB"/>
        </w:rPr>
        <w:t>$89.7 million</w:t>
      </w:r>
    </w:p>
    <w:p w14:paraId="7F0D7DA1" w14:textId="0612D051" w:rsidR="00054AD4" w:rsidRPr="000F2FB7" w:rsidRDefault="00054AD4" w:rsidP="00054AD4">
      <w:pPr>
        <w:pStyle w:val="ListBullet"/>
        <w:rPr>
          <w:lang w:val="en-GB"/>
        </w:rPr>
      </w:pPr>
      <w:r w:rsidRPr="000F2FB7">
        <w:rPr>
          <w:lang w:val="en-GB"/>
        </w:rPr>
        <w:t xml:space="preserve">$44.8m towards FIFA Women’s World Cup in 2023 </w:t>
      </w:r>
    </w:p>
    <w:p w14:paraId="43998D10" w14:textId="77777777" w:rsidR="00054AD4" w:rsidRPr="000F2FB7" w:rsidRDefault="00054AD4" w:rsidP="00054AD4">
      <w:pPr>
        <w:pStyle w:val="ListBullet"/>
        <w:rPr>
          <w:lang w:val="en-GB"/>
        </w:rPr>
      </w:pPr>
      <w:r w:rsidRPr="000F2FB7">
        <w:rPr>
          <w:lang w:val="en-GB"/>
        </w:rPr>
        <w:t xml:space="preserve">$15.1m towards upgrades to the AIS Arena </w:t>
      </w:r>
    </w:p>
    <w:p w14:paraId="74C57726" w14:textId="77777777" w:rsidR="00054AD4" w:rsidRPr="000F2FB7" w:rsidRDefault="00054AD4" w:rsidP="00054AD4">
      <w:pPr>
        <w:pStyle w:val="ListBullet"/>
        <w:rPr>
          <w:lang w:val="en-GB"/>
        </w:rPr>
      </w:pPr>
      <w:r w:rsidRPr="000F2FB7">
        <w:rPr>
          <w:lang w:val="en-GB"/>
        </w:rPr>
        <w:t xml:space="preserve">$10.3m towards expanding Sport4All pilot program </w:t>
      </w:r>
    </w:p>
    <w:p w14:paraId="5678F2ED" w14:textId="77777777" w:rsidR="00054AD4" w:rsidRPr="000F2FB7" w:rsidRDefault="00054AD4" w:rsidP="00054AD4">
      <w:pPr>
        <w:pStyle w:val="ListBullet"/>
        <w:rPr>
          <w:lang w:val="en-GB"/>
        </w:rPr>
      </w:pPr>
      <w:r w:rsidRPr="000F2FB7">
        <w:rPr>
          <w:lang w:val="en-GB"/>
        </w:rPr>
        <w:t xml:space="preserve">$9.4m to continue the National Sports Tribunal </w:t>
      </w:r>
    </w:p>
    <w:p w14:paraId="61B950E3" w14:textId="790C4D54" w:rsidR="00054AD4" w:rsidRPr="000F2FB7" w:rsidRDefault="00054AD4" w:rsidP="00054AD4">
      <w:pPr>
        <w:pStyle w:val="ListBullet"/>
        <w:rPr>
          <w:lang w:val="en-US"/>
        </w:rPr>
      </w:pPr>
      <w:r w:rsidRPr="000F2FB7">
        <w:rPr>
          <w:lang w:val="en-GB"/>
        </w:rPr>
        <w:t>$4.7m towards the Beach Safety Equipment Fund</w:t>
      </w:r>
    </w:p>
    <w:p w14:paraId="1D577BDE" w14:textId="33F0E036" w:rsidR="00054AD4" w:rsidRPr="00054AD4" w:rsidRDefault="000F2FB7" w:rsidP="000F2FB7">
      <w:pPr>
        <w:pStyle w:val="Heading1"/>
      </w:pPr>
      <w:r>
        <w:t>Summary of package</w:t>
      </w:r>
    </w:p>
    <w:p w14:paraId="1CF29828" w14:textId="50DE8388" w:rsidR="00B203AE" w:rsidRPr="00B203AE" w:rsidRDefault="00B203AE" w:rsidP="00B203AE">
      <w:pPr>
        <w:rPr>
          <w:b/>
          <w:bCs/>
        </w:rPr>
      </w:pPr>
      <w:r w:rsidRPr="00B203AE">
        <w:rPr>
          <w:b/>
          <w:bCs/>
        </w:rPr>
        <w:t xml:space="preserve">The 2022–23 October Budget continues the Government’s commitment to the Brisbane 2032 Olympic and Paralympic Games (Games), ensuring they leave </w:t>
      </w:r>
      <w:proofErr w:type="gramStart"/>
      <w:r w:rsidRPr="00B203AE">
        <w:rPr>
          <w:b/>
          <w:bCs/>
        </w:rPr>
        <w:t>a lasting legacy</w:t>
      </w:r>
      <w:proofErr w:type="gramEnd"/>
      <w:r w:rsidRPr="00B203AE">
        <w:rPr>
          <w:b/>
          <w:bCs/>
        </w:rPr>
        <w:t xml:space="preserve"> for all Australians. </w:t>
      </w:r>
    </w:p>
    <w:p w14:paraId="21C401B0" w14:textId="77777777" w:rsidR="00B203AE" w:rsidRDefault="00B203AE" w:rsidP="00B203AE">
      <w:r>
        <w:t xml:space="preserve">The Games are the largest and prestigious sporting event to be hosted in Australia since the Sydney 2000 Games and will be the culmination of the green and gold decade of major sporting events. </w:t>
      </w:r>
    </w:p>
    <w:p w14:paraId="77817787" w14:textId="77777777" w:rsidR="00B203AE" w:rsidRDefault="00B203AE" w:rsidP="00B203AE">
      <w:r>
        <w:t xml:space="preserve">The Government is advancing discussions with Queensland on support for the Games, to ensure the nation can take advantage of the significant social, sporting, and economic benefits that come with hosting a large-scale international event. </w:t>
      </w:r>
    </w:p>
    <w:p w14:paraId="3CD377E5" w14:textId="77777777" w:rsidR="00B203AE" w:rsidRDefault="00B203AE" w:rsidP="00B203AE">
      <w:r>
        <w:t xml:space="preserve">The Government will continue the National Sports Tribunal (NST) as an ongoing dispute resolution entity for Australian sport. </w:t>
      </w:r>
    </w:p>
    <w:p w14:paraId="17AB5DCB" w14:textId="77777777" w:rsidR="00B203AE" w:rsidRDefault="00B203AE" w:rsidP="00B203AE">
      <w:r>
        <w:t xml:space="preserve">The Government will also meet its commitment to upgrade and reopen the Australian Institute of Sport Arena to support sports, community events, and concerts. </w:t>
      </w:r>
    </w:p>
    <w:p w14:paraId="2439E0CE" w14:textId="77777777" w:rsidR="00B203AE" w:rsidRDefault="00B203AE" w:rsidP="00B203AE">
      <w:r>
        <w:t xml:space="preserve">Funding in this Budget includes support for the 2023 FIFA Women’s World Cup, being co-hosted with New Zealand. </w:t>
      </w:r>
    </w:p>
    <w:p w14:paraId="070D0BF4" w14:textId="77777777" w:rsidR="00B203AE" w:rsidRDefault="00B203AE" w:rsidP="00B203AE">
      <w:r>
        <w:t xml:space="preserve">As the largest women’s sporting event in the world, the FIFA Women’s World Cup will encourage more girls and women to participate, volunteer and work in sport. With Australia also hosting women’s world cups in basketball, netball and rugby, the opportunities are growing every day. </w:t>
      </w:r>
    </w:p>
    <w:p w14:paraId="5D420FF0" w14:textId="7532E9C2" w:rsidR="008F2E23" w:rsidRPr="005A30E6" w:rsidRDefault="00B203AE" w:rsidP="00B203AE">
      <w:pPr>
        <w:pStyle w:val="Heading1"/>
      </w:pPr>
      <w:r>
        <w:t xml:space="preserve">Who benefits </w:t>
      </w:r>
    </w:p>
    <w:p w14:paraId="40DB4F39" w14:textId="77777777" w:rsidR="00B203AE" w:rsidRPr="00B203AE" w:rsidRDefault="00B203AE" w:rsidP="00B203AE">
      <w:pPr>
        <w:rPr>
          <w:lang w:val="en-GB"/>
        </w:rPr>
      </w:pPr>
      <w:r w:rsidRPr="00B203AE">
        <w:rPr>
          <w:lang w:val="en-GB"/>
        </w:rPr>
        <w:t>All Australians will benefit from the Government’s investment in the green and gold decade. The Games will strengthen social connections, increase participation in sport, improve health outcomes for all Australians, support local economies, and bring Australians together.</w:t>
      </w:r>
    </w:p>
    <w:p w14:paraId="387B02B7" w14:textId="77777777" w:rsidR="00B203AE" w:rsidRPr="00B203AE" w:rsidRDefault="00B203AE" w:rsidP="00B203AE">
      <w:pPr>
        <w:rPr>
          <w:lang w:val="en-GB"/>
        </w:rPr>
      </w:pPr>
      <w:r w:rsidRPr="00B203AE">
        <w:rPr>
          <w:lang w:val="en-GB"/>
        </w:rPr>
        <w:t>To help ensure the 2032 Games are successful, initial funding of $3.2 million will establish and maintain a dedicated unit within the Department of Health and Aged Care’s Office for Sport. The unit will coordinate the Australian Government’s role in preparations and the successful running of the Games.</w:t>
      </w:r>
    </w:p>
    <w:p w14:paraId="62240B7B" w14:textId="77777777" w:rsidR="00B203AE" w:rsidRPr="00B203AE" w:rsidRDefault="00B203AE" w:rsidP="00B203AE">
      <w:pPr>
        <w:rPr>
          <w:lang w:val="en-GB"/>
        </w:rPr>
      </w:pPr>
      <w:r w:rsidRPr="00B203AE">
        <w:rPr>
          <w:lang w:val="en-GB"/>
        </w:rPr>
        <w:t xml:space="preserve">With the FIFA Women’s World Cup 2023 now less than a year away, this Budget includes $44.8 million to deliver on the Commonwealth’s financial commitment to what is the largest women’s sporting event in the world. </w:t>
      </w:r>
    </w:p>
    <w:p w14:paraId="02459C39" w14:textId="1BD96832" w:rsidR="00626B00" w:rsidRDefault="00B203AE" w:rsidP="00B203AE">
      <w:pPr>
        <w:rPr>
          <w:lang w:val="en-GB"/>
        </w:rPr>
      </w:pPr>
      <w:r w:rsidRPr="00B203AE">
        <w:rPr>
          <w:lang w:val="en-GB"/>
        </w:rPr>
        <w:lastRenderedPageBreak/>
        <w:t>The event will drive social and cultural change through increased physical activity, social inclusion, gender equality and engagement with First Nations, and disability communities. This investment also includes legacy funding to support more girls and boys from migrant communities who are inspired to play football and engage more actively in their local communities.</w:t>
      </w:r>
    </w:p>
    <w:p w14:paraId="54324DEB" w14:textId="6D302112" w:rsidR="00A31D26" w:rsidRDefault="00A31D26" w:rsidP="00A31D26">
      <w:pPr>
        <w:pStyle w:val="Heading1"/>
      </w:pPr>
      <w:r>
        <w:t>Funding details</w:t>
      </w:r>
    </w:p>
    <w:p w14:paraId="49881B0F" w14:textId="77777777" w:rsidR="00B570D1" w:rsidRDefault="00B570D1" w:rsidP="00B570D1">
      <w:pPr>
        <w:pStyle w:val="ListBullet"/>
      </w:pPr>
      <w:r>
        <w:t xml:space="preserve">Brisbane 2032 Olympic and Paralympic Games – $3.2 million over 4 years from 2022–2023. </w:t>
      </w:r>
    </w:p>
    <w:p w14:paraId="0582FA6D" w14:textId="036E0E55" w:rsidR="00B570D1" w:rsidRDefault="00B570D1" w:rsidP="00B570D1">
      <w:pPr>
        <w:pStyle w:val="ListBullet"/>
      </w:pPr>
      <w:r>
        <w:t>FIFA Women’s World Cup 2023 – $44.8 million over 2 years from 2022-2023.</w:t>
      </w:r>
    </w:p>
    <w:p w14:paraId="0CCDD143" w14:textId="30289471" w:rsidR="00B570D1" w:rsidRDefault="00B570D1" w:rsidP="00B570D1">
      <w:pPr>
        <w:pStyle w:val="ListBullet"/>
      </w:pPr>
      <w:r>
        <w:t>Continuation of the National Sports Tribunal –$9.4 million over 4 years from 2022–2023.</w:t>
      </w:r>
    </w:p>
    <w:p w14:paraId="4EE1AA84" w14:textId="1FD38A6B" w:rsidR="00B570D1" w:rsidRDefault="00B570D1" w:rsidP="00B570D1">
      <w:pPr>
        <w:pStyle w:val="ListBullet"/>
      </w:pPr>
      <w:r>
        <w:t>Remediation of AIS Arena – $15.1 million over 4 years from 2022-2023.</w:t>
      </w:r>
    </w:p>
    <w:p w14:paraId="4257661D" w14:textId="1171FCC5" w:rsidR="00B570D1" w:rsidRDefault="00B570D1" w:rsidP="00B570D1">
      <w:pPr>
        <w:pStyle w:val="ListBullet"/>
      </w:pPr>
      <w:r>
        <w:t>Sport4All First Nations Program Expansion –$10.3 million over 4 years from 2022–2023.</w:t>
      </w:r>
    </w:p>
    <w:p w14:paraId="2DF55069" w14:textId="5CFAD97F" w:rsidR="00B570D1" w:rsidRDefault="00B570D1" w:rsidP="00B570D1">
      <w:pPr>
        <w:pStyle w:val="ListBullet"/>
      </w:pPr>
      <w:r>
        <w:t>Beach Safety Equipment Fund – $4.7 million over 3 years from 2022–2023.</w:t>
      </w:r>
    </w:p>
    <w:p w14:paraId="07CE12A6" w14:textId="6C9E0A8B" w:rsidR="00A31D26" w:rsidRPr="00AC579F" w:rsidRDefault="00B570D1" w:rsidP="00B570D1">
      <w:pPr>
        <w:pStyle w:val="ListBullet"/>
        <w:rPr>
          <w:lang w:val="en-US"/>
        </w:rPr>
      </w:pPr>
      <w:r>
        <w:t>AFL in the Northern Territory – $2.2 million over 3 years from 2022–23.</w:t>
      </w:r>
    </w:p>
    <w:p w14:paraId="66B7EA54" w14:textId="77777777" w:rsidR="00AC579F" w:rsidRPr="00F01440" w:rsidRDefault="00AC579F" w:rsidP="00AC579F">
      <w:pPr>
        <w:spacing w:before="2760"/>
        <w:jc w:val="center"/>
        <w:rPr>
          <w:lang w:val="en-US"/>
        </w:rPr>
      </w:pPr>
      <w:r w:rsidRPr="00F01440">
        <w:rPr>
          <w:lang w:val="en-US"/>
        </w:rPr>
        <w:t xml:space="preserve">All information in this publication is correct as </w:t>
      </w:r>
      <w:proofErr w:type="gramStart"/>
      <w:r w:rsidRPr="00F01440">
        <w:rPr>
          <w:lang w:val="en-US"/>
        </w:rPr>
        <w:t>at</w:t>
      </w:r>
      <w:proofErr w:type="gramEnd"/>
      <w:r w:rsidRPr="00F01440">
        <w:rPr>
          <w:lang w:val="en-US"/>
        </w:rPr>
        <w:t xml:space="preserve"> October 2022</w:t>
      </w:r>
    </w:p>
    <w:p w14:paraId="06077248" w14:textId="50DB5B8B" w:rsidR="00AC579F" w:rsidRPr="00A31D26" w:rsidRDefault="00AC579F" w:rsidP="00AC579F">
      <w:pPr>
        <w:jc w:val="center"/>
        <w:rPr>
          <w:lang w:val="en-US"/>
        </w:rPr>
      </w:pPr>
      <w:r w:rsidRPr="00F01440">
        <w:rPr>
          <w:lang w:val="en-US"/>
        </w:rPr>
        <w:t>health.gov.au</w:t>
      </w:r>
    </w:p>
    <w:sectPr w:rsidR="00AC579F" w:rsidRPr="00A31D26" w:rsidSect="00E857B5">
      <w:headerReference w:type="default" r:id="rId11"/>
      <w:footerReference w:type="even" r:id="rId12"/>
      <w:footerReference w:type="default" r:id="rId13"/>
      <w:headerReference w:type="first" r:id="rId14"/>
      <w:footerReference w:type="first" r:id="rId15"/>
      <w:pgSz w:w="11906" w:h="16838"/>
      <w:pgMar w:top="851" w:right="1418" w:bottom="1418" w:left="1134" w:header="175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ED8EBD" w14:textId="77777777" w:rsidR="008D2064" w:rsidRDefault="008D2064" w:rsidP="00F77677">
      <w:pPr>
        <w:spacing w:before="0" w:line="240" w:lineRule="auto"/>
      </w:pPr>
      <w:r>
        <w:separator/>
      </w:r>
    </w:p>
  </w:endnote>
  <w:endnote w:type="continuationSeparator" w:id="0">
    <w:p w14:paraId="17CE3700" w14:textId="77777777" w:rsidR="008D2064" w:rsidRDefault="008D2064" w:rsidP="00F77677">
      <w:pPr>
        <w:spacing w:before="0" w:line="240" w:lineRule="auto"/>
      </w:pPr>
      <w:r>
        <w:continuationSeparator/>
      </w:r>
    </w:p>
  </w:endnote>
  <w:endnote w:type="continuationNotice" w:id="1">
    <w:p w14:paraId="4E3DB098" w14:textId="77777777" w:rsidR="00FB6594" w:rsidRDefault="00FB6594">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NeueLT Std">
    <w:altName w:val="HelveticaNeueLT Std"/>
    <w:panose1 w:val="020B0604020202020204"/>
    <w:charset w:val="00"/>
    <w:family w:val="swiss"/>
    <w:notTrueType/>
    <w:pitch w:val="variable"/>
    <w:sig w:usb0="800000AF" w:usb1="4000204A" w:usb2="00000000" w:usb3="00000000" w:csb0="00000001" w:csb1="00000000"/>
  </w:font>
  <w:font w:name="HelveticaNeueLT Std Lt">
    <w:altName w:val="HelveticaNeueLT Std Lt"/>
    <w:panose1 w:val="020B0403020202020204"/>
    <w:charset w:val="00"/>
    <w:family w:val="swiss"/>
    <w:notTrueType/>
    <w:pitch w:val="variable"/>
    <w:sig w:usb0="800000AF" w:usb1="4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153A6E"/>
      </w:rPr>
      <w:id w:val="-1695693410"/>
      <w:docPartObj>
        <w:docPartGallery w:val="Page Numbers (Bottom of Page)"/>
        <w:docPartUnique/>
      </w:docPartObj>
    </w:sdtPr>
    <w:sdtEndPr>
      <w:rPr>
        <w:noProof/>
      </w:rPr>
    </w:sdtEndPr>
    <w:sdtContent>
      <w:p w14:paraId="096A69EF" w14:textId="0F22420B" w:rsidR="00BC3FFB" w:rsidRDefault="00626B00" w:rsidP="00BC3FFB">
        <w:pPr>
          <w:tabs>
            <w:tab w:val="left" w:pos="0"/>
            <w:tab w:val="right" w:pos="8222"/>
          </w:tabs>
          <w:rPr>
            <w:noProof/>
            <w:color w:val="153A6E"/>
          </w:rPr>
        </w:pPr>
        <w:r>
          <w:rPr>
            <w:noProof/>
            <w:color w:val="153A6E"/>
          </w:rPr>
          <w:drawing>
            <wp:anchor distT="0" distB="0" distL="114300" distR="114300" simplePos="0" relativeHeight="251658241" behindDoc="1" locked="0" layoutInCell="1" allowOverlap="1" wp14:anchorId="56DC12D9" wp14:editId="7E97ABCB">
              <wp:simplePos x="0" y="0"/>
              <wp:positionH relativeFrom="page">
                <wp:align>center</wp:align>
              </wp:positionH>
              <wp:positionV relativeFrom="page">
                <wp:align>bottom</wp:align>
              </wp:positionV>
              <wp:extent cx="7560000" cy="874800"/>
              <wp:effectExtent l="0" t="0" r="0" b="1905"/>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874800"/>
                      </a:xfrm>
                      <a:prstGeom prst="rect">
                        <a:avLst/>
                      </a:prstGeom>
                    </pic:spPr>
                  </pic:pic>
                </a:graphicData>
              </a:graphic>
              <wp14:sizeRelH relativeFrom="page">
                <wp14:pctWidth>0</wp14:pctWidth>
              </wp14:sizeRelH>
              <wp14:sizeRelV relativeFrom="page">
                <wp14:pctHeight>0</wp14:pctHeight>
              </wp14:sizeRelV>
            </wp:anchor>
          </w:drawing>
        </w:r>
        <w:r w:rsidR="00A31D26">
          <w:rPr>
            <w:color w:val="153A6E"/>
          </w:rPr>
          <w:t>Funding Australia’s green and gold decade</w:t>
        </w:r>
      </w:p>
    </w:sdtContent>
  </w:sdt>
  <w:p w14:paraId="1F00115E" w14:textId="77777777" w:rsidR="00626B00" w:rsidRPr="00BC3FFB" w:rsidRDefault="00626B00" w:rsidP="00BC3FFB">
    <w:pPr>
      <w:tabs>
        <w:tab w:val="left" w:pos="0"/>
        <w:tab w:val="right" w:pos="8222"/>
      </w:tabs>
      <w:rPr>
        <w:color w:val="153A6E"/>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153A6E"/>
      </w:rPr>
      <w:id w:val="-1338769883"/>
      <w:docPartObj>
        <w:docPartGallery w:val="Page Numbers (Bottom of Page)"/>
        <w:docPartUnique/>
      </w:docPartObj>
    </w:sdtPr>
    <w:sdtEndPr>
      <w:rPr>
        <w:noProof/>
      </w:rPr>
    </w:sdtEndPr>
    <w:sdtContent>
      <w:p w14:paraId="7D897C4D" w14:textId="22743C9F" w:rsidR="00DD6EBA" w:rsidRDefault="00E857B5" w:rsidP="0032762A">
        <w:pPr>
          <w:pStyle w:val="Footer"/>
          <w:tabs>
            <w:tab w:val="clear" w:pos="4513"/>
            <w:tab w:val="clear" w:pos="9026"/>
            <w:tab w:val="left" w:pos="0"/>
            <w:tab w:val="right" w:pos="8222"/>
          </w:tabs>
          <w:rPr>
            <w:noProof/>
            <w:color w:val="153A6E"/>
          </w:rPr>
        </w:pPr>
        <w:r>
          <w:rPr>
            <w:color w:val="153A6E"/>
          </w:rPr>
          <w:t>Funding Australia’s green and gold decade</w:t>
        </w:r>
        <w:r w:rsidR="00626B00">
          <w:rPr>
            <w:noProof/>
            <w:color w:val="153A6E"/>
          </w:rPr>
          <w:drawing>
            <wp:anchor distT="0" distB="0" distL="114300" distR="114300" simplePos="0" relativeHeight="251658242" behindDoc="1" locked="0" layoutInCell="1" allowOverlap="1" wp14:anchorId="1DBDA546" wp14:editId="628294F0">
              <wp:simplePos x="0" y="0"/>
              <wp:positionH relativeFrom="page">
                <wp:align>center</wp:align>
              </wp:positionH>
              <wp:positionV relativeFrom="page">
                <wp:align>bottom</wp:align>
              </wp:positionV>
              <wp:extent cx="7560000" cy="874800"/>
              <wp:effectExtent l="0" t="0" r="0" b="1905"/>
              <wp:wrapNone/>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874800"/>
                      </a:xfrm>
                      <a:prstGeom prst="rect">
                        <a:avLst/>
                      </a:prstGeom>
                    </pic:spPr>
                  </pic:pic>
                </a:graphicData>
              </a:graphic>
              <wp14:sizeRelH relativeFrom="page">
                <wp14:pctWidth>0</wp14:pctWidth>
              </wp14:sizeRelH>
              <wp14:sizeRelV relativeFrom="page">
                <wp14:pctHeight>0</wp14:pctHeight>
              </wp14:sizeRelV>
            </wp:anchor>
          </w:drawing>
        </w:r>
      </w:p>
    </w:sdtContent>
  </w:sdt>
  <w:p w14:paraId="30664488" w14:textId="77777777" w:rsidR="00626B00" w:rsidRPr="00A63558" w:rsidRDefault="00626B00" w:rsidP="0032762A">
    <w:pPr>
      <w:pStyle w:val="Footer"/>
      <w:tabs>
        <w:tab w:val="clear" w:pos="4513"/>
        <w:tab w:val="clear" w:pos="9026"/>
        <w:tab w:val="left" w:pos="0"/>
        <w:tab w:val="right" w:pos="8222"/>
      </w:tabs>
      <w:rPr>
        <w:color w:val="153A6E"/>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153A6E"/>
      </w:rPr>
      <w:id w:val="-779258608"/>
      <w:docPartObj>
        <w:docPartGallery w:val="Page Numbers (Bottom of Page)"/>
        <w:docPartUnique/>
      </w:docPartObj>
    </w:sdtPr>
    <w:sdtEndPr>
      <w:rPr>
        <w:noProof/>
      </w:rPr>
    </w:sdtEndPr>
    <w:sdtContent>
      <w:p w14:paraId="4E8F2DE2" w14:textId="1762AA90" w:rsidR="00626B00" w:rsidRDefault="00B203AE" w:rsidP="00BC3FFB">
        <w:pPr>
          <w:tabs>
            <w:tab w:val="left" w:pos="0"/>
            <w:tab w:val="right" w:pos="8222"/>
          </w:tabs>
          <w:rPr>
            <w:color w:val="153A6E"/>
          </w:rPr>
        </w:pPr>
        <w:r>
          <w:rPr>
            <w:color w:val="153A6E"/>
          </w:rPr>
          <w:t>Funding Australia’s green and gold decade</w:t>
        </w:r>
      </w:p>
      <w:p w14:paraId="664581C7" w14:textId="65E004F3" w:rsidR="00BC3FFB" w:rsidRPr="00BC3FFB" w:rsidRDefault="00AC579F" w:rsidP="00BC3FFB">
        <w:pPr>
          <w:tabs>
            <w:tab w:val="left" w:pos="0"/>
            <w:tab w:val="right" w:pos="8222"/>
          </w:tabs>
          <w:rPr>
            <w:color w:val="153A6E"/>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9B7D36" w14:textId="77777777" w:rsidR="008D2064" w:rsidRDefault="008D2064" w:rsidP="00F77677">
      <w:pPr>
        <w:spacing w:before="0" w:line="240" w:lineRule="auto"/>
      </w:pPr>
      <w:r>
        <w:separator/>
      </w:r>
    </w:p>
  </w:footnote>
  <w:footnote w:type="continuationSeparator" w:id="0">
    <w:p w14:paraId="44799C36" w14:textId="77777777" w:rsidR="008D2064" w:rsidRDefault="008D2064" w:rsidP="00F77677">
      <w:pPr>
        <w:spacing w:before="0" w:line="240" w:lineRule="auto"/>
      </w:pPr>
      <w:r>
        <w:continuationSeparator/>
      </w:r>
    </w:p>
  </w:footnote>
  <w:footnote w:type="continuationNotice" w:id="1">
    <w:p w14:paraId="13244309" w14:textId="77777777" w:rsidR="00FB6594" w:rsidRDefault="00FB6594">
      <w:pPr>
        <w:spacing w:before="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750FC" w14:textId="6725099C" w:rsidR="00F77677" w:rsidRDefault="00F77677" w:rsidP="00F77677">
    <w:pPr>
      <w:pStyle w:val="Header"/>
      <w:tabs>
        <w:tab w:val="clear" w:pos="9026"/>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5BB3C" w14:textId="43599F3A" w:rsidR="00BC78C8" w:rsidRDefault="00626B00">
    <w:pPr>
      <w:pStyle w:val="Header"/>
    </w:pPr>
    <w:r>
      <w:rPr>
        <w:noProof/>
      </w:rPr>
      <w:drawing>
        <wp:anchor distT="0" distB="0" distL="114300" distR="114300" simplePos="0" relativeHeight="251658240" behindDoc="1" locked="0" layoutInCell="1" allowOverlap="1" wp14:anchorId="0840586E" wp14:editId="1BA6901F">
          <wp:simplePos x="0" y="0"/>
          <wp:positionH relativeFrom="page">
            <wp:posOffset>0</wp:posOffset>
          </wp:positionH>
          <wp:positionV relativeFrom="page">
            <wp:posOffset>4976</wp:posOffset>
          </wp:positionV>
          <wp:extent cx="7560000" cy="10685647"/>
          <wp:effectExtent l="0" t="0" r="0"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0685647"/>
                  </a:xfrm>
                  <a:prstGeom prst="rect">
                    <a:avLst/>
                  </a:prstGeom>
                </pic:spPr>
              </pic:pic>
            </a:graphicData>
          </a:graphic>
          <wp14:sizeRelH relativeFrom="page">
            <wp14:pctWidth>0</wp14:pctWidth>
          </wp14:sizeRelH>
          <wp14:sizeRelV relativeFrom="page">
            <wp14:pctHeight>0</wp14:pctHeight>
          </wp14:sizeRelV>
        </wp:anchor>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FEE06D60"/>
    <w:lvl w:ilvl="0">
      <w:start w:val="1"/>
      <w:numFmt w:val="decimal"/>
      <w:lvlText w:val="%1."/>
      <w:lvlJc w:val="left"/>
      <w:pPr>
        <w:tabs>
          <w:tab w:val="num" w:pos="643"/>
        </w:tabs>
        <w:ind w:left="643" w:hanging="360"/>
      </w:pPr>
    </w:lvl>
  </w:abstractNum>
  <w:abstractNum w:abstractNumId="1" w15:restartNumberingAfterBreak="0">
    <w:nsid w:val="FFFFFF88"/>
    <w:multiLevelType w:val="singleLevel"/>
    <w:tmpl w:val="6632EEC6"/>
    <w:lvl w:ilvl="0">
      <w:start w:val="1"/>
      <w:numFmt w:val="decimal"/>
      <w:pStyle w:val="ListNumber"/>
      <w:lvlText w:val="%1."/>
      <w:lvlJc w:val="left"/>
      <w:pPr>
        <w:ind w:left="360" w:hanging="360"/>
      </w:pPr>
      <w:rPr>
        <w:rFonts w:hint="default"/>
        <w:color w:val="153A6E"/>
      </w:rPr>
    </w:lvl>
  </w:abstractNum>
  <w:abstractNum w:abstractNumId="2" w15:restartNumberingAfterBreak="0">
    <w:nsid w:val="FFFFFF89"/>
    <w:multiLevelType w:val="singleLevel"/>
    <w:tmpl w:val="A8765514"/>
    <w:lvl w:ilvl="0">
      <w:start w:val="1"/>
      <w:numFmt w:val="bullet"/>
      <w:pStyle w:val="ListBullet"/>
      <w:lvlText w:val=""/>
      <w:lvlJc w:val="left"/>
      <w:pPr>
        <w:ind w:left="360" w:hanging="360"/>
      </w:pPr>
      <w:rPr>
        <w:rFonts w:ascii="Symbol" w:hAnsi="Symbol" w:hint="default"/>
        <w:color w:val="153A6E"/>
      </w:rPr>
    </w:lvl>
  </w:abstractNum>
  <w:abstractNum w:abstractNumId="3" w15:restartNumberingAfterBreak="0">
    <w:nsid w:val="506B6D04"/>
    <w:multiLevelType w:val="hybridMultilevel"/>
    <w:tmpl w:val="B7C0EB9A"/>
    <w:lvl w:ilvl="0" w:tplc="344A674E">
      <w:start w:val="1"/>
      <w:numFmt w:val="bullet"/>
      <w:pStyle w:val="ListNumber2"/>
      <w:lvlText w:val=""/>
      <w:lvlJc w:val="left"/>
      <w:pPr>
        <w:ind w:left="720" w:hanging="360"/>
      </w:pPr>
      <w:rPr>
        <w:rFonts w:ascii="Symbol" w:hAnsi="Symbol" w:hint="default"/>
        <w:color w:val="153A6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85608326">
    <w:abstractNumId w:val="2"/>
  </w:num>
  <w:num w:numId="2" w16cid:durableId="639728589">
    <w:abstractNumId w:val="2"/>
  </w:num>
  <w:num w:numId="3" w16cid:durableId="690254736">
    <w:abstractNumId w:val="1"/>
  </w:num>
  <w:num w:numId="4" w16cid:durableId="1311252300">
    <w:abstractNumId w:val="1"/>
  </w:num>
  <w:num w:numId="5" w16cid:durableId="1573005481">
    <w:abstractNumId w:val="0"/>
  </w:num>
  <w:num w:numId="6" w16cid:durableId="14427463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6B00"/>
    <w:rsid w:val="00003743"/>
    <w:rsid w:val="00054AD4"/>
    <w:rsid w:val="00060243"/>
    <w:rsid w:val="00067456"/>
    <w:rsid w:val="00073AF5"/>
    <w:rsid w:val="000A35FD"/>
    <w:rsid w:val="000B23F2"/>
    <w:rsid w:val="000C3238"/>
    <w:rsid w:val="000D3B7B"/>
    <w:rsid w:val="000E4DAD"/>
    <w:rsid w:val="000F2FB7"/>
    <w:rsid w:val="00153116"/>
    <w:rsid w:val="00156177"/>
    <w:rsid w:val="00190C20"/>
    <w:rsid w:val="001B3443"/>
    <w:rsid w:val="001D095A"/>
    <w:rsid w:val="002D3BDB"/>
    <w:rsid w:val="002F3AE3"/>
    <w:rsid w:val="0030786C"/>
    <w:rsid w:val="0032762A"/>
    <w:rsid w:val="0034275D"/>
    <w:rsid w:val="003D17F9"/>
    <w:rsid w:val="003E4225"/>
    <w:rsid w:val="0042436D"/>
    <w:rsid w:val="00440060"/>
    <w:rsid w:val="004537C5"/>
    <w:rsid w:val="004867E2"/>
    <w:rsid w:val="004A3237"/>
    <w:rsid w:val="004B0C2D"/>
    <w:rsid w:val="004D04B6"/>
    <w:rsid w:val="004F79BE"/>
    <w:rsid w:val="00531FEF"/>
    <w:rsid w:val="00545812"/>
    <w:rsid w:val="00560073"/>
    <w:rsid w:val="00591CAB"/>
    <w:rsid w:val="005A30E6"/>
    <w:rsid w:val="0060074A"/>
    <w:rsid w:val="00626B00"/>
    <w:rsid w:val="00656763"/>
    <w:rsid w:val="00672D9F"/>
    <w:rsid w:val="0068617B"/>
    <w:rsid w:val="006C2BB0"/>
    <w:rsid w:val="00724B94"/>
    <w:rsid w:val="00743F14"/>
    <w:rsid w:val="00746E44"/>
    <w:rsid w:val="0076074A"/>
    <w:rsid w:val="00772AF5"/>
    <w:rsid w:val="00777EB3"/>
    <w:rsid w:val="008264EB"/>
    <w:rsid w:val="00882951"/>
    <w:rsid w:val="00886F01"/>
    <w:rsid w:val="008A671E"/>
    <w:rsid w:val="008D2064"/>
    <w:rsid w:val="008F2E23"/>
    <w:rsid w:val="00905865"/>
    <w:rsid w:val="0095032C"/>
    <w:rsid w:val="00953B0F"/>
    <w:rsid w:val="009974AF"/>
    <w:rsid w:val="009B5857"/>
    <w:rsid w:val="009D16E0"/>
    <w:rsid w:val="009D30C7"/>
    <w:rsid w:val="009F2365"/>
    <w:rsid w:val="00A15D0A"/>
    <w:rsid w:val="00A31D26"/>
    <w:rsid w:val="00A33281"/>
    <w:rsid w:val="00A365D5"/>
    <w:rsid w:val="00A4512D"/>
    <w:rsid w:val="00A63558"/>
    <w:rsid w:val="00A705AF"/>
    <w:rsid w:val="00A8334C"/>
    <w:rsid w:val="00AB5DC4"/>
    <w:rsid w:val="00AC579F"/>
    <w:rsid w:val="00B203AE"/>
    <w:rsid w:val="00B27404"/>
    <w:rsid w:val="00B42851"/>
    <w:rsid w:val="00B53881"/>
    <w:rsid w:val="00B570D1"/>
    <w:rsid w:val="00B73AA3"/>
    <w:rsid w:val="00B75D1E"/>
    <w:rsid w:val="00B95E87"/>
    <w:rsid w:val="00BA0398"/>
    <w:rsid w:val="00BA3805"/>
    <w:rsid w:val="00BB1B5E"/>
    <w:rsid w:val="00BB6B25"/>
    <w:rsid w:val="00BC3FFB"/>
    <w:rsid w:val="00BC6210"/>
    <w:rsid w:val="00BC78C8"/>
    <w:rsid w:val="00C013F0"/>
    <w:rsid w:val="00C51060"/>
    <w:rsid w:val="00C65279"/>
    <w:rsid w:val="00C66615"/>
    <w:rsid w:val="00C80038"/>
    <w:rsid w:val="00CB0960"/>
    <w:rsid w:val="00CB5B1A"/>
    <w:rsid w:val="00CB7179"/>
    <w:rsid w:val="00CC7460"/>
    <w:rsid w:val="00D13B9A"/>
    <w:rsid w:val="00D425BA"/>
    <w:rsid w:val="00DC6032"/>
    <w:rsid w:val="00DD6EBA"/>
    <w:rsid w:val="00E16383"/>
    <w:rsid w:val="00E37E83"/>
    <w:rsid w:val="00E608ED"/>
    <w:rsid w:val="00E857B5"/>
    <w:rsid w:val="00ED1C0F"/>
    <w:rsid w:val="00ED2467"/>
    <w:rsid w:val="00F53C8E"/>
    <w:rsid w:val="00F71961"/>
    <w:rsid w:val="00F77677"/>
    <w:rsid w:val="00F801F0"/>
    <w:rsid w:val="00F84400"/>
    <w:rsid w:val="00F93440"/>
    <w:rsid w:val="00F95D57"/>
    <w:rsid w:val="00FA2581"/>
    <w:rsid w:val="00FB6594"/>
    <w:rsid w:val="00FC2D96"/>
    <w:rsid w:val="00FC5EAC"/>
    <w:rsid w:val="00FC75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32867EA"/>
  <w15:docId w15:val="{18E06982-526C-5941-BBC0-1A6F2E0B8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Bullet" w:uiPriority="99" w:qFormat="1"/>
    <w:lsdException w:name="List Number" w:uiPriority="99"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qFormat="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C3FFB"/>
    <w:pPr>
      <w:spacing w:before="120" w:line="270" w:lineRule="auto"/>
    </w:pPr>
    <w:rPr>
      <w:rFonts w:ascii="Arial" w:hAnsi="Arial"/>
      <w:sz w:val="21"/>
    </w:rPr>
  </w:style>
  <w:style w:type="paragraph" w:styleId="Heading1">
    <w:name w:val="heading 1"/>
    <w:basedOn w:val="Heading2"/>
    <w:next w:val="Normal"/>
    <w:link w:val="Heading1Char"/>
    <w:uiPriority w:val="9"/>
    <w:qFormat/>
    <w:rsid w:val="00DC6032"/>
    <w:pPr>
      <w:outlineLvl w:val="0"/>
    </w:pPr>
    <w:rPr>
      <w:b/>
    </w:rPr>
  </w:style>
  <w:style w:type="paragraph" w:styleId="Heading2">
    <w:name w:val="heading 2"/>
    <w:basedOn w:val="Normal"/>
    <w:next w:val="Normal"/>
    <w:link w:val="Heading2Char"/>
    <w:uiPriority w:val="9"/>
    <w:unhideWhenUsed/>
    <w:qFormat/>
    <w:rsid w:val="00DC6032"/>
    <w:pPr>
      <w:keepNext/>
      <w:keepLines/>
      <w:spacing w:before="240" w:after="120" w:line="280" w:lineRule="auto"/>
      <w:outlineLvl w:val="1"/>
    </w:pPr>
    <w:rPr>
      <w:rFonts w:eastAsia="MS Gothic"/>
      <w:bCs/>
      <w:color w:val="00833E"/>
      <w:szCs w:val="26"/>
      <w:lang w:val="en-US"/>
    </w:rPr>
  </w:style>
  <w:style w:type="paragraph" w:styleId="Heading3">
    <w:name w:val="heading 3"/>
    <w:basedOn w:val="Normal"/>
    <w:next w:val="Normal"/>
    <w:link w:val="Heading3Char"/>
    <w:uiPriority w:val="9"/>
    <w:unhideWhenUsed/>
    <w:qFormat/>
    <w:rsid w:val="00DC6032"/>
    <w:pPr>
      <w:keepNext/>
      <w:keepLines/>
      <w:spacing w:line="271" w:lineRule="auto"/>
      <w:outlineLvl w:val="2"/>
    </w:pPr>
    <w:rPr>
      <w:rFonts w:eastAsia="MS Gothic"/>
      <w:i/>
      <w:color w:val="00833E"/>
      <w:lang w:val="en-US"/>
    </w:rPr>
  </w:style>
  <w:style w:type="paragraph" w:styleId="Heading4">
    <w:name w:val="heading 4"/>
    <w:basedOn w:val="Normal"/>
    <w:next w:val="Normal"/>
    <w:link w:val="Heading4Char"/>
    <w:uiPriority w:val="9"/>
    <w:unhideWhenUsed/>
    <w:qFormat/>
    <w:rsid w:val="005A30E6"/>
    <w:pPr>
      <w:keepNext/>
      <w:keepLines/>
      <w:outlineLvl w:val="3"/>
    </w:pPr>
    <w:rPr>
      <w:rFonts w:eastAsia="MS Gothic"/>
      <w:iCs/>
      <w:color w:val="000000" w:themeColor="text1"/>
      <w:lang w:val="en-US"/>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uiPriority w:val="9"/>
    <w:semiHidden/>
    <w:unhideWhenUsed/>
    <w:qFormat/>
    <w:rsid w:val="00A705A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05AF"/>
    <w:rPr>
      <w:i/>
      <w:iCs/>
    </w:rPr>
  </w:style>
  <w:style w:type="character" w:styleId="Strong">
    <w:name w:val="Strong"/>
    <w:basedOn w:val="DefaultParagraphFont"/>
    <w:rsid w:val="00A705AF"/>
    <w:rPr>
      <w:b/>
      <w:bCs/>
    </w:rPr>
  </w:style>
  <w:style w:type="paragraph" w:styleId="Subtitle">
    <w:name w:val="Subtitle"/>
    <w:basedOn w:val="Normal"/>
    <w:next w:val="Normal"/>
    <w:link w:val="SubtitleChar"/>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next w:val="Normal"/>
    <w:link w:val="TitleChar"/>
    <w:rsid w:val="00DC6032"/>
    <w:pPr>
      <w:spacing w:before="720" w:after="240"/>
    </w:pPr>
    <w:rPr>
      <w:rFonts w:ascii="Arial" w:eastAsia="MS Gothic" w:hAnsi="Arial" w:cstheme="majorBidi"/>
      <w:color w:val="00833E"/>
      <w:sz w:val="36"/>
      <w:szCs w:val="36"/>
      <w:lang w:val="en-US"/>
    </w:rPr>
  </w:style>
  <w:style w:type="character" w:customStyle="1" w:styleId="TitleChar">
    <w:name w:val="Title Char"/>
    <w:basedOn w:val="DefaultParagraphFont"/>
    <w:link w:val="Title"/>
    <w:rsid w:val="00DC6032"/>
    <w:rPr>
      <w:rFonts w:ascii="Arial" w:eastAsia="MS Gothic" w:hAnsi="Arial" w:cstheme="majorBidi"/>
      <w:color w:val="00833E"/>
      <w:sz w:val="36"/>
      <w:szCs w:val="36"/>
      <w:lang w:val="en-US"/>
    </w:rPr>
  </w:style>
  <w:style w:type="paragraph" w:styleId="NoSpacing">
    <w:name w:val="No Spacing"/>
    <w:uiPriority w:val="1"/>
    <w:qFormat/>
    <w:rsid w:val="00A4512D"/>
    <w:rPr>
      <w:rFonts w:ascii="Arial" w:hAnsi="Arial"/>
      <w:sz w:val="21"/>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4F81BD" w:themeColor="accent1"/>
    </w:rPr>
  </w:style>
  <w:style w:type="paragraph" w:styleId="Quote">
    <w:name w:val="Quote"/>
    <w:basedOn w:val="Normal"/>
    <w:next w:val="Normal"/>
    <w:link w:val="QuoteChar"/>
    <w:uiPriority w:val="29"/>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rsid w:val="00A4512D"/>
    <w:rPr>
      <w:smallCaps/>
      <w:color w:val="C0504D" w:themeColor="accent2"/>
      <w:u w:val="single"/>
    </w:rPr>
  </w:style>
  <w:style w:type="character" w:styleId="IntenseReference">
    <w:name w:val="Intense Reference"/>
    <w:basedOn w:val="DefaultParagraphFont"/>
    <w:uiPriority w:val="32"/>
    <w:rsid w:val="00A4512D"/>
    <w:rPr>
      <w:b/>
      <w:bCs/>
      <w:i/>
      <w:smallCaps/>
      <w:color w:val="C0504D" w:themeColor="accent2"/>
      <w:spacing w:val="5"/>
      <w:u w:val="none"/>
    </w:rPr>
  </w:style>
  <w:style w:type="character" w:styleId="BookTitle">
    <w:name w:val="Book Title"/>
    <w:basedOn w:val="DefaultParagraphFont"/>
    <w:uiPriority w:val="33"/>
    <w:rsid w:val="00A4512D"/>
    <w:rPr>
      <w:b/>
      <w:bCs/>
      <w:smallCaps/>
      <w:spacing w:val="5"/>
    </w:rPr>
  </w:style>
  <w:style w:type="paragraph" w:styleId="ListParagraph">
    <w:name w:val="List Paragraph"/>
    <w:basedOn w:val="Normal"/>
    <w:uiPriority w:val="34"/>
    <w:qFormat/>
    <w:rsid w:val="008F2E23"/>
    <w:pPr>
      <w:ind w:left="720"/>
      <w:contextualSpacing/>
    </w:pPr>
  </w:style>
  <w:style w:type="paragraph" w:styleId="BalloonText">
    <w:name w:val="Balloon Text"/>
    <w:basedOn w:val="Normal"/>
    <w:link w:val="BalloonTextChar"/>
    <w:rsid w:val="00F77677"/>
    <w:rPr>
      <w:rFonts w:ascii="Tahoma" w:hAnsi="Tahoma" w:cs="Tahoma"/>
      <w:sz w:val="16"/>
      <w:szCs w:val="16"/>
    </w:rPr>
  </w:style>
  <w:style w:type="character" w:customStyle="1" w:styleId="BalloonTextChar">
    <w:name w:val="Balloon Text Char"/>
    <w:basedOn w:val="DefaultParagraphFont"/>
    <w:link w:val="BalloonText"/>
    <w:rsid w:val="00F77677"/>
    <w:rPr>
      <w:rFonts w:ascii="Tahoma" w:hAnsi="Tahoma" w:cs="Tahoma"/>
      <w:sz w:val="16"/>
      <w:szCs w:val="16"/>
      <w:lang w:eastAsia="en-US"/>
    </w:rPr>
  </w:style>
  <w:style w:type="paragraph" w:styleId="Header">
    <w:name w:val="header"/>
    <w:basedOn w:val="Normal"/>
    <w:link w:val="HeaderChar"/>
    <w:rsid w:val="00F77677"/>
    <w:pPr>
      <w:tabs>
        <w:tab w:val="center" w:pos="4513"/>
        <w:tab w:val="right" w:pos="9026"/>
      </w:tabs>
    </w:pPr>
  </w:style>
  <w:style w:type="character" w:customStyle="1" w:styleId="HeaderChar">
    <w:name w:val="Header Char"/>
    <w:basedOn w:val="DefaultParagraphFont"/>
    <w:link w:val="Header"/>
    <w:rsid w:val="00F77677"/>
    <w:rPr>
      <w:sz w:val="24"/>
      <w:szCs w:val="24"/>
      <w:lang w:eastAsia="en-US"/>
    </w:rPr>
  </w:style>
  <w:style w:type="paragraph" w:styleId="Footer">
    <w:name w:val="footer"/>
    <w:basedOn w:val="Normal"/>
    <w:link w:val="FooterChar"/>
    <w:uiPriority w:val="99"/>
    <w:rsid w:val="00F77677"/>
    <w:pPr>
      <w:tabs>
        <w:tab w:val="center" w:pos="4513"/>
        <w:tab w:val="right" w:pos="9026"/>
      </w:tabs>
    </w:pPr>
  </w:style>
  <w:style w:type="character" w:customStyle="1" w:styleId="FooterChar">
    <w:name w:val="Footer Char"/>
    <w:basedOn w:val="DefaultParagraphFont"/>
    <w:link w:val="Footer"/>
    <w:uiPriority w:val="99"/>
    <w:rsid w:val="00F77677"/>
    <w:rPr>
      <w:sz w:val="24"/>
      <w:szCs w:val="24"/>
      <w:lang w:eastAsia="en-US"/>
    </w:rPr>
  </w:style>
  <w:style w:type="paragraph" w:customStyle="1" w:styleId="OHNotetextbold">
    <w:name w:val="O@H Note text bold"/>
    <w:basedOn w:val="Normal"/>
    <w:qFormat/>
    <w:rsid w:val="008F2E23"/>
    <w:pPr>
      <w:spacing w:before="0"/>
      <w:ind w:left="34"/>
    </w:pPr>
    <w:rPr>
      <w:rFonts w:ascii="Calibri" w:eastAsia="Times New Roman" w:hAnsi="Calibri" w:cs="Times New Roman"/>
      <w:b/>
      <w:noProof/>
      <w:color w:val="000000" w:themeColor="text1"/>
      <w:szCs w:val="20"/>
    </w:rPr>
  </w:style>
  <w:style w:type="paragraph" w:customStyle="1" w:styleId="IntroPara">
    <w:name w:val="Intro Para"/>
    <w:basedOn w:val="Normal"/>
    <w:qFormat/>
    <w:rsid w:val="008F2E23"/>
    <w:pPr>
      <w:spacing w:before="0" w:after="120" w:line="320" w:lineRule="auto"/>
    </w:pPr>
    <w:rPr>
      <w:sz w:val="23"/>
    </w:rPr>
  </w:style>
  <w:style w:type="character" w:customStyle="1" w:styleId="Heading1Char">
    <w:name w:val="Heading 1 Char"/>
    <w:basedOn w:val="DefaultParagraphFont"/>
    <w:link w:val="Heading1"/>
    <w:uiPriority w:val="9"/>
    <w:rsid w:val="00DC6032"/>
    <w:rPr>
      <w:rFonts w:ascii="Arial" w:eastAsia="MS Gothic" w:hAnsi="Arial"/>
      <w:b/>
      <w:bCs/>
      <w:color w:val="00833E"/>
      <w:sz w:val="21"/>
      <w:szCs w:val="26"/>
      <w:lang w:val="en-US"/>
    </w:rPr>
  </w:style>
  <w:style w:type="character" w:customStyle="1" w:styleId="Heading2Char">
    <w:name w:val="Heading 2 Char"/>
    <w:basedOn w:val="DefaultParagraphFont"/>
    <w:link w:val="Heading2"/>
    <w:uiPriority w:val="9"/>
    <w:rsid w:val="00DC6032"/>
    <w:rPr>
      <w:rFonts w:ascii="Arial" w:eastAsia="MS Gothic" w:hAnsi="Arial"/>
      <w:bCs/>
      <w:color w:val="00833E"/>
      <w:sz w:val="21"/>
      <w:szCs w:val="26"/>
      <w:lang w:val="en-US"/>
    </w:rPr>
  </w:style>
  <w:style w:type="character" w:customStyle="1" w:styleId="Heading3Char">
    <w:name w:val="Heading 3 Char"/>
    <w:basedOn w:val="DefaultParagraphFont"/>
    <w:link w:val="Heading3"/>
    <w:uiPriority w:val="9"/>
    <w:rsid w:val="00DC6032"/>
    <w:rPr>
      <w:rFonts w:ascii="Arial" w:eastAsia="MS Gothic" w:hAnsi="Arial"/>
      <w:i/>
      <w:color w:val="00833E"/>
      <w:sz w:val="21"/>
      <w:lang w:val="en-US"/>
    </w:rPr>
  </w:style>
  <w:style w:type="character" w:customStyle="1" w:styleId="Heading4Char">
    <w:name w:val="Heading 4 Char"/>
    <w:basedOn w:val="DefaultParagraphFont"/>
    <w:link w:val="Heading4"/>
    <w:uiPriority w:val="9"/>
    <w:rsid w:val="005A30E6"/>
    <w:rPr>
      <w:rFonts w:ascii="Arial" w:eastAsia="MS Gothic" w:hAnsi="Arial"/>
      <w:iCs/>
      <w:color w:val="000000" w:themeColor="text1"/>
      <w:sz w:val="21"/>
      <w:lang w:val="en-US"/>
    </w:rPr>
  </w:style>
  <w:style w:type="paragraph" w:styleId="ListBullet">
    <w:name w:val="List Bullet"/>
    <w:basedOn w:val="Normal"/>
    <w:uiPriority w:val="99"/>
    <w:unhideWhenUsed/>
    <w:qFormat/>
    <w:rsid w:val="00C013F0"/>
    <w:pPr>
      <w:numPr>
        <w:numId w:val="2"/>
      </w:numPr>
      <w:contextualSpacing/>
    </w:pPr>
    <w:rPr>
      <w:szCs w:val="21"/>
    </w:rPr>
  </w:style>
  <w:style w:type="paragraph" w:styleId="ListNumber">
    <w:name w:val="List Number"/>
    <w:basedOn w:val="Normal"/>
    <w:uiPriority w:val="99"/>
    <w:unhideWhenUsed/>
    <w:qFormat/>
    <w:rsid w:val="00C013F0"/>
    <w:pPr>
      <w:numPr>
        <w:numId w:val="4"/>
      </w:numPr>
      <w:spacing w:after="120"/>
    </w:pPr>
  </w:style>
  <w:style w:type="paragraph" w:styleId="ListNumber2">
    <w:name w:val="List Number 2"/>
    <w:basedOn w:val="Normal"/>
    <w:uiPriority w:val="99"/>
    <w:unhideWhenUsed/>
    <w:qFormat/>
    <w:rsid w:val="00C013F0"/>
    <w:pPr>
      <w:numPr>
        <w:numId w:val="6"/>
      </w:numPr>
      <w:contextualSpacing/>
    </w:pPr>
  </w:style>
  <w:style w:type="paragraph" w:customStyle="1" w:styleId="Default">
    <w:name w:val="Default"/>
    <w:rsid w:val="00B203AE"/>
    <w:pPr>
      <w:autoSpaceDE w:val="0"/>
      <w:autoSpaceDN w:val="0"/>
      <w:adjustRightInd w:val="0"/>
    </w:pPr>
    <w:rPr>
      <w:rFonts w:ascii="HelveticaNeueLT Std" w:hAnsi="HelveticaNeueLT Std" w:cs="HelveticaNeueLT Std"/>
      <w:color w:val="000000"/>
      <w:lang w:val="en-GB"/>
    </w:rPr>
  </w:style>
  <w:style w:type="paragraph" w:customStyle="1" w:styleId="Pa3">
    <w:name w:val="Pa3"/>
    <w:basedOn w:val="Default"/>
    <w:next w:val="Default"/>
    <w:uiPriority w:val="99"/>
    <w:rsid w:val="00B203AE"/>
    <w:pPr>
      <w:spacing w:line="201" w:lineRule="atLeast"/>
    </w:pPr>
    <w:rPr>
      <w:rFonts w:cstheme="minorBidi"/>
      <w:color w:val="auto"/>
    </w:rPr>
  </w:style>
  <w:style w:type="paragraph" w:customStyle="1" w:styleId="Bulletlevel1">
    <w:name w:val="Bullet level 1"/>
    <w:basedOn w:val="Normal"/>
    <w:uiPriority w:val="99"/>
    <w:rsid w:val="00B570D1"/>
    <w:pPr>
      <w:suppressAutoHyphens/>
      <w:autoSpaceDE w:val="0"/>
      <w:autoSpaceDN w:val="0"/>
      <w:adjustRightInd w:val="0"/>
      <w:spacing w:before="0" w:after="113" w:line="288" w:lineRule="auto"/>
      <w:ind w:left="283" w:hanging="283"/>
      <w:textAlignment w:val="center"/>
    </w:pPr>
    <w:rPr>
      <w:rFonts w:ascii="HelveticaNeueLT Std Lt" w:hAnsi="HelveticaNeueLT Std Lt" w:cs="HelveticaNeueLT Std Lt"/>
      <w:color w:val="000000"/>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5567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2A638D3F7EAA74CAF515206BB54674E" ma:contentTypeVersion="20" ma:contentTypeDescription="Create a new document." ma:contentTypeScope="" ma:versionID="0f569b4f9ea3325b5b950c0a541ed13b">
  <xsd:schema xmlns:xsd="http://www.w3.org/2001/XMLSchema" xmlns:xs="http://www.w3.org/2001/XMLSchema" xmlns:p="http://schemas.microsoft.com/office/2006/metadata/properties" xmlns:ns2="839094c7-44eb-41ba-bf13-17cd8e527726" xmlns:ns3="2af0ad07-0ce2-4345-92b0-b87809ef53a8" targetNamespace="http://schemas.microsoft.com/office/2006/metadata/properties" ma:root="true" ma:fieldsID="b7467f9cee4e52d6ef884e4b08d9aa03" ns2:_="" ns3:_="">
    <xsd:import namespace="839094c7-44eb-41ba-bf13-17cd8e527726"/>
    <xsd:import namespace="2af0ad07-0ce2-4345-92b0-b87809ef53a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sjwf" minOccurs="0"/>
                <xsd:element ref="ns2:Documentstatus" minOccurs="0"/>
                <xsd:element ref="ns2:Website"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9094c7-44eb-41ba-bf13-17cd8e5277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sjwf" ma:index="20" nillable="true" ma:displayName="Description" ma:internalName="sjwf">
      <xsd:simpleType>
        <xsd:restriction base="dms:Text"/>
      </xsd:simpleType>
    </xsd:element>
    <xsd:element name="Documentstatus" ma:index="21" nillable="true" ma:displayName="Document status" ma:format="Dropdown" ma:internalName="Documentstatus">
      <xsd:simpleType>
        <xsd:restriction base="dms:Choice">
          <xsd:enumeration value="Not started"/>
          <xsd:enumeration value="In progress"/>
          <xsd:enumeration value="Peer review"/>
          <xsd:enumeration value="In clearance"/>
          <xsd:enumeration value="Final"/>
        </xsd:restriction>
      </xsd:simpleType>
    </xsd:element>
    <xsd:element name="Website" ma:index="22" nillable="true" ma:displayName="Website" ma:format="Dropdown" ma:internalName="Website">
      <xsd:simpleType>
        <xsd:restriction base="dms:Choice">
          <xsd:enumeration value="health.gov.au"/>
          <xsd:enumeration value="ACPC"/>
          <xsd:enumeration value="AMR (Antimicrobial Resistance)"/>
          <xsd:enumeration value="NGTS (Gene technology)"/>
          <xsd:enumeration value="NST (Sports tribunal)"/>
          <xsd:enumeration value="OGTR (Office of Gene Technology Regulator)"/>
        </xsd:restriction>
      </xsd:simpleType>
    </xsd:element>
    <xsd:element name="MediaLengthInSeconds" ma:index="23" nillable="true" ma:displayName="MediaLengthInSeconds" ma:hidden="true"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af0ad07-0ce2-4345-92b0-b87809ef53a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be043222-2f0b-4155-99ed-6c139f6a2a22}" ma:internalName="TaxCatchAll" ma:showField="CatchAllData" ma:web="2af0ad07-0ce2-4345-92b0-b87809ef53a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af0ad07-0ce2-4345-92b0-b87809ef53a8" xsi:nil="true"/>
    <lcf76f155ced4ddcb4097134ff3c332f xmlns="839094c7-44eb-41ba-bf13-17cd8e527726">
      <Terms xmlns="http://schemas.microsoft.com/office/infopath/2007/PartnerControls"/>
    </lcf76f155ced4ddcb4097134ff3c332f>
    <Website xmlns="839094c7-44eb-41ba-bf13-17cd8e527726" xsi:nil="true"/>
    <sjwf xmlns="839094c7-44eb-41ba-bf13-17cd8e527726" xsi:nil="true"/>
    <Documentstatus xmlns="839094c7-44eb-41ba-bf13-17cd8e527726"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134128-8CCE-42D3-87BA-F5FB29A92B50}"/>
</file>

<file path=customXml/itemProps2.xml><?xml version="1.0" encoding="utf-8"?>
<ds:datastoreItem xmlns:ds="http://schemas.openxmlformats.org/officeDocument/2006/customXml" ds:itemID="{17069EE6-849D-4340-864F-FBAC63D32214}">
  <ds:schemaRefs>
    <ds:schemaRef ds:uri="http://schemas.microsoft.com/sharepoint/v3/contenttype/forms"/>
  </ds:schemaRefs>
</ds:datastoreItem>
</file>

<file path=customXml/itemProps3.xml><?xml version="1.0" encoding="utf-8"?>
<ds:datastoreItem xmlns:ds="http://schemas.openxmlformats.org/officeDocument/2006/customXml" ds:itemID="{C38487C7-35FB-466D-9674-E85146D9730E}">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3e9090f6-0245-48e3-bd19-46cc0b4d31f0"/>
    <ds:schemaRef ds:uri="66b98d56-25b7-479b-bf58-c8a0702ccf2c"/>
    <ds:schemaRef ds:uri="http://www.w3.org/XML/1998/namespace"/>
  </ds:schemaRefs>
</ds:datastoreItem>
</file>

<file path=customXml/itemProps4.xml><?xml version="1.0" encoding="utf-8"?>
<ds:datastoreItem xmlns:ds="http://schemas.openxmlformats.org/officeDocument/2006/customXml" ds:itemID="{E1357DCB-C15E-4D3B-B92C-F0CB7A9E17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504</Words>
  <Characters>2946</Characters>
  <Application>Microsoft Office Word</Application>
  <DocSecurity>0</DocSecurity>
  <Lines>49</Lines>
  <Paragraphs>29</Paragraphs>
  <ScaleCrop>false</ScaleCrop>
  <HeadingPairs>
    <vt:vector size="2" baseType="variant">
      <vt:variant>
        <vt:lpstr>Title</vt:lpstr>
      </vt:variant>
      <vt:variant>
        <vt:i4>1</vt:i4>
      </vt:variant>
    </vt:vector>
  </HeadingPairs>
  <TitlesOfParts>
    <vt:vector size="1" baseType="lpstr">
      <vt:lpstr>Australia's Green and Gold Decade - Budget 2022-23 fact sheet</vt:lpstr>
    </vt:vector>
  </TitlesOfParts>
  <Manager/>
  <Company/>
  <LinksUpToDate>false</LinksUpToDate>
  <CharactersWithSpaces>3421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Australia's Green and Gold Decade - Budget 2022-23 fact sheet</dc:title>
  <dc:subject>Budget 2022-23</dc:subject>
  <dc:creator>Australian Government Department of Health and Aged Care</dc:creator>
  <cp:keywords>Budget 2022–23</cp:keywords>
  <dc:description/>
  <cp:lastModifiedBy>FAIRHALL, Brad</cp:lastModifiedBy>
  <cp:revision>10</cp:revision>
  <cp:lastPrinted>2020-09-01T06:21:00Z</cp:lastPrinted>
  <dcterms:created xsi:type="dcterms:W3CDTF">2022-10-14T06:16:00Z</dcterms:created>
  <dcterms:modified xsi:type="dcterms:W3CDTF">2022-10-25T00:21:00Z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0x010100D2A638D3F7EAA74CAF515206BB54674E</vt:lpwstr>
  </property>
  <property fmtid="{D5CDD505-2E9C-101B-9397-08002B2CF9AE}" pid="3" name="Order">
    <vt:i4>100</vt:i4>
  </property>
  <property fmtid="{D5CDD505-2E9C-101B-9397-08002B2CF9AE}" pid="4" name="MediaServiceImageTags">
    <vt:lpwstr/>
  </property>
</Properties>
</file>