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8F72" w14:textId="083D8156" w:rsidR="008F2E23" w:rsidRDefault="003A6E53" w:rsidP="005A30E6">
      <w:pPr>
        <w:pStyle w:val="Title"/>
      </w:pPr>
      <w:r w:rsidRPr="003A6E53">
        <w:t xml:space="preserve">Cheaper </w:t>
      </w:r>
      <w:r w:rsidR="00AF5A6A">
        <w:t>m</w:t>
      </w:r>
      <w:r w:rsidRPr="003A6E53">
        <w:t>edicines</w:t>
      </w:r>
    </w:p>
    <w:p w14:paraId="255A5D28" w14:textId="50DB8924" w:rsidR="00346214" w:rsidRDefault="00346214" w:rsidP="00346214">
      <w:pPr>
        <w:pStyle w:val="Heading1"/>
      </w:pPr>
      <w:r w:rsidRPr="00346214">
        <w:t>Total value of package</w:t>
      </w:r>
    </w:p>
    <w:p w14:paraId="3CEDC8A8" w14:textId="6E3E88A4" w:rsidR="00346214" w:rsidRPr="00346214" w:rsidRDefault="00346214" w:rsidP="00346214">
      <w:pPr>
        <w:rPr>
          <w:rStyle w:val="Strong"/>
        </w:rPr>
      </w:pPr>
      <w:r w:rsidRPr="00346214">
        <w:rPr>
          <w:rStyle w:val="Strong"/>
        </w:rPr>
        <w:t>$2.6</w:t>
      </w:r>
      <w:r>
        <w:rPr>
          <w:rStyle w:val="Strong"/>
        </w:rPr>
        <w:t xml:space="preserve"> </w:t>
      </w:r>
      <w:r w:rsidRPr="00346214">
        <w:rPr>
          <w:rStyle w:val="Strong"/>
        </w:rPr>
        <w:t>billion</w:t>
      </w:r>
    </w:p>
    <w:p w14:paraId="141F6A66" w14:textId="6383CEF7" w:rsidR="00346214" w:rsidRPr="00346214" w:rsidRDefault="00346214" w:rsidP="00346214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346214">
        <w:rPr>
          <w:rStyle w:val="Strong"/>
          <w:b w:val="0"/>
          <w:bCs w:val="0"/>
        </w:rPr>
        <w:t>$787.1m towards reducing PBS co-payments</w:t>
      </w:r>
    </w:p>
    <w:p w14:paraId="569B63CA" w14:textId="469624BE" w:rsidR="00346214" w:rsidRPr="00346214" w:rsidRDefault="00346214" w:rsidP="00346214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346214">
        <w:rPr>
          <w:rStyle w:val="Strong"/>
          <w:b w:val="0"/>
          <w:bCs w:val="0"/>
        </w:rPr>
        <w:t>$1.4b towards new PBS listings</w:t>
      </w:r>
    </w:p>
    <w:p w14:paraId="29B3D5CA" w14:textId="4F53C5A1" w:rsidR="00346214" w:rsidRPr="00346214" w:rsidRDefault="00346214" w:rsidP="00346214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346214">
        <w:rPr>
          <w:rStyle w:val="Strong"/>
          <w:b w:val="0"/>
          <w:bCs w:val="0"/>
        </w:rPr>
        <w:t>$96.7m towards COVID and MPX treatments</w:t>
      </w:r>
    </w:p>
    <w:p w14:paraId="73A38A9F" w14:textId="16B49B3B" w:rsidR="00346214" w:rsidRPr="00346214" w:rsidRDefault="00346214" w:rsidP="00346214">
      <w:pPr>
        <w:pStyle w:val="Heading1"/>
      </w:pPr>
      <w:r>
        <w:t xml:space="preserve">Summary of package </w:t>
      </w:r>
    </w:p>
    <w:p w14:paraId="6DB0AAA6" w14:textId="31707F65" w:rsidR="00346214" w:rsidRPr="00F01440" w:rsidRDefault="00346214" w:rsidP="00F01440">
      <w:pPr>
        <w:rPr>
          <w:b/>
          <w:bCs/>
        </w:rPr>
      </w:pPr>
      <w:r w:rsidRPr="00F01440">
        <w:rPr>
          <w:b/>
          <w:bCs/>
        </w:rPr>
        <w:t>The Australian Government will make medicines cheaper and ease cost-of-living pressures for Australians. In the 2022–23 October Budget the Government is investing $2.6 billion to deliver on that commitment.</w:t>
      </w:r>
    </w:p>
    <w:p w14:paraId="28734E5A" w14:textId="77777777" w:rsidR="00346214" w:rsidRPr="00F01440" w:rsidRDefault="00346214" w:rsidP="00F01440">
      <w:pPr>
        <w:rPr>
          <w:b/>
          <w:bCs/>
        </w:rPr>
      </w:pPr>
      <w:r w:rsidRPr="00F01440">
        <w:rPr>
          <w:b/>
          <w:bCs/>
        </w:rPr>
        <w:t>The Government will deliver cheaper medicines by legislating to reduce the amount Australians pay for medicines on the Pharmaceutical Benefits Scheme (PBS).</w:t>
      </w:r>
    </w:p>
    <w:p w14:paraId="60D05EBB" w14:textId="70ED0F02" w:rsidR="00346214" w:rsidRPr="00346214" w:rsidRDefault="00346214" w:rsidP="00346214">
      <w:pPr>
        <w:rPr>
          <w:rFonts w:eastAsia="MS Mincho"/>
          <w:noProof/>
        </w:rPr>
      </w:pPr>
      <w:r w:rsidRPr="00346214">
        <w:rPr>
          <w:rFonts w:eastAsia="MS Mincho"/>
          <w:noProof/>
        </w:rPr>
        <w:t>For the first time in its 75-year history, the maximum cost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of general scripts under the PBS will fall. A $787.1 million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investment will cut the cost of general scripts by 29 per cent,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with the maximum cost to drop by $12.50 to just $30.00.</w:t>
      </w:r>
    </w:p>
    <w:p w14:paraId="467D77B2" w14:textId="31EAFF4E" w:rsidR="00346214" w:rsidRPr="00346214" w:rsidRDefault="00346214" w:rsidP="00346214">
      <w:pPr>
        <w:rPr>
          <w:rFonts w:eastAsia="MS Mincho"/>
          <w:noProof/>
        </w:rPr>
      </w:pPr>
      <w:r w:rsidRPr="00346214">
        <w:rPr>
          <w:rFonts w:eastAsia="MS Mincho"/>
          <w:noProof/>
        </w:rPr>
        <w:t>This means that someone taking one medication a month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could save as much as $150 every year, or a family with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2 or 3 medications saving as much as $300–$450 a year.</w:t>
      </w:r>
    </w:p>
    <w:p w14:paraId="3A63ECEA" w14:textId="1C1E20BB" w:rsidR="00346214" w:rsidRPr="00346214" w:rsidRDefault="00346214" w:rsidP="00346214">
      <w:pPr>
        <w:rPr>
          <w:rFonts w:eastAsia="MS Mincho"/>
          <w:noProof/>
        </w:rPr>
      </w:pPr>
      <w:r w:rsidRPr="00346214">
        <w:rPr>
          <w:rFonts w:eastAsia="MS Mincho"/>
          <w:noProof/>
        </w:rPr>
        <w:t>In this Budget, vitally important cancer medicines such as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cemiplimab (Libtayo</w:t>
      </w:r>
      <w:r w:rsidRPr="00AF5A6A">
        <w:rPr>
          <w:rFonts w:eastAsia="MS Mincho"/>
          <w:noProof/>
          <w:vertAlign w:val="superscript"/>
        </w:rPr>
        <w:t>®</w:t>
      </w:r>
      <w:r w:rsidRPr="00346214">
        <w:rPr>
          <w:rFonts w:eastAsia="MS Mincho"/>
          <w:noProof/>
        </w:rPr>
        <w:t>) and nivolumab (Opdivo</w:t>
      </w:r>
      <w:r w:rsidRPr="00AF5A6A">
        <w:rPr>
          <w:rFonts w:eastAsia="MS Mincho"/>
          <w:noProof/>
          <w:vertAlign w:val="superscript"/>
        </w:rPr>
        <w:t>®</w:t>
      </w:r>
      <w:r w:rsidRPr="00346214">
        <w:rPr>
          <w:rFonts w:eastAsia="MS Mincho"/>
          <w:noProof/>
        </w:rPr>
        <w:t>) are being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listed and expanded on the PBS. Listing these treatments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improves the lives of individuals and their families and brings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down the cost for more patients, in some cases by more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 xml:space="preserve">than a hundred thousand dollars per 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treatment course.</w:t>
      </w:r>
    </w:p>
    <w:p w14:paraId="60C59D5F" w14:textId="77777777" w:rsidR="00346214" w:rsidRDefault="00346214" w:rsidP="00346214">
      <w:pPr>
        <w:rPr>
          <w:rFonts w:eastAsia="MS Mincho"/>
          <w:noProof/>
        </w:rPr>
      </w:pPr>
      <w:r w:rsidRPr="00346214">
        <w:rPr>
          <w:rFonts w:eastAsia="MS Mincho"/>
          <w:noProof/>
        </w:rPr>
        <w:t>The Government continues to invest in vaccines and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treatments for COVID-19 and Monkeypox to ensure they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are accessible, affordable and effective in helping to</w:t>
      </w:r>
      <w:r>
        <w:rPr>
          <w:rFonts w:eastAsia="MS Mincho"/>
          <w:noProof/>
        </w:rPr>
        <w:t xml:space="preserve"> </w:t>
      </w:r>
      <w:r w:rsidRPr="00346214">
        <w:rPr>
          <w:rFonts w:eastAsia="MS Mincho"/>
          <w:noProof/>
        </w:rPr>
        <w:t>protect all Australians, especially those most at risk.</w:t>
      </w:r>
    </w:p>
    <w:p w14:paraId="02459C39" w14:textId="2113CBC2" w:rsidR="00626B00" w:rsidRDefault="00346214" w:rsidP="00346214">
      <w:pPr>
        <w:pStyle w:val="Heading1"/>
      </w:pPr>
      <w:r>
        <w:t xml:space="preserve">Who benefits </w:t>
      </w:r>
    </w:p>
    <w:p w14:paraId="4AC872F0" w14:textId="77777777" w:rsidR="00346214" w:rsidRPr="00346214" w:rsidRDefault="00346214" w:rsidP="00346214">
      <w:pPr>
        <w:rPr>
          <w:lang w:val="en-US"/>
        </w:rPr>
      </w:pPr>
      <w:r w:rsidRPr="00346214">
        <w:rPr>
          <w:lang w:val="en-US"/>
        </w:rPr>
        <w:t xml:space="preserve">A trip to the pharmacy will be cheaper for millions of Australians and will result in out of pocket savings of around $190 million each year for patients thanks to the $787.1 million in this Budget for the Pharmaceutical Benefits Scheme (PBS) General Co-payment Reduction. </w:t>
      </w:r>
    </w:p>
    <w:p w14:paraId="06EE2F7E" w14:textId="2D12C1E8" w:rsidR="00346214" w:rsidRPr="00346214" w:rsidRDefault="00346214" w:rsidP="00346214">
      <w:pPr>
        <w:rPr>
          <w:lang w:val="en-US"/>
        </w:rPr>
      </w:pPr>
      <w:r w:rsidRPr="00346214">
        <w:rPr>
          <w:lang w:val="en-US"/>
        </w:rPr>
        <w:t xml:space="preserve">From 1 January 2023, many Australians will pay up to 29 per cent less for PBS scripts, with the maximum general co-payment dropping from $42.50 to $30.00, saving some patients hundreds of dollars a year. </w:t>
      </w:r>
    </w:p>
    <w:p w14:paraId="7AA0A121" w14:textId="77777777" w:rsidR="00346214" w:rsidRPr="00346214" w:rsidRDefault="00346214" w:rsidP="00346214">
      <w:pPr>
        <w:rPr>
          <w:lang w:val="en-US"/>
        </w:rPr>
      </w:pPr>
      <w:r w:rsidRPr="00346214">
        <w:rPr>
          <w:lang w:val="en-US"/>
        </w:rPr>
        <w:t>Skin cancer patients will benefit from the drug cemiplimab (Libtayo</w:t>
      </w:r>
      <w:r w:rsidRPr="00644DA5">
        <w:rPr>
          <w:vertAlign w:val="superscript"/>
          <w:lang w:val="en-US"/>
        </w:rPr>
        <w:t>®</w:t>
      </w:r>
      <w:r w:rsidRPr="00346214">
        <w:rPr>
          <w:lang w:val="en-US"/>
        </w:rPr>
        <w:t xml:space="preserve">) being listed on the PBS schedule through funding of $343.5 million. The listing will benefit around 1,000 patients with metastatic or locally advanced cutaneous squamous cell carcinoma each year. Without this subsidy patients face cost of more than $144,000 for a single course of treatment. </w:t>
      </w:r>
    </w:p>
    <w:p w14:paraId="7F525D34" w14:textId="77777777" w:rsidR="00346214" w:rsidRPr="00346214" w:rsidRDefault="00346214" w:rsidP="00346214">
      <w:pPr>
        <w:rPr>
          <w:lang w:val="en-US"/>
        </w:rPr>
      </w:pPr>
      <w:r w:rsidRPr="00346214">
        <w:rPr>
          <w:lang w:val="en-US"/>
        </w:rPr>
        <w:lastRenderedPageBreak/>
        <w:t>Approximately 1,450 patients with advanced or metastatic gastro-oesophageal cancers will benefit from the listing extension of nivolumab (Opdivo</w:t>
      </w:r>
      <w:r w:rsidRPr="00644DA5">
        <w:rPr>
          <w:vertAlign w:val="superscript"/>
          <w:lang w:val="en-US"/>
        </w:rPr>
        <w:t>®</w:t>
      </w:r>
      <w:r w:rsidRPr="00346214">
        <w:rPr>
          <w:lang w:val="en-US"/>
        </w:rPr>
        <w:t xml:space="preserve">) on the PBS at a cost of $459.1 million. Without this listing, patients could pay over $92,000 per course of treatment. </w:t>
      </w:r>
    </w:p>
    <w:p w14:paraId="3233A189" w14:textId="76AC9A40" w:rsidR="00346214" w:rsidRPr="00346214" w:rsidRDefault="00346214" w:rsidP="00346214">
      <w:pPr>
        <w:rPr>
          <w:lang w:val="en-US"/>
        </w:rPr>
      </w:pPr>
      <w:r w:rsidRPr="00346214">
        <w:rPr>
          <w:lang w:val="en-US"/>
        </w:rPr>
        <w:t xml:space="preserve">Instead, for these drugs, eligible patients will pay a maximum of $42.50 per script, reduced to $30.00 from 1 January 2023, or just $6.80 for concession card holders. </w:t>
      </w:r>
    </w:p>
    <w:p w14:paraId="01C8C8A9" w14:textId="77777777" w:rsidR="00346214" w:rsidRPr="00346214" w:rsidRDefault="00346214" w:rsidP="00346214">
      <w:pPr>
        <w:rPr>
          <w:lang w:val="en-US"/>
        </w:rPr>
      </w:pPr>
      <w:r w:rsidRPr="00346214">
        <w:rPr>
          <w:lang w:val="en-US"/>
        </w:rPr>
        <w:t xml:space="preserve">As we continue ongoing management of COVID-19, $22.8 million is also being invested to extend the listing of oral COVID-19 antiviral treatments on the PBS so those most at risk can access affordable treatment when they need it.  </w:t>
      </w:r>
    </w:p>
    <w:p w14:paraId="0F7C84F5" w14:textId="56A6906B" w:rsidR="00346214" w:rsidRDefault="00346214" w:rsidP="00346214">
      <w:pPr>
        <w:rPr>
          <w:lang w:val="en-US"/>
        </w:rPr>
      </w:pPr>
      <w:r w:rsidRPr="00346214">
        <w:rPr>
          <w:lang w:val="en-US"/>
        </w:rPr>
        <w:t>Key at-risk populations in the Australian community are being given prioritised access to Monkeypox (MPX) vaccines and treatments, through a joint $73.9 million investment with states and territory governments.</w:t>
      </w:r>
    </w:p>
    <w:p w14:paraId="3C39CE7A" w14:textId="77777777" w:rsidR="00346214" w:rsidRPr="00346214" w:rsidRDefault="00346214" w:rsidP="00346214">
      <w:pPr>
        <w:pStyle w:val="Heading1"/>
      </w:pPr>
      <w:r w:rsidRPr="00346214">
        <w:t xml:space="preserve">Funding details </w:t>
      </w:r>
    </w:p>
    <w:p w14:paraId="28B04015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>Pharmaceutical Benefits Scheme (PBS) General Co-payment Reduction – $787.1 million over 4 years from 2022–2023.</w:t>
      </w:r>
    </w:p>
    <w:p w14:paraId="0C9737D4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 xml:space="preserve">Pharmaceutical Benefits Scheme (PBS) new and amended listings – July to October 2022 – </w:t>
      </w:r>
    </w:p>
    <w:p w14:paraId="10B2E3DB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>$635.9 million over 4 years from 2022–2023.</w:t>
      </w:r>
    </w:p>
    <w:p w14:paraId="39DC119D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>Pharmaceutical Benefits Scheme (PBS) listing of cemiplimab (Libtayo</w:t>
      </w:r>
      <w:r w:rsidRPr="00AF5A6A">
        <w:rPr>
          <w:vertAlign w:val="superscript"/>
          <w:lang w:val="en-US"/>
        </w:rPr>
        <w:t>®</w:t>
      </w:r>
      <w:r w:rsidRPr="00346214">
        <w:rPr>
          <w:lang w:val="en-US"/>
        </w:rPr>
        <w:t>) – $343.5 million over 4 years from 2022–2023.</w:t>
      </w:r>
    </w:p>
    <w:p w14:paraId="4A9C91B2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>Pharmaceutical Benefits Scheme (PBS) extended listing of nivolumab (Opdivo</w:t>
      </w:r>
      <w:r w:rsidRPr="00AF5A6A">
        <w:rPr>
          <w:vertAlign w:val="superscript"/>
          <w:lang w:val="en-US"/>
        </w:rPr>
        <w:t>®</w:t>
      </w:r>
      <w:r w:rsidRPr="00346214">
        <w:rPr>
          <w:lang w:val="en-US"/>
        </w:rPr>
        <w:t xml:space="preserve">) – $459.1 million over 4 years from 2022–2023. </w:t>
      </w:r>
    </w:p>
    <w:p w14:paraId="738E3573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>Listing avalglugosidase alfa (Nexviazyme</w:t>
      </w:r>
      <w:r w:rsidRPr="00AF5A6A">
        <w:rPr>
          <w:vertAlign w:val="superscript"/>
          <w:lang w:val="en-US"/>
        </w:rPr>
        <w:t>®</w:t>
      </w:r>
      <w:r w:rsidRPr="00346214">
        <w:rPr>
          <w:lang w:val="en-US"/>
        </w:rPr>
        <w:t xml:space="preserve">) on the Life Saving Drugs Program (LSDP) $11.0 million save over 4 years from 2022–2023. </w:t>
      </w:r>
    </w:p>
    <w:p w14:paraId="31A56A2D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 xml:space="preserve">Pharmaceutical Benefits Scheme (PBS) extended listing for Oral COVID-19 Treatments – $22.8 million over 2 years from 2022–2023. </w:t>
      </w:r>
    </w:p>
    <w:p w14:paraId="31E6FB51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>Additional Purchases of Monkeypox Vaccines and Treatments – $73.9 million in 2022–2023.</w:t>
      </w:r>
    </w:p>
    <w:p w14:paraId="05442A65" w14:textId="77777777" w:rsidR="00346214" w:rsidRP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>Flash Glucose Monitoring and Continuous Glucose Monitoring devices for Australians with Type 1 Diabetes – $327.7 million over 4 years from 2022–2023.</w:t>
      </w:r>
    </w:p>
    <w:p w14:paraId="4EFF4CC9" w14:textId="1CF7836F" w:rsidR="00346214" w:rsidRDefault="00346214" w:rsidP="00346214">
      <w:pPr>
        <w:pStyle w:val="ListParagraph"/>
        <w:numPr>
          <w:ilvl w:val="0"/>
          <w:numId w:val="8"/>
        </w:numPr>
        <w:rPr>
          <w:lang w:val="en-US"/>
        </w:rPr>
      </w:pPr>
      <w:r w:rsidRPr="00346214">
        <w:rPr>
          <w:lang w:val="en-US"/>
        </w:rPr>
        <w:t xml:space="preserve">Pharmaceutical Benefits Scheme Data Distribution Project </w:t>
      </w:r>
      <w:r w:rsidR="00AF5A6A" w:rsidRPr="00346214">
        <w:rPr>
          <w:lang w:val="en-US"/>
        </w:rPr>
        <w:t>–</w:t>
      </w:r>
      <w:r w:rsidRPr="00346214">
        <w:rPr>
          <w:lang w:val="en-US"/>
        </w:rPr>
        <w:t xml:space="preserve"> $13.2 million over 4 years from 2022–2023.</w:t>
      </w:r>
    </w:p>
    <w:p w14:paraId="6F2D3352" w14:textId="77777777" w:rsidR="00F01440" w:rsidRPr="00F01440" w:rsidRDefault="00F01440" w:rsidP="00F01440">
      <w:pPr>
        <w:spacing w:before="2760"/>
        <w:jc w:val="center"/>
        <w:rPr>
          <w:lang w:val="en-US"/>
        </w:rPr>
      </w:pPr>
      <w:r w:rsidRPr="00F01440">
        <w:rPr>
          <w:lang w:val="en-US"/>
        </w:rPr>
        <w:t>All information in this publication is correct as at October 2022</w:t>
      </w:r>
    </w:p>
    <w:p w14:paraId="5E79E980" w14:textId="3416B5B8" w:rsidR="00F01440" w:rsidRPr="00346214" w:rsidRDefault="00F01440" w:rsidP="00F01440">
      <w:pPr>
        <w:jc w:val="center"/>
        <w:rPr>
          <w:lang w:val="en-US"/>
        </w:rPr>
      </w:pPr>
      <w:r w:rsidRPr="00F01440">
        <w:rPr>
          <w:lang w:val="en-US"/>
        </w:rPr>
        <w:t>health.gov.au</w:t>
      </w:r>
    </w:p>
    <w:sectPr w:rsidR="00F01440" w:rsidRPr="00346214" w:rsidSect="003D13B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134" w:header="175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9801" w14:textId="77777777" w:rsidR="004A44CF" w:rsidRDefault="004A44CF" w:rsidP="00F77677">
      <w:pPr>
        <w:spacing w:before="0" w:line="240" w:lineRule="auto"/>
      </w:pPr>
      <w:r>
        <w:separator/>
      </w:r>
    </w:p>
  </w:endnote>
  <w:endnote w:type="continuationSeparator" w:id="0">
    <w:p w14:paraId="14D96AD2" w14:textId="77777777" w:rsidR="004A44CF" w:rsidRDefault="004A44CF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HelveticaNeueLT Std Med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53A6E"/>
      </w:rPr>
      <w:id w:val="-169569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A69EF" w14:textId="0947F5E0" w:rsidR="00BC3FFB" w:rsidRDefault="00346214" w:rsidP="00BC3FFB">
        <w:pPr>
          <w:tabs>
            <w:tab w:val="left" w:pos="0"/>
            <w:tab w:val="right" w:pos="8222"/>
          </w:tabs>
          <w:rPr>
            <w:noProof/>
            <w:color w:val="153A6E"/>
          </w:rPr>
        </w:pPr>
        <w:r w:rsidRPr="00346214">
          <w:rPr>
            <w:color w:val="153A6E"/>
          </w:rPr>
          <w:t>Cheaper Medicines</w:t>
        </w:r>
        <w:r w:rsidR="00626B00">
          <w:rPr>
            <w:noProof/>
            <w:color w:val="153A6E"/>
          </w:rPr>
          <w:drawing>
            <wp:anchor distT="0" distB="0" distL="114300" distR="114300" simplePos="0" relativeHeight="251676672" behindDoc="1" locked="0" layoutInCell="1" allowOverlap="1" wp14:anchorId="56DC12D9" wp14:editId="7E97ABC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874800"/>
              <wp:effectExtent l="0" t="0" r="0" b="1905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87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F00115E" w14:textId="77777777" w:rsidR="00626B00" w:rsidRPr="00BC3FFB" w:rsidRDefault="00626B00" w:rsidP="00BC3FFB">
    <w:pPr>
      <w:tabs>
        <w:tab w:val="left" w:pos="0"/>
        <w:tab w:val="right" w:pos="8222"/>
      </w:tabs>
      <w:rPr>
        <w:color w:val="153A6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97C4D" w14:textId="3328CDD1" w:rsidR="00DD6EBA" w:rsidRDefault="003119F0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noProof/>
            <w:color w:val="153A6E"/>
          </w:rPr>
        </w:pPr>
        <w:r w:rsidRPr="003119F0">
          <w:rPr>
            <w:color w:val="153A6E"/>
          </w:rPr>
          <w:t>Cheaper medicines</w:t>
        </w:r>
        <w:r w:rsidR="00626B00">
          <w:rPr>
            <w:noProof/>
            <w:color w:val="153A6E"/>
          </w:rPr>
          <w:drawing>
            <wp:anchor distT="0" distB="0" distL="114300" distR="114300" simplePos="0" relativeHeight="251678720" behindDoc="1" locked="0" layoutInCell="1" allowOverlap="1" wp14:anchorId="1DBDA546" wp14:editId="628294F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874800"/>
              <wp:effectExtent l="0" t="0" r="0" b="1905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87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0664488" w14:textId="77777777" w:rsidR="00626B00" w:rsidRPr="00A63558" w:rsidRDefault="00626B00" w:rsidP="0032762A">
    <w:pPr>
      <w:pStyle w:val="Footer"/>
      <w:tabs>
        <w:tab w:val="clear" w:pos="4513"/>
        <w:tab w:val="clear" w:pos="9026"/>
        <w:tab w:val="left" w:pos="0"/>
        <w:tab w:val="right" w:pos="8222"/>
      </w:tabs>
      <w:rPr>
        <w:color w:val="153A6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53A6E"/>
      </w:rPr>
      <w:id w:val="-779258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FBBB6" w14:textId="77777777" w:rsidR="00346214" w:rsidRDefault="00346214" w:rsidP="00BC3FFB">
        <w:pPr>
          <w:tabs>
            <w:tab w:val="left" w:pos="0"/>
            <w:tab w:val="right" w:pos="8222"/>
          </w:tabs>
          <w:rPr>
            <w:color w:val="153A6E"/>
          </w:rPr>
        </w:pPr>
        <w:r w:rsidRPr="00346214">
          <w:rPr>
            <w:color w:val="153A6E"/>
          </w:rPr>
          <w:t>Cheaper Medicines</w:t>
        </w:r>
      </w:p>
      <w:p w14:paraId="664581C7" w14:textId="77FBEC28" w:rsidR="00BC3FFB" w:rsidRPr="00BC3FFB" w:rsidRDefault="003119F0" w:rsidP="00BC3FFB">
        <w:pPr>
          <w:tabs>
            <w:tab w:val="left" w:pos="0"/>
            <w:tab w:val="right" w:pos="8222"/>
          </w:tabs>
          <w:rPr>
            <w:color w:val="153A6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EB50" w14:textId="77777777" w:rsidR="004A44CF" w:rsidRDefault="004A44CF" w:rsidP="00F77677">
      <w:pPr>
        <w:spacing w:before="0" w:line="240" w:lineRule="auto"/>
      </w:pPr>
      <w:r>
        <w:separator/>
      </w:r>
    </w:p>
  </w:footnote>
  <w:footnote w:type="continuationSeparator" w:id="0">
    <w:p w14:paraId="30EFF4EE" w14:textId="77777777" w:rsidR="004A44CF" w:rsidRDefault="004A44CF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50FC" w14:textId="6725099C" w:rsidR="00F77677" w:rsidRDefault="00F77677" w:rsidP="00F77677">
    <w:pPr>
      <w:pStyle w:val="Header"/>
      <w:tabs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BB3C" w14:textId="43599F3A" w:rsidR="00BC78C8" w:rsidRDefault="00626B00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840586E" wp14:editId="1BA6901F">
          <wp:simplePos x="0" y="0"/>
          <wp:positionH relativeFrom="page">
            <wp:posOffset>0</wp:posOffset>
          </wp:positionH>
          <wp:positionV relativeFrom="page">
            <wp:posOffset>4976</wp:posOffset>
          </wp:positionV>
          <wp:extent cx="7560000" cy="10685647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360B7751"/>
    <w:multiLevelType w:val="hybridMultilevel"/>
    <w:tmpl w:val="6BBC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53FA2"/>
    <w:multiLevelType w:val="hybridMultilevel"/>
    <w:tmpl w:val="FA4C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75194">
    <w:abstractNumId w:val="2"/>
  </w:num>
  <w:num w:numId="2" w16cid:durableId="857886124">
    <w:abstractNumId w:val="2"/>
  </w:num>
  <w:num w:numId="3" w16cid:durableId="1886676273">
    <w:abstractNumId w:val="1"/>
  </w:num>
  <w:num w:numId="4" w16cid:durableId="498354932">
    <w:abstractNumId w:val="1"/>
  </w:num>
  <w:num w:numId="5" w16cid:durableId="1026638659">
    <w:abstractNumId w:val="0"/>
  </w:num>
  <w:num w:numId="6" w16cid:durableId="61680820">
    <w:abstractNumId w:val="4"/>
  </w:num>
  <w:num w:numId="7" w16cid:durableId="1353993922">
    <w:abstractNumId w:val="3"/>
  </w:num>
  <w:num w:numId="8" w16cid:durableId="855971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00"/>
    <w:rsid w:val="00003743"/>
    <w:rsid w:val="00060243"/>
    <w:rsid w:val="00067456"/>
    <w:rsid w:val="00073AF5"/>
    <w:rsid w:val="000A35FD"/>
    <w:rsid w:val="000B23F2"/>
    <w:rsid w:val="000C3238"/>
    <w:rsid w:val="000D3B7B"/>
    <w:rsid w:val="000E4DAD"/>
    <w:rsid w:val="00133FC6"/>
    <w:rsid w:val="00153116"/>
    <w:rsid w:val="00156177"/>
    <w:rsid w:val="00190C20"/>
    <w:rsid w:val="001B3443"/>
    <w:rsid w:val="001D095A"/>
    <w:rsid w:val="0029708C"/>
    <w:rsid w:val="002D3BDB"/>
    <w:rsid w:val="002F3AE3"/>
    <w:rsid w:val="0030786C"/>
    <w:rsid w:val="003119F0"/>
    <w:rsid w:val="0032762A"/>
    <w:rsid w:val="0034275D"/>
    <w:rsid w:val="00346214"/>
    <w:rsid w:val="003A6E53"/>
    <w:rsid w:val="003D13BF"/>
    <w:rsid w:val="003D17F9"/>
    <w:rsid w:val="003E4225"/>
    <w:rsid w:val="0042436D"/>
    <w:rsid w:val="00440060"/>
    <w:rsid w:val="004537C5"/>
    <w:rsid w:val="004867E2"/>
    <w:rsid w:val="004A3237"/>
    <w:rsid w:val="004A44CF"/>
    <w:rsid w:val="004B0C2D"/>
    <w:rsid w:val="004D04B6"/>
    <w:rsid w:val="004F79BE"/>
    <w:rsid w:val="00531FEF"/>
    <w:rsid w:val="00545812"/>
    <w:rsid w:val="00560073"/>
    <w:rsid w:val="00591CAB"/>
    <w:rsid w:val="005A30E6"/>
    <w:rsid w:val="0060074A"/>
    <w:rsid w:val="00626B00"/>
    <w:rsid w:val="00644DA5"/>
    <w:rsid w:val="00656763"/>
    <w:rsid w:val="00672D9F"/>
    <w:rsid w:val="0068617B"/>
    <w:rsid w:val="006C2BB0"/>
    <w:rsid w:val="00724B94"/>
    <w:rsid w:val="00743F14"/>
    <w:rsid w:val="00746E44"/>
    <w:rsid w:val="0076074A"/>
    <w:rsid w:val="00777EB3"/>
    <w:rsid w:val="008264EB"/>
    <w:rsid w:val="00882951"/>
    <w:rsid w:val="00886F01"/>
    <w:rsid w:val="008A671E"/>
    <w:rsid w:val="008F2E23"/>
    <w:rsid w:val="00905865"/>
    <w:rsid w:val="0095032C"/>
    <w:rsid w:val="00953B0F"/>
    <w:rsid w:val="009974AF"/>
    <w:rsid w:val="009B5857"/>
    <w:rsid w:val="009D16E0"/>
    <w:rsid w:val="009D30C7"/>
    <w:rsid w:val="009F2365"/>
    <w:rsid w:val="00A15D0A"/>
    <w:rsid w:val="00A33281"/>
    <w:rsid w:val="00A365D5"/>
    <w:rsid w:val="00A4512D"/>
    <w:rsid w:val="00A63558"/>
    <w:rsid w:val="00A705AF"/>
    <w:rsid w:val="00A8334C"/>
    <w:rsid w:val="00AB5DC4"/>
    <w:rsid w:val="00AF5A6A"/>
    <w:rsid w:val="00B27404"/>
    <w:rsid w:val="00B42851"/>
    <w:rsid w:val="00B53881"/>
    <w:rsid w:val="00B73AA3"/>
    <w:rsid w:val="00B75D1E"/>
    <w:rsid w:val="00B95E87"/>
    <w:rsid w:val="00BA0398"/>
    <w:rsid w:val="00BA3805"/>
    <w:rsid w:val="00BB1B5E"/>
    <w:rsid w:val="00BB6B25"/>
    <w:rsid w:val="00BC3FFB"/>
    <w:rsid w:val="00BC6210"/>
    <w:rsid w:val="00BC78C8"/>
    <w:rsid w:val="00C013F0"/>
    <w:rsid w:val="00C51060"/>
    <w:rsid w:val="00C65279"/>
    <w:rsid w:val="00C66615"/>
    <w:rsid w:val="00C80038"/>
    <w:rsid w:val="00CB0960"/>
    <w:rsid w:val="00CB5B1A"/>
    <w:rsid w:val="00CB7179"/>
    <w:rsid w:val="00CC7460"/>
    <w:rsid w:val="00D13B9A"/>
    <w:rsid w:val="00D425BA"/>
    <w:rsid w:val="00DD6EBA"/>
    <w:rsid w:val="00E16383"/>
    <w:rsid w:val="00E37E83"/>
    <w:rsid w:val="00E608ED"/>
    <w:rsid w:val="00ED1C0F"/>
    <w:rsid w:val="00ED2467"/>
    <w:rsid w:val="00F01440"/>
    <w:rsid w:val="00F53C8E"/>
    <w:rsid w:val="00F71961"/>
    <w:rsid w:val="00F77677"/>
    <w:rsid w:val="00F801F0"/>
    <w:rsid w:val="00F84400"/>
    <w:rsid w:val="00F93440"/>
    <w:rsid w:val="00F95D57"/>
    <w:rsid w:val="00FA2581"/>
    <w:rsid w:val="00FC2D96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867EA"/>
  <w15:docId w15:val="{18E06982-526C-5941-BBC0-1A6F2E0B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A6E53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E53"/>
    <w:pPr>
      <w:keepNext/>
      <w:keepLines/>
      <w:spacing w:before="240" w:after="120" w:line="280" w:lineRule="auto"/>
      <w:outlineLvl w:val="1"/>
    </w:pPr>
    <w:rPr>
      <w:rFonts w:eastAsia="MS Gothic"/>
      <w:bCs/>
      <w:color w:val="00727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E53"/>
    <w:pPr>
      <w:keepNext/>
      <w:keepLines/>
      <w:spacing w:line="271" w:lineRule="auto"/>
      <w:outlineLvl w:val="2"/>
    </w:pPr>
    <w:rPr>
      <w:rFonts w:eastAsia="MS Gothic"/>
      <w:i/>
      <w:color w:val="00727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30E6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3A6E53"/>
    <w:pPr>
      <w:spacing w:before="720" w:after="240"/>
    </w:pPr>
    <w:rPr>
      <w:rFonts w:ascii="Arial" w:eastAsia="MS Gothic" w:hAnsi="Arial" w:cstheme="majorBidi"/>
      <w:color w:val="00727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3A6E53"/>
    <w:rPr>
      <w:rFonts w:ascii="Arial" w:eastAsia="MS Gothic" w:hAnsi="Arial" w:cstheme="majorBidi"/>
      <w:color w:val="00727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3A6E53"/>
    <w:rPr>
      <w:rFonts w:ascii="Arial" w:eastAsia="MS Gothic" w:hAnsi="Arial"/>
      <w:b/>
      <w:bCs/>
      <w:color w:val="00727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A6E53"/>
    <w:rPr>
      <w:rFonts w:ascii="Arial" w:eastAsia="MS Gothic" w:hAnsi="Arial"/>
      <w:bCs/>
      <w:color w:val="00727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A6E53"/>
    <w:rPr>
      <w:rFonts w:ascii="Arial" w:eastAsia="MS Gothic" w:hAnsi="Arial"/>
      <w:i/>
      <w:color w:val="00727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A30E6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paragraph" w:customStyle="1" w:styleId="Default">
    <w:name w:val="Default"/>
    <w:rsid w:val="00346214"/>
    <w:pPr>
      <w:autoSpaceDE w:val="0"/>
      <w:autoSpaceDN w:val="0"/>
      <w:adjustRightInd w:val="0"/>
    </w:pPr>
    <w:rPr>
      <w:rFonts w:ascii="HelveticaNeueLT Std Med" w:hAnsi="HelveticaNeueLT Std Med" w:cs="HelveticaNeueLT Std Med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0" ma:contentTypeDescription="Create a new document." ma:contentTypeScope="" ma:versionID="0f569b4f9ea3325b5b950c0a541ed13b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b7467f9cee4e52d6ef884e4b08d9aa03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lcf76f155ced4ddcb4097134ff3c332f xmlns="839094c7-44eb-41ba-bf13-17cd8e527726">
      <Terms xmlns="http://schemas.microsoft.com/office/infopath/2007/PartnerControls"/>
    </lcf76f155ced4ddcb4097134ff3c332f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974C0-F341-4251-9713-C91EF050594E}"/>
</file>

<file path=customXml/itemProps2.xml><?xml version="1.0" encoding="utf-8"?>
<ds:datastoreItem xmlns:ds="http://schemas.openxmlformats.org/officeDocument/2006/customXml" ds:itemID="{E1357DCB-C15E-4D3B-B92C-F0CB7A9E1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8487C7-35FB-466D-9674-E85146D9730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069EE6-849D-4340-864F-FBAC63D32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682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 - Budget 2022-23 fact sheet</vt:lpstr>
    </vt:vector>
  </TitlesOfParts>
  <Manager/>
  <Company/>
  <LinksUpToDate>false</LinksUpToDate>
  <CharactersWithSpaces>4423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Cheaper medicines - Budget 2022-23 fact sheet</dc:title>
  <dc:subject>Budget 2022-23</dc:subject>
  <dc:creator>Australian Government Department of Health and Aged Care</dc:creator>
  <cp:keywords>Budget 2022–23</cp:keywords>
  <dc:description/>
  <cp:lastModifiedBy>FAIRHALL, Brad</cp:lastModifiedBy>
  <cp:revision>10</cp:revision>
  <cp:lastPrinted>2020-09-01T06:21:00Z</cp:lastPrinted>
  <dcterms:created xsi:type="dcterms:W3CDTF">2022-10-14T06:16:00Z</dcterms:created>
  <dcterms:modified xsi:type="dcterms:W3CDTF">2022-10-25T00:34:00Z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  <property fmtid="{D5CDD505-2E9C-101B-9397-08002B2CF9AE}" pid="4" name="MediaServiceImageTags">
    <vt:lpwstr/>
  </property>
</Properties>
</file>