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6096"/>
        <w:gridCol w:w="4111"/>
      </w:tblGrid>
      <w:tr w:rsidR="005C4574" w:rsidRPr="00C51D9F" w14:paraId="7159F344" w14:textId="77777777" w:rsidTr="00E51D4B">
        <w:trPr>
          <w:tblHeader/>
        </w:trPr>
        <w:tc>
          <w:tcPr>
            <w:tcW w:w="6096" w:type="dxa"/>
          </w:tcPr>
          <w:p w14:paraId="6F5D7DCD" w14:textId="77777777" w:rsidR="005C4574" w:rsidRPr="00C51D9F" w:rsidRDefault="005C4574" w:rsidP="00E51D4B">
            <w:pPr>
              <w:autoSpaceDE w:val="0"/>
              <w:autoSpaceDN w:val="0"/>
              <w:adjustRightInd w:val="0"/>
              <w:rPr>
                <w:rFonts w:cstheme="minorHAnsi"/>
                <w:sz w:val="12"/>
                <w:szCs w:val="12"/>
              </w:rPr>
            </w:pPr>
            <w:r w:rsidRPr="00C51D9F">
              <w:rPr>
                <w:rFonts w:cstheme="minorHAnsi"/>
                <w:noProof/>
                <w:sz w:val="12"/>
                <w:szCs w:val="12"/>
              </w:rPr>
              <w:drawing>
                <wp:inline distT="0" distB="0" distL="0" distR="0" wp14:anchorId="7204D845" wp14:editId="0FD13934">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111" w:type="dxa"/>
          </w:tcPr>
          <w:p w14:paraId="61154BFE" w14:textId="77777777" w:rsidR="001D2181" w:rsidRDefault="001D2181" w:rsidP="00C51D9F">
            <w:pPr>
              <w:tabs>
                <w:tab w:val="left" w:pos="3420"/>
              </w:tabs>
              <w:jc w:val="right"/>
              <w:rPr>
                <w:rFonts w:cs="Arial"/>
                <w:b/>
                <w:caps/>
                <w:color w:val="000000" w:themeColor="text1"/>
                <w:sz w:val="32"/>
                <w:szCs w:val="28"/>
              </w:rPr>
            </w:pPr>
          </w:p>
          <w:p w14:paraId="2AA2B8C3" w14:textId="77777777" w:rsidR="005C4574" w:rsidRDefault="001D2181" w:rsidP="00C51D9F">
            <w:pPr>
              <w:tabs>
                <w:tab w:val="left" w:pos="3420"/>
              </w:tabs>
              <w:jc w:val="right"/>
              <w:rPr>
                <w:rFonts w:cs="Arial"/>
                <w:b/>
                <w:caps/>
                <w:color w:val="000000" w:themeColor="text1"/>
                <w:sz w:val="32"/>
                <w:szCs w:val="28"/>
              </w:rPr>
            </w:pPr>
            <w:r>
              <w:rPr>
                <w:rFonts w:cs="Arial"/>
                <w:b/>
                <w:caps/>
                <w:color w:val="000000" w:themeColor="text1"/>
                <w:sz w:val="32"/>
                <w:szCs w:val="28"/>
              </w:rPr>
              <w:t>INFormation BRIEF</w:t>
            </w:r>
          </w:p>
          <w:p w14:paraId="1ACD115C" w14:textId="74BFB2E8" w:rsidR="001D2181" w:rsidRPr="001D2181" w:rsidRDefault="00456552" w:rsidP="00C51D9F">
            <w:pPr>
              <w:tabs>
                <w:tab w:val="left" w:pos="3420"/>
              </w:tabs>
              <w:jc w:val="right"/>
              <w:rPr>
                <w:rFonts w:cstheme="minorHAnsi"/>
                <w:b/>
                <w:color w:val="000000" w:themeColor="text1"/>
                <w:sz w:val="24"/>
                <w:szCs w:val="28"/>
              </w:rPr>
            </w:pPr>
            <w:r>
              <w:rPr>
                <w:rFonts w:cstheme="minorHAnsi"/>
                <w:b/>
                <w:color w:val="000000" w:themeColor="text1"/>
                <w:sz w:val="24"/>
                <w:szCs w:val="28"/>
              </w:rPr>
              <w:t xml:space="preserve">Updated on </w:t>
            </w:r>
            <w:r w:rsidR="00FF78DC">
              <w:rPr>
                <w:rFonts w:cstheme="minorHAnsi"/>
                <w:b/>
                <w:color w:val="000000" w:themeColor="text1"/>
                <w:sz w:val="24"/>
                <w:szCs w:val="28"/>
              </w:rPr>
              <w:t>30</w:t>
            </w:r>
            <w:r>
              <w:rPr>
                <w:rFonts w:cstheme="minorHAnsi"/>
                <w:b/>
                <w:color w:val="000000" w:themeColor="text1"/>
                <w:sz w:val="24"/>
                <w:szCs w:val="28"/>
              </w:rPr>
              <w:t xml:space="preserve"> </w:t>
            </w:r>
            <w:r w:rsidR="00FF78DC">
              <w:rPr>
                <w:rFonts w:cstheme="minorHAnsi"/>
                <w:b/>
                <w:color w:val="000000" w:themeColor="text1"/>
                <w:sz w:val="24"/>
                <w:szCs w:val="28"/>
              </w:rPr>
              <w:t>June 2021</w:t>
            </w:r>
          </w:p>
          <w:p w14:paraId="67137AC6" w14:textId="15E26E00" w:rsidR="001D2181" w:rsidRPr="001D2181" w:rsidRDefault="001D2181" w:rsidP="001D2181">
            <w:pPr>
              <w:tabs>
                <w:tab w:val="left" w:pos="3420"/>
              </w:tabs>
              <w:rPr>
                <w:rFonts w:cstheme="minorHAnsi"/>
                <w:sz w:val="24"/>
                <w:szCs w:val="12"/>
              </w:rPr>
            </w:pPr>
          </w:p>
        </w:tc>
      </w:tr>
    </w:tbl>
    <w:p w14:paraId="6387A781" w14:textId="77777777" w:rsidR="001D2181" w:rsidRDefault="001D2181" w:rsidP="001D2181">
      <w:pPr>
        <w:jc w:val="center"/>
        <w:rPr>
          <w:rFonts w:cstheme="minorHAnsi"/>
          <w:b/>
          <w:sz w:val="32"/>
        </w:rPr>
      </w:pPr>
    </w:p>
    <w:p w14:paraId="22D662C7" w14:textId="7EFD11D0" w:rsidR="005C4574" w:rsidRDefault="003E1F73" w:rsidP="001D2181">
      <w:pPr>
        <w:jc w:val="center"/>
        <w:rPr>
          <w:rFonts w:cstheme="minorHAnsi"/>
          <w:b/>
          <w:sz w:val="32"/>
        </w:rPr>
      </w:pPr>
      <w:r>
        <w:rPr>
          <w:rFonts w:cstheme="minorHAnsi"/>
          <w:b/>
          <w:sz w:val="32"/>
        </w:rPr>
        <w:t>2019</w:t>
      </w:r>
      <w:r w:rsidR="001D2181">
        <w:rPr>
          <w:rFonts w:cstheme="minorHAnsi"/>
          <w:b/>
          <w:sz w:val="32"/>
        </w:rPr>
        <w:t xml:space="preserve"> Influenza Season in Australia </w:t>
      </w:r>
    </w:p>
    <w:p w14:paraId="2740A409" w14:textId="6F672873" w:rsidR="001D2181" w:rsidRPr="001D2181" w:rsidRDefault="001D2181" w:rsidP="001D2181">
      <w:pPr>
        <w:jc w:val="center"/>
        <w:rPr>
          <w:rFonts w:cstheme="minorHAnsi"/>
          <w:b/>
          <w:sz w:val="28"/>
        </w:rPr>
      </w:pPr>
      <w:r>
        <w:rPr>
          <w:rFonts w:cstheme="minorHAnsi"/>
          <w:b/>
          <w:sz w:val="28"/>
        </w:rPr>
        <w:t>A summary from the National Influenza Surveillance Committee</w:t>
      </w:r>
    </w:p>
    <w:p w14:paraId="15983580" w14:textId="77777777" w:rsidR="00B9019C" w:rsidRPr="00786884" w:rsidRDefault="0061231D" w:rsidP="003D7034">
      <w:pPr>
        <w:pStyle w:val="Heading2"/>
      </w:pPr>
      <w:bookmarkStart w:id="0" w:name="_Toc512779015"/>
      <w:r w:rsidRPr="00786884">
        <w:t>KEY MESSAGES</w:t>
      </w:r>
      <w:bookmarkEnd w:id="0"/>
    </w:p>
    <w:p w14:paraId="2D46E5A5" w14:textId="1ECBB1F5" w:rsidR="005B508C" w:rsidRPr="00412424" w:rsidRDefault="00EF7F14" w:rsidP="00497F8D">
      <w:pPr>
        <w:pStyle w:val="ListParagraph"/>
        <w:numPr>
          <w:ilvl w:val="0"/>
          <w:numId w:val="14"/>
        </w:numPr>
        <w:spacing w:after="0"/>
        <w:rPr>
          <w:rFonts w:cstheme="minorHAnsi"/>
        </w:rPr>
      </w:pPr>
      <w:r w:rsidRPr="00412424">
        <w:rPr>
          <w:rFonts w:cstheme="minorHAnsi"/>
          <w:b/>
        </w:rPr>
        <w:t>Activity</w:t>
      </w:r>
      <w:r w:rsidRPr="00412424">
        <w:rPr>
          <w:rFonts w:cstheme="minorHAnsi"/>
        </w:rPr>
        <w:t xml:space="preserve"> </w:t>
      </w:r>
      <w:r w:rsidR="00093853" w:rsidRPr="00412424">
        <w:rPr>
          <w:rFonts w:cstheme="minorHAnsi"/>
        </w:rPr>
        <w:t>–</w:t>
      </w:r>
      <w:r w:rsidR="00AD6E47">
        <w:rPr>
          <w:rFonts w:cstheme="minorHAnsi"/>
        </w:rPr>
        <w:t xml:space="preserve"> </w:t>
      </w:r>
      <w:r w:rsidR="004B19E4">
        <w:rPr>
          <w:rFonts w:cstheme="minorHAnsi"/>
        </w:rPr>
        <w:t>T</w:t>
      </w:r>
      <w:r w:rsidR="004B19E4">
        <w:rPr>
          <w:rFonts w:cs="Arial"/>
          <w:szCs w:val="22"/>
        </w:rPr>
        <w:t xml:space="preserve">he 2019 influenza season began earlier compared with recent years. </w:t>
      </w:r>
      <w:r w:rsidR="004B19E4" w:rsidRPr="00490D80">
        <w:rPr>
          <w:rFonts w:cs="Arial"/>
          <w:szCs w:val="22"/>
        </w:rPr>
        <w:t>While there was</w:t>
      </w:r>
      <w:r w:rsidR="004B19E4">
        <w:rPr>
          <w:rFonts w:cs="Arial"/>
          <w:szCs w:val="22"/>
        </w:rPr>
        <w:t xml:space="preserve"> geographic </w:t>
      </w:r>
      <w:r w:rsidR="004B19E4" w:rsidRPr="00490D80">
        <w:rPr>
          <w:rFonts w:cs="Arial"/>
          <w:szCs w:val="22"/>
        </w:rPr>
        <w:t>variation across Australia</w:t>
      </w:r>
      <w:r w:rsidR="004B19E4">
        <w:rPr>
          <w:rFonts w:cs="Arial"/>
          <w:szCs w:val="22"/>
        </w:rPr>
        <w:t>,</w:t>
      </w:r>
      <w:r w:rsidR="004B19E4" w:rsidRPr="004B19E4">
        <w:t xml:space="preserve"> </w:t>
      </w:r>
      <w:r w:rsidR="004B19E4" w:rsidRPr="004B19E4">
        <w:rPr>
          <w:rFonts w:cs="Arial"/>
          <w:szCs w:val="22"/>
        </w:rPr>
        <w:t>in general</w:t>
      </w:r>
      <w:r w:rsidR="005E1268">
        <w:rPr>
          <w:rFonts w:cs="Arial"/>
          <w:szCs w:val="22"/>
        </w:rPr>
        <w:t>,</w:t>
      </w:r>
      <w:r w:rsidR="004B19E4">
        <w:rPr>
          <w:rFonts w:cs="Arial"/>
          <w:szCs w:val="22"/>
        </w:rPr>
        <w:t xml:space="preserve"> activity levels in the 2019 </w:t>
      </w:r>
      <w:r w:rsidR="004B19E4" w:rsidRPr="004B19E4">
        <w:rPr>
          <w:rFonts w:cs="Arial"/>
          <w:szCs w:val="22"/>
        </w:rPr>
        <w:t xml:space="preserve">influenza season </w:t>
      </w:r>
      <w:r w:rsidR="004B19E4">
        <w:rPr>
          <w:rFonts w:cs="Arial"/>
          <w:szCs w:val="22"/>
        </w:rPr>
        <w:t>were</w:t>
      </w:r>
      <w:r w:rsidR="004B19E4" w:rsidRPr="004B19E4">
        <w:rPr>
          <w:rFonts w:cs="Arial"/>
          <w:szCs w:val="22"/>
        </w:rPr>
        <w:t xml:space="preserve"> </w:t>
      </w:r>
      <w:r w:rsidR="004B19E4">
        <w:rPr>
          <w:rFonts w:cs="Arial"/>
          <w:szCs w:val="22"/>
        </w:rPr>
        <w:t xml:space="preserve">higher </w:t>
      </w:r>
      <w:r w:rsidR="00497F8D">
        <w:rPr>
          <w:rFonts w:cs="Arial"/>
          <w:szCs w:val="22"/>
        </w:rPr>
        <w:t>than</w:t>
      </w:r>
      <w:r w:rsidR="004B19E4">
        <w:rPr>
          <w:rFonts w:cs="Arial"/>
          <w:szCs w:val="22"/>
        </w:rPr>
        <w:t xml:space="preserve"> the 2017 season, but </w:t>
      </w:r>
      <w:r w:rsidR="005E1268">
        <w:rPr>
          <w:rFonts w:cs="Arial"/>
          <w:szCs w:val="22"/>
        </w:rPr>
        <w:t xml:space="preserve">it </w:t>
      </w:r>
      <w:r w:rsidR="00497F8D">
        <w:rPr>
          <w:rFonts w:cs="Arial"/>
          <w:szCs w:val="22"/>
        </w:rPr>
        <w:t xml:space="preserve">was a </w:t>
      </w:r>
      <w:r w:rsidR="005E1268">
        <w:rPr>
          <w:rFonts w:cs="Arial"/>
          <w:szCs w:val="22"/>
        </w:rPr>
        <w:t xml:space="preserve">longer </w:t>
      </w:r>
      <w:r w:rsidR="00497F8D" w:rsidRPr="00497F8D">
        <w:rPr>
          <w:rFonts w:cs="Arial"/>
          <w:szCs w:val="22"/>
        </w:rPr>
        <w:t>season with a smaller peak</w:t>
      </w:r>
      <w:r w:rsidR="004B19E4">
        <w:rPr>
          <w:rFonts w:cstheme="minorHAnsi"/>
        </w:rPr>
        <w:t xml:space="preserve">.  </w:t>
      </w:r>
    </w:p>
    <w:p w14:paraId="0E5728B7" w14:textId="0776C62B" w:rsidR="00586F42" w:rsidRPr="00861464" w:rsidRDefault="00D825A3" w:rsidP="000814FA">
      <w:pPr>
        <w:pStyle w:val="ListBullet"/>
        <w:numPr>
          <w:ilvl w:val="0"/>
          <w:numId w:val="14"/>
        </w:numPr>
        <w:spacing w:after="0"/>
      </w:pPr>
      <w:r w:rsidRPr="00861464">
        <w:rPr>
          <w:rFonts w:cstheme="minorHAnsi"/>
          <w:b/>
        </w:rPr>
        <w:t>Impact</w:t>
      </w:r>
      <w:r w:rsidR="009948F3" w:rsidRPr="00861464">
        <w:rPr>
          <w:rFonts w:cstheme="minorHAnsi"/>
          <w:b/>
        </w:rPr>
        <w:t xml:space="preserve"> </w:t>
      </w:r>
      <w:r w:rsidR="007568BE" w:rsidRPr="00861464">
        <w:rPr>
          <w:rFonts w:cstheme="minorHAnsi"/>
        </w:rPr>
        <w:t>–</w:t>
      </w:r>
      <w:r w:rsidR="00AD6E47">
        <w:rPr>
          <w:rFonts w:cstheme="minorHAnsi"/>
        </w:rPr>
        <w:t xml:space="preserve"> </w:t>
      </w:r>
      <w:r w:rsidR="001D2181" w:rsidRPr="00861464">
        <w:rPr>
          <w:rFonts w:cstheme="minorHAnsi"/>
        </w:rPr>
        <w:t>T</w:t>
      </w:r>
      <w:r w:rsidR="00D50350" w:rsidRPr="00861464">
        <w:rPr>
          <w:rFonts w:cstheme="minorHAnsi"/>
        </w:rPr>
        <w:t>he impact of circulating influenza</w:t>
      </w:r>
      <w:r w:rsidR="00C46976" w:rsidRPr="00861464">
        <w:rPr>
          <w:rFonts w:cstheme="minorHAnsi"/>
        </w:rPr>
        <w:t xml:space="preserve"> on society</w:t>
      </w:r>
      <w:r w:rsidR="00D82720" w:rsidRPr="00861464">
        <w:rPr>
          <w:rFonts w:cstheme="minorHAnsi"/>
        </w:rPr>
        <w:t xml:space="preserve">, as measured through the proportion of people with </w:t>
      </w:r>
      <w:r w:rsidR="00975F2C" w:rsidRPr="00861464">
        <w:rPr>
          <w:rFonts w:cstheme="minorHAnsi"/>
        </w:rPr>
        <w:t>influenza-like illness (</w:t>
      </w:r>
      <w:r w:rsidR="00D82720" w:rsidRPr="00861464">
        <w:rPr>
          <w:rFonts w:cstheme="minorHAnsi"/>
        </w:rPr>
        <w:t>ILI</w:t>
      </w:r>
      <w:r w:rsidR="00975F2C" w:rsidRPr="00861464">
        <w:rPr>
          <w:rFonts w:cstheme="minorHAnsi"/>
        </w:rPr>
        <w:t>)</w:t>
      </w:r>
      <w:r w:rsidR="00D82720" w:rsidRPr="00861464">
        <w:rPr>
          <w:rFonts w:cstheme="minorHAnsi"/>
        </w:rPr>
        <w:t xml:space="preserve"> taking time off work</w:t>
      </w:r>
      <w:r w:rsidR="00C46976" w:rsidRPr="00861464">
        <w:rPr>
          <w:rFonts w:cstheme="minorHAnsi"/>
        </w:rPr>
        <w:t>,</w:t>
      </w:r>
      <w:r w:rsidR="00D82720" w:rsidRPr="00861464">
        <w:rPr>
          <w:rFonts w:cstheme="minorHAnsi"/>
        </w:rPr>
        <w:t xml:space="preserve"> and</w:t>
      </w:r>
      <w:r w:rsidR="00C46976" w:rsidRPr="00861464">
        <w:rPr>
          <w:rFonts w:cstheme="minorHAnsi"/>
        </w:rPr>
        <w:t xml:space="preserve"> the</w:t>
      </w:r>
      <w:r w:rsidR="00D82720" w:rsidRPr="00861464">
        <w:rPr>
          <w:rFonts w:cstheme="minorHAnsi"/>
        </w:rPr>
        <w:t xml:space="preserve"> </w:t>
      </w:r>
      <w:r w:rsidR="00C46976" w:rsidRPr="00861464">
        <w:rPr>
          <w:rFonts w:cstheme="minorHAnsi"/>
        </w:rPr>
        <w:t xml:space="preserve">burden </w:t>
      </w:r>
      <w:r w:rsidR="006579E2" w:rsidRPr="00861464">
        <w:rPr>
          <w:rFonts w:cstheme="minorHAnsi"/>
        </w:rPr>
        <w:t xml:space="preserve">placed </w:t>
      </w:r>
      <w:r w:rsidR="00C46976" w:rsidRPr="00861464">
        <w:rPr>
          <w:rFonts w:cstheme="minorHAnsi"/>
        </w:rPr>
        <w:t>on hospitals</w:t>
      </w:r>
      <w:r w:rsidR="006579E2" w:rsidRPr="00861464">
        <w:rPr>
          <w:rFonts w:cstheme="minorHAnsi"/>
        </w:rPr>
        <w:t xml:space="preserve"> with people admitted with influenza</w:t>
      </w:r>
      <w:r w:rsidR="00C46976" w:rsidRPr="00861464">
        <w:rPr>
          <w:rFonts w:cstheme="minorHAnsi"/>
        </w:rPr>
        <w:t>,</w:t>
      </w:r>
      <w:r w:rsidR="001D2181" w:rsidRPr="00861464">
        <w:rPr>
          <w:rFonts w:cstheme="minorHAnsi"/>
        </w:rPr>
        <w:t xml:space="preserve"> was</w:t>
      </w:r>
      <w:r w:rsidR="0057118A" w:rsidRPr="00861464">
        <w:rPr>
          <w:rFonts w:cstheme="minorHAnsi"/>
        </w:rPr>
        <w:t xml:space="preserve"> </w:t>
      </w:r>
      <w:r w:rsidR="00861464" w:rsidRPr="00861464">
        <w:rPr>
          <w:rFonts w:cstheme="minorHAnsi"/>
        </w:rPr>
        <w:t>high</w:t>
      </w:r>
      <w:r w:rsidR="00C51E3C" w:rsidRPr="00861464">
        <w:rPr>
          <w:rFonts w:cstheme="minorHAnsi"/>
        </w:rPr>
        <w:t xml:space="preserve">. </w:t>
      </w:r>
    </w:p>
    <w:p w14:paraId="607D0B4C" w14:textId="729D2201" w:rsidR="0043586A" w:rsidRPr="002D33E9" w:rsidRDefault="0043586A" w:rsidP="0043586A">
      <w:pPr>
        <w:pStyle w:val="ListParagraph"/>
        <w:numPr>
          <w:ilvl w:val="0"/>
          <w:numId w:val="14"/>
        </w:numPr>
        <w:spacing w:after="0"/>
        <w:rPr>
          <w:rFonts w:cstheme="minorHAnsi"/>
          <w:szCs w:val="22"/>
        </w:rPr>
      </w:pPr>
      <w:r w:rsidRPr="002D33E9">
        <w:rPr>
          <w:rFonts w:cstheme="minorHAnsi"/>
          <w:b/>
        </w:rPr>
        <w:t xml:space="preserve">Severity </w:t>
      </w:r>
      <w:r w:rsidRPr="002D33E9">
        <w:rPr>
          <w:rFonts w:cstheme="minorHAnsi"/>
        </w:rPr>
        <w:t>–</w:t>
      </w:r>
      <w:r w:rsidR="00AD6E47">
        <w:rPr>
          <w:rFonts w:cstheme="minorHAnsi"/>
        </w:rPr>
        <w:t xml:space="preserve"> </w:t>
      </w:r>
      <w:r w:rsidR="00906CF5" w:rsidRPr="002D33E9">
        <w:rPr>
          <w:rFonts w:cstheme="minorHAnsi"/>
          <w:szCs w:val="22"/>
        </w:rPr>
        <w:t>Clinical severity for the 2019 s</w:t>
      </w:r>
      <w:r w:rsidRPr="002D33E9">
        <w:rPr>
          <w:rFonts w:cstheme="minorHAnsi"/>
          <w:szCs w:val="22"/>
        </w:rPr>
        <w:t>eason, as measured through the proportion of patients admitted directly to intensive care unit</w:t>
      </w:r>
      <w:r w:rsidR="00C20EFD">
        <w:rPr>
          <w:rFonts w:cstheme="minorHAnsi"/>
          <w:szCs w:val="22"/>
        </w:rPr>
        <w:t>s</w:t>
      </w:r>
      <w:r w:rsidRPr="002D33E9">
        <w:rPr>
          <w:rFonts w:cstheme="minorHAnsi"/>
          <w:szCs w:val="22"/>
        </w:rPr>
        <w:t xml:space="preserve"> (ICU), and deaths attributed to influenza, was moderate. </w:t>
      </w:r>
    </w:p>
    <w:p w14:paraId="0DCBF6F2" w14:textId="112E7E05" w:rsidR="00B7103F" w:rsidRPr="00525CDB" w:rsidRDefault="007506B6" w:rsidP="007655A0">
      <w:pPr>
        <w:pStyle w:val="ListBullet"/>
        <w:numPr>
          <w:ilvl w:val="0"/>
          <w:numId w:val="14"/>
        </w:numPr>
        <w:spacing w:after="0"/>
      </w:pPr>
      <w:r w:rsidRPr="00525CDB">
        <w:rPr>
          <w:rFonts w:cstheme="minorHAnsi"/>
          <w:b/>
        </w:rPr>
        <w:t>Virology</w:t>
      </w:r>
      <w:r w:rsidR="00802040" w:rsidRPr="00525CDB">
        <w:rPr>
          <w:rFonts w:cstheme="minorHAnsi"/>
        </w:rPr>
        <w:t xml:space="preserve"> –</w:t>
      </w:r>
      <w:r w:rsidR="00AD6E47">
        <w:rPr>
          <w:rFonts w:cstheme="minorHAnsi"/>
        </w:rPr>
        <w:t xml:space="preserve"> </w:t>
      </w:r>
      <w:r w:rsidR="00591318">
        <w:rPr>
          <w:rFonts w:cstheme="minorHAnsi"/>
        </w:rPr>
        <w:t>I</w:t>
      </w:r>
      <w:r w:rsidR="0063087B" w:rsidRPr="00525CDB">
        <w:rPr>
          <w:rFonts w:cstheme="minorHAnsi"/>
        </w:rPr>
        <w:t xml:space="preserve">nfluenza </w:t>
      </w:r>
      <w:r w:rsidR="00772930">
        <w:rPr>
          <w:rFonts w:cstheme="minorHAnsi"/>
        </w:rPr>
        <w:t>A(H3N2)</w:t>
      </w:r>
      <w:r w:rsidR="00772930">
        <w:rPr>
          <w:lang w:eastAsia="en-US"/>
        </w:rPr>
        <w:t xml:space="preserve"> </w:t>
      </w:r>
      <w:r w:rsidR="00591318">
        <w:rPr>
          <w:rFonts w:cstheme="minorHAnsi"/>
        </w:rPr>
        <w:t xml:space="preserve">predominated nationally, accounting for an estimated </w:t>
      </w:r>
      <w:r w:rsidR="00E91D62">
        <w:rPr>
          <w:rFonts w:cstheme="minorHAnsi"/>
        </w:rPr>
        <w:t>83</w:t>
      </w:r>
      <w:r w:rsidR="000842D1">
        <w:rPr>
          <w:rFonts w:cstheme="minorHAnsi"/>
        </w:rPr>
        <w:t>% of notified laboratory-</w:t>
      </w:r>
      <w:r w:rsidR="00591318">
        <w:rPr>
          <w:rFonts w:cstheme="minorHAnsi"/>
        </w:rPr>
        <w:t xml:space="preserve">confirmed cases of influenza </w:t>
      </w:r>
      <w:r w:rsidR="00E91D62">
        <w:rPr>
          <w:rFonts w:cstheme="minorHAnsi"/>
        </w:rPr>
        <w:t>in 2019.</w:t>
      </w:r>
      <w:r w:rsidR="00591318">
        <w:rPr>
          <w:rFonts w:cstheme="minorHAnsi"/>
        </w:rPr>
        <w:t xml:space="preserve"> </w:t>
      </w:r>
    </w:p>
    <w:p w14:paraId="1A74EDF7" w14:textId="086D6BCC" w:rsidR="00D82720" w:rsidRPr="00525CDB" w:rsidRDefault="00D82720" w:rsidP="007655A0">
      <w:pPr>
        <w:pStyle w:val="ListBullet"/>
        <w:numPr>
          <w:ilvl w:val="0"/>
          <w:numId w:val="14"/>
        </w:numPr>
        <w:spacing w:after="0"/>
      </w:pPr>
      <w:r w:rsidRPr="00525CDB">
        <w:rPr>
          <w:rFonts w:cstheme="minorHAnsi"/>
          <w:b/>
        </w:rPr>
        <w:t>At</w:t>
      </w:r>
      <w:r w:rsidRPr="00525CDB">
        <w:rPr>
          <w:b/>
        </w:rPr>
        <w:t>-risk populations</w:t>
      </w:r>
      <w:r w:rsidR="00AD6E47" w:rsidRPr="00525CDB">
        <w:rPr>
          <w:rFonts w:cstheme="minorHAnsi"/>
        </w:rPr>
        <w:t xml:space="preserve"> –</w:t>
      </w:r>
      <w:r w:rsidR="00AD6E47">
        <w:rPr>
          <w:rFonts w:cstheme="minorHAnsi"/>
        </w:rPr>
        <w:t xml:space="preserve"> </w:t>
      </w:r>
      <w:r w:rsidR="00C46976" w:rsidRPr="00525CDB">
        <w:t xml:space="preserve">Children aged </w:t>
      </w:r>
      <w:r w:rsidR="00852FDC" w:rsidRPr="00525CDB">
        <w:t>less than</w:t>
      </w:r>
      <w:r w:rsidR="00C46976" w:rsidRPr="00525CDB">
        <w:t xml:space="preserve"> 10 years</w:t>
      </w:r>
      <w:r w:rsidRPr="00525CDB">
        <w:t xml:space="preserve"> </w:t>
      </w:r>
      <w:r w:rsidR="004129A9">
        <w:t>were</w:t>
      </w:r>
      <w:r w:rsidRPr="00525CDB">
        <w:t xml:space="preserve"> more commonly infected with </w:t>
      </w:r>
      <w:r w:rsidR="00852FDC" w:rsidRPr="00525CDB">
        <w:t>influenza;</w:t>
      </w:r>
      <w:r w:rsidRPr="00525CDB">
        <w:t xml:space="preserve"> however</w:t>
      </w:r>
      <w:r w:rsidR="00C20EFD">
        <w:t>,</w:t>
      </w:r>
      <w:r w:rsidRPr="00525CDB">
        <w:t xml:space="preserve"> the severity of illness i</w:t>
      </w:r>
      <w:r w:rsidR="00C46976" w:rsidRPr="00525CDB">
        <w:t xml:space="preserve">n this population </w:t>
      </w:r>
      <w:r w:rsidR="006579E2">
        <w:t>was</w:t>
      </w:r>
      <w:r w:rsidR="006579E2" w:rsidRPr="00525CDB">
        <w:t xml:space="preserve"> </w:t>
      </w:r>
      <w:r w:rsidR="00C46976" w:rsidRPr="00525CDB">
        <w:t xml:space="preserve">on par with other age-groups. </w:t>
      </w:r>
    </w:p>
    <w:p w14:paraId="29B6CEF4" w14:textId="605D9615" w:rsidR="000D74EE" w:rsidRPr="00FB4A09" w:rsidRDefault="00FB4A09" w:rsidP="00FB4A09">
      <w:pPr>
        <w:pStyle w:val="ListParagraph"/>
        <w:numPr>
          <w:ilvl w:val="0"/>
          <w:numId w:val="14"/>
        </w:numPr>
        <w:rPr>
          <w:rFonts w:cstheme="minorHAnsi"/>
          <w:b/>
          <w:szCs w:val="22"/>
        </w:rPr>
      </w:pPr>
      <w:r w:rsidRPr="00FB4A09">
        <w:rPr>
          <w:rFonts w:cstheme="minorHAnsi"/>
          <w:b/>
          <w:szCs w:val="22"/>
        </w:rPr>
        <w:t xml:space="preserve">Vaccine match and </w:t>
      </w:r>
      <w:r w:rsidRPr="00635001">
        <w:rPr>
          <w:rFonts w:cstheme="minorHAnsi"/>
          <w:b/>
          <w:szCs w:val="22"/>
        </w:rPr>
        <w:t xml:space="preserve">effectiveness </w:t>
      </w:r>
      <w:r w:rsidRPr="00635001">
        <w:rPr>
          <w:rFonts w:cstheme="minorHAnsi"/>
        </w:rPr>
        <w:t xml:space="preserve">– </w:t>
      </w:r>
      <w:r w:rsidR="00F81B85" w:rsidRPr="00635001">
        <w:rPr>
          <w:rFonts w:cstheme="minorHAnsi"/>
        </w:rPr>
        <w:t>Based</w:t>
      </w:r>
      <w:r w:rsidR="00F81B85" w:rsidRPr="00FB4A09">
        <w:rPr>
          <w:rFonts w:cstheme="minorHAnsi"/>
        </w:rPr>
        <w:t xml:space="preserve"> on</w:t>
      </w:r>
      <w:r w:rsidR="00591318" w:rsidRPr="00FB4A09">
        <w:rPr>
          <w:rFonts w:cstheme="minorHAnsi"/>
        </w:rPr>
        <w:t xml:space="preserve"> </w:t>
      </w:r>
      <w:r w:rsidR="00492394">
        <w:rPr>
          <w:rFonts w:cstheme="minorHAnsi"/>
        </w:rPr>
        <w:t>available</w:t>
      </w:r>
      <w:r w:rsidR="00492394" w:rsidRPr="00FB4A09">
        <w:rPr>
          <w:rFonts w:cstheme="minorHAnsi"/>
        </w:rPr>
        <w:t xml:space="preserve"> </w:t>
      </w:r>
      <w:r w:rsidR="00F81B85" w:rsidRPr="00FB4A09">
        <w:rPr>
          <w:rFonts w:cstheme="minorHAnsi"/>
        </w:rPr>
        <w:t xml:space="preserve">data, </w:t>
      </w:r>
      <w:r w:rsidR="00EE36B2" w:rsidRPr="00FB4A09">
        <w:rPr>
          <w:rFonts w:cstheme="minorHAnsi"/>
        </w:rPr>
        <w:t xml:space="preserve">vaccinated individuals were </w:t>
      </w:r>
      <w:r w:rsidR="00324DD2">
        <w:rPr>
          <w:rFonts w:cstheme="minorHAnsi"/>
        </w:rPr>
        <w:t>46</w:t>
      </w:r>
      <w:r w:rsidR="00EE36B2" w:rsidRPr="00FB4A09">
        <w:rPr>
          <w:rFonts w:cstheme="minorHAnsi"/>
        </w:rPr>
        <w:t xml:space="preserve">% less </w:t>
      </w:r>
      <w:r w:rsidR="00B87CAB" w:rsidRPr="00FB4A09">
        <w:rPr>
          <w:rFonts w:cstheme="minorHAnsi"/>
        </w:rPr>
        <w:t xml:space="preserve">likely to present to a </w:t>
      </w:r>
      <w:r w:rsidR="005311D4" w:rsidRPr="00FB4A09">
        <w:rPr>
          <w:rFonts w:cstheme="minorHAnsi"/>
        </w:rPr>
        <w:t>general practitioner (</w:t>
      </w:r>
      <w:r w:rsidR="00B87CAB" w:rsidRPr="00FB4A09">
        <w:rPr>
          <w:rFonts w:cstheme="minorHAnsi"/>
        </w:rPr>
        <w:t>GP</w:t>
      </w:r>
      <w:r w:rsidR="005311D4" w:rsidRPr="00FB4A09">
        <w:rPr>
          <w:rFonts w:cstheme="minorHAnsi"/>
        </w:rPr>
        <w:t>)</w:t>
      </w:r>
      <w:r>
        <w:rPr>
          <w:rFonts w:cstheme="minorHAnsi"/>
        </w:rPr>
        <w:t xml:space="preserve"> </w:t>
      </w:r>
      <w:r w:rsidR="00C20EFD">
        <w:rPr>
          <w:rFonts w:cstheme="minorHAnsi"/>
        </w:rPr>
        <w:t>with an ILI and test positive for influenza</w:t>
      </w:r>
      <w:r w:rsidR="00D43A11">
        <w:rPr>
          <w:rFonts w:cstheme="minorHAnsi"/>
        </w:rPr>
        <w:t>,</w:t>
      </w:r>
      <w:r w:rsidR="00C20EFD">
        <w:rPr>
          <w:rFonts w:cstheme="minorHAnsi"/>
        </w:rPr>
        <w:t xml:space="preserve"> </w:t>
      </w:r>
      <w:r>
        <w:rPr>
          <w:rFonts w:cstheme="minorHAnsi"/>
        </w:rPr>
        <w:t xml:space="preserve">and </w:t>
      </w:r>
      <w:r w:rsidR="00324DD2">
        <w:rPr>
          <w:rFonts w:cstheme="minorHAnsi"/>
        </w:rPr>
        <w:t>43</w:t>
      </w:r>
      <w:r w:rsidR="00EE36B2" w:rsidRPr="00FB4A09">
        <w:rPr>
          <w:rFonts w:cstheme="minorHAnsi"/>
        </w:rPr>
        <w:t xml:space="preserve">% less likely to be hospitalised </w:t>
      </w:r>
      <w:r w:rsidR="00F6111C" w:rsidRPr="00FB4A09">
        <w:rPr>
          <w:rFonts w:cstheme="minorHAnsi"/>
        </w:rPr>
        <w:t>due to</w:t>
      </w:r>
      <w:r w:rsidR="00EE36B2" w:rsidRPr="00FB4A09">
        <w:rPr>
          <w:rFonts w:cstheme="minorHAnsi"/>
        </w:rPr>
        <w:t xml:space="preserve"> influenza</w:t>
      </w:r>
      <w:r w:rsidR="0067091C" w:rsidRPr="00FB4A09">
        <w:rPr>
          <w:rFonts w:cstheme="minorHAnsi"/>
        </w:rPr>
        <w:t>, when compared to unvaccinated individuals</w:t>
      </w:r>
      <w:r w:rsidR="00EE36B2" w:rsidRPr="00FB4A09">
        <w:rPr>
          <w:rFonts w:cstheme="minorHAnsi"/>
        </w:rPr>
        <w:t>.</w:t>
      </w:r>
    </w:p>
    <w:p w14:paraId="42C99D40" w14:textId="77777777" w:rsidR="00B9019C" w:rsidRPr="00786884" w:rsidRDefault="00106E5C" w:rsidP="003D7034">
      <w:pPr>
        <w:pStyle w:val="Heading2"/>
      </w:pPr>
      <w:bookmarkStart w:id="1" w:name="_Toc512779016"/>
      <w:r w:rsidRPr="00786884">
        <w:t>ANALYSIS</w:t>
      </w:r>
      <w:bookmarkEnd w:id="1"/>
    </w:p>
    <w:p w14:paraId="7F09E02C" w14:textId="77777777" w:rsidR="008166F2" w:rsidRPr="00786884" w:rsidRDefault="008166F2" w:rsidP="008166F2">
      <w:pPr>
        <w:rPr>
          <w:i/>
          <w:sz w:val="2"/>
          <w:highlight w:val="yellow"/>
        </w:rPr>
      </w:pPr>
    </w:p>
    <w:p w14:paraId="2A6D812C" w14:textId="6EC2F1B6" w:rsidR="00B90090" w:rsidRPr="00786884" w:rsidRDefault="00B90090" w:rsidP="009E4A80">
      <w:pPr>
        <w:rPr>
          <w:sz w:val="2"/>
          <w:szCs w:val="2"/>
        </w:rPr>
      </w:pPr>
    </w:p>
    <w:p w14:paraId="4BA27A8A" w14:textId="77777777" w:rsidR="00B9019C" w:rsidRPr="00786884" w:rsidRDefault="00D13C3C" w:rsidP="00446E51">
      <w:pPr>
        <w:pStyle w:val="Heading3"/>
        <w:numPr>
          <w:ilvl w:val="0"/>
          <w:numId w:val="0"/>
        </w:numPr>
        <w:ind w:left="284" w:hanging="284"/>
      </w:pPr>
      <w:bookmarkStart w:id="2" w:name="_Toc512779017"/>
      <w:r w:rsidRPr="00786884">
        <w:t>Activity</w:t>
      </w:r>
      <w:bookmarkEnd w:id="2"/>
      <w:r w:rsidRPr="00786884">
        <w:t xml:space="preserve"> </w:t>
      </w:r>
    </w:p>
    <w:p w14:paraId="3F94D799" w14:textId="588F63B2" w:rsidR="0081688A" w:rsidRPr="00643535" w:rsidRDefault="00C20EFD" w:rsidP="00446E51">
      <w:pPr>
        <w:pStyle w:val="ListParagraph"/>
        <w:numPr>
          <w:ilvl w:val="0"/>
          <w:numId w:val="3"/>
        </w:numPr>
        <w:rPr>
          <w:lang w:eastAsia="en-US"/>
        </w:rPr>
      </w:pPr>
      <w:bookmarkStart w:id="3" w:name="_Ref494898776"/>
      <w:r>
        <w:rPr>
          <w:lang w:eastAsia="en-US"/>
        </w:rPr>
        <w:t>ILI</w:t>
      </w:r>
      <w:r w:rsidR="006579E2" w:rsidRPr="00643535">
        <w:rPr>
          <w:lang w:eastAsia="en-US"/>
        </w:rPr>
        <w:t xml:space="preserve"> </w:t>
      </w:r>
      <w:r w:rsidR="00446E51" w:rsidRPr="00643535">
        <w:rPr>
          <w:lang w:eastAsia="en-US"/>
        </w:rPr>
        <w:t xml:space="preserve">in the </w:t>
      </w:r>
      <w:r w:rsidR="003E1F73" w:rsidRPr="00643535">
        <w:rPr>
          <w:lang w:eastAsia="en-US"/>
        </w:rPr>
        <w:t>Australian community in the 2019</w:t>
      </w:r>
      <w:r w:rsidR="00446E51" w:rsidRPr="00643535">
        <w:rPr>
          <w:lang w:eastAsia="en-US"/>
        </w:rPr>
        <w:t xml:space="preserve"> influenza season was within the bounds of recent years</w:t>
      </w:r>
      <w:r w:rsidR="002D33E9" w:rsidRPr="00643535">
        <w:rPr>
          <w:lang w:eastAsia="en-US"/>
        </w:rPr>
        <w:t xml:space="preserve">, but </w:t>
      </w:r>
      <w:r>
        <w:rPr>
          <w:lang w:eastAsia="en-US"/>
        </w:rPr>
        <w:t xml:space="preserve">when </w:t>
      </w:r>
      <w:r w:rsidR="002D33E9" w:rsidRPr="00643535">
        <w:rPr>
          <w:lang w:eastAsia="en-US"/>
        </w:rPr>
        <w:t>compared with previous years</w:t>
      </w:r>
      <w:r>
        <w:rPr>
          <w:lang w:eastAsia="en-US"/>
        </w:rPr>
        <w:t>,</w:t>
      </w:r>
      <w:r w:rsidR="002D33E9" w:rsidRPr="00643535">
        <w:rPr>
          <w:lang w:eastAsia="en-US"/>
        </w:rPr>
        <w:t xml:space="preserve"> activity</w:t>
      </w:r>
      <w:r w:rsidR="00904A96">
        <w:rPr>
          <w:lang w:eastAsia="en-US"/>
        </w:rPr>
        <w:t xml:space="preserve"> </w:t>
      </w:r>
      <w:r w:rsidR="0057118A" w:rsidRPr="00643535">
        <w:rPr>
          <w:lang w:eastAsia="en-US"/>
        </w:rPr>
        <w:t xml:space="preserve">began </w:t>
      </w:r>
      <w:r w:rsidR="00DF302D" w:rsidRPr="00643535">
        <w:rPr>
          <w:lang w:eastAsia="en-US"/>
        </w:rPr>
        <w:t>substantially earlier in the year (</w:t>
      </w:r>
      <w:r w:rsidR="00AD6171">
        <w:rPr>
          <w:lang w:eastAsia="en-US"/>
        </w:rPr>
        <w:t xml:space="preserve">late </w:t>
      </w:r>
      <w:r w:rsidR="00DF302D" w:rsidRPr="00643535">
        <w:rPr>
          <w:lang w:eastAsia="en-US"/>
        </w:rPr>
        <w:t>April</w:t>
      </w:r>
      <w:r w:rsidR="00904A96">
        <w:rPr>
          <w:lang w:eastAsia="en-US"/>
        </w:rPr>
        <w:t xml:space="preserve"> compared </w:t>
      </w:r>
      <w:r w:rsidR="00D43A11">
        <w:rPr>
          <w:lang w:eastAsia="en-US"/>
        </w:rPr>
        <w:t>to</w:t>
      </w:r>
      <w:r w:rsidR="00904A96">
        <w:rPr>
          <w:lang w:eastAsia="en-US"/>
        </w:rPr>
        <w:t xml:space="preserve"> Jun</w:t>
      </w:r>
      <w:r w:rsidR="00AD6171">
        <w:rPr>
          <w:lang w:eastAsia="en-US"/>
        </w:rPr>
        <w:t>e</w:t>
      </w:r>
      <w:r w:rsidR="00904A96">
        <w:rPr>
          <w:lang w:eastAsia="en-US"/>
        </w:rPr>
        <w:t>/July</w:t>
      </w:r>
      <w:r w:rsidR="002D33E9" w:rsidRPr="00643535">
        <w:rPr>
          <w:lang w:eastAsia="en-US"/>
        </w:rPr>
        <w:t>)</w:t>
      </w:r>
      <w:r w:rsidR="0057118A" w:rsidRPr="00643535">
        <w:rPr>
          <w:lang w:eastAsia="en-US"/>
        </w:rPr>
        <w:t>,</w:t>
      </w:r>
      <w:r w:rsidR="00904A96">
        <w:rPr>
          <w:lang w:eastAsia="en-US"/>
        </w:rPr>
        <w:t xml:space="preserve"> </w:t>
      </w:r>
      <w:r w:rsidR="0057118A" w:rsidRPr="00643535">
        <w:rPr>
          <w:lang w:eastAsia="en-US"/>
        </w:rPr>
        <w:t xml:space="preserve">leading to a </w:t>
      </w:r>
      <w:r w:rsidR="00DF302D" w:rsidRPr="00643535">
        <w:rPr>
          <w:lang w:eastAsia="en-US"/>
        </w:rPr>
        <w:t>longer season that lasted</w:t>
      </w:r>
      <w:r w:rsidR="0057118A" w:rsidRPr="00643535">
        <w:rPr>
          <w:lang w:eastAsia="en-US"/>
        </w:rPr>
        <w:t xml:space="preserve"> just over six months.</w:t>
      </w:r>
    </w:p>
    <w:p w14:paraId="7A294269" w14:textId="111C2E85" w:rsidR="003D242D" w:rsidRDefault="000842D1" w:rsidP="00873390">
      <w:pPr>
        <w:pStyle w:val="ListParagraph"/>
        <w:numPr>
          <w:ilvl w:val="0"/>
          <w:numId w:val="3"/>
        </w:numPr>
      </w:pPr>
      <w:r>
        <w:t>ILI a</w:t>
      </w:r>
      <w:r w:rsidR="00DF302D">
        <w:t>ctivity</w:t>
      </w:r>
      <w:r>
        <w:t xml:space="preserve"> captured by </w:t>
      </w:r>
      <w:proofErr w:type="spellStart"/>
      <w:r>
        <w:t>FluTracking</w:t>
      </w:r>
      <w:proofErr w:type="spellEnd"/>
      <w:r w:rsidR="00DF302D">
        <w:t xml:space="preserve"> displayed an early rise from </w:t>
      </w:r>
      <w:r w:rsidR="00DF302D" w:rsidRPr="00420413">
        <w:t xml:space="preserve">May </w:t>
      </w:r>
      <w:r>
        <w:t xml:space="preserve">in </w:t>
      </w:r>
      <w:r w:rsidR="00887B8D" w:rsidRPr="00420413">
        <w:t>201</w:t>
      </w:r>
      <w:r w:rsidR="009359D0" w:rsidRPr="00420413">
        <w:t>9</w:t>
      </w:r>
      <w:r w:rsidR="00DF302D" w:rsidRPr="00420413">
        <w:t>, with</w:t>
      </w:r>
      <w:r w:rsidR="00DF302D">
        <w:t xml:space="preserve"> the peak of activity occurring two months earlier compared </w:t>
      </w:r>
      <w:r>
        <w:t>to</w:t>
      </w:r>
      <w:r w:rsidR="00DF302D">
        <w:t xml:space="preserve"> 2018</w:t>
      </w:r>
      <w:r w:rsidR="003D242D">
        <w:t xml:space="preserve">. ILI levels were above average in the </w:t>
      </w:r>
      <w:r w:rsidR="00D43A11">
        <w:t>beginning</w:t>
      </w:r>
      <w:r w:rsidR="003D242D">
        <w:t xml:space="preserve"> of the season (week 20 to week 27) but dropped to below the </w:t>
      </w:r>
      <w:proofErr w:type="gramStart"/>
      <w:r w:rsidR="002731A7">
        <w:t>5</w:t>
      </w:r>
      <w:r w:rsidR="003D242D">
        <w:t xml:space="preserve"> year</w:t>
      </w:r>
      <w:proofErr w:type="gramEnd"/>
      <w:r w:rsidR="003D242D">
        <w:t xml:space="preserve"> average from week 29 for the remainder of the season.  </w:t>
      </w:r>
    </w:p>
    <w:p w14:paraId="09E2B22C" w14:textId="30558A12" w:rsidR="00873390" w:rsidRPr="000E54CF" w:rsidRDefault="00887B8D" w:rsidP="00873390">
      <w:pPr>
        <w:pStyle w:val="ListParagraph"/>
        <w:numPr>
          <w:ilvl w:val="0"/>
          <w:numId w:val="3"/>
        </w:numPr>
      </w:pPr>
      <w:r w:rsidRPr="00DC7239">
        <w:t>In the</w:t>
      </w:r>
      <w:r w:rsidR="00446E51" w:rsidRPr="00DC7239">
        <w:t xml:space="preserve"> </w:t>
      </w:r>
      <w:r w:rsidR="00446E51" w:rsidRPr="00420413">
        <w:t xml:space="preserve">peak </w:t>
      </w:r>
      <w:r w:rsidR="00420413">
        <w:t>seven</w:t>
      </w:r>
      <w:r w:rsidRPr="00420413">
        <w:t xml:space="preserve"> weeks of </w:t>
      </w:r>
      <w:r w:rsidR="00873390" w:rsidRPr="00420413">
        <w:t>seasonal</w:t>
      </w:r>
      <w:r w:rsidR="00446E51" w:rsidRPr="00420413">
        <w:t xml:space="preserve"> activity</w:t>
      </w:r>
      <w:r w:rsidR="003D242D" w:rsidRPr="00420413">
        <w:t xml:space="preserve"> for </w:t>
      </w:r>
      <w:proofErr w:type="spellStart"/>
      <w:r w:rsidR="003D242D" w:rsidRPr="00420413">
        <w:t>Flutracking</w:t>
      </w:r>
      <w:proofErr w:type="spellEnd"/>
      <w:r w:rsidR="003D242D" w:rsidRPr="00420413">
        <w:t xml:space="preserve"> ILI</w:t>
      </w:r>
      <w:r w:rsidR="00446E51" w:rsidRPr="00420413">
        <w:t>,</w:t>
      </w:r>
      <w:r w:rsidR="00DC7239" w:rsidRPr="00420413">
        <w:t xml:space="preserve"> </w:t>
      </w:r>
      <w:r w:rsidR="003D242D" w:rsidRPr="00420413">
        <w:t>12</w:t>
      </w:r>
      <w:r w:rsidR="00DC7239" w:rsidRPr="00420413">
        <w:t xml:space="preserve">% of participants reported fever and cough, compared with </w:t>
      </w:r>
      <w:r w:rsidR="003D242D" w:rsidRPr="00420413">
        <w:t xml:space="preserve">the </w:t>
      </w:r>
      <w:proofErr w:type="gramStart"/>
      <w:r w:rsidR="002731A7">
        <w:t>5</w:t>
      </w:r>
      <w:r w:rsidR="003D242D" w:rsidRPr="00420413">
        <w:t xml:space="preserve"> year</w:t>
      </w:r>
      <w:proofErr w:type="gramEnd"/>
      <w:r w:rsidR="003D242D" w:rsidRPr="00420413">
        <w:t xml:space="preserve"> average of 11</w:t>
      </w:r>
      <w:r w:rsidR="00DC7239" w:rsidRPr="00420413">
        <w:t>%</w:t>
      </w:r>
      <w:r w:rsidR="00DC7239" w:rsidRPr="00420413">
        <w:rPr>
          <w:rFonts w:cstheme="minorHAnsi"/>
        </w:rPr>
        <w:t>.</w:t>
      </w:r>
      <w:bookmarkStart w:id="4" w:name="_Ref530642570"/>
      <w:r w:rsidR="00894BE7" w:rsidRPr="00420413">
        <w:rPr>
          <w:rStyle w:val="EndnoteReference"/>
          <w:rFonts w:asciiTheme="minorHAnsi" w:hAnsiTheme="minorHAnsi" w:cstheme="minorHAnsi"/>
          <w:vertAlign w:val="superscript"/>
        </w:rPr>
        <w:endnoteReference w:id="2"/>
      </w:r>
      <w:bookmarkEnd w:id="4"/>
    </w:p>
    <w:bookmarkEnd w:id="3"/>
    <w:p w14:paraId="17979F7B" w14:textId="1A527457" w:rsidR="0096512F" w:rsidRPr="0096512F" w:rsidRDefault="00873390" w:rsidP="00EE5383">
      <w:pPr>
        <w:pStyle w:val="ListParagraph"/>
        <w:numPr>
          <w:ilvl w:val="0"/>
          <w:numId w:val="3"/>
        </w:numPr>
        <w:spacing w:after="100"/>
        <w:rPr>
          <w:b/>
        </w:rPr>
      </w:pPr>
      <w:r>
        <w:t xml:space="preserve">Nationally, the average sentinel GP ILI consultation rate for the seasonal period </w:t>
      </w:r>
      <w:r w:rsidR="00F06692">
        <w:t>(9.2</w:t>
      </w:r>
      <w:r w:rsidR="00BC0273">
        <w:t xml:space="preserve"> per 1000 consultations</w:t>
      </w:r>
      <w:r w:rsidR="00B82A5E">
        <w:t xml:space="preserve">) was </w:t>
      </w:r>
      <w:r w:rsidR="00340F78">
        <w:t>slightly</w:t>
      </w:r>
      <w:r w:rsidR="00382018">
        <w:t xml:space="preserve"> </w:t>
      </w:r>
      <w:r w:rsidR="00F06692">
        <w:t xml:space="preserve">higher </w:t>
      </w:r>
      <w:r w:rsidR="00382018">
        <w:t xml:space="preserve">than the </w:t>
      </w:r>
      <w:proofErr w:type="gramStart"/>
      <w:r w:rsidR="002731A7">
        <w:t>5</w:t>
      </w:r>
      <w:r w:rsidR="00382018">
        <w:t xml:space="preserve"> year</w:t>
      </w:r>
      <w:proofErr w:type="gramEnd"/>
      <w:r w:rsidR="00382018">
        <w:t xml:space="preserve"> average for the </w:t>
      </w:r>
      <w:r w:rsidR="00BC0273">
        <w:t xml:space="preserve">same </w:t>
      </w:r>
      <w:r w:rsidR="00382018">
        <w:t>period</w:t>
      </w:r>
      <w:r w:rsidR="00F06692">
        <w:t xml:space="preserve"> (8.5</w:t>
      </w:r>
      <w:r w:rsidR="00B82A5E">
        <w:t xml:space="preserve"> </w:t>
      </w:r>
      <w:r w:rsidR="00BC0273">
        <w:t>per 1000 consultations)</w:t>
      </w:r>
      <w:r w:rsidR="00904A96">
        <w:t xml:space="preserve"> (</w:t>
      </w:r>
      <w:r w:rsidR="00904A96">
        <w:fldChar w:fldCharType="begin"/>
      </w:r>
      <w:r w:rsidR="00904A96">
        <w:instrText xml:space="preserve"> REF _Ref46698561 \h </w:instrText>
      </w:r>
      <w:r w:rsidR="00904A96">
        <w:fldChar w:fldCharType="separate"/>
      </w:r>
      <w:r w:rsidR="00130407">
        <w:t xml:space="preserve">Figure </w:t>
      </w:r>
      <w:r w:rsidR="00130407">
        <w:rPr>
          <w:noProof/>
        </w:rPr>
        <w:t>1</w:t>
      </w:r>
      <w:r w:rsidR="00904A96">
        <w:fldChar w:fldCharType="end"/>
      </w:r>
      <w:r w:rsidR="00904A96">
        <w:t>)</w:t>
      </w:r>
      <w:r w:rsidR="0096512F" w:rsidRPr="00894BE7">
        <w:rPr>
          <w:rFonts w:cstheme="minorHAnsi"/>
        </w:rPr>
        <w:t>.</w:t>
      </w:r>
      <w:bookmarkStart w:id="5" w:name="_Ref530642501"/>
      <w:r w:rsidR="00894BE7" w:rsidRPr="00894BE7">
        <w:rPr>
          <w:rStyle w:val="EndnoteReference"/>
          <w:rFonts w:asciiTheme="minorHAnsi" w:hAnsiTheme="minorHAnsi" w:cstheme="minorHAnsi"/>
          <w:vertAlign w:val="superscript"/>
        </w:rPr>
        <w:endnoteReference w:id="3"/>
      </w:r>
      <w:bookmarkEnd w:id="5"/>
      <w:r w:rsidR="00894BE7" w:rsidRPr="00894BE7">
        <w:rPr>
          <w:rFonts w:cstheme="minorHAnsi"/>
          <w:vertAlign w:val="superscript"/>
        </w:rPr>
        <w:t>,</w:t>
      </w:r>
      <w:r w:rsidR="00894BE7" w:rsidRPr="00894BE7">
        <w:rPr>
          <w:rStyle w:val="EndnoteReference"/>
          <w:rFonts w:asciiTheme="minorHAnsi" w:hAnsiTheme="minorHAnsi" w:cstheme="minorHAnsi"/>
          <w:vertAlign w:val="superscript"/>
        </w:rPr>
        <w:endnoteReference w:id="4"/>
      </w:r>
    </w:p>
    <w:p w14:paraId="0D4A5B12" w14:textId="4D6F01C3" w:rsidR="00DC7239" w:rsidRPr="00635001" w:rsidRDefault="00F12B13" w:rsidP="00DC7239">
      <w:pPr>
        <w:pStyle w:val="ListParagraph"/>
        <w:keepNext/>
        <w:numPr>
          <w:ilvl w:val="0"/>
          <w:numId w:val="3"/>
        </w:numPr>
      </w:pPr>
      <w:r>
        <w:t>T</w:t>
      </w:r>
      <w:r w:rsidR="00340F78" w:rsidRPr="00635001">
        <w:t xml:space="preserve">here were </w:t>
      </w:r>
      <w:r w:rsidR="00340F78" w:rsidRPr="00FB1447">
        <w:t>313,</w:t>
      </w:r>
      <w:r w:rsidR="00FB1447" w:rsidRPr="00FB1447">
        <w:t>033</w:t>
      </w:r>
      <w:r w:rsidR="00D43A11">
        <w:t xml:space="preserve"> notifications of laboratory-</w:t>
      </w:r>
      <w:r w:rsidR="009D65B5" w:rsidRPr="00635001">
        <w:t>confirmed influenza to the National Notifiable Diseases Sur</w:t>
      </w:r>
      <w:r w:rsidR="00340F78" w:rsidRPr="00635001">
        <w:t>veillance System (NNDSS) in 2019</w:t>
      </w:r>
      <w:r w:rsidR="009D65B5" w:rsidRPr="00635001">
        <w:t>, which</w:t>
      </w:r>
      <w:r w:rsidR="00340F78" w:rsidRPr="00635001">
        <w:t xml:space="preserve"> </w:t>
      </w:r>
      <w:r w:rsidR="005444FF">
        <w:t xml:space="preserve">is </w:t>
      </w:r>
      <w:r w:rsidR="00705D6C">
        <w:t>2.7 times higher than the</w:t>
      </w:r>
      <w:r w:rsidR="00340F78" w:rsidRPr="00635001">
        <w:t xml:space="preserve"> </w:t>
      </w:r>
      <w:proofErr w:type="gramStart"/>
      <w:r w:rsidR="00635001" w:rsidRPr="00635001">
        <w:t>5 year</w:t>
      </w:r>
      <w:proofErr w:type="gramEnd"/>
      <w:r w:rsidR="00635001" w:rsidRPr="00635001">
        <w:t xml:space="preserve"> average (113,861.2</w:t>
      </w:r>
      <w:r w:rsidR="00DC7239" w:rsidRPr="00635001">
        <w:t>).</w:t>
      </w:r>
      <w:bookmarkStart w:id="6" w:name="_Ref530642650"/>
      <w:r w:rsidR="00894BE7" w:rsidRPr="00635001">
        <w:rPr>
          <w:rStyle w:val="EndnoteReference"/>
          <w:rFonts w:asciiTheme="minorHAnsi" w:hAnsiTheme="minorHAnsi" w:cstheme="minorHAnsi"/>
          <w:vertAlign w:val="superscript"/>
        </w:rPr>
        <w:endnoteReference w:id="5"/>
      </w:r>
      <w:bookmarkEnd w:id="6"/>
    </w:p>
    <w:p w14:paraId="40068944" w14:textId="5ECBAD6B" w:rsidR="00DC7239" w:rsidRPr="00FA550B" w:rsidRDefault="00EB6172" w:rsidP="00DC7239">
      <w:pPr>
        <w:pStyle w:val="ListParagraph"/>
        <w:keepNext/>
        <w:numPr>
          <w:ilvl w:val="0"/>
          <w:numId w:val="3"/>
        </w:numPr>
      </w:pPr>
      <w:r>
        <w:rPr>
          <w:rFonts w:cstheme="minorHAnsi"/>
        </w:rPr>
        <w:t>There were 3,913 a</w:t>
      </w:r>
      <w:r w:rsidR="00DC7239" w:rsidRPr="00FA550B">
        <w:rPr>
          <w:rFonts w:cstheme="minorHAnsi"/>
        </w:rPr>
        <w:t>dmission</w:t>
      </w:r>
      <w:r w:rsidR="00D43A11">
        <w:rPr>
          <w:rFonts w:cstheme="minorHAnsi"/>
        </w:rPr>
        <w:t>s</w:t>
      </w:r>
      <w:r w:rsidR="00DC7239" w:rsidRPr="00FA550B">
        <w:rPr>
          <w:rFonts w:cstheme="minorHAnsi"/>
        </w:rPr>
        <w:t xml:space="preserve"> with confirmed influen</w:t>
      </w:r>
      <w:r w:rsidR="00635001" w:rsidRPr="00FA550B">
        <w:rPr>
          <w:rFonts w:cstheme="minorHAnsi"/>
        </w:rPr>
        <w:t>za to sentinel hospitals in 2019</w:t>
      </w:r>
      <w:r>
        <w:rPr>
          <w:rFonts w:cstheme="minorHAnsi"/>
        </w:rPr>
        <w:t xml:space="preserve"> (</w:t>
      </w:r>
      <w:r w:rsidR="000842D1">
        <w:rPr>
          <w:rFonts w:cstheme="minorHAnsi"/>
        </w:rPr>
        <w:t>1 April</w:t>
      </w:r>
      <w:r>
        <w:rPr>
          <w:rFonts w:cstheme="minorHAnsi"/>
        </w:rPr>
        <w:t xml:space="preserve"> to 6 October), which was </w:t>
      </w:r>
      <w:r w:rsidR="00D43A11">
        <w:rPr>
          <w:rFonts w:cstheme="minorHAnsi"/>
        </w:rPr>
        <w:t>h</w:t>
      </w:r>
      <w:r w:rsidR="009D7BA0">
        <w:rPr>
          <w:rFonts w:cstheme="minorHAnsi"/>
        </w:rPr>
        <w:t xml:space="preserve">igher </w:t>
      </w:r>
      <w:r w:rsidR="000842D1">
        <w:rPr>
          <w:rFonts w:cstheme="minorHAnsi"/>
        </w:rPr>
        <w:t xml:space="preserve">when </w:t>
      </w:r>
      <w:r w:rsidR="000644C0">
        <w:rPr>
          <w:rFonts w:cstheme="minorHAnsi"/>
        </w:rPr>
        <w:t>compared</w:t>
      </w:r>
      <w:r w:rsidR="003D1CC9">
        <w:rPr>
          <w:rFonts w:cstheme="minorHAnsi"/>
        </w:rPr>
        <w:t xml:space="preserve"> </w:t>
      </w:r>
      <w:r w:rsidR="000842D1">
        <w:rPr>
          <w:rFonts w:cstheme="minorHAnsi"/>
        </w:rPr>
        <w:t>to</w:t>
      </w:r>
      <w:r w:rsidR="003D1CC9">
        <w:rPr>
          <w:rFonts w:cstheme="minorHAnsi"/>
        </w:rPr>
        <w:t xml:space="preserve"> the </w:t>
      </w:r>
      <w:bookmarkStart w:id="7" w:name="_Ref516587375"/>
      <w:proofErr w:type="gramStart"/>
      <w:r w:rsidR="00894BE7" w:rsidRPr="00FA550B">
        <w:rPr>
          <w:rFonts w:cstheme="minorHAnsi"/>
        </w:rPr>
        <w:t>5 year</w:t>
      </w:r>
      <w:proofErr w:type="gramEnd"/>
      <w:r w:rsidR="00894BE7" w:rsidRPr="00FA550B">
        <w:rPr>
          <w:rFonts w:cstheme="minorHAnsi"/>
        </w:rPr>
        <w:t xml:space="preserve"> average.</w:t>
      </w:r>
      <w:bookmarkStart w:id="8" w:name="_Ref530642589"/>
      <w:r w:rsidR="00894BE7" w:rsidRPr="00FA550B">
        <w:rPr>
          <w:rStyle w:val="EndnoteReference"/>
          <w:vertAlign w:val="superscript"/>
        </w:rPr>
        <w:endnoteReference w:id="6"/>
      </w:r>
      <w:bookmarkEnd w:id="8"/>
    </w:p>
    <w:bookmarkEnd w:id="7"/>
    <w:p w14:paraId="47D85FDF" w14:textId="4E8391CC" w:rsidR="0091357D" w:rsidRPr="00A5019E" w:rsidRDefault="0091357D" w:rsidP="0091357D">
      <w:pPr>
        <w:pStyle w:val="ListParagraph"/>
        <w:numPr>
          <w:ilvl w:val="0"/>
          <w:numId w:val="3"/>
        </w:numPr>
        <w:spacing w:after="100"/>
        <w:rPr>
          <w:b/>
        </w:rPr>
      </w:pPr>
      <w:r w:rsidRPr="00A5019E">
        <w:t>Influenza circulated</w:t>
      </w:r>
      <w:r w:rsidR="00FA550B">
        <w:t xml:space="preserve"> at high</w:t>
      </w:r>
      <w:r w:rsidRPr="00A5019E">
        <w:t xml:space="preserve"> levels</w:t>
      </w:r>
      <w:r w:rsidR="00FA550B">
        <w:t xml:space="preserve"> throughout the 2019 </w:t>
      </w:r>
      <w:r w:rsidRPr="00A5019E">
        <w:t>season.  For the seasona</w:t>
      </w:r>
      <w:r w:rsidR="00643535">
        <w:t>l period, 34</w:t>
      </w:r>
      <w:r w:rsidRPr="00A5019E">
        <w:t xml:space="preserve">% of patients presenting to sentinel GPs with ILI tested positive for influenza. </w:t>
      </w:r>
      <w:r w:rsidR="001772C9" w:rsidRPr="00A5019E">
        <w:rPr>
          <w:vertAlign w:val="superscript"/>
        </w:rPr>
        <w:fldChar w:fldCharType="begin"/>
      </w:r>
      <w:r w:rsidR="001772C9" w:rsidRPr="00A5019E">
        <w:rPr>
          <w:vertAlign w:val="superscript"/>
        </w:rPr>
        <w:instrText xml:space="preserve"> NOTEREF _Ref530642501 \h  \* MERGEFORMAT </w:instrText>
      </w:r>
      <w:r w:rsidR="001772C9" w:rsidRPr="00A5019E">
        <w:rPr>
          <w:vertAlign w:val="superscript"/>
        </w:rPr>
      </w:r>
      <w:r w:rsidR="001772C9" w:rsidRPr="00A5019E">
        <w:rPr>
          <w:vertAlign w:val="superscript"/>
        </w:rPr>
        <w:fldChar w:fldCharType="separate"/>
      </w:r>
      <w:r w:rsidR="00130407">
        <w:rPr>
          <w:vertAlign w:val="superscript"/>
        </w:rPr>
        <w:t>2</w:t>
      </w:r>
      <w:r w:rsidR="001772C9" w:rsidRPr="00A5019E">
        <w:rPr>
          <w:vertAlign w:val="superscript"/>
        </w:rPr>
        <w:fldChar w:fldCharType="end"/>
      </w:r>
    </w:p>
    <w:p w14:paraId="3CB8D52C" w14:textId="70E6F334" w:rsidR="00176544" w:rsidRPr="00A5019E" w:rsidRDefault="00176544" w:rsidP="00C1204F">
      <w:pPr>
        <w:pStyle w:val="ListParagraph"/>
        <w:spacing w:after="100"/>
        <w:ind w:left="417"/>
        <w:rPr>
          <w:b/>
        </w:rPr>
      </w:pPr>
    </w:p>
    <w:p w14:paraId="61628976" w14:textId="77777777" w:rsidR="00BC308F" w:rsidRDefault="00BC308F">
      <w:r>
        <w:br w:type="page"/>
      </w:r>
    </w:p>
    <w:p w14:paraId="4A4A715C" w14:textId="5A9B4C59" w:rsidR="009D65B5" w:rsidRPr="0091357D" w:rsidRDefault="00904A96" w:rsidP="00904A96">
      <w:pPr>
        <w:pStyle w:val="Caption"/>
      </w:pPr>
      <w:bookmarkStart w:id="9" w:name="_Ref46698561"/>
      <w:r>
        <w:lastRenderedPageBreak/>
        <w:t xml:space="preserve">Figure </w:t>
      </w:r>
      <w:fldSimple w:instr=" SEQ Figure \* ARABIC ">
        <w:r w:rsidR="00130407">
          <w:rPr>
            <w:noProof/>
          </w:rPr>
          <w:t>1</w:t>
        </w:r>
      </w:fldSimple>
      <w:bookmarkEnd w:id="9"/>
      <w:r w:rsidR="0091357D" w:rsidRPr="0091357D">
        <w:t>. ILI presentations to sentinel general practitioner</w:t>
      </w:r>
      <w:r w:rsidR="00D85CBE">
        <w:t>s</w:t>
      </w:r>
      <w:r w:rsidR="0091357D" w:rsidRPr="0091357D">
        <w:t xml:space="preserve">, by week, </w:t>
      </w:r>
      <w:r w:rsidR="000D23B6">
        <w:t>200</w:t>
      </w:r>
      <w:r w:rsidR="00221E19">
        <w:t>9, 201</w:t>
      </w:r>
      <w:r w:rsidR="00C90B6F">
        <w:t>4</w:t>
      </w:r>
      <w:r w:rsidR="00221E19">
        <w:t>-</w:t>
      </w:r>
      <w:r w:rsidR="000D23B6">
        <w:t>2019</w:t>
      </w:r>
      <w:r w:rsidR="0091357D" w:rsidRPr="0091357D">
        <w:t xml:space="preserve"> Australia</w:t>
      </w:r>
    </w:p>
    <w:p w14:paraId="628117B3" w14:textId="041402C0" w:rsidR="0091357D" w:rsidRDefault="0091357D" w:rsidP="0091357D">
      <w:pPr>
        <w:pStyle w:val="ListParagraph"/>
        <w:ind w:left="417"/>
        <w:jc w:val="center"/>
      </w:pPr>
    </w:p>
    <w:p w14:paraId="0D3B5484" w14:textId="6FAC78C4" w:rsidR="000D23B6" w:rsidRDefault="00962C93" w:rsidP="0091357D">
      <w:pPr>
        <w:pStyle w:val="ListParagraph"/>
        <w:ind w:left="417"/>
        <w:jc w:val="center"/>
      </w:pPr>
      <w:r>
        <w:rPr>
          <w:noProof/>
          <w:lang w:val="en-US" w:eastAsia="en-US"/>
        </w:rPr>
        <w:drawing>
          <wp:inline distT="0" distB="0" distL="0" distR="0" wp14:anchorId="5206B67D" wp14:editId="0572BA99">
            <wp:extent cx="4511615" cy="2715916"/>
            <wp:effectExtent l="0" t="0" r="3810" b="8255"/>
            <wp:docPr id="4" name="Picture 4" descr="Figure 1. ILI presentations to sentinel general practitioners, by week, 2009, 2014-2019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ILI presentations to sentinel general practitioners, by week, 2009, 2014-2019 Austral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6356" cy="2724790"/>
                    </a:xfrm>
                    <a:prstGeom prst="rect">
                      <a:avLst/>
                    </a:prstGeom>
                    <a:noFill/>
                  </pic:spPr>
                </pic:pic>
              </a:graphicData>
            </a:graphic>
          </wp:inline>
        </w:drawing>
      </w:r>
    </w:p>
    <w:p w14:paraId="08957F16" w14:textId="3E52D2A2" w:rsidR="00C22E9B" w:rsidRPr="001724BC" w:rsidRDefault="00C22E9B" w:rsidP="00446E51">
      <w:pPr>
        <w:pStyle w:val="Heading3"/>
        <w:numPr>
          <w:ilvl w:val="0"/>
          <w:numId w:val="0"/>
        </w:numPr>
        <w:ind w:left="284" w:hanging="284"/>
      </w:pPr>
      <w:bookmarkStart w:id="10" w:name="_Toc512779026"/>
      <w:r w:rsidRPr="001724BC">
        <w:t xml:space="preserve">Impact </w:t>
      </w:r>
      <w:bookmarkEnd w:id="10"/>
    </w:p>
    <w:p w14:paraId="2F1667B5" w14:textId="3DEB6D1F" w:rsidR="0075526E" w:rsidRPr="00635001" w:rsidRDefault="0075526E" w:rsidP="00EF7F14">
      <w:pPr>
        <w:pStyle w:val="ListParagraph"/>
        <w:numPr>
          <w:ilvl w:val="0"/>
          <w:numId w:val="4"/>
        </w:numPr>
        <w:rPr>
          <w:color w:val="000000" w:themeColor="text1"/>
        </w:rPr>
      </w:pPr>
      <w:r w:rsidRPr="00635001">
        <w:rPr>
          <w:color w:val="000000" w:themeColor="text1"/>
        </w:rPr>
        <w:t xml:space="preserve">The </w:t>
      </w:r>
      <w:r w:rsidR="00825116">
        <w:rPr>
          <w:color w:val="000000" w:themeColor="text1"/>
        </w:rPr>
        <w:t>extended</w:t>
      </w:r>
      <w:r w:rsidR="0057118A" w:rsidRPr="00635001">
        <w:rPr>
          <w:color w:val="000000" w:themeColor="text1"/>
        </w:rPr>
        <w:t xml:space="preserve"> </w:t>
      </w:r>
      <w:r w:rsidRPr="00635001">
        <w:rPr>
          <w:color w:val="000000" w:themeColor="text1"/>
        </w:rPr>
        <w:t>level of activity in the</w:t>
      </w:r>
      <w:r w:rsidR="000842D1">
        <w:rPr>
          <w:color w:val="000000" w:themeColor="text1"/>
        </w:rPr>
        <w:t xml:space="preserve"> community in 2019</w:t>
      </w:r>
      <w:r w:rsidR="00884B65" w:rsidRPr="00635001">
        <w:rPr>
          <w:color w:val="000000" w:themeColor="text1"/>
        </w:rPr>
        <w:t xml:space="preserve"> led to circulating influenza having a</w:t>
      </w:r>
      <w:r w:rsidR="001C6598" w:rsidRPr="00635001">
        <w:rPr>
          <w:color w:val="000000" w:themeColor="text1"/>
        </w:rPr>
        <w:t xml:space="preserve"> </w:t>
      </w:r>
      <w:r w:rsidR="0057118A" w:rsidRPr="00635001">
        <w:rPr>
          <w:color w:val="000000" w:themeColor="text1"/>
        </w:rPr>
        <w:t>high</w:t>
      </w:r>
      <w:r w:rsidR="001C6598" w:rsidRPr="00635001">
        <w:rPr>
          <w:color w:val="000000" w:themeColor="text1"/>
        </w:rPr>
        <w:t xml:space="preserve"> level of impact on </w:t>
      </w:r>
      <w:r w:rsidR="00884B65" w:rsidRPr="00635001">
        <w:rPr>
          <w:color w:val="000000" w:themeColor="text1"/>
        </w:rPr>
        <w:t>society and</w:t>
      </w:r>
      <w:r w:rsidR="001C6598" w:rsidRPr="00635001">
        <w:rPr>
          <w:color w:val="000000" w:themeColor="text1"/>
        </w:rPr>
        <w:t xml:space="preserve"> the healthcare system.</w:t>
      </w:r>
      <w:r w:rsidR="0057118A" w:rsidRPr="00635001">
        <w:rPr>
          <w:color w:val="000000" w:themeColor="text1"/>
        </w:rPr>
        <w:t xml:space="preserve"> </w:t>
      </w:r>
    </w:p>
    <w:p w14:paraId="722ACCFA" w14:textId="517E9FA9" w:rsidR="00746940" w:rsidRPr="00267ADA" w:rsidRDefault="00F14355" w:rsidP="002F1146">
      <w:pPr>
        <w:pStyle w:val="ListParagraph"/>
        <w:numPr>
          <w:ilvl w:val="0"/>
          <w:numId w:val="4"/>
        </w:numPr>
        <w:rPr>
          <w:color w:val="000000" w:themeColor="text1"/>
        </w:rPr>
      </w:pPr>
      <w:r w:rsidRPr="00267ADA">
        <w:rPr>
          <w:rFonts w:cstheme="minorHAnsi"/>
        </w:rPr>
        <w:t>In 2019</w:t>
      </w:r>
      <w:r w:rsidR="00884B65" w:rsidRPr="00267ADA">
        <w:rPr>
          <w:rFonts w:cstheme="minorHAnsi"/>
        </w:rPr>
        <w:t xml:space="preserve">, </w:t>
      </w:r>
      <w:r w:rsidR="00A05DA9" w:rsidRPr="00267ADA">
        <w:rPr>
          <w:rFonts w:cstheme="minorHAnsi"/>
        </w:rPr>
        <w:t>57</w:t>
      </w:r>
      <w:r w:rsidR="00AF45CE" w:rsidRPr="00267ADA">
        <w:rPr>
          <w:rFonts w:cstheme="minorHAnsi"/>
        </w:rPr>
        <w:t>% of hospital beds available in</w:t>
      </w:r>
      <w:r w:rsidR="002F1146">
        <w:rPr>
          <w:rFonts w:cstheme="minorHAnsi"/>
        </w:rPr>
        <w:t xml:space="preserve"> </w:t>
      </w:r>
      <w:r w:rsidR="002F1146" w:rsidRPr="002F1146">
        <w:rPr>
          <w:rFonts w:cstheme="minorHAnsi"/>
        </w:rPr>
        <w:t>Influenza Complications Alert Network</w:t>
      </w:r>
      <w:r w:rsidR="00AF45CE" w:rsidRPr="00267ADA">
        <w:rPr>
          <w:rFonts w:cstheme="minorHAnsi"/>
        </w:rPr>
        <w:t xml:space="preserve"> </w:t>
      </w:r>
      <w:r w:rsidR="002F1146">
        <w:rPr>
          <w:rFonts w:cstheme="minorHAnsi"/>
        </w:rPr>
        <w:t>(</w:t>
      </w:r>
      <w:proofErr w:type="spellStart"/>
      <w:r w:rsidR="00AF45CE" w:rsidRPr="00267ADA">
        <w:rPr>
          <w:rFonts w:cstheme="minorHAnsi"/>
        </w:rPr>
        <w:t>FluCAN</w:t>
      </w:r>
      <w:proofErr w:type="spellEnd"/>
      <w:r w:rsidR="002F1146">
        <w:rPr>
          <w:rFonts w:cstheme="minorHAnsi"/>
        </w:rPr>
        <w:t>)</w:t>
      </w:r>
      <w:r w:rsidR="00AF45CE" w:rsidRPr="00267ADA">
        <w:rPr>
          <w:rFonts w:cstheme="minorHAnsi"/>
        </w:rPr>
        <w:t xml:space="preserve"> </w:t>
      </w:r>
      <w:r w:rsidR="005444FF">
        <w:rPr>
          <w:rFonts w:cstheme="minorHAnsi"/>
        </w:rPr>
        <w:t xml:space="preserve">sentinel </w:t>
      </w:r>
      <w:r w:rsidR="00AF45CE" w:rsidRPr="00267ADA">
        <w:rPr>
          <w:rFonts w:cstheme="minorHAnsi"/>
        </w:rPr>
        <w:t>hospitals were occupied by patients with confirmed influenza. This is a</w:t>
      </w:r>
      <w:r w:rsidR="002D33E9" w:rsidRPr="00267ADA">
        <w:rPr>
          <w:rFonts w:cstheme="minorHAnsi"/>
        </w:rPr>
        <w:t xml:space="preserve"> higher l</w:t>
      </w:r>
      <w:r w:rsidR="001C6598" w:rsidRPr="00267ADA">
        <w:rPr>
          <w:rFonts w:cstheme="minorHAnsi"/>
        </w:rPr>
        <w:t>evel of impact when compared to temporal trends</w:t>
      </w:r>
      <w:r w:rsidR="000D23B6" w:rsidRPr="00267ADA">
        <w:rPr>
          <w:rFonts w:cstheme="minorHAnsi"/>
        </w:rPr>
        <w:t xml:space="preserve"> (</w:t>
      </w:r>
      <w:proofErr w:type="gramStart"/>
      <w:r w:rsidR="000D23B6" w:rsidRPr="00267ADA">
        <w:rPr>
          <w:rFonts w:cstheme="minorHAnsi"/>
        </w:rPr>
        <w:t>5 year</w:t>
      </w:r>
      <w:proofErr w:type="gramEnd"/>
      <w:r w:rsidR="000D23B6" w:rsidRPr="00267ADA">
        <w:rPr>
          <w:rFonts w:cstheme="minorHAnsi"/>
        </w:rPr>
        <w:t xml:space="preserve"> average of</w:t>
      </w:r>
      <w:r w:rsidR="00884B65" w:rsidRPr="00267ADA">
        <w:rPr>
          <w:rFonts w:cstheme="minorHAnsi"/>
        </w:rPr>
        <w:t xml:space="preserve"> 32%)</w:t>
      </w:r>
      <w:r w:rsidR="005B022A" w:rsidRPr="00267ADA">
        <w:rPr>
          <w:rFonts w:cstheme="minorHAnsi"/>
        </w:rPr>
        <w:t>.</w:t>
      </w:r>
      <w:r w:rsidR="001772C9" w:rsidRPr="00267ADA">
        <w:rPr>
          <w:rFonts w:cstheme="minorHAnsi"/>
          <w:vertAlign w:val="superscript"/>
        </w:rPr>
        <w:fldChar w:fldCharType="begin"/>
      </w:r>
      <w:r w:rsidR="001772C9" w:rsidRPr="00267ADA">
        <w:rPr>
          <w:rFonts w:cstheme="minorHAnsi"/>
          <w:vertAlign w:val="superscript"/>
        </w:rPr>
        <w:instrText xml:space="preserve"> NOTEREF _Ref530642589 \h  \* MERGEFORMAT </w:instrText>
      </w:r>
      <w:r w:rsidR="001772C9" w:rsidRPr="00267ADA">
        <w:rPr>
          <w:rFonts w:cstheme="minorHAnsi"/>
          <w:vertAlign w:val="superscript"/>
        </w:rPr>
      </w:r>
      <w:r w:rsidR="001772C9" w:rsidRPr="00267ADA">
        <w:rPr>
          <w:rFonts w:cstheme="minorHAnsi"/>
          <w:vertAlign w:val="superscript"/>
        </w:rPr>
        <w:fldChar w:fldCharType="separate"/>
      </w:r>
      <w:r w:rsidR="00130407">
        <w:rPr>
          <w:rFonts w:cstheme="minorHAnsi"/>
          <w:vertAlign w:val="superscript"/>
        </w:rPr>
        <w:t>5</w:t>
      </w:r>
      <w:r w:rsidR="001772C9" w:rsidRPr="00267ADA">
        <w:rPr>
          <w:rFonts w:cstheme="minorHAnsi"/>
          <w:vertAlign w:val="superscript"/>
        </w:rPr>
        <w:fldChar w:fldCharType="end"/>
      </w:r>
      <w:r w:rsidR="00884B65" w:rsidRPr="00267ADA">
        <w:rPr>
          <w:rFonts w:cstheme="minorHAnsi"/>
        </w:rPr>
        <w:t xml:space="preserve"> </w:t>
      </w:r>
    </w:p>
    <w:p w14:paraId="472206A2" w14:textId="52F7744B" w:rsidR="00BE0E8C" w:rsidRPr="000842D1" w:rsidRDefault="00BE0E8C" w:rsidP="00BE0E8C">
      <w:pPr>
        <w:pStyle w:val="ListParagraph"/>
        <w:numPr>
          <w:ilvl w:val="0"/>
          <w:numId w:val="4"/>
        </w:numPr>
        <w:rPr>
          <w:color w:val="000000" w:themeColor="text1"/>
        </w:rPr>
      </w:pPr>
      <w:r w:rsidRPr="00267ADA">
        <w:t xml:space="preserve">Based on the ratio of beds in sentinel hospitals to the number of hospital beds nationally, there </w:t>
      </w:r>
      <w:r w:rsidR="006579E2" w:rsidRPr="00267ADA">
        <w:t>were</w:t>
      </w:r>
      <w:r w:rsidRPr="00267ADA">
        <w:t xml:space="preserve"> an estimated </w:t>
      </w:r>
      <w:r w:rsidR="00EB6172">
        <w:t>30,000</w:t>
      </w:r>
      <w:r w:rsidRPr="00267ADA">
        <w:t xml:space="preserve"> admissions with confirmed influenza in Australia</w:t>
      </w:r>
      <w:r w:rsidR="000842D1">
        <w:t xml:space="preserve"> throughout</w:t>
      </w:r>
      <w:r w:rsidR="00EB6172">
        <w:t xml:space="preserve"> the</w:t>
      </w:r>
      <w:r w:rsidR="00F14355" w:rsidRPr="00267ADA">
        <w:t> 2019</w:t>
      </w:r>
      <w:r w:rsidR="00EB6172">
        <w:t xml:space="preserve"> influenza season</w:t>
      </w:r>
      <w:r w:rsidRPr="00267ADA">
        <w:t>.</w:t>
      </w:r>
    </w:p>
    <w:p w14:paraId="2AFDE53F" w14:textId="58C03013" w:rsidR="000842D1" w:rsidRPr="000842D1" w:rsidRDefault="000842D1" w:rsidP="000842D1">
      <w:pPr>
        <w:pStyle w:val="ListParagraph"/>
        <w:numPr>
          <w:ilvl w:val="0"/>
          <w:numId w:val="4"/>
        </w:numPr>
        <w:rPr>
          <w:color w:val="000000" w:themeColor="text1"/>
        </w:rPr>
      </w:pPr>
      <w:r w:rsidRPr="000D23B6">
        <w:rPr>
          <w:color w:val="000000" w:themeColor="text1"/>
        </w:rPr>
        <w:t xml:space="preserve">In the 2019 seasonal period, 27.9% of </w:t>
      </w:r>
      <w:proofErr w:type="spellStart"/>
      <w:r w:rsidRPr="000D23B6">
        <w:rPr>
          <w:rFonts w:cstheme="minorHAnsi"/>
        </w:rPr>
        <w:t>Flutrac</w:t>
      </w:r>
      <w:r>
        <w:rPr>
          <w:rFonts w:cstheme="minorHAnsi"/>
        </w:rPr>
        <w:t>king</w:t>
      </w:r>
      <w:proofErr w:type="spellEnd"/>
      <w:r>
        <w:rPr>
          <w:rFonts w:cstheme="minorHAnsi"/>
        </w:rPr>
        <w:t xml:space="preserve"> survey respondents reported</w:t>
      </w:r>
      <w:r w:rsidRPr="000D23B6">
        <w:rPr>
          <w:rFonts w:cstheme="minorHAnsi"/>
        </w:rPr>
        <w:t xml:space="preserve"> having ILI and taking time off regular duties while unwell, which</w:t>
      </w:r>
      <w:r>
        <w:rPr>
          <w:rFonts w:cstheme="minorHAnsi"/>
        </w:rPr>
        <w:t xml:space="preserve"> was slightly </w:t>
      </w:r>
      <w:r w:rsidRPr="000D23B6">
        <w:rPr>
          <w:rFonts w:cstheme="minorHAnsi"/>
        </w:rPr>
        <w:t xml:space="preserve">below the </w:t>
      </w:r>
      <w:proofErr w:type="gramStart"/>
      <w:r w:rsidR="002731A7">
        <w:rPr>
          <w:rFonts w:cstheme="minorHAnsi"/>
        </w:rPr>
        <w:t>5</w:t>
      </w:r>
      <w:r w:rsidRPr="000D23B6">
        <w:rPr>
          <w:rFonts w:cstheme="minorHAnsi"/>
        </w:rPr>
        <w:t xml:space="preserve"> year</w:t>
      </w:r>
      <w:proofErr w:type="gramEnd"/>
      <w:r w:rsidRPr="000D23B6">
        <w:rPr>
          <w:rFonts w:cstheme="minorHAnsi"/>
        </w:rPr>
        <w:t xml:space="preserve"> average of </w:t>
      </w:r>
      <w:r>
        <w:rPr>
          <w:rFonts w:cstheme="minorHAnsi"/>
        </w:rPr>
        <w:t>30.0</w:t>
      </w:r>
      <w:r w:rsidRPr="000D23B6">
        <w:rPr>
          <w:rFonts w:cstheme="minorHAnsi"/>
        </w:rPr>
        <w:t>% for same period (Figure</w:t>
      </w:r>
      <w:r>
        <w:rPr>
          <w:rFonts w:cstheme="minorHAnsi"/>
        </w:rPr>
        <w:t xml:space="preserve"> </w:t>
      </w:r>
      <w:r w:rsidRPr="000D23B6">
        <w:rPr>
          <w:rFonts w:cstheme="minorHAnsi"/>
        </w:rPr>
        <w:t>2).</w:t>
      </w:r>
      <w:r w:rsidRPr="000D23B6">
        <w:rPr>
          <w:rFonts w:cstheme="minorHAnsi"/>
          <w:vertAlign w:val="superscript"/>
        </w:rPr>
        <w:fldChar w:fldCharType="begin"/>
      </w:r>
      <w:r w:rsidRPr="000D23B6">
        <w:rPr>
          <w:rFonts w:cstheme="minorHAnsi"/>
          <w:vertAlign w:val="superscript"/>
        </w:rPr>
        <w:instrText xml:space="preserve"> NOTEREF _Ref530642570 \h  \* MERGEFORMAT </w:instrText>
      </w:r>
      <w:r w:rsidRPr="000D23B6">
        <w:rPr>
          <w:rFonts w:cstheme="minorHAnsi"/>
          <w:vertAlign w:val="superscript"/>
        </w:rPr>
      </w:r>
      <w:r w:rsidRPr="000D23B6">
        <w:rPr>
          <w:rFonts w:cstheme="minorHAnsi"/>
          <w:vertAlign w:val="superscript"/>
        </w:rPr>
        <w:fldChar w:fldCharType="separate"/>
      </w:r>
      <w:r>
        <w:rPr>
          <w:rFonts w:cstheme="minorHAnsi"/>
          <w:vertAlign w:val="superscript"/>
        </w:rPr>
        <w:t>1</w:t>
      </w:r>
      <w:r w:rsidRPr="000D23B6">
        <w:rPr>
          <w:rFonts w:cstheme="minorHAnsi"/>
          <w:vertAlign w:val="superscript"/>
        </w:rPr>
        <w:fldChar w:fldCharType="end"/>
      </w:r>
    </w:p>
    <w:p w14:paraId="11856802" w14:textId="411C86E8" w:rsidR="008648F3" w:rsidRPr="008648F3" w:rsidRDefault="008648F3" w:rsidP="008648F3">
      <w:pPr>
        <w:rPr>
          <w:b/>
          <w:noProof/>
          <w:color w:val="000000" w:themeColor="text1"/>
        </w:rPr>
      </w:pPr>
      <w:r w:rsidRPr="008648F3">
        <w:rPr>
          <w:b/>
          <w:noProof/>
          <w:color w:val="000000" w:themeColor="text1"/>
        </w:rPr>
        <w:t xml:space="preserve">Figure 2. Fever, cough and absence among </w:t>
      </w:r>
      <w:r w:rsidRPr="000D23B6">
        <w:rPr>
          <w:b/>
          <w:noProof/>
          <w:color w:val="000000" w:themeColor="text1"/>
        </w:rPr>
        <w:t>Flutrac</w:t>
      </w:r>
      <w:r w:rsidR="00D85CBE" w:rsidRPr="000D23B6">
        <w:rPr>
          <w:b/>
          <w:noProof/>
          <w:color w:val="000000" w:themeColor="text1"/>
        </w:rPr>
        <w:t>king participants, by</w:t>
      </w:r>
      <w:r w:rsidR="00D85CBE">
        <w:rPr>
          <w:b/>
          <w:noProof/>
          <w:color w:val="000000" w:themeColor="text1"/>
        </w:rPr>
        <w:t xml:space="preserve"> week,</w:t>
      </w:r>
      <w:r w:rsidR="000D23B6">
        <w:rPr>
          <w:b/>
          <w:noProof/>
          <w:color w:val="000000" w:themeColor="text1"/>
        </w:rPr>
        <w:t xml:space="preserve"> 2019</w:t>
      </w:r>
      <w:r w:rsidR="00221E19">
        <w:rPr>
          <w:b/>
          <w:noProof/>
          <w:color w:val="000000" w:themeColor="text1"/>
        </w:rPr>
        <w:t>, 201</w:t>
      </w:r>
      <w:r w:rsidR="008F4CD0">
        <w:rPr>
          <w:b/>
          <w:noProof/>
          <w:color w:val="000000" w:themeColor="text1"/>
        </w:rPr>
        <w:t>4</w:t>
      </w:r>
      <w:r w:rsidR="00221E19">
        <w:rPr>
          <w:b/>
          <w:noProof/>
          <w:color w:val="000000" w:themeColor="text1"/>
        </w:rPr>
        <w:t>-</w:t>
      </w:r>
      <w:r w:rsidR="000D23B6">
        <w:rPr>
          <w:b/>
          <w:noProof/>
          <w:color w:val="000000" w:themeColor="text1"/>
        </w:rPr>
        <w:t>2019</w:t>
      </w:r>
      <w:r w:rsidRPr="008648F3">
        <w:rPr>
          <w:b/>
          <w:noProof/>
          <w:color w:val="000000" w:themeColor="text1"/>
        </w:rPr>
        <w:t>, Australia</w:t>
      </w:r>
    </w:p>
    <w:p w14:paraId="4D3EAC8F" w14:textId="169C51A0" w:rsidR="008648F3" w:rsidRDefault="00962C93" w:rsidP="00D870A5">
      <w:pPr>
        <w:jc w:val="center"/>
        <w:rPr>
          <w:color w:val="000000" w:themeColor="text1"/>
        </w:rPr>
      </w:pPr>
      <w:r>
        <w:rPr>
          <w:noProof/>
          <w:color w:val="000000" w:themeColor="text1"/>
          <w:lang w:val="en-US" w:eastAsia="en-US"/>
        </w:rPr>
        <w:drawing>
          <wp:inline distT="0" distB="0" distL="0" distR="0" wp14:anchorId="082D7F0F" wp14:editId="295844C2">
            <wp:extent cx="4477109" cy="2833852"/>
            <wp:effectExtent l="0" t="0" r="0" b="5080"/>
            <wp:docPr id="5" name="Picture 5" descr="Figure 2. Fever, cough and absence among Flutracking participants, by week, 2019, 2014-2019,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Fever, cough and absence among Flutracking participants, by week, 2019, 2014-2019, Austral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7652" cy="2840525"/>
                    </a:xfrm>
                    <a:prstGeom prst="rect">
                      <a:avLst/>
                    </a:prstGeom>
                    <a:noFill/>
                  </pic:spPr>
                </pic:pic>
              </a:graphicData>
            </a:graphic>
          </wp:inline>
        </w:drawing>
      </w:r>
    </w:p>
    <w:p w14:paraId="7D63EFBD" w14:textId="77777777" w:rsidR="009D65B5" w:rsidRDefault="009D65B5" w:rsidP="008648F3">
      <w:pPr>
        <w:rPr>
          <w:color w:val="000000" w:themeColor="text1"/>
        </w:rPr>
      </w:pPr>
    </w:p>
    <w:p w14:paraId="23DF6825" w14:textId="77777777" w:rsidR="009D65B5" w:rsidRPr="001724BC" w:rsidRDefault="009D65B5" w:rsidP="009D65B5">
      <w:pPr>
        <w:pStyle w:val="Heading3"/>
        <w:numPr>
          <w:ilvl w:val="0"/>
          <w:numId w:val="0"/>
        </w:numPr>
        <w:ind w:left="284" w:hanging="284"/>
      </w:pPr>
      <w:r w:rsidRPr="001724BC">
        <w:t xml:space="preserve">Severity </w:t>
      </w:r>
    </w:p>
    <w:p w14:paraId="3DD24CC3" w14:textId="77777777" w:rsidR="000842D1" w:rsidRDefault="00825116" w:rsidP="000842D1">
      <w:pPr>
        <w:pStyle w:val="ListParagraph"/>
        <w:numPr>
          <w:ilvl w:val="0"/>
          <w:numId w:val="12"/>
        </w:numPr>
        <w:rPr>
          <w:lang w:eastAsia="en-US"/>
        </w:rPr>
      </w:pPr>
      <w:bookmarkStart w:id="11" w:name="_Toc512779022"/>
      <w:bookmarkStart w:id="12" w:name="_Ref484703291"/>
      <w:bookmarkStart w:id="13" w:name="_Ref466280705"/>
      <w:r>
        <w:rPr>
          <w:lang w:eastAsia="en-US"/>
        </w:rPr>
        <w:t xml:space="preserve">The </w:t>
      </w:r>
      <w:r w:rsidR="009D65B5" w:rsidRPr="000B0FAD">
        <w:rPr>
          <w:lang w:eastAsia="en-US"/>
        </w:rPr>
        <w:t>clinical severity of patients hospitalised</w:t>
      </w:r>
      <w:r>
        <w:rPr>
          <w:lang w:eastAsia="en-US"/>
        </w:rPr>
        <w:t xml:space="preserve"> with confirmed influenza</w:t>
      </w:r>
      <w:r w:rsidR="009D65B5" w:rsidRPr="000B0FAD">
        <w:rPr>
          <w:lang w:eastAsia="en-US"/>
        </w:rPr>
        <w:t>, based on the proportion admitted to ICU, was on par with recent years.</w:t>
      </w:r>
      <w:r w:rsidR="000842D1">
        <w:rPr>
          <w:lang w:eastAsia="en-US"/>
        </w:rPr>
        <w:t xml:space="preserve"> </w:t>
      </w:r>
    </w:p>
    <w:p w14:paraId="5B4E9359" w14:textId="02ACE4CD" w:rsidR="009D65B5" w:rsidRPr="0057118A" w:rsidRDefault="000B0FAD" w:rsidP="000842D1">
      <w:pPr>
        <w:pStyle w:val="ListParagraph"/>
        <w:numPr>
          <w:ilvl w:val="0"/>
          <w:numId w:val="12"/>
        </w:numPr>
        <w:rPr>
          <w:lang w:eastAsia="en-US"/>
        </w:rPr>
      </w:pPr>
      <w:r w:rsidRPr="0057118A">
        <w:rPr>
          <w:lang w:eastAsia="en-US"/>
        </w:rPr>
        <w:t>Approximately 6.3</w:t>
      </w:r>
      <w:r w:rsidR="009D65B5" w:rsidRPr="0057118A">
        <w:rPr>
          <w:lang w:eastAsia="en-US"/>
        </w:rPr>
        <w:t>% of patients with confirmed influenza at sentinel hospitals were admitted to ICU in</w:t>
      </w:r>
      <w:r w:rsidR="009342FF" w:rsidRPr="0057118A">
        <w:rPr>
          <w:lang w:eastAsia="en-US"/>
        </w:rPr>
        <w:t xml:space="preserve"> 2019</w:t>
      </w:r>
      <w:r w:rsidR="009D65B5" w:rsidRPr="0057118A">
        <w:rPr>
          <w:lang w:eastAsia="en-US"/>
        </w:rPr>
        <w:t>, which is within the range of the past 5 years (</w:t>
      </w:r>
      <w:r w:rsidR="00EB6172">
        <w:rPr>
          <w:lang w:eastAsia="en-US"/>
        </w:rPr>
        <w:t>range: 7% in 2015 to 11% in 2014</w:t>
      </w:r>
      <w:r w:rsidR="009D65B5" w:rsidRPr="0057118A">
        <w:rPr>
          <w:lang w:eastAsia="en-US"/>
        </w:rPr>
        <w:t>).</w:t>
      </w:r>
      <w:r w:rsidR="001772C9" w:rsidRPr="000842D1">
        <w:rPr>
          <w:vertAlign w:val="superscript"/>
          <w:lang w:eastAsia="en-US"/>
        </w:rPr>
        <w:fldChar w:fldCharType="begin"/>
      </w:r>
      <w:r w:rsidR="001772C9" w:rsidRPr="000842D1">
        <w:rPr>
          <w:vertAlign w:val="superscript"/>
          <w:lang w:eastAsia="en-US"/>
        </w:rPr>
        <w:instrText xml:space="preserve"> NOTEREF _Ref530642589 \h  \* MERGEFORMAT </w:instrText>
      </w:r>
      <w:r w:rsidR="001772C9" w:rsidRPr="000842D1">
        <w:rPr>
          <w:vertAlign w:val="superscript"/>
          <w:lang w:eastAsia="en-US"/>
        </w:rPr>
      </w:r>
      <w:r w:rsidR="001772C9" w:rsidRPr="000842D1">
        <w:rPr>
          <w:vertAlign w:val="superscript"/>
          <w:lang w:eastAsia="en-US"/>
        </w:rPr>
        <w:fldChar w:fldCharType="separate"/>
      </w:r>
      <w:r w:rsidR="00130407" w:rsidRPr="000842D1">
        <w:rPr>
          <w:vertAlign w:val="superscript"/>
          <w:lang w:eastAsia="en-US"/>
        </w:rPr>
        <w:t>5</w:t>
      </w:r>
      <w:r w:rsidR="001772C9" w:rsidRPr="000842D1">
        <w:rPr>
          <w:vertAlign w:val="superscript"/>
          <w:lang w:eastAsia="en-US"/>
        </w:rPr>
        <w:fldChar w:fldCharType="end"/>
      </w:r>
      <w:r w:rsidR="009D65B5" w:rsidRPr="0057118A">
        <w:rPr>
          <w:lang w:eastAsia="en-US"/>
        </w:rPr>
        <w:t xml:space="preserve">  </w:t>
      </w:r>
    </w:p>
    <w:p w14:paraId="4FBF0DD2" w14:textId="1C2AB024" w:rsidR="00C30AE7" w:rsidRDefault="001E7204" w:rsidP="009B4169">
      <w:pPr>
        <w:pStyle w:val="ListParagraph"/>
        <w:numPr>
          <w:ilvl w:val="0"/>
          <w:numId w:val="12"/>
        </w:numPr>
        <w:rPr>
          <w:lang w:eastAsia="en-US"/>
        </w:rPr>
      </w:pPr>
      <w:r w:rsidRPr="0030364D">
        <w:rPr>
          <w:lang w:eastAsia="en-US"/>
        </w:rPr>
        <w:lastRenderedPageBreak/>
        <w:t xml:space="preserve">The proportion of hospitalised patients admitted to </w:t>
      </w:r>
      <w:r w:rsidR="009D65B5" w:rsidRPr="0030364D">
        <w:rPr>
          <w:lang w:eastAsia="en-US"/>
        </w:rPr>
        <w:t xml:space="preserve">ICU ranged by influenza type and subtype </w:t>
      </w:r>
      <w:r w:rsidR="00B7414E" w:rsidRPr="0030364D">
        <w:rPr>
          <w:lang w:eastAsia="en-US"/>
        </w:rPr>
        <w:t>–</w:t>
      </w:r>
      <w:r w:rsidR="00B7414E">
        <w:rPr>
          <w:lang w:eastAsia="en-US"/>
        </w:rPr>
        <w:t xml:space="preserve"> 13.3</w:t>
      </w:r>
      <w:r w:rsidR="0030364D" w:rsidRPr="0030364D">
        <w:rPr>
          <w:lang w:eastAsia="en-US"/>
        </w:rPr>
        <w:t xml:space="preserve">% </w:t>
      </w:r>
      <w:r w:rsidR="009D65B5" w:rsidRPr="0030364D">
        <w:rPr>
          <w:lang w:eastAsia="en-US"/>
        </w:rPr>
        <w:t xml:space="preserve">of </w:t>
      </w:r>
      <w:r w:rsidR="00597691">
        <w:rPr>
          <w:lang w:eastAsia="en-US"/>
        </w:rPr>
        <w:t>patients with influenza A(H</w:t>
      </w:r>
      <w:r w:rsidR="00B7414E">
        <w:rPr>
          <w:lang w:eastAsia="en-US"/>
        </w:rPr>
        <w:t>1N1</w:t>
      </w:r>
      <w:r w:rsidR="00597691">
        <w:rPr>
          <w:lang w:eastAsia="en-US"/>
        </w:rPr>
        <w:t>),</w:t>
      </w:r>
      <w:r w:rsidR="0030364D" w:rsidRPr="0030364D">
        <w:rPr>
          <w:lang w:eastAsia="en-US"/>
        </w:rPr>
        <w:t xml:space="preserve"> </w:t>
      </w:r>
      <w:r w:rsidR="00B7414E">
        <w:rPr>
          <w:lang w:eastAsia="en-US"/>
        </w:rPr>
        <w:t>6.0</w:t>
      </w:r>
      <w:r w:rsidR="0030364D" w:rsidRPr="0030364D">
        <w:rPr>
          <w:lang w:eastAsia="en-US"/>
        </w:rPr>
        <w:t>%</w:t>
      </w:r>
      <w:r w:rsidR="00B7414E">
        <w:rPr>
          <w:lang w:eastAsia="en-US"/>
        </w:rPr>
        <w:t xml:space="preserve"> of patients with influenza A(H3N2),</w:t>
      </w:r>
      <w:r w:rsidR="00B95DD2">
        <w:rPr>
          <w:lang w:eastAsia="en-US"/>
        </w:rPr>
        <w:t xml:space="preserve"> and </w:t>
      </w:r>
      <w:r w:rsidR="00B7414E">
        <w:rPr>
          <w:lang w:eastAsia="en-US"/>
        </w:rPr>
        <w:t>4.0</w:t>
      </w:r>
      <w:r w:rsidR="00597691" w:rsidRPr="0030364D">
        <w:rPr>
          <w:lang w:eastAsia="en-US"/>
        </w:rPr>
        <w:t>% o</w:t>
      </w:r>
      <w:r w:rsidR="00597691">
        <w:rPr>
          <w:lang w:eastAsia="en-US"/>
        </w:rPr>
        <w:t>f patients with influenza B</w:t>
      </w:r>
      <w:r w:rsidR="00825116">
        <w:rPr>
          <w:lang w:eastAsia="en-US"/>
        </w:rPr>
        <w:t xml:space="preserve"> were admitted to ICU</w:t>
      </w:r>
      <w:r w:rsidR="009D65B5" w:rsidRPr="0030364D">
        <w:rPr>
          <w:lang w:eastAsia="en-US"/>
        </w:rPr>
        <w:t>.</w:t>
      </w:r>
      <w:r w:rsidR="009B4169">
        <w:rPr>
          <w:lang w:eastAsia="en-US"/>
        </w:rPr>
        <w:t xml:space="preserve"> </w:t>
      </w:r>
      <w:r w:rsidR="009B4169" w:rsidRPr="009B4169">
        <w:rPr>
          <w:lang w:eastAsia="en-US"/>
        </w:rPr>
        <w:t xml:space="preserve">Of those with an </w:t>
      </w:r>
      <w:proofErr w:type="spellStart"/>
      <w:r w:rsidR="009B4169" w:rsidRPr="009B4169">
        <w:rPr>
          <w:lang w:eastAsia="en-US"/>
        </w:rPr>
        <w:t>un</w:t>
      </w:r>
      <w:r w:rsidR="0033543B">
        <w:rPr>
          <w:lang w:eastAsia="en-US"/>
        </w:rPr>
        <w:t>sub</w:t>
      </w:r>
      <w:r w:rsidR="009B4169">
        <w:rPr>
          <w:lang w:eastAsia="en-US"/>
        </w:rPr>
        <w:t>typed</w:t>
      </w:r>
      <w:proofErr w:type="spellEnd"/>
      <w:r w:rsidR="009B4169">
        <w:rPr>
          <w:lang w:eastAsia="en-US"/>
        </w:rPr>
        <w:t xml:space="preserve"> influenza A infection, 6.4</w:t>
      </w:r>
      <w:r w:rsidR="009B4169" w:rsidRPr="009B4169">
        <w:rPr>
          <w:lang w:eastAsia="en-US"/>
        </w:rPr>
        <w:t>% were admitted to ICU</w:t>
      </w:r>
      <w:r w:rsidR="009B4169">
        <w:rPr>
          <w:lang w:eastAsia="en-US"/>
        </w:rPr>
        <w:t>.</w:t>
      </w:r>
      <w:r w:rsidR="001772C9" w:rsidRPr="0030364D">
        <w:rPr>
          <w:vertAlign w:val="superscript"/>
          <w:lang w:eastAsia="en-US"/>
        </w:rPr>
        <w:fldChar w:fldCharType="begin"/>
      </w:r>
      <w:r w:rsidR="001772C9" w:rsidRPr="0030364D">
        <w:rPr>
          <w:vertAlign w:val="superscript"/>
          <w:lang w:eastAsia="en-US"/>
        </w:rPr>
        <w:instrText xml:space="preserve"> NOTEREF _Ref530642589 \h  \* MERGEFORMAT </w:instrText>
      </w:r>
      <w:r w:rsidR="001772C9" w:rsidRPr="0030364D">
        <w:rPr>
          <w:vertAlign w:val="superscript"/>
          <w:lang w:eastAsia="en-US"/>
        </w:rPr>
      </w:r>
      <w:r w:rsidR="001772C9" w:rsidRPr="0030364D">
        <w:rPr>
          <w:vertAlign w:val="superscript"/>
          <w:lang w:eastAsia="en-US"/>
        </w:rPr>
        <w:fldChar w:fldCharType="separate"/>
      </w:r>
      <w:r w:rsidR="00130407">
        <w:rPr>
          <w:vertAlign w:val="superscript"/>
          <w:lang w:eastAsia="en-US"/>
        </w:rPr>
        <w:t>5</w:t>
      </w:r>
      <w:r w:rsidR="001772C9" w:rsidRPr="0030364D">
        <w:rPr>
          <w:vertAlign w:val="superscript"/>
          <w:lang w:eastAsia="en-US"/>
        </w:rPr>
        <w:fldChar w:fldCharType="end"/>
      </w:r>
      <w:r w:rsidR="009D65B5" w:rsidRPr="0030364D">
        <w:rPr>
          <w:lang w:eastAsia="en-US"/>
        </w:rPr>
        <w:t xml:space="preserve"> </w:t>
      </w:r>
    </w:p>
    <w:p w14:paraId="38E36E27" w14:textId="73734BE0" w:rsidR="009D65B5" w:rsidRPr="0030364D" w:rsidRDefault="00C30AE7" w:rsidP="00E05F66">
      <w:pPr>
        <w:pStyle w:val="ListParagraph"/>
        <w:numPr>
          <w:ilvl w:val="0"/>
          <w:numId w:val="12"/>
        </w:numPr>
        <w:rPr>
          <w:lang w:eastAsia="en-US"/>
        </w:rPr>
      </w:pPr>
      <w:r w:rsidRPr="00A5019E">
        <w:t>Influenza positivity in patients presenting to sentinel GPs with ILI did not exceed 50% in any week during the seasonal period</w:t>
      </w:r>
      <w:r>
        <w:t xml:space="preserve"> of 2019</w:t>
      </w:r>
      <w:r w:rsidRPr="00A5019E">
        <w:t>.  In the previous 5 years, weekly influenza positivity exceeded 50% at no point in 2018, for six weeks in 2017, three weeks in 201</w:t>
      </w:r>
      <w:r>
        <w:t xml:space="preserve">6, </w:t>
      </w:r>
      <w:r w:rsidRPr="00A5019E">
        <w:t>five weeks in 2015</w:t>
      </w:r>
      <w:r w:rsidR="00DD2DA9">
        <w:t>,</w:t>
      </w:r>
      <w:r w:rsidRPr="00A5019E">
        <w:t xml:space="preserve"> and 1 week in 2014.</w:t>
      </w:r>
      <w:r w:rsidRPr="00A5019E">
        <w:rPr>
          <w:vertAlign w:val="superscript"/>
        </w:rPr>
        <w:fldChar w:fldCharType="begin"/>
      </w:r>
      <w:r w:rsidRPr="00A5019E">
        <w:rPr>
          <w:vertAlign w:val="superscript"/>
        </w:rPr>
        <w:instrText xml:space="preserve"> NOTEREF _Ref530642501 \h  \* MERGEFORMAT </w:instrText>
      </w:r>
      <w:r w:rsidRPr="00A5019E">
        <w:rPr>
          <w:vertAlign w:val="superscript"/>
        </w:rPr>
      </w:r>
      <w:r w:rsidRPr="00A5019E">
        <w:rPr>
          <w:vertAlign w:val="superscript"/>
        </w:rPr>
        <w:fldChar w:fldCharType="separate"/>
      </w:r>
      <w:r w:rsidR="00130407">
        <w:rPr>
          <w:vertAlign w:val="superscript"/>
        </w:rPr>
        <w:t>2</w:t>
      </w:r>
      <w:r w:rsidRPr="00A5019E">
        <w:rPr>
          <w:vertAlign w:val="superscript"/>
        </w:rPr>
        <w:fldChar w:fldCharType="end"/>
      </w:r>
      <w:r w:rsidRPr="00A5019E">
        <w:t xml:space="preserve"> </w:t>
      </w:r>
    </w:p>
    <w:p w14:paraId="0D4834FC" w14:textId="5940325F" w:rsidR="00F90D5F" w:rsidRPr="00F90D5F" w:rsidRDefault="001E7204" w:rsidP="00E05F66">
      <w:pPr>
        <w:pStyle w:val="ListParagraph"/>
        <w:numPr>
          <w:ilvl w:val="0"/>
          <w:numId w:val="12"/>
        </w:numPr>
        <w:rPr>
          <w:lang w:eastAsia="en-US"/>
        </w:rPr>
      </w:pPr>
      <w:r w:rsidRPr="00F90D5F">
        <w:rPr>
          <w:lang w:eastAsia="en-US"/>
        </w:rPr>
        <w:t>The number of d</w:t>
      </w:r>
      <w:r w:rsidR="009D65B5" w:rsidRPr="00F90D5F">
        <w:rPr>
          <w:lang w:eastAsia="en-US"/>
        </w:rPr>
        <w:t xml:space="preserve">eaths reported </w:t>
      </w:r>
      <w:r w:rsidR="00DD2DA9">
        <w:rPr>
          <w:lang w:eastAsia="en-US"/>
        </w:rPr>
        <w:t>in notified cases of laboratory-</w:t>
      </w:r>
      <w:r w:rsidR="009D65B5" w:rsidRPr="00F90D5F">
        <w:rPr>
          <w:lang w:eastAsia="en-US"/>
        </w:rPr>
        <w:t>confirme</w:t>
      </w:r>
      <w:r w:rsidR="009359D0" w:rsidRPr="00F90D5F">
        <w:rPr>
          <w:lang w:eastAsia="en-US"/>
        </w:rPr>
        <w:t xml:space="preserve">d influenza to the NNDSS in 2019 </w:t>
      </w:r>
      <w:r w:rsidR="0030364D">
        <w:rPr>
          <w:lang w:eastAsia="en-US"/>
        </w:rPr>
        <w:t>(</w:t>
      </w:r>
      <w:r w:rsidR="009342FF" w:rsidRPr="00F90D5F">
        <w:rPr>
          <w:lang w:eastAsia="en-US"/>
        </w:rPr>
        <w:t>n=953</w:t>
      </w:r>
      <w:r w:rsidR="009D65B5" w:rsidRPr="00F90D5F">
        <w:rPr>
          <w:lang w:eastAsia="en-US"/>
        </w:rPr>
        <w:t xml:space="preserve">) was considerably </w:t>
      </w:r>
      <w:r w:rsidR="00F90D5F" w:rsidRPr="00F90D5F">
        <w:rPr>
          <w:lang w:eastAsia="en-US"/>
        </w:rPr>
        <w:t>higher</w:t>
      </w:r>
      <w:r w:rsidR="00C1204F">
        <w:rPr>
          <w:lang w:eastAsia="en-US"/>
        </w:rPr>
        <w:t xml:space="preserve"> than the </w:t>
      </w:r>
      <w:r w:rsidR="002731A7">
        <w:rPr>
          <w:lang w:eastAsia="en-US"/>
        </w:rPr>
        <w:t>5 year</w:t>
      </w:r>
      <w:r w:rsidR="009359D0" w:rsidRPr="00F90D5F">
        <w:rPr>
          <w:lang w:eastAsia="en-US"/>
        </w:rPr>
        <w:t xml:space="preserve"> average</w:t>
      </w:r>
      <w:r w:rsidR="00F90D5F" w:rsidRPr="00F90D5F">
        <w:rPr>
          <w:lang w:eastAsia="en-US"/>
        </w:rPr>
        <w:t xml:space="preserve"> (403.8</w:t>
      </w:r>
      <w:r w:rsidR="00F90D5F">
        <w:rPr>
          <w:lang w:eastAsia="en-US"/>
        </w:rPr>
        <w:t>), but 19% lower than the number of deaths reported in 201</w:t>
      </w:r>
      <w:r w:rsidR="008F4CD0">
        <w:rPr>
          <w:lang w:eastAsia="en-US"/>
        </w:rPr>
        <w:t>7</w:t>
      </w:r>
      <w:r w:rsidR="00F90D5F">
        <w:rPr>
          <w:lang w:eastAsia="en-US"/>
        </w:rPr>
        <w:t xml:space="preserve"> (n=1,183).</w:t>
      </w:r>
    </w:p>
    <w:p w14:paraId="0805B366" w14:textId="593AB43A" w:rsidR="009D65B5" w:rsidRPr="009A768A" w:rsidRDefault="00BD1361" w:rsidP="00E05F66">
      <w:pPr>
        <w:pStyle w:val="ListParagraph"/>
        <w:numPr>
          <w:ilvl w:val="0"/>
          <w:numId w:val="12"/>
        </w:numPr>
        <w:rPr>
          <w:lang w:eastAsia="en-US"/>
        </w:rPr>
      </w:pPr>
      <w:r>
        <w:rPr>
          <w:lang w:eastAsia="en-US"/>
        </w:rPr>
        <w:t>T</w:t>
      </w:r>
      <w:r w:rsidR="005C5DCD">
        <w:rPr>
          <w:lang w:eastAsia="en-US"/>
        </w:rPr>
        <w:t xml:space="preserve">he </w:t>
      </w:r>
      <w:r>
        <w:rPr>
          <w:lang w:eastAsia="en-US"/>
        </w:rPr>
        <w:t>ratio</w:t>
      </w:r>
      <w:r w:rsidR="005C5DCD">
        <w:rPr>
          <w:lang w:eastAsia="en-US"/>
        </w:rPr>
        <w:t xml:space="preserve"> of </w:t>
      </w:r>
      <w:r w:rsidR="009A768A" w:rsidRPr="009A768A">
        <w:rPr>
          <w:lang w:eastAsia="en-US"/>
        </w:rPr>
        <w:t xml:space="preserve">deaths </w:t>
      </w:r>
      <w:r>
        <w:rPr>
          <w:lang w:eastAsia="en-US"/>
        </w:rPr>
        <w:t xml:space="preserve">to all notified cases </w:t>
      </w:r>
      <w:r w:rsidR="009A768A" w:rsidRPr="009A768A">
        <w:rPr>
          <w:lang w:eastAsia="en-US"/>
        </w:rPr>
        <w:t>in 2019 (1 death per 328 notifications) was</w:t>
      </w:r>
      <w:r w:rsidR="00F83647">
        <w:rPr>
          <w:lang w:eastAsia="en-US"/>
        </w:rPr>
        <w:t xml:space="preserve"> higher</w:t>
      </w:r>
      <w:r w:rsidR="009D65B5" w:rsidRPr="009A768A">
        <w:rPr>
          <w:lang w:eastAsia="en-US"/>
        </w:rPr>
        <w:t xml:space="preserve"> than the </w:t>
      </w:r>
      <w:proofErr w:type="gramStart"/>
      <w:r w:rsidR="002731A7">
        <w:rPr>
          <w:lang w:eastAsia="en-US"/>
        </w:rPr>
        <w:t>5 year</w:t>
      </w:r>
      <w:proofErr w:type="gramEnd"/>
      <w:r w:rsidR="009D65B5" w:rsidRPr="009A768A">
        <w:rPr>
          <w:lang w:eastAsia="en-US"/>
        </w:rPr>
        <w:t xml:space="preserve"> histor</w:t>
      </w:r>
      <w:r w:rsidR="009A768A" w:rsidRPr="009A768A">
        <w:rPr>
          <w:lang w:eastAsia="en-US"/>
        </w:rPr>
        <w:t>ic range (range: 1 death per 451</w:t>
      </w:r>
      <w:r w:rsidR="009D65B5" w:rsidRPr="009A768A">
        <w:rPr>
          <w:lang w:eastAsia="en-US"/>
        </w:rPr>
        <w:t xml:space="preserve"> notifications in 201</w:t>
      </w:r>
      <w:r w:rsidR="009A768A" w:rsidRPr="009A768A">
        <w:rPr>
          <w:lang w:eastAsia="en-US"/>
        </w:rPr>
        <w:t>5 to 1 death per 391 notifications in 2018</w:t>
      </w:r>
      <w:r w:rsidR="009D65B5" w:rsidRPr="009A768A">
        <w:rPr>
          <w:lang w:eastAsia="en-US"/>
        </w:rPr>
        <w:t>).</w:t>
      </w:r>
      <w:r w:rsidR="001772C9" w:rsidRPr="009A768A">
        <w:rPr>
          <w:vertAlign w:val="superscript"/>
          <w:lang w:eastAsia="en-US"/>
        </w:rPr>
        <w:fldChar w:fldCharType="begin"/>
      </w:r>
      <w:r w:rsidR="001772C9" w:rsidRPr="009A768A">
        <w:rPr>
          <w:vertAlign w:val="superscript"/>
          <w:lang w:eastAsia="en-US"/>
        </w:rPr>
        <w:instrText xml:space="preserve"> NOTEREF _Ref530642650 \h  \* MERGEFORMAT </w:instrText>
      </w:r>
      <w:r w:rsidR="001772C9" w:rsidRPr="009A768A">
        <w:rPr>
          <w:vertAlign w:val="superscript"/>
          <w:lang w:eastAsia="en-US"/>
        </w:rPr>
      </w:r>
      <w:r w:rsidR="001772C9" w:rsidRPr="009A768A">
        <w:rPr>
          <w:vertAlign w:val="superscript"/>
          <w:lang w:eastAsia="en-US"/>
        </w:rPr>
        <w:fldChar w:fldCharType="separate"/>
      </w:r>
      <w:r w:rsidR="00130407">
        <w:rPr>
          <w:vertAlign w:val="superscript"/>
          <w:lang w:eastAsia="en-US"/>
        </w:rPr>
        <w:t>4</w:t>
      </w:r>
      <w:r w:rsidR="001772C9" w:rsidRPr="009A768A">
        <w:rPr>
          <w:vertAlign w:val="superscript"/>
          <w:lang w:eastAsia="en-US"/>
        </w:rPr>
        <w:fldChar w:fldCharType="end"/>
      </w:r>
      <w:r w:rsidR="009D65B5" w:rsidRPr="009A768A">
        <w:rPr>
          <w:lang w:eastAsia="en-US"/>
        </w:rPr>
        <w:t xml:space="preserve"> </w:t>
      </w:r>
    </w:p>
    <w:p w14:paraId="5DC012BD" w14:textId="5A2A2F30" w:rsidR="009D65B5" w:rsidRPr="0030364D" w:rsidRDefault="009D65B5" w:rsidP="00E05F66">
      <w:pPr>
        <w:pStyle w:val="ListParagraph"/>
        <w:numPr>
          <w:ilvl w:val="0"/>
          <w:numId w:val="12"/>
        </w:numPr>
        <w:rPr>
          <w:lang w:eastAsia="en-US"/>
        </w:rPr>
      </w:pPr>
      <w:r w:rsidRPr="0030364D">
        <w:rPr>
          <w:lang w:eastAsia="en-US"/>
        </w:rPr>
        <w:t xml:space="preserve">Deaths reported in notified cases to the NNDSS have largely been in </w:t>
      </w:r>
      <w:r w:rsidR="00DD2DA9">
        <w:rPr>
          <w:lang w:eastAsia="en-US"/>
        </w:rPr>
        <w:t>older adults</w:t>
      </w:r>
      <w:r w:rsidRPr="0030364D">
        <w:rPr>
          <w:lang w:eastAsia="en-US"/>
        </w:rPr>
        <w:t>.</w:t>
      </w:r>
      <w:r w:rsidR="001E4448" w:rsidRPr="0030364D">
        <w:rPr>
          <w:lang w:eastAsia="en-US"/>
        </w:rPr>
        <w:t xml:space="preserve"> </w:t>
      </w:r>
      <w:r w:rsidRPr="0030364D">
        <w:rPr>
          <w:lang w:eastAsia="en-US"/>
        </w:rPr>
        <w:t xml:space="preserve">The median age of deaths reported in notified cases was </w:t>
      </w:r>
      <w:r w:rsidR="0030364D" w:rsidRPr="0030364D">
        <w:rPr>
          <w:lang w:eastAsia="en-US"/>
        </w:rPr>
        <w:t>86</w:t>
      </w:r>
      <w:r w:rsidRPr="0030364D">
        <w:rPr>
          <w:lang w:eastAsia="en-US"/>
        </w:rPr>
        <w:t xml:space="preserve"> years </w:t>
      </w:r>
      <w:r w:rsidR="0030364D" w:rsidRPr="0030364D">
        <w:rPr>
          <w:lang w:eastAsia="en-US"/>
        </w:rPr>
        <w:t>(range: 1 to 106</w:t>
      </w:r>
      <w:r w:rsidR="009A768A" w:rsidRPr="0030364D">
        <w:rPr>
          <w:lang w:eastAsia="en-US"/>
        </w:rPr>
        <w:t xml:space="preserve"> years), with 8</w:t>
      </w:r>
      <w:r w:rsidR="0030364D" w:rsidRPr="0030364D">
        <w:rPr>
          <w:lang w:eastAsia="en-US"/>
        </w:rPr>
        <w:t>7</w:t>
      </w:r>
      <w:r w:rsidRPr="0030364D">
        <w:rPr>
          <w:lang w:eastAsia="en-US"/>
        </w:rPr>
        <w:t xml:space="preserve">% of deaths </w:t>
      </w:r>
      <w:r w:rsidR="00DD2DA9">
        <w:rPr>
          <w:lang w:eastAsia="en-US"/>
        </w:rPr>
        <w:t xml:space="preserve">reported </w:t>
      </w:r>
      <w:r w:rsidRPr="0030364D">
        <w:rPr>
          <w:lang w:eastAsia="en-US"/>
        </w:rPr>
        <w:t>in people aged 65 years and older.</w:t>
      </w:r>
      <w:r w:rsidR="001772C9" w:rsidRPr="0030364D">
        <w:rPr>
          <w:vertAlign w:val="superscript"/>
          <w:lang w:eastAsia="en-US"/>
        </w:rPr>
        <w:fldChar w:fldCharType="begin"/>
      </w:r>
      <w:r w:rsidR="001772C9" w:rsidRPr="0030364D">
        <w:rPr>
          <w:vertAlign w:val="superscript"/>
          <w:lang w:eastAsia="en-US"/>
        </w:rPr>
        <w:instrText xml:space="preserve"> NOTEREF _Ref530642650 \h  \* MERGEFORMAT </w:instrText>
      </w:r>
      <w:r w:rsidR="001772C9" w:rsidRPr="0030364D">
        <w:rPr>
          <w:vertAlign w:val="superscript"/>
          <w:lang w:eastAsia="en-US"/>
        </w:rPr>
      </w:r>
      <w:r w:rsidR="001772C9" w:rsidRPr="0030364D">
        <w:rPr>
          <w:vertAlign w:val="superscript"/>
          <w:lang w:eastAsia="en-US"/>
        </w:rPr>
        <w:fldChar w:fldCharType="separate"/>
      </w:r>
      <w:r w:rsidR="00130407">
        <w:rPr>
          <w:vertAlign w:val="superscript"/>
          <w:lang w:eastAsia="en-US"/>
        </w:rPr>
        <w:t>4</w:t>
      </w:r>
      <w:r w:rsidR="001772C9" w:rsidRPr="0030364D">
        <w:rPr>
          <w:vertAlign w:val="superscript"/>
          <w:lang w:eastAsia="en-US"/>
        </w:rPr>
        <w:fldChar w:fldCharType="end"/>
      </w:r>
      <w:r w:rsidRPr="0030364D">
        <w:rPr>
          <w:vertAlign w:val="superscript"/>
          <w:lang w:eastAsia="en-US"/>
        </w:rPr>
        <w:t xml:space="preserve"> </w:t>
      </w:r>
    </w:p>
    <w:p w14:paraId="2C9BCFD4" w14:textId="5C18A481" w:rsidR="009D65B5" w:rsidRPr="009865F0" w:rsidRDefault="009D65B5" w:rsidP="00E05F66">
      <w:pPr>
        <w:pStyle w:val="ListParagraph"/>
        <w:numPr>
          <w:ilvl w:val="0"/>
          <w:numId w:val="12"/>
        </w:numPr>
        <w:rPr>
          <w:i/>
          <w:lang w:eastAsia="en-US"/>
        </w:rPr>
      </w:pPr>
      <w:r w:rsidRPr="009865F0">
        <w:rPr>
          <w:i/>
          <w:lang w:eastAsia="en-US"/>
        </w:rPr>
        <w:t xml:space="preserve">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w:t>
      </w:r>
      <w:r w:rsidR="009865F0" w:rsidRPr="009865F0">
        <w:rPr>
          <w:i/>
          <w:lang w:eastAsia="en-US"/>
        </w:rPr>
        <w:t xml:space="preserve">notified cases </w:t>
      </w:r>
      <w:r w:rsidRPr="009865F0">
        <w:rPr>
          <w:i/>
          <w:lang w:eastAsia="en-US"/>
        </w:rPr>
        <w:t xml:space="preserve">are only inclusive of laboratory-confirmed cases of influenza. Due to retrospective revision, the variation across jurisdictions in methodology, </w:t>
      </w:r>
      <w:proofErr w:type="gramStart"/>
      <w:r w:rsidRPr="009865F0">
        <w:rPr>
          <w:i/>
          <w:lang w:eastAsia="en-US"/>
        </w:rPr>
        <w:t>representativeness</w:t>
      </w:r>
      <w:proofErr w:type="gramEnd"/>
      <w:r w:rsidRPr="009865F0">
        <w:rPr>
          <w:i/>
          <w:lang w:eastAsia="en-US"/>
        </w:rPr>
        <w:t xml:space="preserve"> and timeliness of death data, and reporting of an outcome of infection not being a requirement of notification, year on year comparisons of deaths in notified cases of influenza may not be reliable.</w:t>
      </w:r>
    </w:p>
    <w:p w14:paraId="0AC5948E" w14:textId="31358AC2" w:rsidR="0020323B" w:rsidRPr="00CC4A22" w:rsidRDefault="008A6D64" w:rsidP="00446E51">
      <w:pPr>
        <w:pStyle w:val="Heading3"/>
        <w:numPr>
          <w:ilvl w:val="0"/>
          <w:numId w:val="0"/>
        </w:numPr>
        <w:ind w:left="284" w:hanging="284"/>
      </w:pPr>
      <w:bookmarkStart w:id="14" w:name="_Ref490658853"/>
      <w:bookmarkEnd w:id="11"/>
      <w:bookmarkEnd w:id="12"/>
      <w:bookmarkEnd w:id="13"/>
      <w:r w:rsidRPr="00CC4A22">
        <w:t>Virology</w:t>
      </w:r>
    </w:p>
    <w:p w14:paraId="63A38449" w14:textId="53646A66" w:rsidR="009D65B5" w:rsidRDefault="009D65B5" w:rsidP="00EF7F14">
      <w:pPr>
        <w:pStyle w:val="ListParagraph"/>
        <w:numPr>
          <w:ilvl w:val="0"/>
          <w:numId w:val="12"/>
        </w:numPr>
        <w:rPr>
          <w:lang w:eastAsia="en-US"/>
        </w:rPr>
      </w:pPr>
      <w:r>
        <w:rPr>
          <w:lang w:eastAsia="en-US"/>
        </w:rPr>
        <w:t xml:space="preserve">Influenza </w:t>
      </w:r>
      <w:r w:rsidR="001509DE">
        <w:rPr>
          <w:rFonts w:cstheme="minorHAnsi"/>
        </w:rPr>
        <w:t>A(H3N2)</w:t>
      </w:r>
      <w:r w:rsidR="00A46F3F">
        <w:rPr>
          <w:lang w:eastAsia="en-US"/>
        </w:rPr>
        <w:t xml:space="preserve"> </w:t>
      </w:r>
      <w:r>
        <w:rPr>
          <w:lang w:eastAsia="en-US"/>
        </w:rPr>
        <w:t>was the predominant virus in circulation this season</w:t>
      </w:r>
      <w:r w:rsidR="00752613">
        <w:rPr>
          <w:lang w:eastAsia="en-US"/>
        </w:rPr>
        <w:t xml:space="preserve">. </w:t>
      </w:r>
    </w:p>
    <w:p w14:paraId="1788F363" w14:textId="04C89C56" w:rsidR="002F1146" w:rsidRDefault="00A46F3F" w:rsidP="00EF7F14">
      <w:pPr>
        <w:pStyle w:val="ListParagraph"/>
        <w:numPr>
          <w:ilvl w:val="0"/>
          <w:numId w:val="12"/>
        </w:numPr>
        <w:rPr>
          <w:lang w:eastAsia="en-US"/>
        </w:rPr>
      </w:pPr>
      <w:r>
        <w:t>In 2019, 76.6%</w:t>
      </w:r>
      <w:r w:rsidR="002F1146">
        <w:t xml:space="preserve"> of notifications of laboratory-</w:t>
      </w:r>
      <w:r w:rsidR="00752613">
        <w:t>confirmed influenza</w:t>
      </w:r>
      <w:r w:rsidR="002F1146">
        <w:t xml:space="preserve"> to the NNDSS were influenza A, </w:t>
      </w:r>
      <w:r>
        <w:t xml:space="preserve">of which 94% were </w:t>
      </w:r>
      <w:r w:rsidR="00752613">
        <w:t>A(</w:t>
      </w:r>
      <w:proofErr w:type="spellStart"/>
      <w:r w:rsidR="00752613">
        <w:t>unsubtyped</w:t>
      </w:r>
      <w:proofErr w:type="spellEnd"/>
      <w:r w:rsidR="00752613">
        <w:t xml:space="preserve">), </w:t>
      </w:r>
      <w:r w:rsidR="00F52133">
        <w:t>1</w:t>
      </w:r>
      <w:r w:rsidR="00752613">
        <w:t>% influenza A(H1N</w:t>
      </w:r>
      <w:proofErr w:type="gramStart"/>
      <w:r w:rsidR="00752613">
        <w:t>1)pdm</w:t>
      </w:r>
      <w:proofErr w:type="gramEnd"/>
      <w:r w:rsidR="00F52133">
        <w:t>09</w:t>
      </w:r>
      <w:r w:rsidR="002F1146">
        <w:t>,</w:t>
      </w:r>
      <w:r w:rsidR="00F52133">
        <w:t xml:space="preserve"> and 4</w:t>
      </w:r>
      <w:r w:rsidR="002F1146">
        <w:t>% influenza A(H3N2). I</w:t>
      </w:r>
      <w:r w:rsidR="00752613">
        <w:t>nfluenza B</w:t>
      </w:r>
      <w:r w:rsidR="002F1146">
        <w:t xml:space="preserve"> accounted for 23% of notifications, </w:t>
      </w:r>
      <w:r w:rsidR="00752613">
        <w:t xml:space="preserve">and less than 1% were influenza A&amp;B co‐infections or untyped. </w:t>
      </w:r>
    </w:p>
    <w:p w14:paraId="50CB57B8" w14:textId="38FC250F" w:rsidR="00752613" w:rsidRPr="003D1CC9" w:rsidRDefault="00752613" w:rsidP="008C3D5D">
      <w:pPr>
        <w:pStyle w:val="ListParagraph"/>
        <w:numPr>
          <w:ilvl w:val="0"/>
          <w:numId w:val="12"/>
        </w:numPr>
      </w:pPr>
      <w:r>
        <w:t>Based on the assumption that A(</w:t>
      </w:r>
      <w:proofErr w:type="spellStart"/>
      <w:r>
        <w:t>unsubtyped</w:t>
      </w:r>
      <w:proofErr w:type="spellEnd"/>
      <w:r>
        <w:t>) notifications had the same subtype distribution as the swab tests from</w:t>
      </w:r>
      <w:r w:rsidR="008C3D5D">
        <w:t xml:space="preserve"> Australian Sentinel Practices Research Network</w:t>
      </w:r>
      <w:r>
        <w:t xml:space="preserve"> </w:t>
      </w:r>
      <w:r w:rsidR="008C3D5D">
        <w:t>(</w:t>
      </w:r>
      <w:r>
        <w:t>ASPREN</w:t>
      </w:r>
      <w:r w:rsidR="008C3D5D">
        <w:t>)</w:t>
      </w:r>
      <w:r>
        <w:t xml:space="preserve"> GPs, the distribution of in</w:t>
      </w:r>
      <w:r w:rsidR="00F52133">
        <w:t>fluenza viruses nationally for 2019 was estimated to be 83</w:t>
      </w:r>
      <w:r w:rsidR="000B7D8E" w:rsidRPr="003D1CC9">
        <w:t>% influenza A(H3N2)</w:t>
      </w:r>
      <w:r w:rsidR="00F52133">
        <w:t xml:space="preserve">, 14% influenza </w:t>
      </w:r>
      <w:r w:rsidR="00F52133" w:rsidRPr="003D1CC9">
        <w:t>A(H1N1)</w:t>
      </w:r>
      <w:r w:rsidR="00F52133">
        <w:t>pdm09</w:t>
      </w:r>
      <w:r w:rsidR="002F1146">
        <w:t>,</w:t>
      </w:r>
      <w:r w:rsidR="00F52133">
        <w:t xml:space="preserve"> and 23</w:t>
      </w:r>
      <w:r w:rsidRPr="003D1CC9">
        <w:t>% influenza B.</w:t>
      </w:r>
      <w:r w:rsidR="001772C9" w:rsidRPr="008C3D5D">
        <w:rPr>
          <w:vertAlign w:val="superscript"/>
        </w:rPr>
        <w:fldChar w:fldCharType="begin"/>
      </w:r>
      <w:r w:rsidR="001772C9" w:rsidRPr="008C3D5D">
        <w:rPr>
          <w:vertAlign w:val="superscript"/>
        </w:rPr>
        <w:instrText xml:space="preserve"> NOTEREF _Ref530642650 \h  \* MERGEFORMAT </w:instrText>
      </w:r>
      <w:r w:rsidR="001772C9" w:rsidRPr="008C3D5D">
        <w:rPr>
          <w:vertAlign w:val="superscript"/>
        </w:rPr>
      </w:r>
      <w:r w:rsidR="001772C9" w:rsidRPr="008C3D5D">
        <w:rPr>
          <w:vertAlign w:val="superscript"/>
        </w:rPr>
        <w:fldChar w:fldCharType="separate"/>
      </w:r>
      <w:r w:rsidR="00130407" w:rsidRPr="008C3D5D">
        <w:rPr>
          <w:vertAlign w:val="superscript"/>
        </w:rPr>
        <w:t>4</w:t>
      </w:r>
      <w:r w:rsidR="001772C9" w:rsidRPr="008C3D5D">
        <w:rPr>
          <w:vertAlign w:val="superscript"/>
        </w:rPr>
        <w:fldChar w:fldCharType="end"/>
      </w:r>
    </w:p>
    <w:p w14:paraId="7C8841AC" w14:textId="657DC1CE" w:rsidR="00E37BE7" w:rsidRPr="003D1CC9" w:rsidRDefault="00CD5B3B" w:rsidP="00CD5B3B">
      <w:pPr>
        <w:pStyle w:val="ListParagraph"/>
        <w:numPr>
          <w:ilvl w:val="0"/>
          <w:numId w:val="12"/>
        </w:numPr>
        <w:ind w:right="28"/>
        <w:rPr>
          <w:rFonts w:cstheme="minorHAnsi"/>
          <w:szCs w:val="22"/>
        </w:rPr>
      </w:pPr>
      <w:r w:rsidRPr="003D1CC9">
        <w:rPr>
          <w:rFonts w:cstheme="minorHAnsi"/>
          <w:szCs w:val="22"/>
        </w:rPr>
        <w:t>Fr</w:t>
      </w:r>
      <w:r w:rsidR="00597691">
        <w:rPr>
          <w:rFonts w:cstheme="minorHAnsi"/>
          <w:szCs w:val="22"/>
        </w:rPr>
        <w:t>om 1 January to 31</w:t>
      </w:r>
      <w:r w:rsidR="009359D0" w:rsidRPr="003D1CC9">
        <w:rPr>
          <w:rFonts w:cstheme="minorHAnsi"/>
          <w:szCs w:val="22"/>
        </w:rPr>
        <w:t xml:space="preserve"> December 2019</w:t>
      </w:r>
      <w:r w:rsidR="00597691">
        <w:rPr>
          <w:rFonts w:cstheme="minorHAnsi"/>
          <w:szCs w:val="22"/>
        </w:rPr>
        <w:t>, 2,985</w:t>
      </w:r>
      <w:r w:rsidRPr="003D1CC9">
        <w:rPr>
          <w:rFonts w:cstheme="minorHAnsi"/>
          <w:szCs w:val="22"/>
        </w:rPr>
        <w:t xml:space="preserve"> isolates were characterised for similarity to the corresponding vaccine components by haemagglutination inhibition (HI) assay.</w:t>
      </w:r>
      <w:r w:rsidR="00591318" w:rsidRPr="003D1CC9">
        <w:rPr>
          <w:rFonts w:cstheme="minorHAnsi"/>
          <w:szCs w:val="22"/>
        </w:rPr>
        <w:t xml:space="preserve"> </w:t>
      </w:r>
      <w:r w:rsidRPr="003D1CC9">
        <w:rPr>
          <w:rFonts w:cstheme="minorHAnsi"/>
          <w:szCs w:val="22"/>
        </w:rPr>
        <w:t>Influenza A(H1N</w:t>
      </w:r>
      <w:proofErr w:type="gramStart"/>
      <w:r w:rsidRPr="003D1CC9">
        <w:rPr>
          <w:rFonts w:cstheme="minorHAnsi"/>
          <w:szCs w:val="22"/>
        </w:rPr>
        <w:t>1)pdm</w:t>
      </w:r>
      <w:proofErr w:type="gramEnd"/>
      <w:r w:rsidRPr="003D1CC9">
        <w:rPr>
          <w:rFonts w:cstheme="minorHAnsi"/>
          <w:szCs w:val="22"/>
        </w:rPr>
        <w:t xml:space="preserve">09 viruses and viruses from both influenza B lineages appeared to be antigenically similar to the corresponding vaccine components. </w:t>
      </w:r>
      <w:r w:rsidR="00D11122">
        <w:rPr>
          <w:rFonts w:cstheme="minorHAnsi"/>
          <w:szCs w:val="22"/>
        </w:rPr>
        <w:t xml:space="preserve"> Four</w:t>
      </w:r>
      <w:r w:rsidR="003D1CC9" w:rsidRPr="003D1CC9">
        <w:rPr>
          <w:rFonts w:cstheme="minorHAnsi"/>
          <w:szCs w:val="22"/>
        </w:rPr>
        <w:t xml:space="preserve"> </w:t>
      </w:r>
      <w:r w:rsidR="00597691" w:rsidRPr="003D1CC9">
        <w:rPr>
          <w:rFonts w:cstheme="minorHAnsi"/>
          <w:szCs w:val="22"/>
        </w:rPr>
        <w:t>per</w:t>
      </w:r>
      <w:r w:rsidR="00C52A8C">
        <w:rPr>
          <w:rFonts w:cstheme="minorHAnsi"/>
          <w:szCs w:val="22"/>
        </w:rPr>
        <w:t xml:space="preserve"> </w:t>
      </w:r>
      <w:r w:rsidR="00597691" w:rsidRPr="003D1CC9">
        <w:rPr>
          <w:rFonts w:cstheme="minorHAnsi"/>
          <w:szCs w:val="22"/>
        </w:rPr>
        <w:t>cent</w:t>
      </w:r>
      <w:r w:rsidR="00D11122">
        <w:rPr>
          <w:rFonts w:cstheme="minorHAnsi"/>
          <w:szCs w:val="22"/>
        </w:rPr>
        <w:t xml:space="preserve"> of Influenza A(H1N</w:t>
      </w:r>
      <w:proofErr w:type="gramStart"/>
      <w:r w:rsidR="00D11122">
        <w:rPr>
          <w:rFonts w:cstheme="minorHAnsi"/>
          <w:szCs w:val="22"/>
        </w:rPr>
        <w:t>1)pdm</w:t>
      </w:r>
      <w:proofErr w:type="gramEnd"/>
      <w:r w:rsidR="00D11122">
        <w:rPr>
          <w:rFonts w:cstheme="minorHAnsi"/>
          <w:szCs w:val="22"/>
        </w:rPr>
        <w:t>09, 11</w:t>
      </w:r>
      <w:r w:rsidR="00E37BE7" w:rsidRPr="003D1CC9">
        <w:rPr>
          <w:rFonts w:cstheme="minorHAnsi"/>
          <w:szCs w:val="22"/>
        </w:rPr>
        <w:t xml:space="preserve">% of </w:t>
      </w:r>
      <w:r w:rsidR="003D1CC9" w:rsidRPr="003D1CC9">
        <w:rPr>
          <w:rFonts w:cstheme="minorHAnsi"/>
          <w:szCs w:val="22"/>
        </w:rPr>
        <w:t xml:space="preserve">influenza B(Yamagata), and </w:t>
      </w:r>
      <w:r w:rsidR="002909B3">
        <w:rPr>
          <w:rFonts w:cstheme="minorHAnsi"/>
          <w:szCs w:val="22"/>
        </w:rPr>
        <w:t>3% of</w:t>
      </w:r>
      <w:r w:rsidR="002909B3" w:rsidRPr="003D1CC9">
        <w:rPr>
          <w:rFonts w:cstheme="minorHAnsi"/>
          <w:szCs w:val="22"/>
        </w:rPr>
        <w:t xml:space="preserve"> </w:t>
      </w:r>
      <w:r w:rsidRPr="003D1CC9">
        <w:rPr>
          <w:rFonts w:cstheme="minorHAnsi"/>
          <w:szCs w:val="22"/>
        </w:rPr>
        <w:t>influenza B(Victoria) isolates were characterised as low reactors.</w:t>
      </w:r>
      <w:r w:rsidR="00E37BE7" w:rsidRPr="003D1CC9">
        <w:rPr>
          <w:rStyle w:val="EndnoteReference"/>
          <w:vertAlign w:val="superscript"/>
        </w:rPr>
        <w:t xml:space="preserve"> </w:t>
      </w:r>
      <w:bookmarkStart w:id="15" w:name="_Ref530645925"/>
      <w:r w:rsidR="00E37BE7" w:rsidRPr="003D1CC9">
        <w:rPr>
          <w:rStyle w:val="EndnoteReference"/>
          <w:vertAlign w:val="superscript"/>
        </w:rPr>
        <w:endnoteReference w:id="7"/>
      </w:r>
      <w:bookmarkEnd w:id="15"/>
      <w:r w:rsidRPr="003D1CC9">
        <w:rPr>
          <w:rFonts w:cstheme="minorHAnsi"/>
          <w:szCs w:val="22"/>
        </w:rPr>
        <w:t xml:space="preserve"> </w:t>
      </w:r>
    </w:p>
    <w:p w14:paraId="65627874" w14:textId="2AA033AF" w:rsidR="00CD5B3B" w:rsidRPr="003D1CC9" w:rsidRDefault="000644C0" w:rsidP="002F1146">
      <w:pPr>
        <w:pStyle w:val="ListParagraph"/>
        <w:numPr>
          <w:ilvl w:val="0"/>
          <w:numId w:val="12"/>
        </w:numPr>
        <w:ind w:right="28"/>
        <w:rPr>
          <w:rFonts w:cstheme="minorHAnsi"/>
          <w:szCs w:val="22"/>
        </w:rPr>
      </w:pPr>
      <w:r>
        <w:rPr>
          <w:rFonts w:cstheme="minorHAnsi"/>
          <w:szCs w:val="22"/>
        </w:rPr>
        <w:t xml:space="preserve">Of the </w:t>
      </w:r>
      <w:r w:rsidR="00CD5B3B" w:rsidRPr="003D1CC9">
        <w:rPr>
          <w:rFonts w:cstheme="minorHAnsi"/>
          <w:szCs w:val="22"/>
        </w:rPr>
        <w:t>influenza A(H3N2) isolates that were able to be assessed by HI assay</w:t>
      </w:r>
      <w:r w:rsidR="003D1CC9">
        <w:rPr>
          <w:rFonts w:cstheme="minorHAnsi"/>
          <w:szCs w:val="22"/>
        </w:rPr>
        <w:t>,</w:t>
      </w:r>
      <w:r w:rsidR="00CD5B3B" w:rsidRPr="003D1CC9">
        <w:rPr>
          <w:rFonts w:cstheme="minorHAnsi"/>
          <w:szCs w:val="22"/>
        </w:rPr>
        <w:t xml:space="preserve"> </w:t>
      </w:r>
      <w:r w:rsidR="00D11122">
        <w:rPr>
          <w:rFonts w:cstheme="minorHAnsi"/>
          <w:szCs w:val="22"/>
        </w:rPr>
        <w:t>21</w:t>
      </w:r>
      <w:r w:rsidR="00E37BE7" w:rsidRPr="003D1CC9">
        <w:rPr>
          <w:rFonts w:cstheme="minorHAnsi"/>
          <w:szCs w:val="22"/>
        </w:rPr>
        <w:t xml:space="preserve">% </w:t>
      </w:r>
      <w:r w:rsidR="003D1CC9" w:rsidRPr="003D1CC9">
        <w:rPr>
          <w:rFonts w:cstheme="minorHAnsi"/>
          <w:szCs w:val="22"/>
        </w:rPr>
        <w:t xml:space="preserve">were characterised as low reactors. </w:t>
      </w:r>
      <w:r w:rsidR="00E37BE7" w:rsidRPr="003D1CC9">
        <w:rPr>
          <w:rFonts w:cstheme="minorHAnsi"/>
          <w:szCs w:val="22"/>
        </w:rPr>
        <w:t>However,</w:t>
      </w:r>
      <w:r w:rsidR="00CD5B3B" w:rsidRPr="003D1CC9">
        <w:rPr>
          <w:rFonts w:cstheme="minorHAnsi"/>
          <w:szCs w:val="22"/>
        </w:rPr>
        <w:t xml:space="preserve"> there are ongoing technical issues that significantly limit the</w:t>
      </w:r>
      <w:r w:rsidR="002F1146">
        <w:rPr>
          <w:rFonts w:cstheme="minorHAnsi"/>
          <w:szCs w:val="22"/>
        </w:rPr>
        <w:t xml:space="preserve"> capacity of the </w:t>
      </w:r>
      <w:r w:rsidR="008C3D5D">
        <w:rPr>
          <w:rFonts w:cstheme="minorHAnsi"/>
          <w:szCs w:val="22"/>
        </w:rPr>
        <w:t xml:space="preserve">Australian </w:t>
      </w:r>
      <w:r w:rsidR="002F1146" w:rsidRPr="002F1146">
        <w:rPr>
          <w:rFonts w:cstheme="minorHAnsi"/>
          <w:szCs w:val="22"/>
        </w:rPr>
        <w:t>World Health Organization Collaborating Centre for Reference and Research on Influenza</w:t>
      </w:r>
      <w:r w:rsidR="00CD5B3B" w:rsidRPr="003D1CC9">
        <w:rPr>
          <w:rFonts w:cstheme="minorHAnsi"/>
          <w:szCs w:val="22"/>
        </w:rPr>
        <w:t xml:space="preserve"> </w:t>
      </w:r>
      <w:r w:rsidR="002F1146">
        <w:rPr>
          <w:rFonts w:cstheme="minorHAnsi"/>
          <w:szCs w:val="22"/>
        </w:rPr>
        <w:t>(</w:t>
      </w:r>
      <w:r w:rsidR="00CD5B3B" w:rsidRPr="003D1CC9">
        <w:rPr>
          <w:rFonts w:cstheme="minorHAnsi"/>
          <w:szCs w:val="22"/>
        </w:rPr>
        <w:t>WHOCC</w:t>
      </w:r>
      <w:r w:rsidR="002F1146">
        <w:rPr>
          <w:rFonts w:cstheme="minorHAnsi"/>
          <w:szCs w:val="22"/>
        </w:rPr>
        <w:t>)</w:t>
      </w:r>
      <w:r w:rsidR="00CD5B3B" w:rsidRPr="003D1CC9">
        <w:rPr>
          <w:rFonts w:cstheme="minorHAnsi"/>
          <w:szCs w:val="22"/>
        </w:rPr>
        <w:t xml:space="preserve"> to fully assess the similarity of circulating</w:t>
      </w:r>
      <w:r w:rsidR="00E37BE7" w:rsidRPr="003D1CC9">
        <w:rPr>
          <w:rFonts w:cstheme="minorHAnsi"/>
          <w:szCs w:val="22"/>
        </w:rPr>
        <w:t xml:space="preserve"> influenza A(H3N2)</w:t>
      </w:r>
      <w:r w:rsidR="00CD5B3B" w:rsidRPr="003D1CC9">
        <w:rPr>
          <w:rFonts w:cstheme="minorHAnsi"/>
          <w:szCs w:val="22"/>
        </w:rPr>
        <w:t xml:space="preserve"> viruses to the vaccine strain. </w:t>
      </w:r>
      <w:r>
        <w:rPr>
          <w:rFonts w:cstheme="minorHAnsi"/>
          <w:szCs w:val="22"/>
        </w:rPr>
        <w:t>In 2019</w:t>
      </w:r>
      <w:r w:rsidR="00E37BE7" w:rsidRPr="003D1CC9">
        <w:rPr>
          <w:rFonts w:cstheme="minorHAnsi"/>
          <w:szCs w:val="22"/>
        </w:rPr>
        <w:t>, there</w:t>
      </w:r>
      <w:r w:rsidR="00CD5B3B" w:rsidRPr="003D1CC9">
        <w:rPr>
          <w:rFonts w:cstheme="minorHAnsi"/>
          <w:szCs w:val="22"/>
        </w:rPr>
        <w:t xml:space="preserve"> </w:t>
      </w:r>
      <w:r w:rsidR="00E37BE7" w:rsidRPr="003D1CC9">
        <w:rPr>
          <w:rFonts w:cstheme="minorHAnsi"/>
          <w:szCs w:val="22"/>
        </w:rPr>
        <w:t xml:space="preserve">were an </w:t>
      </w:r>
      <w:r w:rsidR="003D1CC9" w:rsidRPr="003D1CC9">
        <w:rPr>
          <w:rFonts w:cstheme="minorHAnsi"/>
          <w:szCs w:val="22"/>
        </w:rPr>
        <w:t xml:space="preserve">additional </w:t>
      </w:r>
      <w:r w:rsidR="00D11122">
        <w:rPr>
          <w:rFonts w:cstheme="minorHAnsi"/>
          <w:szCs w:val="22"/>
        </w:rPr>
        <w:t>266</w:t>
      </w:r>
      <w:r w:rsidR="00CD5B3B" w:rsidRPr="003D1CC9">
        <w:rPr>
          <w:rFonts w:cstheme="minorHAnsi"/>
          <w:szCs w:val="22"/>
        </w:rPr>
        <w:t xml:space="preserve"> </w:t>
      </w:r>
      <w:r w:rsidR="00E37BE7" w:rsidRPr="003D1CC9">
        <w:rPr>
          <w:rFonts w:cstheme="minorHAnsi"/>
          <w:szCs w:val="22"/>
        </w:rPr>
        <w:t xml:space="preserve">influenza A(H3N2) </w:t>
      </w:r>
      <w:r w:rsidR="00CD5B3B" w:rsidRPr="003D1CC9">
        <w:rPr>
          <w:rFonts w:cstheme="minorHAnsi"/>
          <w:szCs w:val="22"/>
        </w:rPr>
        <w:t xml:space="preserve">isolates </w:t>
      </w:r>
      <w:r w:rsidR="00E37BE7" w:rsidRPr="003D1CC9">
        <w:rPr>
          <w:rFonts w:cstheme="minorHAnsi"/>
          <w:szCs w:val="22"/>
        </w:rPr>
        <w:t xml:space="preserve">that </w:t>
      </w:r>
      <w:r w:rsidR="00CD5B3B" w:rsidRPr="003D1CC9">
        <w:rPr>
          <w:rFonts w:cstheme="minorHAnsi"/>
          <w:szCs w:val="22"/>
        </w:rPr>
        <w:t xml:space="preserve">were unable to be characterised </w:t>
      </w:r>
      <w:r w:rsidR="002F1146">
        <w:rPr>
          <w:rFonts w:cstheme="minorHAnsi"/>
          <w:szCs w:val="22"/>
        </w:rPr>
        <w:t>by</w:t>
      </w:r>
      <w:r w:rsidR="00CD5B3B" w:rsidRPr="003D1CC9">
        <w:rPr>
          <w:rFonts w:cstheme="minorHAnsi"/>
          <w:szCs w:val="22"/>
        </w:rPr>
        <w:t xml:space="preserve"> HI assay due to insufficient haemagglutination titre.</w:t>
      </w:r>
      <w:r w:rsidR="00E37BE7" w:rsidRPr="003D1CC9">
        <w:rPr>
          <w:rFonts w:cstheme="minorHAnsi"/>
          <w:szCs w:val="22"/>
          <w:vertAlign w:val="superscript"/>
        </w:rPr>
        <w:fldChar w:fldCharType="begin"/>
      </w:r>
      <w:r w:rsidR="00E37BE7" w:rsidRPr="003D1CC9">
        <w:rPr>
          <w:rFonts w:cstheme="minorHAnsi"/>
          <w:szCs w:val="22"/>
          <w:vertAlign w:val="superscript"/>
        </w:rPr>
        <w:instrText xml:space="preserve"> NOTEREF _Ref530645925 \h  \* MERGEFORMAT </w:instrText>
      </w:r>
      <w:r w:rsidR="00E37BE7" w:rsidRPr="003D1CC9">
        <w:rPr>
          <w:rFonts w:cstheme="minorHAnsi"/>
          <w:szCs w:val="22"/>
          <w:vertAlign w:val="superscript"/>
        </w:rPr>
      </w:r>
      <w:r w:rsidR="00E37BE7" w:rsidRPr="003D1CC9">
        <w:rPr>
          <w:rFonts w:cstheme="minorHAnsi"/>
          <w:szCs w:val="22"/>
          <w:vertAlign w:val="superscript"/>
        </w:rPr>
        <w:fldChar w:fldCharType="separate"/>
      </w:r>
      <w:r w:rsidR="00130407">
        <w:rPr>
          <w:rFonts w:cstheme="minorHAnsi"/>
          <w:szCs w:val="22"/>
          <w:vertAlign w:val="superscript"/>
        </w:rPr>
        <w:t>6</w:t>
      </w:r>
      <w:r w:rsidR="00E37BE7" w:rsidRPr="003D1CC9">
        <w:rPr>
          <w:rFonts w:cstheme="minorHAnsi"/>
          <w:szCs w:val="22"/>
          <w:vertAlign w:val="superscript"/>
        </w:rPr>
        <w:fldChar w:fldCharType="end"/>
      </w:r>
    </w:p>
    <w:p w14:paraId="52CB59FA" w14:textId="2E30AC60" w:rsidR="005311D4" w:rsidRPr="005311D4" w:rsidRDefault="00597691" w:rsidP="00F93D2A">
      <w:pPr>
        <w:pStyle w:val="Heading3"/>
        <w:numPr>
          <w:ilvl w:val="0"/>
          <w:numId w:val="0"/>
        </w:numPr>
        <w:ind w:left="284" w:hanging="284"/>
      </w:pPr>
      <w:r>
        <w:t>V</w:t>
      </w:r>
      <w:r w:rsidR="005311D4">
        <w:t>accine effectiveness</w:t>
      </w:r>
    </w:p>
    <w:p w14:paraId="31B57F47" w14:textId="366581B2" w:rsidR="00E05F66" w:rsidRPr="004D3846" w:rsidRDefault="00CD5B3B" w:rsidP="004D3846">
      <w:pPr>
        <w:pStyle w:val="ListParagraph"/>
        <w:numPr>
          <w:ilvl w:val="0"/>
          <w:numId w:val="12"/>
        </w:numPr>
        <w:ind w:right="28"/>
        <w:rPr>
          <w:rFonts w:cstheme="minorHAnsi"/>
          <w:szCs w:val="22"/>
        </w:rPr>
      </w:pPr>
      <w:r>
        <w:t xml:space="preserve">Influenza viruses are continually changing, making the targeting of an effective vaccine a constant challenge each year. </w:t>
      </w:r>
    </w:p>
    <w:p w14:paraId="2AED1DF1" w14:textId="25A98B25" w:rsidR="007A7C01" w:rsidRPr="007A7C01" w:rsidRDefault="000B42DE" w:rsidP="0048673F">
      <w:pPr>
        <w:pStyle w:val="ListParagraph"/>
        <w:numPr>
          <w:ilvl w:val="0"/>
          <w:numId w:val="12"/>
        </w:numPr>
        <w:ind w:right="28"/>
        <w:rPr>
          <w:rFonts w:cstheme="minorHAnsi"/>
          <w:szCs w:val="22"/>
        </w:rPr>
      </w:pPr>
      <w:r>
        <w:rPr>
          <w:szCs w:val="22"/>
        </w:rPr>
        <w:t>V</w:t>
      </w:r>
      <w:r w:rsidR="00E05F66" w:rsidRPr="0048673F">
        <w:rPr>
          <w:szCs w:val="22"/>
        </w:rPr>
        <w:t xml:space="preserve">accine effectiveness estimates </w:t>
      </w:r>
      <w:r w:rsidR="006579E2">
        <w:rPr>
          <w:szCs w:val="22"/>
        </w:rPr>
        <w:t>were</w:t>
      </w:r>
      <w:r w:rsidR="00E05F66" w:rsidRPr="0048673F">
        <w:rPr>
          <w:szCs w:val="22"/>
        </w:rPr>
        <w:t xml:space="preserve"> determined using</w:t>
      </w:r>
      <w:r w:rsidR="004964D8">
        <w:rPr>
          <w:szCs w:val="22"/>
        </w:rPr>
        <w:t xml:space="preserve"> sentinel</w:t>
      </w:r>
      <w:r w:rsidR="00E05F66" w:rsidRPr="0048673F">
        <w:rPr>
          <w:szCs w:val="22"/>
        </w:rPr>
        <w:t xml:space="preserve"> GP presentation and hospitalisation data. </w:t>
      </w:r>
    </w:p>
    <w:p w14:paraId="2435E2B6" w14:textId="7DC4DBBA" w:rsidR="00694099" w:rsidRPr="00694099" w:rsidRDefault="00E05F66" w:rsidP="00694099">
      <w:pPr>
        <w:pStyle w:val="ListParagraph"/>
        <w:numPr>
          <w:ilvl w:val="0"/>
          <w:numId w:val="12"/>
        </w:numPr>
        <w:ind w:right="28"/>
        <w:rPr>
          <w:rFonts w:cstheme="minorHAnsi"/>
          <w:szCs w:val="22"/>
        </w:rPr>
      </w:pPr>
      <w:r w:rsidRPr="0048673F">
        <w:rPr>
          <w:szCs w:val="22"/>
        </w:rPr>
        <w:t>Compared to unvaccinated indi</w:t>
      </w:r>
      <w:r w:rsidR="00597691">
        <w:rPr>
          <w:szCs w:val="22"/>
        </w:rPr>
        <w:t>vi</w:t>
      </w:r>
      <w:r w:rsidRPr="0048673F">
        <w:rPr>
          <w:szCs w:val="22"/>
        </w:rPr>
        <w:t xml:space="preserve">duals, vaccinated individuals were </w:t>
      </w:r>
      <w:r w:rsidR="00BB6633">
        <w:rPr>
          <w:szCs w:val="22"/>
        </w:rPr>
        <w:t>46</w:t>
      </w:r>
      <w:r w:rsidRPr="0048673F">
        <w:rPr>
          <w:szCs w:val="22"/>
        </w:rPr>
        <w:t xml:space="preserve">% </w:t>
      </w:r>
      <w:r>
        <w:t xml:space="preserve">(95% CI: </w:t>
      </w:r>
      <w:r w:rsidR="00BB6633">
        <w:t>36</w:t>
      </w:r>
      <w:r>
        <w:t xml:space="preserve">, </w:t>
      </w:r>
      <w:r w:rsidR="00BB6633">
        <w:t>55</w:t>
      </w:r>
      <w:r>
        <w:t xml:space="preserve">) </w:t>
      </w:r>
      <w:r w:rsidR="007A7C01" w:rsidRPr="0048673F">
        <w:rPr>
          <w:szCs w:val="22"/>
        </w:rPr>
        <w:t xml:space="preserve">less likely to present to a GP </w:t>
      </w:r>
      <w:r w:rsidR="00E93DA7">
        <w:rPr>
          <w:szCs w:val="22"/>
        </w:rPr>
        <w:t>with an ILI and test positive for influenza</w:t>
      </w:r>
      <w:r w:rsidR="00694099">
        <w:rPr>
          <w:szCs w:val="22"/>
        </w:rPr>
        <w:t xml:space="preserve">. </w:t>
      </w:r>
      <w:r w:rsidR="00694099">
        <w:t>Protection was estimated</w:t>
      </w:r>
      <w:r w:rsidR="00DD72D4">
        <w:t xml:space="preserve"> to be higher against </w:t>
      </w:r>
      <w:r w:rsidR="000B42DE">
        <w:t xml:space="preserve">influenza B (VE=64%, 95% CI: 48, 75) and </w:t>
      </w:r>
      <w:r w:rsidR="00DD72D4">
        <w:t>influenza </w:t>
      </w:r>
      <w:r w:rsidR="00694099">
        <w:t xml:space="preserve">A(H1N1)pdm09 </w:t>
      </w:r>
      <w:r w:rsidR="00694099" w:rsidRPr="006A7364">
        <w:t>(VE</w:t>
      </w:r>
      <w:r w:rsidR="00694099">
        <w:t>=</w:t>
      </w:r>
      <w:r w:rsidR="00BB6633">
        <w:rPr>
          <w:szCs w:val="22"/>
        </w:rPr>
        <w:t>62</w:t>
      </w:r>
      <w:r w:rsidR="00694099">
        <w:rPr>
          <w:szCs w:val="22"/>
        </w:rPr>
        <w:t xml:space="preserve">%, </w:t>
      </w:r>
      <w:r w:rsidR="00694099" w:rsidRPr="0048673F">
        <w:rPr>
          <w:szCs w:val="22"/>
        </w:rPr>
        <w:t xml:space="preserve">95% CI: </w:t>
      </w:r>
      <w:r w:rsidR="00BB6633">
        <w:rPr>
          <w:szCs w:val="22"/>
        </w:rPr>
        <w:t>39</w:t>
      </w:r>
      <w:r w:rsidR="00694099" w:rsidRPr="0048673F">
        <w:rPr>
          <w:szCs w:val="22"/>
        </w:rPr>
        <w:t xml:space="preserve">, </w:t>
      </w:r>
      <w:r w:rsidR="00BB6633">
        <w:rPr>
          <w:szCs w:val="22"/>
        </w:rPr>
        <w:t>77</w:t>
      </w:r>
      <w:r w:rsidR="00694099" w:rsidRPr="0048673F">
        <w:rPr>
          <w:szCs w:val="22"/>
        </w:rPr>
        <w:t>)</w:t>
      </w:r>
      <w:r w:rsidR="000B42DE">
        <w:rPr>
          <w:szCs w:val="22"/>
        </w:rPr>
        <w:t>, and lower for influenza A(H3N2) (VE=37%. 95% CI:24, 48)</w:t>
      </w:r>
      <w:r w:rsidR="004553C9">
        <w:rPr>
          <w:szCs w:val="22"/>
        </w:rPr>
        <w:t>.</w:t>
      </w:r>
      <w:r w:rsidR="00694099" w:rsidRPr="00694099">
        <w:rPr>
          <w:vertAlign w:val="superscript"/>
        </w:rPr>
        <w:fldChar w:fldCharType="begin"/>
      </w:r>
      <w:r w:rsidR="00694099" w:rsidRPr="00694099">
        <w:rPr>
          <w:vertAlign w:val="superscript"/>
        </w:rPr>
        <w:instrText xml:space="preserve"> NOTEREF _Ref530642501 \h </w:instrText>
      </w:r>
      <w:r w:rsidR="00694099">
        <w:rPr>
          <w:vertAlign w:val="superscript"/>
        </w:rPr>
        <w:instrText xml:space="preserve"> \* MERGEFORMAT </w:instrText>
      </w:r>
      <w:r w:rsidR="00694099" w:rsidRPr="00694099">
        <w:rPr>
          <w:vertAlign w:val="superscript"/>
        </w:rPr>
      </w:r>
      <w:r w:rsidR="00694099" w:rsidRPr="00694099">
        <w:rPr>
          <w:vertAlign w:val="superscript"/>
        </w:rPr>
        <w:fldChar w:fldCharType="separate"/>
      </w:r>
      <w:r w:rsidR="00130407">
        <w:rPr>
          <w:vertAlign w:val="superscript"/>
        </w:rPr>
        <w:t>2</w:t>
      </w:r>
      <w:r w:rsidR="00694099" w:rsidRPr="00694099">
        <w:rPr>
          <w:vertAlign w:val="superscript"/>
        </w:rPr>
        <w:fldChar w:fldCharType="end"/>
      </w:r>
      <w:r w:rsidR="00694099" w:rsidRPr="00694099">
        <w:rPr>
          <w:vertAlign w:val="superscript"/>
        </w:rPr>
        <w:t xml:space="preserve"> </w:t>
      </w:r>
    </w:p>
    <w:p w14:paraId="06694BE5" w14:textId="5EEB7D90" w:rsidR="00E05F66" w:rsidRPr="00AD2537" w:rsidRDefault="00694099" w:rsidP="00AD2537">
      <w:pPr>
        <w:pStyle w:val="ListParagraph"/>
        <w:numPr>
          <w:ilvl w:val="0"/>
          <w:numId w:val="12"/>
        </w:numPr>
        <w:ind w:right="28"/>
        <w:rPr>
          <w:rFonts w:cstheme="minorHAnsi"/>
          <w:szCs w:val="22"/>
        </w:rPr>
      </w:pPr>
      <w:r w:rsidRPr="00AD2537">
        <w:rPr>
          <w:szCs w:val="22"/>
        </w:rPr>
        <w:t xml:space="preserve">Compared to unvaccinated individuals, vaccinated individuals were </w:t>
      </w:r>
      <w:r w:rsidR="00BB6633">
        <w:rPr>
          <w:szCs w:val="22"/>
        </w:rPr>
        <w:t>43</w:t>
      </w:r>
      <w:r w:rsidRPr="00AD2537">
        <w:rPr>
          <w:szCs w:val="22"/>
        </w:rPr>
        <w:t>% (</w:t>
      </w:r>
      <w:r>
        <w:t xml:space="preserve">95% CI: </w:t>
      </w:r>
      <w:r w:rsidR="00BB6633">
        <w:t>36</w:t>
      </w:r>
      <w:r>
        <w:t xml:space="preserve">, </w:t>
      </w:r>
      <w:r w:rsidR="00BB6633">
        <w:t>49</w:t>
      </w:r>
      <w:r>
        <w:t xml:space="preserve">) </w:t>
      </w:r>
      <w:r w:rsidRPr="00AD2537">
        <w:rPr>
          <w:szCs w:val="22"/>
        </w:rPr>
        <w:t xml:space="preserve">less likely to be hospitalised due to all influenza. </w:t>
      </w:r>
      <w:r>
        <w:t xml:space="preserve">Protection was estimated to be </w:t>
      </w:r>
      <w:r w:rsidR="00DD72D4">
        <w:t xml:space="preserve">slightly </w:t>
      </w:r>
      <w:r>
        <w:t xml:space="preserve">higher against influenza </w:t>
      </w:r>
      <w:r>
        <w:lastRenderedPageBreak/>
        <w:t xml:space="preserve">A(H1N1)pdm09 </w:t>
      </w:r>
      <w:r w:rsidRPr="006A7364">
        <w:t>(VE</w:t>
      </w:r>
      <w:r>
        <w:t>=</w:t>
      </w:r>
      <w:r w:rsidR="00BB6633">
        <w:rPr>
          <w:szCs w:val="22"/>
        </w:rPr>
        <w:t>69</w:t>
      </w:r>
      <w:r w:rsidR="00DD72D4" w:rsidRPr="00AD2537">
        <w:rPr>
          <w:szCs w:val="22"/>
        </w:rPr>
        <w:t>%</w:t>
      </w:r>
      <w:r w:rsidRPr="00AD2537">
        <w:rPr>
          <w:szCs w:val="22"/>
        </w:rPr>
        <w:t xml:space="preserve">, 95% CI: </w:t>
      </w:r>
      <w:r w:rsidR="00BB6633">
        <w:t>55</w:t>
      </w:r>
      <w:r w:rsidR="00DD72D4">
        <w:t>,</w:t>
      </w:r>
      <w:r w:rsidR="00BB6633">
        <w:t xml:space="preserve"> 79</w:t>
      </w:r>
      <w:r w:rsidRPr="00AD2537">
        <w:rPr>
          <w:szCs w:val="22"/>
        </w:rPr>
        <w:t>)</w:t>
      </w:r>
      <w:r w:rsidRPr="006A7364">
        <w:t xml:space="preserve"> and </w:t>
      </w:r>
      <w:r w:rsidR="00DD72D4">
        <w:t xml:space="preserve">lower for </w:t>
      </w:r>
      <w:r>
        <w:t xml:space="preserve">influenza </w:t>
      </w:r>
      <w:r w:rsidRPr="006A7364">
        <w:t>B (VE=</w:t>
      </w:r>
      <w:r w:rsidR="00BB6633">
        <w:rPr>
          <w:szCs w:val="22"/>
        </w:rPr>
        <w:t>45</w:t>
      </w:r>
      <w:r w:rsidR="00DD72D4" w:rsidRPr="00AD2537">
        <w:rPr>
          <w:szCs w:val="22"/>
        </w:rPr>
        <w:t xml:space="preserve">%, </w:t>
      </w:r>
      <w:r>
        <w:t xml:space="preserve">95% CI: </w:t>
      </w:r>
      <w:r w:rsidR="00BB6633">
        <w:t>31</w:t>
      </w:r>
      <w:r w:rsidR="00DD72D4">
        <w:t xml:space="preserve">, </w:t>
      </w:r>
      <w:r w:rsidR="00BB6633">
        <w:t>56</w:t>
      </w:r>
      <w:r w:rsidRPr="006A7364">
        <w:t>)</w:t>
      </w:r>
      <w:r w:rsidR="000B42DE">
        <w:t xml:space="preserve"> and influenza A(H3N2) (VE=34%, 95% CI: 20, 46)</w:t>
      </w:r>
      <w:r>
        <w:t>.</w:t>
      </w:r>
      <w:r w:rsidR="00DD72D4" w:rsidRPr="00AD2537">
        <w:rPr>
          <w:vertAlign w:val="superscript"/>
        </w:rPr>
        <w:fldChar w:fldCharType="begin"/>
      </w:r>
      <w:r w:rsidR="00DD72D4" w:rsidRPr="00AD2537">
        <w:rPr>
          <w:vertAlign w:val="superscript"/>
        </w:rPr>
        <w:instrText xml:space="preserve"> NOTEREF _Ref530642589 \h  \* MERGEFORMAT </w:instrText>
      </w:r>
      <w:r w:rsidR="00DD72D4" w:rsidRPr="00AD2537">
        <w:rPr>
          <w:vertAlign w:val="superscript"/>
        </w:rPr>
      </w:r>
      <w:r w:rsidR="00DD72D4" w:rsidRPr="00AD2537">
        <w:rPr>
          <w:vertAlign w:val="superscript"/>
        </w:rPr>
        <w:fldChar w:fldCharType="separate"/>
      </w:r>
      <w:r w:rsidR="00130407">
        <w:rPr>
          <w:vertAlign w:val="superscript"/>
        </w:rPr>
        <w:t>5</w:t>
      </w:r>
      <w:r w:rsidR="00DD72D4" w:rsidRPr="00AD2537">
        <w:rPr>
          <w:vertAlign w:val="superscript"/>
        </w:rPr>
        <w:fldChar w:fldCharType="end"/>
      </w:r>
      <w:r w:rsidR="00AD2537">
        <w:t xml:space="preserve"> </w:t>
      </w:r>
    </w:p>
    <w:p w14:paraId="333B08A0" w14:textId="58EF3954" w:rsidR="00B701ED" w:rsidRPr="003D1CC9" w:rsidRDefault="00B701ED" w:rsidP="0048673F">
      <w:pPr>
        <w:pStyle w:val="ListParagraph"/>
        <w:numPr>
          <w:ilvl w:val="0"/>
          <w:numId w:val="12"/>
        </w:numPr>
        <w:ind w:right="28"/>
        <w:rPr>
          <w:rFonts w:cstheme="minorHAnsi"/>
          <w:szCs w:val="22"/>
        </w:rPr>
      </w:pPr>
      <w:r w:rsidRPr="003D1CC9">
        <w:t xml:space="preserve">Differences between </w:t>
      </w:r>
      <w:r w:rsidR="00AD2537" w:rsidRPr="003D1CC9">
        <w:t xml:space="preserve">vaccine effectiveness </w:t>
      </w:r>
      <w:r w:rsidRPr="003D1CC9">
        <w:t>against GP presentation and against hospitalisation may reflect differences in populations (older patients in</w:t>
      </w:r>
      <w:r w:rsidR="00AD2537" w:rsidRPr="003D1CC9">
        <w:t xml:space="preserve"> the</w:t>
      </w:r>
      <w:r w:rsidRPr="003D1CC9">
        <w:t xml:space="preserve"> hospitalised group) and potential attenuation of severity of illness by vaccination.</w:t>
      </w:r>
    </w:p>
    <w:p w14:paraId="0DF73A8D" w14:textId="7C39606B" w:rsidR="00CD5B3B" w:rsidRPr="003D1CC9" w:rsidRDefault="00CD5B3B" w:rsidP="00CD5B3B">
      <w:pPr>
        <w:pStyle w:val="ListParagraph"/>
        <w:numPr>
          <w:ilvl w:val="0"/>
          <w:numId w:val="12"/>
        </w:numPr>
        <w:ind w:right="28"/>
        <w:rPr>
          <w:rFonts w:cstheme="minorHAnsi"/>
          <w:szCs w:val="22"/>
        </w:rPr>
      </w:pPr>
      <w:r w:rsidRPr="003D1CC9">
        <w:t>The estimate of vaccine effectiveness against GP presentation for</w:t>
      </w:r>
      <w:r w:rsidR="009359D0" w:rsidRPr="003D1CC9">
        <w:t xml:space="preserve"> the 2019</w:t>
      </w:r>
      <w:r w:rsidRPr="003D1CC9">
        <w:t xml:space="preserve"> season is </w:t>
      </w:r>
      <w:r w:rsidR="004645CD">
        <w:t xml:space="preserve">consistent with </w:t>
      </w:r>
      <w:r w:rsidRPr="003D1CC9">
        <w:t>previous years. Vaccine effectiveness agains</w:t>
      </w:r>
      <w:r w:rsidR="00B701ED" w:rsidRPr="003D1CC9">
        <w:t>t GP presentation ranged from 3</w:t>
      </w:r>
      <w:r w:rsidR="007D2A81" w:rsidRPr="003D1CC9">
        <w:t>5</w:t>
      </w:r>
      <w:r w:rsidRPr="003D1CC9">
        <w:t xml:space="preserve">% to 60% between 2012 </w:t>
      </w:r>
      <w:r w:rsidR="00B701ED" w:rsidRPr="003D1CC9">
        <w:t>and 2017</w:t>
      </w:r>
      <w:r w:rsidR="00602A0F">
        <w:t>.</w:t>
      </w:r>
      <w:r w:rsidR="001E31FB">
        <w:rPr>
          <w:vertAlign w:val="superscript"/>
        </w:rPr>
        <w:t>7-10</w:t>
      </w:r>
      <w:r w:rsidR="00602A0F">
        <w:t xml:space="preserve"> </w:t>
      </w:r>
    </w:p>
    <w:p w14:paraId="09684B7C" w14:textId="488A7710" w:rsidR="00B76410" w:rsidRPr="00B76410" w:rsidRDefault="00B701ED" w:rsidP="00B76410">
      <w:pPr>
        <w:pStyle w:val="ListParagraph"/>
        <w:numPr>
          <w:ilvl w:val="0"/>
          <w:numId w:val="12"/>
        </w:numPr>
        <w:ind w:right="28"/>
        <w:rPr>
          <w:lang w:eastAsia="en-US"/>
        </w:rPr>
      </w:pPr>
      <w:r w:rsidRPr="00C00978">
        <w:t xml:space="preserve">The estimated effectiveness of the vaccine may depend on a number of factors – the outcome being measured, the age group predominantly affected (vaccine effectiveness is generally lower in older people than in younger adults and children), </w:t>
      </w:r>
      <w:r>
        <w:t>the match between vaccine and circulating influenza strains</w:t>
      </w:r>
      <w:r w:rsidRPr="00C00978">
        <w:t xml:space="preserve"> (generally prot</w:t>
      </w:r>
      <w:r w:rsidR="004964D8">
        <w:t>ection against infection with A(</w:t>
      </w:r>
      <w:r w:rsidRPr="00C00978">
        <w:t>H1N1</w:t>
      </w:r>
      <w:r w:rsidR="004964D8">
        <w:t>)pdm09 is greater than against A(</w:t>
      </w:r>
      <w:r w:rsidRPr="00C00978">
        <w:t>H3N2</w:t>
      </w:r>
      <w:r w:rsidR="004964D8">
        <w:t>)</w:t>
      </w:r>
      <w:r w:rsidRPr="00C00978">
        <w:t>)</w:t>
      </w:r>
      <w:r w:rsidR="00602A0F">
        <w:t>,</w:t>
      </w:r>
      <w:r w:rsidR="00DD6A2E">
        <w:t xml:space="preserve"> </w:t>
      </w:r>
      <w:r w:rsidR="005A3F1B">
        <w:t>and the vaccine type used</w:t>
      </w:r>
      <w:r w:rsidRPr="00C00978">
        <w:t>.</w:t>
      </w:r>
    </w:p>
    <w:p w14:paraId="752BB68F" w14:textId="5AA79D9B" w:rsidR="00B76410" w:rsidRPr="00CC4A22" w:rsidRDefault="00B76410" w:rsidP="00B76410">
      <w:pPr>
        <w:pStyle w:val="Heading3"/>
        <w:numPr>
          <w:ilvl w:val="0"/>
          <w:numId w:val="0"/>
        </w:numPr>
        <w:ind w:left="284" w:hanging="284"/>
      </w:pPr>
      <w:r>
        <w:t>Geographical variations</w:t>
      </w:r>
    </w:p>
    <w:p w14:paraId="4A85A080" w14:textId="201E623C" w:rsidR="00BE0E8C" w:rsidRPr="00D62361" w:rsidRDefault="00481DAE" w:rsidP="00BE0E8C">
      <w:pPr>
        <w:pStyle w:val="ListParagraph"/>
        <w:numPr>
          <w:ilvl w:val="0"/>
          <w:numId w:val="12"/>
        </w:numPr>
        <w:rPr>
          <w:rFonts w:cstheme="minorHAnsi"/>
        </w:rPr>
      </w:pPr>
      <w:r w:rsidRPr="00D62361">
        <w:rPr>
          <w:rFonts w:cstheme="minorHAnsi"/>
        </w:rPr>
        <w:t xml:space="preserve">All </w:t>
      </w:r>
      <w:r w:rsidR="0037014B">
        <w:rPr>
          <w:rFonts w:cstheme="minorHAnsi"/>
        </w:rPr>
        <w:t>j</w:t>
      </w:r>
      <w:r w:rsidRPr="00D62361">
        <w:rPr>
          <w:rFonts w:cstheme="minorHAnsi"/>
        </w:rPr>
        <w:t xml:space="preserve">urisdictions displayed </w:t>
      </w:r>
      <w:r w:rsidR="00D70CE1" w:rsidRPr="00D62361">
        <w:rPr>
          <w:rFonts w:cstheme="minorHAnsi"/>
        </w:rPr>
        <w:t>higher levels</w:t>
      </w:r>
      <w:r w:rsidRPr="00D62361">
        <w:rPr>
          <w:rFonts w:cstheme="minorHAnsi"/>
        </w:rPr>
        <w:t xml:space="preserve"> of </w:t>
      </w:r>
      <w:r w:rsidR="005F4F7B" w:rsidRPr="00D62361">
        <w:rPr>
          <w:rFonts w:cstheme="minorHAnsi"/>
        </w:rPr>
        <w:t xml:space="preserve">activity in 2019 compared </w:t>
      </w:r>
      <w:r w:rsidR="00DA6310">
        <w:rPr>
          <w:rFonts w:cstheme="minorHAnsi"/>
        </w:rPr>
        <w:t xml:space="preserve">to the 5 </w:t>
      </w:r>
      <w:proofErr w:type="gramStart"/>
      <w:r w:rsidR="00DA6310">
        <w:rPr>
          <w:rFonts w:cstheme="minorHAnsi"/>
        </w:rPr>
        <w:t>year</w:t>
      </w:r>
      <w:proofErr w:type="gramEnd"/>
      <w:r w:rsidR="00DA6310">
        <w:rPr>
          <w:rFonts w:cstheme="minorHAnsi"/>
        </w:rPr>
        <w:t xml:space="preserve"> mean. </w:t>
      </w:r>
    </w:p>
    <w:p w14:paraId="6D8F038D" w14:textId="28A18529" w:rsidR="00340D30" w:rsidRPr="00340D30" w:rsidRDefault="00481DAE" w:rsidP="00BE0E8C">
      <w:pPr>
        <w:pStyle w:val="ListParagraph"/>
        <w:numPr>
          <w:ilvl w:val="0"/>
          <w:numId w:val="12"/>
        </w:numPr>
        <w:rPr>
          <w:rFonts w:cstheme="minorHAnsi"/>
        </w:rPr>
      </w:pPr>
      <w:r w:rsidRPr="00340D30">
        <w:rPr>
          <w:rFonts w:cstheme="minorHAnsi"/>
        </w:rPr>
        <w:t xml:space="preserve">While all jurisdictions displayed </w:t>
      </w:r>
      <w:r w:rsidR="00D0515D">
        <w:rPr>
          <w:rFonts w:cstheme="minorHAnsi"/>
        </w:rPr>
        <w:t xml:space="preserve">an </w:t>
      </w:r>
      <w:r w:rsidRPr="00340D30">
        <w:rPr>
          <w:rFonts w:cstheme="minorHAnsi"/>
        </w:rPr>
        <w:t xml:space="preserve">earlier than expected increase in influenza </w:t>
      </w:r>
      <w:r w:rsidR="00D62361">
        <w:rPr>
          <w:rFonts w:cstheme="minorHAnsi"/>
        </w:rPr>
        <w:t>activity</w:t>
      </w:r>
      <w:r w:rsidRPr="00340D30">
        <w:rPr>
          <w:rFonts w:cstheme="minorHAnsi"/>
        </w:rPr>
        <w:t>, the</w:t>
      </w:r>
      <w:r w:rsidR="00D62361">
        <w:rPr>
          <w:rFonts w:cstheme="minorHAnsi"/>
        </w:rPr>
        <w:t>ir</w:t>
      </w:r>
      <w:r w:rsidRPr="00340D30">
        <w:rPr>
          <w:rFonts w:cstheme="minorHAnsi"/>
        </w:rPr>
        <w:t xml:space="preserve"> seasonal peaks and breadth varied.  </w:t>
      </w:r>
      <w:r w:rsidR="00340D30">
        <w:rPr>
          <w:rFonts w:cstheme="minorHAnsi"/>
        </w:rPr>
        <w:t xml:space="preserve">Western Australia </w:t>
      </w:r>
      <w:r w:rsidR="00F52133">
        <w:rPr>
          <w:rFonts w:cstheme="minorHAnsi"/>
        </w:rPr>
        <w:t xml:space="preserve">(WA) </w:t>
      </w:r>
      <w:r w:rsidR="00340D30">
        <w:rPr>
          <w:rFonts w:cstheme="minorHAnsi"/>
        </w:rPr>
        <w:t>dis</w:t>
      </w:r>
      <w:r w:rsidR="00D0515D">
        <w:rPr>
          <w:rFonts w:cstheme="minorHAnsi"/>
        </w:rPr>
        <w:t>played the</w:t>
      </w:r>
      <w:r w:rsidR="00D62361">
        <w:rPr>
          <w:rFonts w:cstheme="minorHAnsi"/>
        </w:rPr>
        <w:t xml:space="preserve"> shortest seasonal peak with </w:t>
      </w:r>
      <w:r w:rsidR="00D0515D">
        <w:rPr>
          <w:rFonts w:cstheme="minorHAnsi"/>
        </w:rPr>
        <w:t xml:space="preserve">a </w:t>
      </w:r>
      <w:r w:rsidR="00D62361">
        <w:rPr>
          <w:rFonts w:cstheme="minorHAnsi"/>
        </w:rPr>
        <w:t>sharp increase in activity occurring between week 21 and week 27.</w:t>
      </w:r>
      <w:r w:rsidR="00D70CE1">
        <w:rPr>
          <w:rFonts w:cstheme="minorHAnsi"/>
        </w:rPr>
        <w:t xml:space="preserve"> </w:t>
      </w:r>
    </w:p>
    <w:p w14:paraId="71C56AB1" w14:textId="699AE01F" w:rsidR="00BE0E8C" w:rsidRPr="00BE0E8C" w:rsidRDefault="00974B5D" w:rsidP="00BE0E8C">
      <w:pPr>
        <w:pStyle w:val="ListParagraph"/>
        <w:numPr>
          <w:ilvl w:val="0"/>
          <w:numId w:val="12"/>
        </w:numPr>
        <w:rPr>
          <w:rFonts w:cstheme="minorHAnsi"/>
        </w:rPr>
      </w:pPr>
      <w:r w:rsidRPr="00BE0E8C">
        <w:rPr>
          <w:rFonts w:cstheme="minorHAnsi"/>
        </w:rPr>
        <w:t>There was also variation across jurisdictions in</w:t>
      </w:r>
      <w:r w:rsidR="00BA0F45" w:rsidRPr="00BE0E8C">
        <w:rPr>
          <w:rFonts w:cstheme="minorHAnsi"/>
        </w:rPr>
        <w:t xml:space="preserve"> the influenza type and subtype distribution. T</w:t>
      </w:r>
      <w:r w:rsidRPr="00BE0E8C">
        <w:rPr>
          <w:rFonts w:cstheme="minorHAnsi"/>
        </w:rPr>
        <w:t xml:space="preserve">he </w:t>
      </w:r>
      <w:r w:rsidR="000B4384" w:rsidRPr="00BE0E8C">
        <w:rPr>
          <w:rFonts w:cstheme="minorHAnsi"/>
        </w:rPr>
        <w:t xml:space="preserve">proportion of all notifications </w:t>
      </w:r>
      <w:r w:rsidR="001509DE">
        <w:rPr>
          <w:rFonts w:cstheme="minorHAnsi"/>
        </w:rPr>
        <w:t>in 2019</w:t>
      </w:r>
      <w:r w:rsidR="004B4370" w:rsidRPr="00BE0E8C">
        <w:rPr>
          <w:rFonts w:cstheme="minorHAnsi"/>
        </w:rPr>
        <w:t xml:space="preserve"> reported as influenza </w:t>
      </w:r>
      <w:r w:rsidR="00072D0C" w:rsidRPr="00BE0E8C">
        <w:rPr>
          <w:rFonts w:cstheme="minorHAnsi"/>
        </w:rPr>
        <w:t>A</w:t>
      </w:r>
      <w:r w:rsidR="00BA0F45" w:rsidRPr="00BE0E8C">
        <w:rPr>
          <w:rFonts w:cstheme="minorHAnsi"/>
        </w:rPr>
        <w:t xml:space="preserve"> ranged</w:t>
      </w:r>
      <w:r w:rsidRPr="00BE0E8C">
        <w:rPr>
          <w:rFonts w:cstheme="minorHAnsi"/>
        </w:rPr>
        <w:t xml:space="preserve"> </w:t>
      </w:r>
      <w:r w:rsidR="0017616A" w:rsidRPr="00BE0E8C">
        <w:rPr>
          <w:rFonts w:cstheme="minorHAnsi"/>
        </w:rPr>
        <w:t xml:space="preserve">from </w:t>
      </w:r>
      <w:r w:rsidR="001509DE">
        <w:rPr>
          <w:rFonts w:cstheme="minorHAnsi"/>
        </w:rPr>
        <w:t xml:space="preserve">73.1% in </w:t>
      </w:r>
      <w:r w:rsidR="00D70CE1">
        <w:rPr>
          <w:rFonts w:cstheme="minorHAnsi"/>
        </w:rPr>
        <w:t>N</w:t>
      </w:r>
      <w:r w:rsidR="00F52133">
        <w:rPr>
          <w:rFonts w:cstheme="minorHAnsi"/>
        </w:rPr>
        <w:t>ew South Wales and WA</w:t>
      </w:r>
      <w:r w:rsidR="00D70CE1">
        <w:rPr>
          <w:rFonts w:cstheme="minorHAnsi"/>
        </w:rPr>
        <w:t xml:space="preserve"> </w:t>
      </w:r>
      <w:r w:rsidR="00DC0E75" w:rsidRPr="00BE0E8C">
        <w:rPr>
          <w:rFonts w:cstheme="minorHAnsi"/>
        </w:rPr>
        <w:t>to 8</w:t>
      </w:r>
      <w:r w:rsidR="00D70CE1">
        <w:rPr>
          <w:rFonts w:cstheme="minorHAnsi"/>
        </w:rPr>
        <w:t>8.5</w:t>
      </w:r>
      <w:r w:rsidR="00072D0C" w:rsidRPr="00BE0E8C">
        <w:rPr>
          <w:rFonts w:cstheme="minorHAnsi"/>
        </w:rPr>
        <w:t xml:space="preserve">% in </w:t>
      </w:r>
      <w:r w:rsidR="00D70CE1">
        <w:rPr>
          <w:rFonts w:cstheme="minorHAnsi"/>
        </w:rPr>
        <w:t>TAS</w:t>
      </w:r>
      <w:r w:rsidR="000B4384" w:rsidRPr="00BE0E8C">
        <w:rPr>
          <w:rFonts w:cstheme="minorHAnsi"/>
        </w:rPr>
        <w:t xml:space="preserve">. </w:t>
      </w:r>
      <w:r w:rsidR="00DC0E75" w:rsidRPr="00BE0E8C">
        <w:rPr>
          <w:rFonts w:cstheme="minorHAnsi"/>
        </w:rPr>
        <w:t xml:space="preserve">Where subtyping information </w:t>
      </w:r>
      <w:r w:rsidR="00350A2D" w:rsidRPr="00BE0E8C">
        <w:rPr>
          <w:rFonts w:cstheme="minorHAnsi"/>
        </w:rPr>
        <w:t xml:space="preserve">was </w:t>
      </w:r>
      <w:r w:rsidR="00DC0E75" w:rsidRPr="00BE0E8C">
        <w:rPr>
          <w:rFonts w:cstheme="minorHAnsi"/>
        </w:rPr>
        <w:t>av</w:t>
      </w:r>
      <w:r w:rsidRPr="00BE0E8C">
        <w:rPr>
          <w:rFonts w:cstheme="minorHAnsi"/>
        </w:rPr>
        <w:t xml:space="preserve">ailable, all jurisdictions </w:t>
      </w:r>
      <w:r w:rsidR="00DC0E75" w:rsidRPr="00BE0E8C">
        <w:rPr>
          <w:rFonts w:cstheme="minorHAnsi"/>
        </w:rPr>
        <w:t>reported a</w:t>
      </w:r>
      <w:r w:rsidR="007008A6">
        <w:rPr>
          <w:rFonts w:cstheme="minorHAnsi"/>
        </w:rPr>
        <w:t xml:space="preserve"> greater proportion of</w:t>
      </w:r>
      <w:r w:rsidR="00DC0E75" w:rsidRPr="00BE0E8C">
        <w:rPr>
          <w:rFonts w:cstheme="minorHAnsi"/>
        </w:rPr>
        <w:t xml:space="preserve"> </w:t>
      </w:r>
      <w:r w:rsidR="00CC4A22" w:rsidRPr="00BE0E8C">
        <w:rPr>
          <w:rFonts w:cstheme="minorHAnsi"/>
        </w:rPr>
        <w:t>influenza A(H3N2)</w:t>
      </w:r>
      <w:r w:rsidR="00D70CE1">
        <w:rPr>
          <w:rFonts w:cstheme="minorHAnsi"/>
        </w:rPr>
        <w:t xml:space="preserve"> than </w:t>
      </w:r>
      <w:r w:rsidR="00D70CE1" w:rsidRPr="00BE0E8C">
        <w:rPr>
          <w:rFonts w:cstheme="minorHAnsi"/>
        </w:rPr>
        <w:t>A(H1N</w:t>
      </w:r>
      <w:proofErr w:type="gramStart"/>
      <w:r w:rsidR="00D70CE1">
        <w:rPr>
          <w:rFonts w:cstheme="minorHAnsi"/>
        </w:rPr>
        <w:t>1)pdm</w:t>
      </w:r>
      <w:proofErr w:type="gramEnd"/>
      <w:r w:rsidR="00D70CE1">
        <w:rPr>
          <w:rFonts w:cstheme="minorHAnsi"/>
        </w:rPr>
        <w:t>09</w:t>
      </w:r>
      <w:r w:rsidR="00CC4A22" w:rsidRPr="00BE0E8C">
        <w:rPr>
          <w:rFonts w:cstheme="minorHAnsi"/>
        </w:rPr>
        <w:t>.</w:t>
      </w:r>
      <w:r w:rsidR="00DD72D4" w:rsidRPr="00BE0E8C">
        <w:rPr>
          <w:rFonts w:cstheme="minorHAnsi"/>
          <w:vertAlign w:val="superscript"/>
        </w:rPr>
        <w:fldChar w:fldCharType="begin"/>
      </w:r>
      <w:r w:rsidR="00DD72D4" w:rsidRPr="00BE0E8C">
        <w:rPr>
          <w:rFonts w:cstheme="minorHAnsi"/>
          <w:vertAlign w:val="superscript"/>
        </w:rPr>
        <w:instrText xml:space="preserve"> NOTEREF _Ref530642650 \h  \* MERGEFORMAT </w:instrText>
      </w:r>
      <w:r w:rsidR="00DD72D4" w:rsidRPr="00BE0E8C">
        <w:rPr>
          <w:rFonts w:cstheme="minorHAnsi"/>
          <w:vertAlign w:val="superscript"/>
        </w:rPr>
      </w:r>
      <w:r w:rsidR="00DD72D4" w:rsidRPr="00BE0E8C">
        <w:rPr>
          <w:rFonts w:cstheme="minorHAnsi"/>
          <w:vertAlign w:val="superscript"/>
        </w:rPr>
        <w:fldChar w:fldCharType="separate"/>
      </w:r>
      <w:r w:rsidR="00130407">
        <w:rPr>
          <w:rFonts w:cstheme="minorHAnsi"/>
          <w:vertAlign w:val="superscript"/>
        </w:rPr>
        <w:t>4</w:t>
      </w:r>
      <w:r w:rsidR="00DD72D4" w:rsidRPr="00BE0E8C">
        <w:rPr>
          <w:rFonts w:cstheme="minorHAnsi"/>
          <w:vertAlign w:val="superscript"/>
        </w:rPr>
        <w:fldChar w:fldCharType="end"/>
      </w:r>
    </w:p>
    <w:p w14:paraId="07D61ED0" w14:textId="3777100D" w:rsidR="00E7419C" w:rsidRPr="00CC4A22" w:rsidRDefault="00E7419C" w:rsidP="00446E51">
      <w:pPr>
        <w:pStyle w:val="Heading3"/>
        <w:numPr>
          <w:ilvl w:val="0"/>
          <w:numId w:val="0"/>
        </w:numPr>
        <w:ind w:left="284" w:hanging="284"/>
      </w:pPr>
      <w:r w:rsidRPr="00CC4A22">
        <w:t>At-risk Populations</w:t>
      </w:r>
    </w:p>
    <w:p w14:paraId="6C8C9117" w14:textId="2B428A41" w:rsidR="00214924" w:rsidRPr="00646E96" w:rsidRDefault="006B7E26" w:rsidP="00461CBF">
      <w:pPr>
        <w:pStyle w:val="ListParagraph"/>
        <w:numPr>
          <w:ilvl w:val="0"/>
          <w:numId w:val="5"/>
        </w:numPr>
      </w:pPr>
      <w:r>
        <w:t>N</w:t>
      </w:r>
      <w:r w:rsidR="00214924" w:rsidRPr="00646E96">
        <w:t xml:space="preserve">otification rates </w:t>
      </w:r>
      <w:r w:rsidR="006579E2">
        <w:t>were</w:t>
      </w:r>
      <w:r w:rsidR="00932278" w:rsidRPr="00646E96">
        <w:t xml:space="preserve"> highest </w:t>
      </w:r>
      <w:r w:rsidR="007155EC" w:rsidRPr="00646E96">
        <w:t xml:space="preserve">in children </w:t>
      </w:r>
      <w:r w:rsidR="00DE79D5" w:rsidRPr="00646E96">
        <w:t xml:space="preserve">aged </w:t>
      </w:r>
      <w:r w:rsidR="007155EC" w:rsidRPr="00646E96">
        <w:t>under 1</w:t>
      </w:r>
      <w:r w:rsidR="004F03E3">
        <w:t>0</w:t>
      </w:r>
      <w:r w:rsidR="007155EC" w:rsidRPr="00646E96">
        <w:t xml:space="preserve"> </w:t>
      </w:r>
      <w:r>
        <w:t xml:space="preserve">years </w:t>
      </w:r>
      <w:r w:rsidR="00214924" w:rsidRPr="00646E96">
        <w:t>with a secondar</w:t>
      </w:r>
      <w:r w:rsidR="0027610C">
        <w:t>y</w:t>
      </w:r>
      <w:r w:rsidR="005856EB" w:rsidRPr="00646E96">
        <w:t xml:space="preserve"> </w:t>
      </w:r>
      <w:r w:rsidR="00932278" w:rsidRPr="00646E96">
        <w:t>peak</w:t>
      </w:r>
      <w:r w:rsidR="009E6736" w:rsidRPr="00646E96">
        <w:t xml:space="preserve"> in ad</w:t>
      </w:r>
      <w:r w:rsidR="001E5D53" w:rsidRPr="00646E96">
        <w:t>ults aged 80</w:t>
      </w:r>
      <w:r w:rsidR="00CC4A22" w:rsidRPr="00646E96">
        <w:t xml:space="preserve"> years or older</w:t>
      </w:r>
      <w:r w:rsidR="00AA768E">
        <w:t>, mainly attributable to influenza A(H3N2).</w:t>
      </w:r>
      <w:r w:rsidR="00DD72D4" w:rsidRPr="00DD72D4">
        <w:rPr>
          <w:vertAlign w:val="superscript"/>
        </w:rPr>
        <w:fldChar w:fldCharType="begin"/>
      </w:r>
      <w:r w:rsidR="00DD72D4" w:rsidRPr="00DD72D4">
        <w:rPr>
          <w:vertAlign w:val="superscript"/>
        </w:rPr>
        <w:instrText xml:space="preserve"> NOTEREF _Ref530642650 \h </w:instrText>
      </w:r>
      <w:r w:rsidR="00DD72D4">
        <w:rPr>
          <w:vertAlign w:val="superscript"/>
        </w:rPr>
        <w:instrText xml:space="preserve"> \* MERGEFORMAT </w:instrText>
      </w:r>
      <w:r w:rsidR="00DD72D4" w:rsidRPr="00DD72D4">
        <w:rPr>
          <w:vertAlign w:val="superscript"/>
        </w:rPr>
      </w:r>
      <w:r w:rsidR="00DD72D4" w:rsidRPr="00DD72D4">
        <w:rPr>
          <w:vertAlign w:val="superscript"/>
        </w:rPr>
        <w:fldChar w:fldCharType="separate"/>
      </w:r>
      <w:r w:rsidR="00130407">
        <w:rPr>
          <w:vertAlign w:val="superscript"/>
        </w:rPr>
        <w:t>4</w:t>
      </w:r>
      <w:r w:rsidR="00DD72D4" w:rsidRPr="00DD72D4">
        <w:rPr>
          <w:vertAlign w:val="superscript"/>
        </w:rPr>
        <w:fldChar w:fldCharType="end"/>
      </w:r>
      <w:r w:rsidR="00AA768E" w:rsidRPr="00DD72D4">
        <w:rPr>
          <w:vertAlign w:val="superscript"/>
        </w:rPr>
        <w:t xml:space="preserve"> </w:t>
      </w:r>
    </w:p>
    <w:p w14:paraId="28A0A5FB" w14:textId="69943E3A" w:rsidR="00BE0E8C" w:rsidRDefault="00BE0E8C" w:rsidP="00BE0E8C">
      <w:pPr>
        <w:pStyle w:val="ListParagraph"/>
        <w:numPr>
          <w:ilvl w:val="0"/>
          <w:numId w:val="5"/>
        </w:numPr>
      </w:pPr>
      <w:r>
        <w:t>Medical comorbidities were c</w:t>
      </w:r>
      <w:r w:rsidR="0033543B">
        <w:t xml:space="preserve">ommon in hospitalized patients </w:t>
      </w:r>
      <w:r>
        <w:t>aged over 65 years (</w:t>
      </w:r>
      <w:r w:rsidR="0033543B">
        <w:t>87.3</w:t>
      </w:r>
      <w:r>
        <w:t>%</w:t>
      </w:r>
      <w:r w:rsidR="0033543B">
        <w:t xml:space="preserve"> had comorbidities</w:t>
      </w:r>
      <w:r>
        <w:t xml:space="preserve">) but less </w:t>
      </w:r>
      <w:r w:rsidR="0033543B">
        <w:t>common in children aged 15 years or younger</w:t>
      </w:r>
      <w:r>
        <w:t xml:space="preserve"> (</w:t>
      </w:r>
      <w:r w:rsidR="0033543B">
        <w:t>36.5% had comorbidities).</w:t>
      </w:r>
      <w:r w:rsidRPr="00DD72D4">
        <w:rPr>
          <w:rFonts w:ascii="Calibri" w:hAnsi="Calibri"/>
          <w:color w:val="000000"/>
          <w:szCs w:val="22"/>
          <w:vertAlign w:val="superscript"/>
        </w:rPr>
        <w:fldChar w:fldCharType="begin"/>
      </w:r>
      <w:r w:rsidRPr="00DD72D4">
        <w:rPr>
          <w:rFonts w:ascii="Calibri" w:hAnsi="Calibri"/>
          <w:color w:val="000000"/>
          <w:szCs w:val="22"/>
          <w:vertAlign w:val="superscript"/>
        </w:rPr>
        <w:instrText xml:space="preserve"> NOTEREF _Ref530642589 \h </w:instrText>
      </w:r>
      <w:r>
        <w:rPr>
          <w:rFonts w:ascii="Calibri" w:hAnsi="Calibri"/>
          <w:color w:val="000000"/>
          <w:szCs w:val="22"/>
          <w:vertAlign w:val="superscript"/>
        </w:rPr>
        <w:instrText xml:space="preserve"> \* MERGEFORMAT </w:instrText>
      </w:r>
      <w:r w:rsidRPr="00DD72D4">
        <w:rPr>
          <w:rFonts w:ascii="Calibri" w:hAnsi="Calibri"/>
          <w:color w:val="000000"/>
          <w:szCs w:val="22"/>
          <w:vertAlign w:val="superscript"/>
        </w:rPr>
      </w:r>
      <w:r w:rsidRPr="00DD72D4">
        <w:rPr>
          <w:rFonts w:ascii="Calibri" w:hAnsi="Calibri"/>
          <w:color w:val="000000"/>
          <w:szCs w:val="22"/>
          <w:vertAlign w:val="superscript"/>
        </w:rPr>
        <w:fldChar w:fldCharType="separate"/>
      </w:r>
      <w:r w:rsidR="00130407">
        <w:rPr>
          <w:rFonts w:ascii="Calibri" w:hAnsi="Calibri"/>
          <w:color w:val="000000"/>
          <w:szCs w:val="22"/>
          <w:vertAlign w:val="superscript"/>
        </w:rPr>
        <w:t>5</w:t>
      </w:r>
      <w:r w:rsidRPr="00DD72D4">
        <w:rPr>
          <w:rFonts w:ascii="Calibri" w:hAnsi="Calibri"/>
          <w:color w:val="000000"/>
          <w:szCs w:val="22"/>
          <w:vertAlign w:val="superscript"/>
        </w:rPr>
        <w:fldChar w:fldCharType="end"/>
      </w:r>
    </w:p>
    <w:p w14:paraId="360C5A63" w14:textId="65198238" w:rsidR="00BE0E8C" w:rsidRDefault="00BE0E8C" w:rsidP="00BE0E8C">
      <w:pPr>
        <w:pStyle w:val="ListParagraph"/>
        <w:numPr>
          <w:ilvl w:val="0"/>
          <w:numId w:val="5"/>
        </w:numPr>
      </w:pPr>
      <w:r>
        <w:t xml:space="preserve">Of hospitalized patients with confirmed influenza, </w:t>
      </w:r>
      <w:r w:rsidR="00535458">
        <w:t xml:space="preserve">7.7 </w:t>
      </w:r>
      <w:r>
        <w:t>% were Indigenous Australians.</w:t>
      </w:r>
      <w:r w:rsidR="00535458">
        <w:t xml:space="preserve"> Of the </w:t>
      </w:r>
      <w:r w:rsidR="00535458" w:rsidRPr="00D13F11">
        <w:t>461</w:t>
      </w:r>
      <w:r>
        <w:t xml:space="preserve"> hospitalisations</w:t>
      </w:r>
      <w:r w:rsidR="00535458">
        <w:t xml:space="preserve"> with infl</w:t>
      </w:r>
      <w:r w:rsidR="0001522F">
        <w:t>uenza in females</w:t>
      </w:r>
      <w:r w:rsidR="00D0515D">
        <w:t xml:space="preserve"> aged</w:t>
      </w:r>
      <w:r w:rsidR="0001522F">
        <w:t xml:space="preserve"> 16-49 years, 1.7</w:t>
      </w:r>
      <w:r>
        <w:t>% were pregnant.</w:t>
      </w:r>
      <w:r w:rsidRPr="00BE0E8C">
        <w:rPr>
          <w:rFonts w:ascii="Calibri" w:hAnsi="Calibri"/>
          <w:color w:val="000000"/>
          <w:szCs w:val="22"/>
          <w:vertAlign w:val="superscript"/>
        </w:rPr>
        <w:t xml:space="preserve"> </w:t>
      </w:r>
      <w:r w:rsidRPr="00DD72D4">
        <w:rPr>
          <w:rFonts w:ascii="Calibri" w:hAnsi="Calibri"/>
          <w:color w:val="000000"/>
          <w:szCs w:val="22"/>
          <w:vertAlign w:val="superscript"/>
        </w:rPr>
        <w:fldChar w:fldCharType="begin"/>
      </w:r>
      <w:r w:rsidRPr="00DD72D4">
        <w:rPr>
          <w:rFonts w:ascii="Calibri" w:hAnsi="Calibri"/>
          <w:color w:val="000000"/>
          <w:szCs w:val="22"/>
          <w:vertAlign w:val="superscript"/>
        </w:rPr>
        <w:instrText xml:space="preserve"> NOTEREF _Ref530642589 \h </w:instrText>
      </w:r>
      <w:r>
        <w:rPr>
          <w:rFonts w:ascii="Calibri" w:hAnsi="Calibri"/>
          <w:color w:val="000000"/>
          <w:szCs w:val="22"/>
          <w:vertAlign w:val="superscript"/>
        </w:rPr>
        <w:instrText xml:space="preserve"> \* MERGEFORMAT </w:instrText>
      </w:r>
      <w:r w:rsidRPr="00DD72D4">
        <w:rPr>
          <w:rFonts w:ascii="Calibri" w:hAnsi="Calibri"/>
          <w:color w:val="000000"/>
          <w:szCs w:val="22"/>
          <w:vertAlign w:val="superscript"/>
        </w:rPr>
      </w:r>
      <w:r w:rsidRPr="00DD72D4">
        <w:rPr>
          <w:rFonts w:ascii="Calibri" w:hAnsi="Calibri"/>
          <w:color w:val="000000"/>
          <w:szCs w:val="22"/>
          <w:vertAlign w:val="superscript"/>
        </w:rPr>
        <w:fldChar w:fldCharType="separate"/>
      </w:r>
      <w:r w:rsidR="00130407">
        <w:rPr>
          <w:rFonts w:ascii="Calibri" w:hAnsi="Calibri"/>
          <w:color w:val="000000"/>
          <w:szCs w:val="22"/>
          <w:vertAlign w:val="superscript"/>
        </w:rPr>
        <w:t>5</w:t>
      </w:r>
      <w:r w:rsidRPr="00DD72D4">
        <w:rPr>
          <w:rFonts w:ascii="Calibri" w:hAnsi="Calibri"/>
          <w:color w:val="000000"/>
          <w:szCs w:val="22"/>
          <w:vertAlign w:val="superscript"/>
        </w:rPr>
        <w:fldChar w:fldCharType="end"/>
      </w:r>
    </w:p>
    <w:p w14:paraId="21B01C8D" w14:textId="3B563BFD" w:rsidR="00142D14" w:rsidRDefault="000A4A7D" w:rsidP="00461CBF">
      <w:pPr>
        <w:pStyle w:val="ListParagraph"/>
        <w:numPr>
          <w:ilvl w:val="0"/>
          <w:numId w:val="5"/>
        </w:numPr>
      </w:pPr>
      <w:r w:rsidRPr="00646E96">
        <w:t>Wh</w:t>
      </w:r>
      <w:r w:rsidR="005856EB" w:rsidRPr="00646E96">
        <w:t>ere subtyping information was</w:t>
      </w:r>
      <w:r w:rsidRPr="00646E96">
        <w:t xml:space="preserve"> available, </w:t>
      </w:r>
      <w:r w:rsidR="00260022" w:rsidRPr="00646E96">
        <w:t>influen</w:t>
      </w:r>
      <w:r w:rsidR="001F6EF9">
        <w:t>za A(H3N2</w:t>
      </w:r>
      <w:r w:rsidR="00130407">
        <w:t xml:space="preserve">) </w:t>
      </w:r>
      <w:r w:rsidR="005856EB" w:rsidRPr="00646E96">
        <w:t>was</w:t>
      </w:r>
      <w:r w:rsidR="003104A0" w:rsidRPr="00646E96">
        <w:t xml:space="preserve"> the predominant strain in all age groups</w:t>
      </w:r>
      <w:r w:rsidR="00591318">
        <w:t>.</w:t>
      </w:r>
      <w:r w:rsidR="00DD72D4" w:rsidRPr="00AD2537">
        <w:rPr>
          <w:vertAlign w:val="superscript"/>
        </w:rPr>
        <w:fldChar w:fldCharType="begin"/>
      </w:r>
      <w:r w:rsidR="00DD72D4" w:rsidRPr="00AD2537">
        <w:rPr>
          <w:vertAlign w:val="superscript"/>
        </w:rPr>
        <w:instrText xml:space="preserve"> NOTEREF _Ref530642650 \h  \* MERGEFORMAT </w:instrText>
      </w:r>
      <w:r w:rsidR="00DD72D4" w:rsidRPr="00AD2537">
        <w:rPr>
          <w:vertAlign w:val="superscript"/>
        </w:rPr>
      </w:r>
      <w:r w:rsidR="00DD72D4" w:rsidRPr="00AD2537">
        <w:rPr>
          <w:vertAlign w:val="superscript"/>
        </w:rPr>
        <w:fldChar w:fldCharType="separate"/>
      </w:r>
      <w:r w:rsidR="00130407">
        <w:rPr>
          <w:vertAlign w:val="superscript"/>
        </w:rPr>
        <w:t>4</w:t>
      </w:r>
      <w:r w:rsidR="00DD72D4" w:rsidRPr="00AD2537">
        <w:rPr>
          <w:vertAlign w:val="superscript"/>
        </w:rPr>
        <w:fldChar w:fldCharType="end"/>
      </w:r>
      <w:r w:rsidR="00591318" w:rsidRPr="00F93D2A">
        <w:rPr>
          <w:vertAlign w:val="superscript"/>
        </w:rPr>
        <w:t xml:space="preserve"> </w:t>
      </w:r>
    </w:p>
    <w:p w14:paraId="1D398C8F" w14:textId="791785B0" w:rsidR="00AD2537" w:rsidRPr="00AD2537" w:rsidRDefault="003C2122" w:rsidP="00AD2537">
      <w:pPr>
        <w:pStyle w:val="ListParagraph"/>
        <w:numPr>
          <w:ilvl w:val="0"/>
          <w:numId w:val="5"/>
        </w:numPr>
      </w:pPr>
      <w:r w:rsidRPr="00F93D2A">
        <w:t>ICU admissions with confirmed influenza were similar by age group</w:t>
      </w:r>
      <w:r w:rsidR="00902B92" w:rsidRPr="00F93D2A">
        <w:t xml:space="preserve">. </w:t>
      </w:r>
      <w:r w:rsidR="00902B92" w:rsidRPr="00AD2537">
        <w:t>Of children</w:t>
      </w:r>
      <w:r w:rsidR="001F6EF9">
        <w:t xml:space="preserve"> (0-15 years)</w:t>
      </w:r>
      <w:r w:rsidR="00902B92" w:rsidRPr="00AD2537">
        <w:t xml:space="preserve"> admitted with confirmed influenza</w:t>
      </w:r>
      <w:r w:rsidR="001F6EF9">
        <w:t>, 5.2</w:t>
      </w:r>
      <w:r w:rsidR="00902B92" w:rsidRPr="00F93D2A">
        <w:t>% were admitted to ICU. This is slightly less than the percentage of adults a</w:t>
      </w:r>
      <w:r w:rsidR="001F6EF9">
        <w:t>ged between 16 and 64 years (8.4</w:t>
      </w:r>
      <w:r w:rsidR="00902B92" w:rsidRPr="00F93D2A">
        <w:t>%) and adu</w:t>
      </w:r>
      <w:r w:rsidR="001F6EF9">
        <w:t>lts aged 65 years and older (5.4</w:t>
      </w:r>
      <w:r w:rsidR="00902B92" w:rsidRPr="00F93D2A">
        <w:t>%) that were admitted to ICU.</w:t>
      </w:r>
      <w:r w:rsidR="00DD72D4" w:rsidRPr="00F93D2A">
        <w:rPr>
          <w:vertAlign w:val="superscript"/>
        </w:rPr>
        <w:fldChar w:fldCharType="begin"/>
      </w:r>
      <w:r w:rsidR="00DD72D4" w:rsidRPr="00F93D2A">
        <w:rPr>
          <w:vertAlign w:val="superscript"/>
        </w:rPr>
        <w:instrText xml:space="preserve"> NOTEREF _Ref530642589 \h  \* MERGEFORMAT </w:instrText>
      </w:r>
      <w:r w:rsidR="00DD72D4" w:rsidRPr="00F93D2A">
        <w:rPr>
          <w:vertAlign w:val="superscript"/>
        </w:rPr>
      </w:r>
      <w:r w:rsidR="00DD72D4" w:rsidRPr="00F93D2A">
        <w:rPr>
          <w:vertAlign w:val="superscript"/>
        </w:rPr>
        <w:fldChar w:fldCharType="separate"/>
      </w:r>
      <w:r w:rsidR="00130407">
        <w:rPr>
          <w:vertAlign w:val="superscript"/>
        </w:rPr>
        <w:t>5</w:t>
      </w:r>
      <w:r w:rsidR="00DD72D4" w:rsidRPr="00F93D2A">
        <w:rPr>
          <w:vertAlign w:val="superscript"/>
        </w:rPr>
        <w:fldChar w:fldCharType="end"/>
      </w:r>
    </w:p>
    <w:p w14:paraId="611CA60C" w14:textId="664D1D87" w:rsidR="00FB4A09" w:rsidRDefault="00FB4A09" w:rsidP="00FB4A09">
      <w:pPr>
        <w:pStyle w:val="Heading3"/>
        <w:numPr>
          <w:ilvl w:val="0"/>
          <w:numId w:val="0"/>
        </w:numPr>
      </w:pPr>
      <w:bookmarkStart w:id="16" w:name="_Toc512525155"/>
      <w:bookmarkStart w:id="17" w:name="_Toc512779035"/>
      <w:r w:rsidRPr="00DE768F">
        <w:t>Antiviral Resistance</w:t>
      </w:r>
      <w:bookmarkEnd w:id="16"/>
      <w:bookmarkEnd w:id="17"/>
      <w:r w:rsidRPr="00DE768F">
        <w:t xml:space="preserve"> </w:t>
      </w:r>
    </w:p>
    <w:p w14:paraId="3772A48D" w14:textId="14BC3E7D" w:rsidR="00FB4A09" w:rsidRPr="00FB4A09" w:rsidRDefault="00FB4A09" w:rsidP="00FB4A09">
      <w:pPr>
        <w:ind w:left="284" w:hanging="284"/>
      </w:pPr>
      <w:r w:rsidRPr="00FB4A09">
        <w:t>•</w:t>
      </w:r>
      <w:r w:rsidRPr="00FB4A09">
        <w:tab/>
      </w:r>
      <w:r w:rsidR="00E011C5" w:rsidRPr="00E011C5">
        <w:t xml:space="preserve">The WHOCC reported that from 1 January to </w:t>
      </w:r>
      <w:r w:rsidR="002E3B5F">
        <w:t xml:space="preserve">31 December 2019, of the 3,975 </w:t>
      </w:r>
      <w:r w:rsidR="00E011C5" w:rsidRPr="00E011C5">
        <w:t>influenza viruses tested for neuraminidase inhibitor resistance,</w:t>
      </w:r>
      <w:r w:rsidR="002E3B5F">
        <w:t xml:space="preserve"> one</w:t>
      </w:r>
      <w:r w:rsidR="00E011C5" w:rsidRPr="00E011C5">
        <w:t xml:space="preserve"> demonstrated reduced i</w:t>
      </w:r>
      <w:r w:rsidR="002E3B5F">
        <w:t>nhibition to Oseltamivir and two</w:t>
      </w:r>
      <w:r w:rsidR="00E011C5" w:rsidRPr="00E011C5">
        <w:t xml:space="preserve"> </w:t>
      </w:r>
      <w:r w:rsidR="00D0515D">
        <w:t>demonstrated</w:t>
      </w:r>
      <w:r w:rsidR="00E011C5" w:rsidRPr="00E011C5">
        <w:t xml:space="preserve"> reduced inhibition to Zanamivir</w:t>
      </w:r>
      <w:r w:rsidR="00E011C5">
        <w:t xml:space="preserve">. </w:t>
      </w:r>
      <w:r w:rsidR="00E011C5" w:rsidRPr="00DD72D4">
        <w:rPr>
          <w:rFonts w:ascii="Calibri" w:hAnsi="Calibri"/>
          <w:color w:val="000000"/>
          <w:szCs w:val="22"/>
          <w:vertAlign w:val="superscript"/>
        </w:rPr>
        <w:fldChar w:fldCharType="begin"/>
      </w:r>
      <w:r w:rsidR="00E011C5" w:rsidRPr="00DD72D4">
        <w:rPr>
          <w:rFonts w:ascii="Calibri" w:hAnsi="Calibri"/>
          <w:color w:val="000000"/>
          <w:szCs w:val="22"/>
          <w:vertAlign w:val="superscript"/>
        </w:rPr>
        <w:instrText xml:space="preserve"> NOTEREF _Ref530642589 \h </w:instrText>
      </w:r>
      <w:r w:rsidR="00E011C5">
        <w:rPr>
          <w:rFonts w:ascii="Calibri" w:hAnsi="Calibri"/>
          <w:color w:val="000000"/>
          <w:szCs w:val="22"/>
          <w:vertAlign w:val="superscript"/>
        </w:rPr>
        <w:instrText xml:space="preserve"> \* MERGEFORMAT </w:instrText>
      </w:r>
      <w:r w:rsidR="00E011C5" w:rsidRPr="00DD72D4">
        <w:rPr>
          <w:rFonts w:ascii="Calibri" w:hAnsi="Calibri"/>
          <w:color w:val="000000"/>
          <w:szCs w:val="22"/>
          <w:vertAlign w:val="superscript"/>
        </w:rPr>
      </w:r>
      <w:r w:rsidR="00E011C5" w:rsidRPr="00DD72D4">
        <w:rPr>
          <w:rFonts w:ascii="Calibri" w:hAnsi="Calibri"/>
          <w:color w:val="000000"/>
          <w:szCs w:val="22"/>
          <w:vertAlign w:val="superscript"/>
        </w:rPr>
        <w:fldChar w:fldCharType="separate"/>
      </w:r>
      <w:r w:rsidR="00130407">
        <w:rPr>
          <w:rFonts w:ascii="Calibri" w:hAnsi="Calibri"/>
          <w:color w:val="000000"/>
          <w:szCs w:val="22"/>
          <w:vertAlign w:val="superscript"/>
        </w:rPr>
        <w:t>5</w:t>
      </w:r>
      <w:r w:rsidR="00E011C5" w:rsidRPr="00DD72D4">
        <w:rPr>
          <w:rFonts w:ascii="Calibri" w:hAnsi="Calibri"/>
          <w:color w:val="000000"/>
          <w:szCs w:val="22"/>
          <w:vertAlign w:val="superscript"/>
        </w:rPr>
        <w:fldChar w:fldCharType="end"/>
      </w:r>
    </w:p>
    <w:p w14:paraId="417E81E3" w14:textId="37F5A8C5" w:rsidR="003D7034" w:rsidRPr="000D74EE" w:rsidRDefault="004129A9" w:rsidP="00446E51">
      <w:pPr>
        <w:pStyle w:val="Heading3"/>
        <w:numPr>
          <w:ilvl w:val="0"/>
          <w:numId w:val="0"/>
        </w:numPr>
        <w:ind w:left="284" w:hanging="284"/>
      </w:pPr>
      <w:r>
        <w:t>Further Information</w:t>
      </w:r>
    </w:p>
    <w:bookmarkEnd w:id="14"/>
    <w:p w14:paraId="3175BD83" w14:textId="77777777" w:rsidR="004129A9" w:rsidRDefault="004129A9" w:rsidP="004129A9">
      <w:pPr>
        <w:pStyle w:val="EndnoteText"/>
        <w:tabs>
          <w:tab w:val="clear" w:pos="340"/>
          <w:tab w:val="left" w:pos="0"/>
        </w:tabs>
        <w:ind w:left="0" w:firstLine="0"/>
      </w:pPr>
      <w:r>
        <w:t>N</w:t>
      </w:r>
      <w:r w:rsidRPr="00305D11">
        <w:t>o one single system</w:t>
      </w:r>
      <w:r>
        <w:t>,</w:t>
      </w:r>
      <w:r w:rsidRPr="00305D11">
        <w:t xml:space="preserve"> including notification data</w:t>
      </w:r>
      <w:r>
        <w:t>,</w:t>
      </w:r>
      <w:r w:rsidRPr="00305D11">
        <w:t xml:space="preserve"> </w:t>
      </w:r>
      <w:r>
        <w:t>provides</w:t>
      </w:r>
      <w:r w:rsidRPr="00305D11">
        <w:t xml:space="preserve"> the full picture</w:t>
      </w:r>
      <w:r>
        <w:t xml:space="preserve"> on influenza</w:t>
      </w:r>
      <w:r w:rsidRPr="00305D11">
        <w:t xml:space="preserve">, because </w:t>
      </w:r>
      <w:r>
        <w:t xml:space="preserve">influenza </w:t>
      </w:r>
      <w:r w:rsidRPr="00305D11">
        <w:t>is a common disease</w:t>
      </w:r>
      <w:r>
        <w:t xml:space="preserve"> and its presenting symptoms are non-specific</w:t>
      </w:r>
      <w:r w:rsidRPr="00305D11">
        <w:t xml:space="preserve">. The epidemiology of </w:t>
      </w:r>
      <w:r>
        <w:t xml:space="preserve">influenza </w:t>
      </w:r>
      <w:r w:rsidRPr="00305D11">
        <w:t xml:space="preserve">is </w:t>
      </w:r>
      <w:r>
        <w:t>in</w:t>
      </w:r>
      <w:r w:rsidRPr="00305D11">
        <w:t xml:space="preserve">formed by </w:t>
      </w:r>
      <w:proofErr w:type="gramStart"/>
      <w:r w:rsidRPr="00305D11">
        <w:t>a number of</w:t>
      </w:r>
      <w:proofErr w:type="gramEnd"/>
      <w:r w:rsidRPr="00305D11">
        <w:t xml:space="preserve"> different systems based in the community, laboratories, primary care and hospitals, as well as</w:t>
      </w:r>
      <w:r>
        <w:t xml:space="preserve"> official </w:t>
      </w:r>
      <w:r w:rsidRPr="00305D11">
        <w:t>deaths and notifiable diseases data.</w:t>
      </w:r>
      <w:r>
        <w:t xml:space="preserve"> Throughout the influenza season in Australia these systems are reported in the </w:t>
      </w:r>
      <w:hyperlink r:id="rId11" w:history="1">
        <w:r w:rsidRPr="003F1E0A">
          <w:rPr>
            <w:rStyle w:val="Hyperlink"/>
            <w:rFonts w:asciiTheme="minorHAnsi" w:hAnsiTheme="minorHAnsi" w:cs="Times New Roman"/>
            <w:sz w:val="22"/>
            <w:szCs w:val="20"/>
            <w:lang w:eastAsia="en-AU"/>
          </w:rPr>
          <w:t>Australian Influenza Surveillance Report</w:t>
        </w:r>
      </w:hyperlink>
      <w:r>
        <w:t xml:space="preserve"> at </w:t>
      </w:r>
      <w:r w:rsidRPr="003F1E0A">
        <w:t>www.health.gov.au/flureport</w:t>
      </w:r>
      <w:r>
        <w:t xml:space="preserve">.  </w:t>
      </w:r>
      <w:r w:rsidRPr="00EB0ADA">
        <w:t xml:space="preserve">For further details about information contained in this report please contact the </w:t>
      </w:r>
      <w:hyperlink r:id="rId12" w:history="1">
        <w:r w:rsidRPr="00EB0ADA">
          <w:rPr>
            <w:rStyle w:val="Hyperlink"/>
            <w:rFonts w:asciiTheme="minorHAnsi" w:hAnsiTheme="minorHAnsi" w:cs="Times New Roman"/>
            <w:sz w:val="22"/>
            <w:szCs w:val="20"/>
            <w:lang w:eastAsia="en-AU"/>
          </w:rPr>
          <w:t>Influenza Surveillance Team</w:t>
        </w:r>
      </w:hyperlink>
      <w:r>
        <w:t xml:space="preserve"> </w:t>
      </w:r>
      <w:r w:rsidRPr="00EB0ADA">
        <w:t>(flu@health.gov.au).</w:t>
      </w:r>
    </w:p>
    <w:p w14:paraId="0CF42080" w14:textId="45BB888C" w:rsidR="004129A9" w:rsidRDefault="004129A9" w:rsidP="004129A9">
      <w:pPr>
        <w:pStyle w:val="EndnoteText"/>
        <w:tabs>
          <w:tab w:val="clear" w:pos="340"/>
          <w:tab w:val="left" w:pos="0"/>
        </w:tabs>
        <w:ind w:left="0" w:firstLine="0"/>
      </w:pPr>
      <w:r w:rsidRPr="00B72C49">
        <w:t>Throughout the summary, where the seasonal period is</w:t>
      </w:r>
      <w:r w:rsidR="00B72C49" w:rsidRPr="00B72C49">
        <w:t xml:space="preserve"> presented, this is from week 18 (week beginning</w:t>
      </w:r>
      <w:r w:rsidR="004F7CEC">
        <w:t xml:space="preserve"> </w:t>
      </w:r>
      <w:r w:rsidR="004F7CEC">
        <w:br/>
      </w:r>
      <w:r w:rsidR="00B72C49" w:rsidRPr="00B72C49">
        <w:t>29 April</w:t>
      </w:r>
      <w:r w:rsidR="001D6C15" w:rsidRPr="00B72C49">
        <w:t xml:space="preserve"> </w:t>
      </w:r>
      <w:r w:rsidR="00867404" w:rsidRPr="00B72C49">
        <w:t>2019</w:t>
      </w:r>
      <w:r w:rsidR="001573C3">
        <w:t>) to week 40</w:t>
      </w:r>
      <w:r w:rsidRPr="00B72C49">
        <w:t xml:space="preserve"> </w:t>
      </w:r>
      <w:r w:rsidR="00867404" w:rsidRPr="00B72C49">
        <w:t xml:space="preserve">(week beginning </w:t>
      </w:r>
      <w:r w:rsidR="00E011C5" w:rsidRPr="00B72C49">
        <w:t>30</w:t>
      </w:r>
      <w:r w:rsidR="00867404" w:rsidRPr="00B72C49">
        <w:t xml:space="preserve"> September 2019</w:t>
      </w:r>
      <w:r w:rsidRPr="00B72C49">
        <w:t xml:space="preserve">). </w:t>
      </w:r>
      <w:proofErr w:type="spellStart"/>
      <w:r w:rsidR="00B57F74">
        <w:t>FluCAN</w:t>
      </w:r>
      <w:proofErr w:type="spellEnd"/>
      <w:r w:rsidR="00B57F74">
        <w:t xml:space="preserve"> data on hospitalised influenza cases is reported for the period 1 April to 6 October 2019. </w:t>
      </w:r>
      <w:r w:rsidRPr="00FB1447">
        <w:t xml:space="preserve">NNDSS data were extracted </w:t>
      </w:r>
      <w:r w:rsidR="00867404" w:rsidRPr="00FB1447">
        <w:t xml:space="preserve">on </w:t>
      </w:r>
      <w:r w:rsidR="00E011C5" w:rsidRPr="00FB1447">
        <w:t>29 April</w:t>
      </w:r>
      <w:r w:rsidR="00867404" w:rsidRPr="00FB1447">
        <w:t xml:space="preserve"> </w:t>
      </w:r>
      <w:r w:rsidR="00E011C5" w:rsidRPr="00FB1447">
        <w:t>2020</w:t>
      </w:r>
      <w:r w:rsidR="00F12B13">
        <w:t xml:space="preserve"> for the period 1 January 2019 to 31 December 2019</w:t>
      </w:r>
      <w:r w:rsidRPr="00FB1447">
        <w:t xml:space="preserve">.  Due to the dynamic nature of the NNDSS and other surveillance </w:t>
      </w:r>
      <w:r w:rsidRPr="00FB1447">
        <w:lastRenderedPageBreak/>
        <w:t xml:space="preserve">systems, data in this report are subject to retrospective revision and may vary from data reported in other national reports and </w:t>
      </w:r>
      <w:r w:rsidR="00D0515D">
        <w:t xml:space="preserve">in </w:t>
      </w:r>
      <w:r w:rsidRPr="00FB1447">
        <w:t>reports by states and territories.</w:t>
      </w:r>
    </w:p>
    <w:p w14:paraId="0C8F786D" w14:textId="77777777" w:rsidR="004129A9" w:rsidRDefault="004129A9" w:rsidP="004129A9">
      <w:pPr>
        <w:pStyle w:val="EndnoteText"/>
        <w:tabs>
          <w:tab w:val="clear" w:pos="340"/>
          <w:tab w:val="left" w:pos="0"/>
        </w:tabs>
        <w:ind w:left="0" w:firstLine="0"/>
      </w:pPr>
      <w:r>
        <w:t>The National Influenza Surveillance Committee is a subcommittee of the Communicable Diseases Network Australia.</w:t>
      </w:r>
    </w:p>
    <w:p w14:paraId="770BA5FA" w14:textId="77777777" w:rsidR="004129A9" w:rsidRDefault="004129A9" w:rsidP="004129A9">
      <w:pPr>
        <w:pStyle w:val="EndnoteText"/>
        <w:tabs>
          <w:tab w:val="clear" w:pos="340"/>
          <w:tab w:val="left" w:pos="0"/>
        </w:tabs>
        <w:ind w:left="0" w:firstLine="0"/>
      </w:pPr>
      <w:r w:rsidRPr="00661BE1">
        <w:t>For further information regarding influenza activity at the jurisdictional level, please refer to the following State and Territory health surveillance reports:</w:t>
      </w:r>
    </w:p>
    <w:p w14:paraId="14EB6F1B" w14:textId="1169A0F9" w:rsidR="004129A9" w:rsidRDefault="004129A9" w:rsidP="00F93D2A">
      <w:pPr>
        <w:pStyle w:val="ListParagraph"/>
        <w:numPr>
          <w:ilvl w:val="0"/>
          <w:numId w:val="6"/>
        </w:numPr>
      </w:pPr>
      <w:r>
        <w:t xml:space="preserve">Australian Capital Territory: </w:t>
      </w:r>
      <w:hyperlink r:id="rId13" w:history="1">
        <w:r w:rsidR="00F93D2A" w:rsidRPr="00F93D2A">
          <w:rPr>
            <w:rStyle w:val="Hyperlink"/>
            <w:rFonts w:asciiTheme="minorHAnsi" w:hAnsiTheme="minorHAnsi" w:cs="Times New Roman"/>
            <w:sz w:val="22"/>
            <w:szCs w:val="20"/>
            <w:lang w:eastAsia="en-AU"/>
          </w:rPr>
          <w:t>Flu</w:t>
        </w:r>
        <w:r w:rsidRPr="00F93D2A">
          <w:rPr>
            <w:rStyle w:val="Hyperlink"/>
            <w:rFonts w:asciiTheme="minorHAnsi" w:hAnsiTheme="minorHAnsi" w:cs="Times New Roman"/>
            <w:sz w:val="22"/>
            <w:szCs w:val="20"/>
            <w:lang w:eastAsia="en-AU"/>
          </w:rPr>
          <w:t xml:space="preserve"> in the ACT</w:t>
        </w:r>
      </w:hyperlink>
      <w:r>
        <w:t xml:space="preserve"> (</w:t>
      </w:r>
      <w:r w:rsidR="00F93D2A" w:rsidRPr="00F93D2A">
        <w:t>https://www.health.act.gov.au/about-our-health-system/population-health/winter-wellbeing-and-flu/flu-act</w:t>
      </w:r>
      <w:r w:rsidR="00F93D2A">
        <w:t xml:space="preserve">) </w:t>
      </w:r>
    </w:p>
    <w:p w14:paraId="271223AB" w14:textId="77777777" w:rsidR="004129A9" w:rsidRDefault="004129A9" w:rsidP="004129A9">
      <w:pPr>
        <w:pStyle w:val="ListParagraph"/>
        <w:numPr>
          <w:ilvl w:val="0"/>
          <w:numId w:val="6"/>
        </w:numPr>
      </w:pPr>
      <w:r>
        <w:t xml:space="preserve">New South Wales: </w:t>
      </w:r>
      <w:hyperlink r:id="rId14" w:history="1">
        <w:r w:rsidRPr="008878B2">
          <w:rPr>
            <w:rStyle w:val="Hyperlink"/>
            <w:rFonts w:asciiTheme="minorHAnsi" w:hAnsiTheme="minorHAnsi" w:cs="Times New Roman"/>
            <w:sz w:val="22"/>
            <w:szCs w:val="20"/>
            <w:lang w:eastAsia="en-AU"/>
          </w:rPr>
          <w:t>Influenza Surveillance Report</w:t>
        </w:r>
      </w:hyperlink>
      <w:r>
        <w:t xml:space="preserve"> (</w:t>
      </w:r>
      <w:r w:rsidRPr="008878B2">
        <w:t>http://www.health.nsw.gov.au/Infectious/Influenza/Pages/reports.aspx</w:t>
      </w:r>
      <w:r>
        <w:t xml:space="preserve">) </w:t>
      </w:r>
    </w:p>
    <w:p w14:paraId="7DEF2E2F" w14:textId="77777777" w:rsidR="004129A9" w:rsidRDefault="004129A9" w:rsidP="004129A9">
      <w:pPr>
        <w:pStyle w:val="ListParagraph"/>
        <w:numPr>
          <w:ilvl w:val="0"/>
          <w:numId w:val="6"/>
        </w:numPr>
      </w:pPr>
      <w:r>
        <w:t xml:space="preserve">Queensland: </w:t>
      </w:r>
      <w:hyperlink r:id="rId15" w:history="1">
        <w:r w:rsidRPr="008878B2">
          <w:rPr>
            <w:rStyle w:val="Hyperlink"/>
            <w:rFonts w:asciiTheme="minorHAnsi" w:hAnsiTheme="minorHAnsi" w:cs="Times New Roman"/>
            <w:sz w:val="22"/>
            <w:szCs w:val="20"/>
            <w:lang w:eastAsia="en-AU"/>
          </w:rPr>
          <w:t>Statewide Weekly Influenza Surveillance Report</w:t>
        </w:r>
      </w:hyperlink>
      <w:r>
        <w:t xml:space="preserve"> (</w:t>
      </w:r>
      <w:r w:rsidRPr="008878B2">
        <w:t>https://www.health.qld.gov.au/clinical-practice/guidelines-procedures/diseases-infection/surveillance/reports/flu</w:t>
      </w:r>
      <w:r>
        <w:t xml:space="preserve">) </w:t>
      </w:r>
    </w:p>
    <w:p w14:paraId="5BCBC3D3" w14:textId="77777777" w:rsidR="004129A9" w:rsidRDefault="004129A9" w:rsidP="004129A9">
      <w:pPr>
        <w:pStyle w:val="ListParagraph"/>
        <w:numPr>
          <w:ilvl w:val="0"/>
          <w:numId w:val="6"/>
        </w:numPr>
      </w:pPr>
      <w:r>
        <w:t xml:space="preserve">South Australia: </w:t>
      </w:r>
      <w:hyperlink r:id="rId16" w:history="1">
        <w:r w:rsidRPr="008878B2">
          <w:rPr>
            <w:rStyle w:val="Hyperlink"/>
            <w:rFonts w:asciiTheme="minorHAnsi" w:hAnsiTheme="minorHAnsi" w:cs="Times New Roman"/>
            <w:sz w:val="22"/>
            <w:szCs w:val="20"/>
            <w:lang w:eastAsia="en-AU"/>
          </w:rPr>
          <w:t>Weekly Epidemiological Summary</w:t>
        </w:r>
      </w:hyperlink>
      <w:r>
        <w:t xml:space="preserve"> (Influenza section) (</w:t>
      </w:r>
      <w:r w:rsidRPr="008878B2">
        <w:t>http://www.sahealth.sa.gov.au/wps/wcm/connect/public+content/sa+health+internet/about+us/health+statistics/surveillance+of+notifiable+conditions</w:t>
      </w:r>
      <w:r>
        <w:t xml:space="preserve">) </w:t>
      </w:r>
    </w:p>
    <w:p w14:paraId="33244E25" w14:textId="77777777" w:rsidR="004129A9" w:rsidRDefault="004129A9" w:rsidP="004129A9">
      <w:pPr>
        <w:pStyle w:val="ListParagraph"/>
        <w:numPr>
          <w:ilvl w:val="0"/>
          <w:numId w:val="6"/>
        </w:numPr>
      </w:pPr>
      <w:r>
        <w:t xml:space="preserve">Tasmania: </w:t>
      </w:r>
      <w:hyperlink r:id="rId17" w:history="1">
        <w:r w:rsidRPr="008878B2">
          <w:rPr>
            <w:rStyle w:val="Hyperlink"/>
            <w:rFonts w:asciiTheme="minorHAnsi" w:hAnsiTheme="minorHAnsi" w:cs="Times New Roman"/>
            <w:sz w:val="22"/>
            <w:szCs w:val="20"/>
            <w:lang w:eastAsia="en-AU"/>
          </w:rPr>
          <w:t>fluTAS Reports</w:t>
        </w:r>
      </w:hyperlink>
      <w:r>
        <w:t xml:space="preserve"> (</w:t>
      </w:r>
      <w:r w:rsidRPr="004B0744">
        <w:t>http://www.dhhs.tas.gov.au/publichealth/communicable_diseases_prevention_unit</w:t>
      </w:r>
      <w:r>
        <w:t xml:space="preserve">) </w:t>
      </w:r>
    </w:p>
    <w:p w14:paraId="375CCBB2" w14:textId="77777777" w:rsidR="00FD0D39" w:rsidRDefault="00FD0D39" w:rsidP="00FD0D39">
      <w:pPr>
        <w:pStyle w:val="ListParagraph"/>
        <w:numPr>
          <w:ilvl w:val="0"/>
          <w:numId w:val="6"/>
        </w:numPr>
      </w:pPr>
      <w:r>
        <w:t xml:space="preserve">Victoria: </w:t>
      </w:r>
      <w:hyperlink r:id="rId18" w:history="1">
        <w:r w:rsidRPr="00A6080A">
          <w:rPr>
            <w:rStyle w:val="Hyperlink"/>
            <w:rFonts w:asciiTheme="minorHAnsi" w:hAnsiTheme="minorHAnsi" w:cs="Times New Roman"/>
            <w:sz w:val="22"/>
            <w:szCs w:val="20"/>
            <w:lang w:eastAsia="en-AU"/>
          </w:rPr>
          <w:t>Seasonal influenza reports</w:t>
        </w:r>
      </w:hyperlink>
      <w:r>
        <w:t xml:space="preserve"> (</w:t>
      </w:r>
      <w:r w:rsidRPr="00A6080A">
        <w:t>https://www2.health.vic.gov.au/about/publications/researchandreports/seasonal-influenza-reports-2018</w:t>
      </w:r>
      <w:r>
        <w:t xml:space="preserve">) </w:t>
      </w:r>
    </w:p>
    <w:p w14:paraId="402BF939" w14:textId="347F87A0" w:rsidR="00477847" w:rsidRPr="00B87CAB" w:rsidRDefault="004129A9" w:rsidP="00B87CAB">
      <w:pPr>
        <w:pStyle w:val="ListParagraph"/>
        <w:numPr>
          <w:ilvl w:val="0"/>
          <w:numId w:val="6"/>
        </w:numPr>
      </w:pPr>
      <w:r>
        <w:t xml:space="preserve">Western Australia: </w:t>
      </w:r>
      <w:hyperlink r:id="rId19" w:history="1">
        <w:r w:rsidRPr="008878B2">
          <w:rPr>
            <w:rStyle w:val="Hyperlink"/>
            <w:rFonts w:asciiTheme="minorHAnsi" w:hAnsiTheme="minorHAnsi" w:cs="Times New Roman"/>
            <w:sz w:val="22"/>
            <w:szCs w:val="20"/>
            <w:lang w:eastAsia="en-AU"/>
          </w:rPr>
          <w:t>Virus WAtch</w:t>
        </w:r>
      </w:hyperlink>
      <w:r>
        <w:t xml:space="preserve"> (</w:t>
      </w:r>
      <w:r w:rsidRPr="008878B2">
        <w:t>http://ww2.health.wa.gov.au/Articles/F_I/Infectious-disease-data/Virus-WAtch</w:t>
      </w:r>
      <w:r>
        <w:t xml:space="preserve">) </w:t>
      </w:r>
    </w:p>
    <w:sectPr w:rsidR="00477847" w:rsidRPr="00B87CAB" w:rsidSect="00D0515D">
      <w:headerReference w:type="default" r:id="rId20"/>
      <w:footerReference w:type="default" r:id="rId21"/>
      <w:endnotePr>
        <w:numFmt w:val="decimal"/>
      </w:endnotePr>
      <w:pgSz w:w="11906" w:h="16838" w:code="9"/>
      <w:pgMar w:top="1135" w:right="991" w:bottom="851" w:left="993" w:header="567" w:footer="27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A653" w14:textId="77777777" w:rsidR="00F22A52" w:rsidRDefault="00F22A52">
      <w:r>
        <w:separator/>
      </w:r>
    </w:p>
    <w:p w14:paraId="4D337C91" w14:textId="77777777" w:rsidR="00F22A52" w:rsidRDefault="00F22A52"/>
  </w:endnote>
  <w:endnote w:type="continuationSeparator" w:id="0">
    <w:p w14:paraId="3E640552" w14:textId="77777777" w:rsidR="00F22A52" w:rsidRDefault="00F22A52">
      <w:r>
        <w:continuationSeparator/>
      </w:r>
    </w:p>
    <w:p w14:paraId="1E2CF95A" w14:textId="77777777" w:rsidR="00F22A52" w:rsidRDefault="00F22A52"/>
  </w:endnote>
  <w:endnote w:type="continuationNotice" w:id="1">
    <w:p w14:paraId="042E8B66" w14:textId="77777777" w:rsidR="00F22A52" w:rsidRDefault="00F22A52"/>
  </w:endnote>
  <w:endnote w:id="2">
    <w:p w14:paraId="54EC8785" w14:textId="65C464C9" w:rsidR="00894BE7" w:rsidRPr="00853A36" w:rsidRDefault="00894BE7">
      <w:pPr>
        <w:pStyle w:val="EndnoteText"/>
        <w:rPr>
          <w:rFonts w:cstheme="minorHAnsi"/>
        </w:rPr>
      </w:pPr>
      <w:r w:rsidRPr="00853A36">
        <w:rPr>
          <w:rStyle w:val="EndnoteReference"/>
          <w:rFonts w:asciiTheme="minorHAnsi" w:hAnsiTheme="minorHAnsi" w:cstheme="minorHAnsi"/>
        </w:rPr>
        <w:endnoteRef/>
      </w:r>
      <w:r w:rsidR="001E31FB">
        <w:rPr>
          <w:rFonts w:cstheme="minorHAnsi"/>
        </w:rPr>
        <w:t>.</w:t>
      </w:r>
      <w:r w:rsidRPr="00853A36">
        <w:rPr>
          <w:rFonts w:cstheme="minorHAnsi"/>
        </w:rPr>
        <w:t xml:space="preserve"> </w:t>
      </w:r>
      <w:hyperlink r:id="rId1" w:history="1">
        <w:r w:rsidRPr="00D43A11">
          <w:rPr>
            <w:rStyle w:val="Hyperlink"/>
            <w:rFonts w:asciiTheme="minorHAnsi" w:hAnsiTheme="minorHAnsi" w:cstheme="minorHAnsi"/>
            <w:sz w:val="22"/>
            <w:szCs w:val="20"/>
            <w:lang w:eastAsia="en-AU"/>
          </w:rPr>
          <w:t>Flutracking</w:t>
        </w:r>
      </w:hyperlink>
      <w:r w:rsidR="009865F0">
        <w:rPr>
          <w:rFonts w:cstheme="minorHAnsi"/>
        </w:rPr>
        <w:t xml:space="preserve">: </w:t>
      </w:r>
      <w:hyperlink r:id="rId2" w:history="1">
        <w:r w:rsidR="009865F0" w:rsidRPr="00FA460A">
          <w:rPr>
            <w:rStyle w:val="Hyperlink"/>
            <w:rFonts w:asciiTheme="minorHAnsi" w:hAnsiTheme="minorHAnsi" w:cstheme="minorHAnsi"/>
            <w:sz w:val="22"/>
            <w:szCs w:val="20"/>
            <w:lang w:eastAsia="en-AU"/>
          </w:rPr>
          <w:t>https://info.flutracking.net/</w:t>
        </w:r>
      </w:hyperlink>
      <w:r w:rsidR="009865F0">
        <w:rPr>
          <w:rFonts w:cstheme="minorHAnsi"/>
        </w:rPr>
        <w:t xml:space="preserve"> </w:t>
      </w:r>
    </w:p>
  </w:endnote>
  <w:endnote w:id="3">
    <w:p w14:paraId="5A440A61" w14:textId="79401652" w:rsidR="00894BE7" w:rsidRPr="00853A36" w:rsidRDefault="00894BE7">
      <w:pPr>
        <w:pStyle w:val="EndnoteText"/>
        <w:rPr>
          <w:rFonts w:cstheme="minorHAnsi"/>
        </w:rPr>
      </w:pPr>
      <w:r w:rsidRPr="00853A36">
        <w:rPr>
          <w:rStyle w:val="EndnoteReference"/>
          <w:rFonts w:asciiTheme="minorHAnsi" w:hAnsiTheme="minorHAnsi" w:cstheme="minorHAnsi"/>
        </w:rPr>
        <w:endnoteRef/>
      </w:r>
      <w:r w:rsidR="001E31FB">
        <w:rPr>
          <w:rFonts w:cstheme="minorHAnsi"/>
        </w:rPr>
        <w:t>.</w:t>
      </w:r>
      <w:r w:rsidRPr="00853A36">
        <w:rPr>
          <w:rFonts w:cstheme="minorHAnsi"/>
        </w:rPr>
        <w:t xml:space="preserve"> </w:t>
      </w:r>
      <w:hyperlink r:id="rId3" w:history="1">
        <w:r w:rsidRPr="00853A36">
          <w:rPr>
            <w:rStyle w:val="Hyperlink"/>
            <w:rFonts w:asciiTheme="minorHAnsi" w:hAnsiTheme="minorHAnsi" w:cstheme="minorHAnsi"/>
            <w:sz w:val="22"/>
            <w:szCs w:val="20"/>
            <w:lang w:eastAsia="en-AU"/>
          </w:rPr>
          <w:t>Australian Sentinel Practitioners Research Network</w:t>
        </w:r>
      </w:hyperlink>
      <w:r w:rsidRPr="00853A36">
        <w:rPr>
          <w:rFonts w:cstheme="minorHAnsi"/>
        </w:rPr>
        <w:t xml:space="preserve"> (ASPREN)</w:t>
      </w:r>
      <w:r w:rsidR="00D43A11">
        <w:rPr>
          <w:rFonts w:cstheme="minorHAnsi"/>
        </w:rPr>
        <w:t>:</w:t>
      </w:r>
      <w:r w:rsidRPr="00853A36">
        <w:rPr>
          <w:rFonts w:cstheme="minorHAnsi"/>
        </w:rPr>
        <w:t xml:space="preserve"> </w:t>
      </w:r>
      <w:hyperlink r:id="rId4" w:history="1">
        <w:r w:rsidR="00D43A11" w:rsidRPr="00FA460A">
          <w:rPr>
            <w:rStyle w:val="Hyperlink"/>
            <w:rFonts w:asciiTheme="minorHAnsi" w:hAnsiTheme="minorHAnsi" w:cstheme="minorHAnsi"/>
            <w:sz w:val="22"/>
            <w:szCs w:val="20"/>
            <w:lang w:eastAsia="en-AU"/>
          </w:rPr>
          <w:t>https://aspren.dmac.adelaide.edu.au/</w:t>
        </w:r>
      </w:hyperlink>
      <w:r w:rsidR="00D43A11">
        <w:rPr>
          <w:rFonts w:cstheme="minorHAnsi"/>
        </w:rPr>
        <w:t xml:space="preserve"> </w:t>
      </w:r>
    </w:p>
  </w:endnote>
  <w:endnote w:id="4">
    <w:p w14:paraId="2EAC8880" w14:textId="66586DB4" w:rsidR="00894BE7" w:rsidRPr="00853A36" w:rsidRDefault="00894BE7">
      <w:pPr>
        <w:pStyle w:val="EndnoteText"/>
        <w:rPr>
          <w:rFonts w:cstheme="minorHAnsi"/>
        </w:rPr>
      </w:pPr>
      <w:r w:rsidRPr="00853A36">
        <w:rPr>
          <w:rStyle w:val="EndnoteReference"/>
          <w:rFonts w:asciiTheme="minorHAnsi" w:hAnsiTheme="minorHAnsi" w:cstheme="minorHAnsi"/>
        </w:rPr>
        <w:endnoteRef/>
      </w:r>
      <w:r w:rsidR="001E31FB">
        <w:rPr>
          <w:rFonts w:cstheme="minorHAnsi"/>
        </w:rPr>
        <w:t>.</w:t>
      </w:r>
      <w:r w:rsidRPr="00853A36">
        <w:rPr>
          <w:rFonts w:cstheme="minorHAnsi"/>
        </w:rPr>
        <w:t xml:space="preserve"> </w:t>
      </w:r>
      <w:hyperlink r:id="rId5" w:history="1">
        <w:r w:rsidRPr="00853A36">
          <w:rPr>
            <w:rStyle w:val="Hyperlink"/>
            <w:rFonts w:asciiTheme="minorHAnsi" w:hAnsiTheme="minorHAnsi" w:cstheme="minorHAnsi"/>
            <w:sz w:val="22"/>
            <w:szCs w:val="20"/>
            <w:lang w:eastAsia="en-AU"/>
          </w:rPr>
          <w:t>Victorian Sentinel Practice Influenza Network</w:t>
        </w:r>
      </w:hyperlink>
      <w:r w:rsidRPr="00853A36">
        <w:rPr>
          <w:rFonts w:cstheme="minorHAnsi"/>
        </w:rPr>
        <w:t xml:space="preserve"> (VicSPIN)</w:t>
      </w:r>
      <w:r w:rsidR="00D43A11">
        <w:rPr>
          <w:rFonts w:cstheme="minorHAnsi"/>
        </w:rPr>
        <w:t>:</w:t>
      </w:r>
      <w:r w:rsidRPr="00853A36">
        <w:rPr>
          <w:rFonts w:cstheme="minorHAnsi"/>
        </w:rPr>
        <w:t xml:space="preserve"> </w:t>
      </w:r>
      <w:hyperlink r:id="rId6" w:history="1">
        <w:r w:rsidR="00D43A11" w:rsidRPr="00FA460A">
          <w:rPr>
            <w:rStyle w:val="Hyperlink"/>
            <w:rFonts w:asciiTheme="minorHAnsi" w:hAnsiTheme="minorHAnsi" w:cstheme="minorHAnsi"/>
            <w:sz w:val="22"/>
            <w:szCs w:val="20"/>
            <w:lang w:eastAsia="en-AU"/>
          </w:rPr>
          <w:t>http://www.vidrl.org.au/surveillance/influenza-surveillance/</w:t>
        </w:r>
      </w:hyperlink>
      <w:r w:rsidR="00D43A11">
        <w:rPr>
          <w:rFonts w:cstheme="minorHAnsi"/>
        </w:rPr>
        <w:t xml:space="preserve"> </w:t>
      </w:r>
    </w:p>
  </w:endnote>
  <w:endnote w:id="5">
    <w:p w14:paraId="37470076" w14:textId="3B502885" w:rsidR="00894BE7" w:rsidRPr="00853A36" w:rsidRDefault="00894BE7">
      <w:pPr>
        <w:pStyle w:val="EndnoteText"/>
        <w:rPr>
          <w:rFonts w:cstheme="minorHAnsi"/>
        </w:rPr>
      </w:pPr>
      <w:r w:rsidRPr="00853A36">
        <w:rPr>
          <w:rStyle w:val="EndnoteReference"/>
          <w:rFonts w:asciiTheme="minorHAnsi" w:hAnsiTheme="minorHAnsi" w:cstheme="minorHAnsi"/>
        </w:rPr>
        <w:endnoteRef/>
      </w:r>
      <w:r w:rsidR="001E31FB">
        <w:rPr>
          <w:rFonts w:cstheme="minorHAnsi"/>
        </w:rPr>
        <w:t>.</w:t>
      </w:r>
      <w:r w:rsidRPr="00853A36">
        <w:rPr>
          <w:rFonts w:cstheme="minorHAnsi"/>
        </w:rPr>
        <w:t xml:space="preserve"> </w:t>
      </w:r>
      <w:hyperlink r:id="rId7" w:history="1">
        <w:r w:rsidRPr="00853A36">
          <w:rPr>
            <w:rStyle w:val="Hyperlink"/>
            <w:rFonts w:asciiTheme="minorHAnsi" w:hAnsiTheme="minorHAnsi" w:cstheme="minorHAnsi"/>
            <w:sz w:val="22"/>
            <w:szCs w:val="20"/>
            <w:lang w:eastAsia="en-AU"/>
          </w:rPr>
          <w:t>National Notifiable Diseases Surveillance System</w:t>
        </w:r>
      </w:hyperlink>
      <w:r w:rsidR="009865F0">
        <w:rPr>
          <w:rFonts w:cstheme="minorHAnsi"/>
        </w:rPr>
        <w:t xml:space="preserve"> (NNDSS): </w:t>
      </w:r>
      <w:hyperlink r:id="rId8" w:history="1">
        <w:r w:rsidR="009865F0" w:rsidRPr="00FA460A">
          <w:rPr>
            <w:rStyle w:val="Hyperlink"/>
            <w:rFonts w:asciiTheme="minorHAnsi" w:hAnsiTheme="minorHAnsi" w:cstheme="minorHAnsi"/>
            <w:sz w:val="22"/>
            <w:szCs w:val="20"/>
            <w:lang w:eastAsia="en-AU"/>
          </w:rPr>
          <w:t>www.health.gov.au/nndssdata</w:t>
        </w:r>
      </w:hyperlink>
      <w:r w:rsidR="009865F0">
        <w:rPr>
          <w:rFonts w:cstheme="minorHAnsi"/>
        </w:rPr>
        <w:t xml:space="preserve"> </w:t>
      </w:r>
    </w:p>
  </w:endnote>
  <w:endnote w:id="6">
    <w:p w14:paraId="07C7F0F8" w14:textId="611EBD5B" w:rsidR="007A7C01" w:rsidRPr="00853A36" w:rsidRDefault="00894BE7">
      <w:pPr>
        <w:pStyle w:val="EndnoteText"/>
        <w:rPr>
          <w:rFonts w:cstheme="minorHAnsi"/>
        </w:rPr>
      </w:pPr>
      <w:r w:rsidRPr="00853A36">
        <w:rPr>
          <w:rStyle w:val="EndnoteReference"/>
          <w:rFonts w:asciiTheme="minorHAnsi" w:hAnsiTheme="minorHAnsi" w:cstheme="minorHAnsi"/>
        </w:rPr>
        <w:endnoteRef/>
      </w:r>
      <w:r w:rsidR="001E31FB">
        <w:rPr>
          <w:rFonts w:cstheme="minorHAnsi"/>
        </w:rPr>
        <w:t>.</w:t>
      </w:r>
      <w:r w:rsidRPr="00853A36">
        <w:rPr>
          <w:rFonts w:cstheme="minorHAnsi"/>
        </w:rPr>
        <w:t xml:space="preserve"> </w:t>
      </w:r>
      <w:hyperlink r:id="rId9" w:history="1">
        <w:r w:rsidRPr="009865F0">
          <w:rPr>
            <w:rStyle w:val="Hyperlink"/>
            <w:rFonts w:asciiTheme="minorHAnsi" w:hAnsiTheme="minorHAnsi" w:cstheme="minorHAnsi"/>
            <w:sz w:val="22"/>
            <w:szCs w:val="20"/>
            <w:lang w:eastAsia="en-AU"/>
          </w:rPr>
          <w:t>Influenza Complications Alert Network</w:t>
        </w:r>
      </w:hyperlink>
      <w:r w:rsidRPr="00853A36">
        <w:rPr>
          <w:rFonts w:cstheme="minorHAnsi"/>
        </w:rPr>
        <w:t xml:space="preserve"> (FluCAN)</w:t>
      </w:r>
      <w:r w:rsidR="009865F0">
        <w:rPr>
          <w:rFonts w:cstheme="minorHAnsi"/>
        </w:rPr>
        <w:t xml:space="preserve">: </w:t>
      </w:r>
      <w:hyperlink r:id="rId10" w:history="1">
        <w:r w:rsidR="009865F0" w:rsidRPr="00FA460A">
          <w:rPr>
            <w:rStyle w:val="Hyperlink"/>
            <w:rFonts w:asciiTheme="minorHAnsi" w:hAnsiTheme="minorHAnsi" w:cstheme="minorHAnsi"/>
            <w:sz w:val="22"/>
            <w:szCs w:val="20"/>
            <w:lang w:eastAsia="en-AU"/>
          </w:rPr>
          <w:t>https://monashhealth.org/services/monash-infectious-diseases/research/influenza-research/flucan-influenza-surveillance-2/</w:t>
        </w:r>
      </w:hyperlink>
      <w:r w:rsidR="009865F0">
        <w:rPr>
          <w:rFonts w:cstheme="minorHAnsi"/>
        </w:rPr>
        <w:t xml:space="preserve"> </w:t>
      </w:r>
    </w:p>
  </w:endnote>
  <w:endnote w:id="7">
    <w:p w14:paraId="79ADBCE4" w14:textId="2F5A7955" w:rsidR="00E37BE7" w:rsidRDefault="00E37BE7" w:rsidP="00E37BE7">
      <w:pPr>
        <w:pStyle w:val="EndnoteText"/>
      </w:pPr>
      <w:r w:rsidRPr="00853A36">
        <w:rPr>
          <w:rStyle w:val="EndnoteReference"/>
          <w:rFonts w:asciiTheme="minorHAnsi" w:hAnsiTheme="minorHAnsi" w:cstheme="minorHAnsi"/>
        </w:rPr>
        <w:endnoteRef/>
      </w:r>
      <w:r w:rsidR="001E31FB">
        <w:rPr>
          <w:rFonts w:cstheme="minorHAnsi"/>
        </w:rPr>
        <w:t>.</w:t>
      </w:r>
      <w:r w:rsidRPr="00853A36">
        <w:rPr>
          <w:rFonts w:cstheme="minorHAnsi"/>
        </w:rPr>
        <w:t xml:space="preserve"> </w:t>
      </w:r>
      <w:hyperlink r:id="rId11" w:history="1">
        <w:r w:rsidRPr="00853A36">
          <w:rPr>
            <w:rStyle w:val="Hyperlink"/>
            <w:rFonts w:asciiTheme="minorHAnsi" w:hAnsiTheme="minorHAnsi" w:cstheme="minorHAnsi"/>
            <w:sz w:val="22"/>
            <w:szCs w:val="20"/>
            <w:lang w:eastAsia="en-AU"/>
          </w:rPr>
          <w:t>World Health Organization Collaborating Centre for Reference and Research on Influenza</w:t>
        </w:r>
      </w:hyperlink>
      <w:r w:rsidR="009865F0">
        <w:rPr>
          <w:rFonts w:cstheme="minorHAnsi"/>
        </w:rPr>
        <w:t xml:space="preserve"> (WHOCC): </w:t>
      </w:r>
      <w:hyperlink r:id="rId12" w:history="1">
        <w:r w:rsidR="009865F0" w:rsidRPr="00FA460A">
          <w:rPr>
            <w:rStyle w:val="Hyperlink"/>
            <w:rFonts w:asciiTheme="minorHAnsi" w:hAnsiTheme="minorHAnsi" w:cstheme="minorHAnsi"/>
            <w:sz w:val="22"/>
            <w:szCs w:val="20"/>
            <w:lang w:eastAsia="en-AU"/>
          </w:rPr>
          <w:t>http://www.influenzacentre.org/surveillance_samplesreceived.htm</w:t>
        </w:r>
      </w:hyperlink>
      <w:r w:rsidR="005C5DCD">
        <w:rPr>
          <w:rStyle w:val="Hyperlink"/>
          <w:rFonts w:asciiTheme="minorHAnsi" w:hAnsiTheme="minorHAnsi" w:cstheme="minorHAnsi"/>
          <w:sz w:val="22"/>
          <w:szCs w:val="20"/>
          <w:lang w:eastAsia="en-AU"/>
        </w:rPr>
        <w:t>l</w:t>
      </w:r>
      <w:r w:rsidR="009865F0">
        <w:rPr>
          <w:rFonts w:cstheme="minorHAnsi"/>
        </w:rPr>
        <w:t xml:space="preserve"> </w:t>
      </w:r>
      <w:r>
        <w:t xml:space="preserve"> </w:t>
      </w:r>
      <w:r w:rsidR="009865F0">
        <w:t xml:space="preserve"> </w:t>
      </w:r>
    </w:p>
    <w:p w14:paraId="241F4D3A" w14:textId="3E8FCB8E" w:rsidR="001E31FB" w:rsidRDefault="001E31FB" w:rsidP="001E31FB">
      <w:pPr>
        <w:pStyle w:val="EndnoteText"/>
      </w:pPr>
      <w:r>
        <w:t xml:space="preserve">7. Sheena G Sullivan, Monique B-N Chilver, Geoff Higgins, Allen C Cheng, Nigel P Stocks. Influenza vaccine effectiveness in Australia: results from the Australian Sentinel Practices Research Network, </w:t>
      </w:r>
      <w:r w:rsidRPr="001E31FB">
        <w:rPr>
          <w:i/>
        </w:rPr>
        <w:t>Med</w:t>
      </w:r>
      <w:r w:rsidR="00EC6A03">
        <w:rPr>
          <w:i/>
        </w:rPr>
        <w:t>ical</w:t>
      </w:r>
      <w:r w:rsidRPr="001E31FB">
        <w:rPr>
          <w:i/>
        </w:rPr>
        <w:t xml:space="preserve"> J</w:t>
      </w:r>
      <w:r w:rsidR="00EC6A03">
        <w:rPr>
          <w:i/>
        </w:rPr>
        <w:t>ournal of</w:t>
      </w:r>
      <w:r w:rsidRPr="001E31FB">
        <w:rPr>
          <w:i/>
        </w:rPr>
        <w:t xml:space="preserve"> Aust</w:t>
      </w:r>
      <w:r w:rsidR="00EC6A03">
        <w:rPr>
          <w:i/>
        </w:rPr>
        <w:t>ralia</w:t>
      </w:r>
      <w:r>
        <w:t xml:space="preserve">. 2014 Jul 21;201(2):109-11. </w:t>
      </w:r>
      <w:hyperlink r:id="rId13" w:history="1">
        <w:r w:rsidRPr="00EC6A03">
          <w:rPr>
            <w:rStyle w:val="Hyperlink"/>
            <w:rFonts w:asciiTheme="minorHAnsi" w:hAnsiTheme="minorHAnsi" w:cs="Times New Roman"/>
            <w:sz w:val="22"/>
            <w:szCs w:val="20"/>
            <w:lang w:eastAsia="en-AU"/>
          </w:rPr>
          <w:t>DOI: 10.5694/MJA14.00106</w:t>
        </w:r>
      </w:hyperlink>
      <w:r>
        <w:t>.</w:t>
      </w:r>
    </w:p>
    <w:p w14:paraId="4264F0D8" w14:textId="036AB55D" w:rsidR="001E31FB" w:rsidRDefault="001E31FB" w:rsidP="001E31FB">
      <w:pPr>
        <w:pStyle w:val="EndnoteText"/>
      </w:pPr>
      <w:r>
        <w:t xml:space="preserve">8. </w:t>
      </w:r>
      <w:r w:rsidRPr="001E31FB">
        <w:t xml:space="preserve">Sullivan SG, Carville KS, Chilver M, Fielding JE, Grant KA, Kelly H, Levy </w:t>
      </w:r>
      <w:r>
        <w:t xml:space="preserve">A, Stocks NP, Tempone SS, Regan. </w:t>
      </w:r>
      <w:r w:rsidRPr="001E31FB">
        <w:t>AK</w:t>
      </w:r>
      <w:r>
        <w:t xml:space="preserve">. Pooled influenza vaccine effectiveness estimates for Australia, 2012-2014. </w:t>
      </w:r>
      <w:r w:rsidRPr="001E31FB">
        <w:rPr>
          <w:i/>
        </w:rPr>
        <w:t>Epidemiol</w:t>
      </w:r>
      <w:r w:rsidR="00EC6A03">
        <w:rPr>
          <w:i/>
        </w:rPr>
        <w:t>gy and</w:t>
      </w:r>
      <w:r w:rsidRPr="001E31FB">
        <w:rPr>
          <w:i/>
        </w:rPr>
        <w:t xml:space="preserve"> Infect</w:t>
      </w:r>
      <w:r w:rsidR="00EC6A03">
        <w:rPr>
          <w:i/>
        </w:rPr>
        <w:t>ion</w:t>
      </w:r>
      <w:r>
        <w:t xml:space="preserve">. 2016 Aug;144(11):2317-28. </w:t>
      </w:r>
      <w:hyperlink r:id="rId14" w:history="1">
        <w:r w:rsidRPr="00EC6A03">
          <w:rPr>
            <w:rStyle w:val="Hyperlink"/>
            <w:rFonts w:asciiTheme="minorHAnsi" w:hAnsiTheme="minorHAnsi" w:cs="Times New Roman"/>
            <w:sz w:val="22"/>
            <w:szCs w:val="20"/>
            <w:lang w:eastAsia="en-AU"/>
          </w:rPr>
          <w:t>DOI: 10.1017/S0950268816000819</w:t>
        </w:r>
      </w:hyperlink>
      <w:r>
        <w:t xml:space="preserve">. </w:t>
      </w:r>
    </w:p>
    <w:p w14:paraId="08B757BB" w14:textId="328BBAED" w:rsidR="001E31FB" w:rsidRDefault="001E31FB" w:rsidP="001E31FB">
      <w:pPr>
        <w:pStyle w:val="EndnoteText"/>
      </w:pPr>
      <w:r>
        <w:t xml:space="preserve">9. </w:t>
      </w:r>
      <w:r w:rsidRPr="001E31FB">
        <w:t>Fielding JE, Levy A, Chilver MB, Deng YM, Regan AK, Grant KA, Stocks NP, Sullivan SG</w:t>
      </w:r>
      <w:r>
        <w:t>.</w:t>
      </w:r>
      <w:r w:rsidRPr="001E31FB">
        <w:t xml:space="preserve"> Effectiveness of seasonal influenza vaccine in Australia, 2015: An epidemiological, antigenic and phylogenetic assessment. </w:t>
      </w:r>
      <w:r w:rsidRPr="00EC6A03">
        <w:rPr>
          <w:i/>
        </w:rPr>
        <w:t>Vaccine</w:t>
      </w:r>
      <w:r w:rsidRPr="001E31FB">
        <w:t>. 2016 Sep 22;34(41):4905-4</w:t>
      </w:r>
      <w:r>
        <w:t xml:space="preserve">912. </w:t>
      </w:r>
      <w:hyperlink r:id="rId15" w:history="1">
        <w:r w:rsidRPr="00EC6A03">
          <w:rPr>
            <w:rStyle w:val="Hyperlink"/>
            <w:rFonts w:asciiTheme="minorHAnsi" w:hAnsiTheme="minorHAnsi" w:cs="Times New Roman"/>
            <w:sz w:val="22"/>
            <w:szCs w:val="20"/>
            <w:lang w:eastAsia="en-AU"/>
          </w:rPr>
          <w:t>DOI: 10.1016/j.vaccine.2016.08.067</w:t>
        </w:r>
      </w:hyperlink>
      <w:r w:rsidRPr="001E31FB">
        <w:t>. Epub 2016 Aug 28.PMID: 27577556</w:t>
      </w:r>
    </w:p>
    <w:p w14:paraId="1BD30396" w14:textId="6BF977E1" w:rsidR="001E31FB" w:rsidRDefault="001E31FB" w:rsidP="00D0515D">
      <w:pPr>
        <w:pStyle w:val="EndnoteText"/>
      </w:pPr>
      <w:r>
        <w:t xml:space="preserve">10. </w:t>
      </w:r>
      <w:r w:rsidRPr="001E31FB">
        <w:t>Sullivan SG, Chilver MB, Carville KS, Deng YM, Grant KA, Higgins G, Komadina N, Leung VK, Minney-Smith CA, Teng D, Tran T, Stocks N, Fielding JE</w:t>
      </w:r>
      <w:r>
        <w:t xml:space="preserve">. </w:t>
      </w:r>
      <w:r w:rsidRPr="001E31FB">
        <w:t xml:space="preserve">Low interim influenza vaccine effectiveness, Australia, 1 May to 24 September 2017. </w:t>
      </w:r>
      <w:r w:rsidR="00EC6A03">
        <w:rPr>
          <w:i/>
        </w:rPr>
        <w:t>Euros</w:t>
      </w:r>
      <w:r w:rsidRPr="00EC6A03">
        <w:rPr>
          <w:i/>
        </w:rPr>
        <w:t>urveill</w:t>
      </w:r>
      <w:r w:rsidR="00EC6A03">
        <w:rPr>
          <w:i/>
        </w:rPr>
        <w:t>ance</w:t>
      </w:r>
      <w:r>
        <w:t xml:space="preserve">. 2017 Oct;22(43):17-00707. </w:t>
      </w:r>
      <w:hyperlink r:id="rId16" w:history="1">
        <w:r w:rsidRPr="00EC6A03">
          <w:rPr>
            <w:rStyle w:val="Hyperlink"/>
            <w:rFonts w:asciiTheme="minorHAnsi" w:hAnsiTheme="minorHAnsi" w:cs="Times New Roman"/>
            <w:sz w:val="22"/>
            <w:szCs w:val="20"/>
            <w:lang w:eastAsia="en-AU"/>
          </w:rPr>
          <w:t>DOI: 10.2807/1560-7917.ES.2017.22.43.17-00707</w:t>
        </w:r>
      </w:hyperlink>
      <w:r w:rsidRPr="001E31FB">
        <w:t>.PMID: 29090681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9A71" w14:textId="57203739" w:rsidR="000F1690" w:rsidRPr="002F3685" w:rsidRDefault="00DD6F3B" w:rsidP="00BD69ED">
    <w:pPr>
      <w:pStyle w:val="Footer"/>
      <w:jc w:val="right"/>
      <w:rPr>
        <w:b/>
        <w:color w:val="FF0000"/>
        <w:sz w:val="26"/>
        <w:szCs w:val="26"/>
      </w:rPr>
    </w:pPr>
    <w:sdt>
      <w:sdtPr>
        <w:id w:val="-581752845"/>
        <w:docPartObj>
          <w:docPartGallery w:val="Page Numbers (Bottom of Page)"/>
          <w:docPartUnique/>
        </w:docPartObj>
      </w:sdtPr>
      <w:sdtEndPr/>
      <w:sdtContent>
        <w:sdt>
          <w:sdtPr>
            <w:id w:val="-720134706"/>
            <w:docPartObj>
              <w:docPartGallery w:val="Page Numbers (Top of Page)"/>
              <w:docPartUnique/>
            </w:docPartObj>
          </w:sdtPr>
          <w:sdtEndPr/>
          <w:sdtContent>
            <w:r w:rsidR="000F1690">
              <w:t xml:space="preserve">Page </w:t>
            </w:r>
            <w:r w:rsidR="000F1690">
              <w:rPr>
                <w:b/>
                <w:bCs/>
                <w:sz w:val="24"/>
                <w:szCs w:val="24"/>
              </w:rPr>
              <w:fldChar w:fldCharType="begin"/>
            </w:r>
            <w:r w:rsidR="000F1690">
              <w:rPr>
                <w:b/>
                <w:bCs/>
              </w:rPr>
              <w:instrText xml:space="preserve"> PAGE </w:instrText>
            </w:r>
            <w:r w:rsidR="000F1690">
              <w:rPr>
                <w:b/>
                <w:bCs/>
                <w:sz w:val="24"/>
                <w:szCs w:val="24"/>
              </w:rPr>
              <w:fldChar w:fldCharType="separate"/>
            </w:r>
            <w:r w:rsidR="007008A6">
              <w:rPr>
                <w:b/>
                <w:bCs/>
                <w:noProof/>
              </w:rPr>
              <w:t>4</w:t>
            </w:r>
            <w:r w:rsidR="000F1690">
              <w:rPr>
                <w:b/>
                <w:bCs/>
                <w:sz w:val="24"/>
                <w:szCs w:val="24"/>
              </w:rPr>
              <w:fldChar w:fldCharType="end"/>
            </w:r>
            <w:r w:rsidR="000F1690">
              <w:t xml:space="preserve"> of </w:t>
            </w:r>
            <w:r w:rsidR="000F1690">
              <w:rPr>
                <w:b/>
                <w:bCs/>
                <w:sz w:val="24"/>
                <w:szCs w:val="24"/>
              </w:rPr>
              <w:fldChar w:fldCharType="begin"/>
            </w:r>
            <w:r w:rsidR="000F1690">
              <w:rPr>
                <w:b/>
                <w:bCs/>
              </w:rPr>
              <w:instrText xml:space="preserve"> NUMPAGES  </w:instrText>
            </w:r>
            <w:r w:rsidR="000F1690">
              <w:rPr>
                <w:b/>
                <w:bCs/>
                <w:sz w:val="24"/>
                <w:szCs w:val="24"/>
              </w:rPr>
              <w:fldChar w:fldCharType="separate"/>
            </w:r>
            <w:r w:rsidR="007008A6">
              <w:rPr>
                <w:b/>
                <w:bCs/>
                <w:noProof/>
              </w:rPr>
              <w:t>5</w:t>
            </w:r>
            <w:r w:rsidR="000F1690">
              <w:rPr>
                <w:b/>
                <w:bCs/>
                <w:sz w:val="24"/>
                <w:szCs w:val="24"/>
              </w:rPr>
              <w:fldChar w:fldCharType="end"/>
            </w:r>
          </w:sdtContent>
        </w:sdt>
      </w:sdtContent>
    </w:sdt>
    <w:r w:rsidR="000F1690">
      <w:rPr>
        <w:b/>
        <w:color w:val="FF0000"/>
        <w:sz w:val="26"/>
        <w:szCs w:val="26"/>
      </w:rPr>
      <w:t xml:space="preserve"> </w:t>
    </w:r>
  </w:p>
  <w:p w14:paraId="7259E320" w14:textId="77777777" w:rsidR="000F1690" w:rsidRDefault="000F16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0E35" w14:textId="77777777" w:rsidR="00F22A52" w:rsidRDefault="00F22A52">
      <w:r>
        <w:separator/>
      </w:r>
    </w:p>
    <w:p w14:paraId="557EF001" w14:textId="77777777" w:rsidR="00F22A52" w:rsidRDefault="00F22A52"/>
  </w:footnote>
  <w:footnote w:type="continuationSeparator" w:id="0">
    <w:p w14:paraId="444650F6" w14:textId="77777777" w:rsidR="00F22A52" w:rsidRDefault="00F22A52">
      <w:r>
        <w:continuationSeparator/>
      </w:r>
    </w:p>
    <w:p w14:paraId="589CB96C" w14:textId="77777777" w:rsidR="00F22A52" w:rsidRDefault="00F22A52"/>
  </w:footnote>
  <w:footnote w:type="continuationNotice" w:id="1">
    <w:p w14:paraId="126072E8" w14:textId="77777777" w:rsidR="00F22A52" w:rsidRDefault="00F22A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053CF847" w:rsidR="000F1690" w:rsidRPr="002F3685" w:rsidRDefault="000F1690" w:rsidP="00E41611">
    <w:pPr>
      <w:pStyle w:val="Header"/>
      <w:jc w:val="center"/>
      <w:rPr>
        <w:b/>
        <w:color w:val="FF0000"/>
        <w:sz w:val="26"/>
        <w:szCs w:val="26"/>
      </w:rPr>
    </w:pPr>
    <w:r>
      <w:rPr>
        <w:b/>
        <w:color w:val="FF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12BE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7D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6E29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8AF6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569D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6411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3F4CDACE"/>
    <w:lvl w:ilvl="0">
      <w:start w:val="1"/>
      <w:numFmt w:val="decimal"/>
      <w:lvlText w:val="%1."/>
      <w:lvlJc w:val="left"/>
      <w:pPr>
        <w:tabs>
          <w:tab w:val="num" w:pos="360"/>
        </w:tabs>
        <w:ind w:left="360" w:hanging="360"/>
      </w:pPr>
    </w:lvl>
  </w:abstractNum>
  <w:abstractNum w:abstractNumId="7" w15:restartNumberingAfterBreak="0">
    <w:nsid w:val="049F68B4"/>
    <w:multiLevelType w:val="hybridMultilevel"/>
    <w:tmpl w:val="5F8611AC"/>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15:restartNumberingAfterBreak="0">
    <w:nsid w:val="076E27C7"/>
    <w:multiLevelType w:val="hybridMultilevel"/>
    <w:tmpl w:val="5B60C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2027AA"/>
    <w:multiLevelType w:val="hybridMultilevel"/>
    <w:tmpl w:val="CB7E5A0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0E103B79"/>
    <w:multiLevelType w:val="hybridMultilevel"/>
    <w:tmpl w:val="A7B0A430"/>
    <w:lvl w:ilvl="0" w:tplc="3976DC30">
      <w:start w:val="1"/>
      <w:numFmt w:val="bullet"/>
      <w:lvlText w:val="•"/>
      <w:lvlJc w:val="left"/>
      <w:pPr>
        <w:tabs>
          <w:tab w:val="num" w:pos="720"/>
        </w:tabs>
        <w:ind w:left="720" w:hanging="360"/>
      </w:pPr>
      <w:rPr>
        <w:rFonts w:ascii="Arial" w:hAnsi="Arial" w:hint="default"/>
      </w:rPr>
    </w:lvl>
    <w:lvl w:ilvl="1" w:tplc="DA80E66A" w:tentative="1">
      <w:start w:val="1"/>
      <w:numFmt w:val="bullet"/>
      <w:lvlText w:val="•"/>
      <w:lvlJc w:val="left"/>
      <w:pPr>
        <w:tabs>
          <w:tab w:val="num" w:pos="1440"/>
        </w:tabs>
        <w:ind w:left="1440" w:hanging="360"/>
      </w:pPr>
      <w:rPr>
        <w:rFonts w:ascii="Arial" w:hAnsi="Arial" w:hint="default"/>
      </w:rPr>
    </w:lvl>
    <w:lvl w:ilvl="2" w:tplc="365239AC" w:tentative="1">
      <w:start w:val="1"/>
      <w:numFmt w:val="bullet"/>
      <w:lvlText w:val="•"/>
      <w:lvlJc w:val="left"/>
      <w:pPr>
        <w:tabs>
          <w:tab w:val="num" w:pos="2160"/>
        </w:tabs>
        <w:ind w:left="2160" w:hanging="360"/>
      </w:pPr>
      <w:rPr>
        <w:rFonts w:ascii="Arial" w:hAnsi="Arial" w:hint="default"/>
      </w:rPr>
    </w:lvl>
    <w:lvl w:ilvl="3" w:tplc="DC1A8F1A" w:tentative="1">
      <w:start w:val="1"/>
      <w:numFmt w:val="bullet"/>
      <w:lvlText w:val="•"/>
      <w:lvlJc w:val="left"/>
      <w:pPr>
        <w:tabs>
          <w:tab w:val="num" w:pos="2880"/>
        </w:tabs>
        <w:ind w:left="2880" w:hanging="360"/>
      </w:pPr>
      <w:rPr>
        <w:rFonts w:ascii="Arial" w:hAnsi="Arial" w:hint="default"/>
      </w:rPr>
    </w:lvl>
    <w:lvl w:ilvl="4" w:tplc="60C83688" w:tentative="1">
      <w:start w:val="1"/>
      <w:numFmt w:val="bullet"/>
      <w:lvlText w:val="•"/>
      <w:lvlJc w:val="left"/>
      <w:pPr>
        <w:tabs>
          <w:tab w:val="num" w:pos="3600"/>
        </w:tabs>
        <w:ind w:left="3600" w:hanging="360"/>
      </w:pPr>
      <w:rPr>
        <w:rFonts w:ascii="Arial" w:hAnsi="Arial" w:hint="default"/>
      </w:rPr>
    </w:lvl>
    <w:lvl w:ilvl="5" w:tplc="79E4885C" w:tentative="1">
      <w:start w:val="1"/>
      <w:numFmt w:val="bullet"/>
      <w:lvlText w:val="•"/>
      <w:lvlJc w:val="left"/>
      <w:pPr>
        <w:tabs>
          <w:tab w:val="num" w:pos="4320"/>
        </w:tabs>
        <w:ind w:left="4320" w:hanging="360"/>
      </w:pPr>
      <w:rPr>
        <w:rFonts w:ascii="Arial" w:hAnsi="Arial" w:hint="default"/>
      </w:rPr>
    </w:lvl>
    <w:lvl w:ilvl="6" w:tplc="94E45822" w:tentative="1">
      <w:start w:val="1"/>
      <w:numFmt w:val="bullet"/>
      <w:lvlText w:val="•"/>
      <w:lvlJc w:val="left"/>
      <w:pPr>
        <w:tabs>
          <w:tab w:val="num" w:pos="5040"/>
        </w:tabs>
        <w:ind w:left="5040" w:hanging="360"/>
      </w:pPr>
      <w:rPr>
        <w:rFonts w:ascii="Arial" w:hAnsi="Arial" w:hint="default"/>
      </w:rPr>
    </w:lvl>
    <w:lvl w:ilvl="7" w:tplc="9B50B474" w:tentative="1">
      <w:start w:val="1"/>
      <w:numFmt w:val="bullet"/>
      <w:lvlText w:val="•"/>
      <w:lvlJc w:val="left"/>
      <w:pPr>
        <w:tabs>
          <w:tab w:val="num" w:pos="5760"/>
        </w:tabs>
        <w:ind w:left="5760" w:hanging="360"/>
      </w:pPr>
      <w:rPr>
        <w:rFonts w:ascii="Arial" w:hAnsi="Arial" w:hint="default"/>
      </w:rPr>
    </w:lvl>
    <w:lvl w:ilvl="8" w:tplc="46B030A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266885"/>
    <w:multiLevelType w:val="hybridMultilevel"/>
    <w:tmpl w:val="EB1ACF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87777E"/>
    <w:multiLevelType w:val="hybridMultilevel"/>
    <w:tmpl w:val="E0F82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A42ED8"/>
    <w:multiLevelType w:val="hybridMultilevel"/>
    <w:tmpl w:val="C1382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9921D5"/>
    <w:multiLevelType w:val="hybridMultilevel"/>
    <w:tmpl w:val="66A09352"/>
    <w:lvl w:ilvl="0" w:tplc="57444098">
      <w:start w:val="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29182E"/>
    <w:multiLevelType w:val="hybridMultilevel"/>
    <w:tmpl w:val="8D2E96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53FF37FE"/>
    <w:multiLevelType w:val="hybridMultilevel"/>
    <w:tmpl w:val="E70C5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EA2DED"/>
    <w:multiLevelType w:val="hybridMultilevel"/>
    <w:tmpl w:val="F0348CB4"/>
    <w:lvl w:ilvl="0" w:tplc="7CCE7F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727876"/>
    <w:multiLevelType w:val="hybridMultilevel"/>
    <w:tmpl w:val="4A7E5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6D057E"/>
    <w:multiLevelType w:val="hybridMultilevel"/>
    <w:tmpl w:val="D292D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30685D"/>
    <w:multiLevelType w:val="hybridMultilevel"/>
    <w:tmpl w:val="0B2E3B2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DE46F5"/>
    <w:multiLevelType w:val="hybridMultilevel"/>
    <w:tmpl w:val="F962C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6"/>
  </w:num>
  <w:num w:numId="3">
    <w:abstractNumId w:val="7"/>
  </w:num>
  <w:num w:numId="4">
    <w:abstractNumId w:val="19"/>
  </w:num>
  <w:num w:numId="5">
    <w:abstractNumId w:val="12"/>
  </w:num>
  <w:num w:numId="6">
    <w:abstractNumId w:val="14"/>
  </w:num>
  <w:num w:numId="7">
    <w:abstractNumId w:val="24"/>
  </w:num>
  <w:num w:numId="8">
    <w:abstractNumId w:val="25"/>
  </w:num>
  <w:num w:numId="9">
    <w:abstractNumId w:val="16"/>
  </w:num>
  <w:num w:numId="10">
    <w:abstractNumId w:val="8"/>
  </w:num>
  <w:num w:numId="11">
    <w:abstractNumId w:val="21"/>
  </w:num>
  <w:num w:numId="12">
    <w:abstractNumId w:val="27"/>
  </w:num>
  <w:num w:numId="13">
    <w:abstractNumId w:val="23"/>
  </w:num>
  <w:num w:numId="14">
    <w:abstractNumId w:val="13"/>
  </w:num>
  <w:num w:numId="15">
    <w:abstractNumId w:val="17"/>
  </w:num>
  <w:num w:numId="16">
    <w:abstractNumId w:val="0"/>
  </w:num>
  <w:num w:numId="17">
    <w:abstractNumId w:val="1"/>
  </w:num>
  <w:num w:numId="18">
    <w:abstractNumId w:val="2"/>
  </w:num>
  <w:num w:numId="19">
    <w:abstractNumId w:val="3"/>
  </w:num>
  <w:num w:numId="20">
    <w:abstractNumId w:val="4"/>
  </w:num>
  <w:num w:numId="21">
    <w:abstractNumId w:val="6"/>
  </w:num>
  <w:num w:numId="22">
    <w:abstractNumId w:val="5"/>
  </w:num>
  <w:num w:numId="23">
    <w:abstractNumId w:val="9"/>
  </w:num>
  <w:num w:numId="24">
    <w:abstractNumId w:val="20"/>
  </w:num>
  <w:num w:numId="25">
    <w:abstractNumId w:val="22"/>
  </w:num>
  <w:num w:numId="26">
    <w:abstractNumId w:val="18"/>
  </w:num>
  <w:num w:numId="27">
    <w:abstractNumId w:val="15"/>
  </w:num>
  <w:num w:numId="28">
    <w:abstractNumId w:val="10"/>
  </w:num>
  <w:num w:numId="29">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D3"/>
    <w:rsid w:val="00002014"/>
    <w:rsid w:val="000020E9"/>
    <w:rsid w:val="00002312"/>
    <w:rsid w:val="000025B9"/>
    <w:rsid w:val="000025E3"/>
    <w:rsid w:val="00003436"/>
    <w:rsid w:val="00003516"/>
    <w:rsid w:val="0000366D"/>
    <w:rsid w:val="00003749"/>
    <w:rsid w:val="00003B2A"/>
    <w:rsid w:val="00003C3E"/>
    <w:rsid w:val="00003C7E"/>
    <w:rsid w:val="000041EC"/>
    <w:rsid w:val="00004A1B"/>
    <w:rsid w:val="00004C31"/>
    <w:rsid w:val="000053F1"/>
    <w:rsid w:val="00005423"/>
    <w:rsid w:val="0000545F"/>
    <w:rsid w:val="00005543"/>
    <w:rsid w:val="00005B56"/>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22F"/>
    <w:rsid w:val="0001556E"/>
    <w:rsid w:val="000156B3"/>
    <w:rsid w:val="00015762"/>
    <w:rsid w:val="0001580A"/>
    <w:rsid w:val="000159E9"/>
    <w:rsid w:val="00015EB6"/>
    <w:rsid w:val="00016241"/>
    <w:rsid w:val="00016392"/>
    <w:rsid w:val="00016924"/>
    <w:rsid w:val="00016BB7"/>
    <w:rsid w:val="00016F09"/>
    <w:rsid w:val="000171A6"/>
    <w:rsid w:val="00017283"/>
    <w:rsid w:val="0001775B"/>
    <w:rsid w:val="00017A82"/>
    <w:rsid w:val="00017B9B"/>
    <w:rsid w:val="000200B7"/>
    <w:rsid w:val="000200D7"/>
    <w:rsid w:val="000203E7"/>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3244"/>
    <w:rsid w:val="00023378"/>
    <w:rsid w:val="000237CB"/>
    <w:rsid w:val="00023BA6"/>
    <w:rsid w:val="00023C7D"/>
    <w:rsid w:val="00024173"/>
    <w:rsid w:val="0002420C"/>
    <w:rsid w:val="0002457F"/>
    <w:rsid w:val="000249D1"/>
    <w:rsid w:val="00024E92"/>
    <w:rsid w:val="00024FBE"/>
    <w:rsid w:val="000254E0"/>
    <w:rsid w:val="00025901"/>
    <w:rsid w:val="0002591B"/>
    <w:rsid w:val="000260EB"/>
    <w:rsid w:val="00026AAE"/>
    <w:rsid w:val="00026F0F"/>
    <w:rsid w:val="000276DF"/>
    <w:rsid w:val="000277C8"/>
    <w:rsid w:val="000279C2"/>
    <w:rsid w:val="00027A35"/>
    <w:rsid w:val="0003011C"/>
    <w:rsid w:val="00030857"/>
    <w:rsid w:val="00030DA2"/>
    <w:rsid w:val="00030DB5"/>
    <w:rsid w:val="000313DE"/>
    <w:rsid w:val="0003168A"/>
    <w:rsid w:val="00031772"/>
    <w:rsid w:val="00031A44"/>
    <w:rsid w:val="000321F5"/>
    <w:rsid w:val="0003224D"/>
    <w:rsid w:val="0003230B"/>
    <w:rsid w:val="00032513"/>
    <w:rsid w:val="00032A86"/>
    <w:rsid w:val="00032E55"/>
    <w:rsid w:val="000330EB"/>
    <w:rsid w:val="00033339"/>
    <w:rsid w:val="0003337A"/>
    <w:rsid w:val="00033396"/>
    <w:rsid w:val="00033783"/>
    <w:rsid w:val="000337F3"/>
    <w:rsid w:val="0003394E"/>
    <w:rsid w:val="00033AA9"/>
    <w:rsid w:val="00033DF0"/>
    <w:rsid w:val="00034686"/>
    <w:rsid w:val="00034788"/>
    <w:rsid w:val="000348CC"/>
    <w:rsid w:val="00034A23"/>
    <w:rsid w:val="00034DC5"/>
    <w:rsid w:val="0003556B"/>
    <w:rsid w:val="00035B7C"/>
    <w:rsid w:val="00036475"/>
    <w:rsid w:val="0003660E"/>
    <w:rsid w:val="00036832"/>
    <w:rsid w:val="000368DB"/>
    <w:rsid w:val="00036937"/>
    <w:rsid w:val="000369CE"/>
    <w:rsid w:val="00036AAE"/>
    <w:rsid w:val="00037027"/>
    <w:rsid w:val="00037170"/>
    <w:rsid w:val="000371A6"/>
    <w:rsid w:val="000372DA"/>
    <w:rsid w:val="00037405"/>
    <w:rsid w:val="000377E4"/>
    <w:rsid w:val="00037C36"/>
    <w:rsid w:val="000404A2"/>
    <w:rsid w:val="000405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F03"/>
    <w:rsid w:val="000432E0"/>
    <w:rsid w:val="00043543"/>
    <w:rsid w:val="0004356F"/>
    <w:rsid w:val="000438F7"/>
    <w:rsid w:val="0004398D"/>
    <w:rsid w:val="00043DDC"/>
    <w:rsid w:val="00043E56"/>
    <w:rsid w:val="00043EB9"/>
    <w:rsid w:val="00043EC4"/>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7A1"/>
    <w:rsid w:val="00046BFC"/>
    <w:rsid w:val="00046CE0"/>
    <w:rsid w:val="00046D00"/>
    <w:rsid w:val="000470E8"/>
    <w:rsid w:val="000472DB"/>
    <w:rsid w:val="000474E0"/>
    <w:rsid w:val="00047803"/>
    <w:rsid w:val="00047B50"/>
    <w:rsid w:val="000504FC"/>
    <w:rsid w:val="0005056D"/>
    <w:rsid w:val="00050811"/>
    <w:rsid w:val="00050986"/>
    <w:rsid w:val="00050A27"/>
    <w:rsid w:val="00050C0E"/>
    <w:rsid w:val="00050C69"/>
    <w:rsid w:val="00050D56"/>
    <w:rsid w:val="00050E78"/>
    <w:rsid w:val="0005138D"/>
    <w:rsid w:val="000513F1"/>
    <w:rsid w:val="000515A4"/>
    <w:rsid w:val="0005183E"/>
    <w:rsid w:val="00051D61"/>
    <w:rsid w:val="00052646"/>
    <w:rsid w:val="0005270F"/>
    <w:rsid w:val="00052764"/>
    <w:rsid w:val="00052A68"/>
    <w:rsid w:val="00052C7E"/>
    <w:rsid w:val="00052E3A"/>
    <w:rsid w:val="00052EE7"/>
    <w:rsid w:val="00053130"/>
    <w:rsid w:val="00053525"/>
    <w:rsid w:val="00053A7F"/>
    <w:rsid w:val="00053AFB"/>
    <w:rsid w:val="00053C23"/>
    <w:rsid w:val="00053C98"/>
    <w:rsid w:val="00053CC1"/>
    <w:rsid w:val="000541E2"/>
    <w:rsid w:val="000542A9"/>
    <w:rsid w:val="000543DC"/>
    <w:rsid w:val="00054A48"/>
    <w:rsid w:val="00054A77"/>
    <w:rsid w:val="00054FF1"/>
    <w:rsid w:val="000551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55E"/>
    <w:rsid w:val="00057688"/>
    <w:rsid w:val="000576DB"/>
    <w:rsid w:val="00057776"/>
    <w:rsid w:val="00057788"/>
    <w:rsid w:val="00057920"/>
    <w:rsid w:val="00057B42"/>
    <w:rsid w:val="00060A9B"/>
    <w:rsid w:val="00060FB5"/>
    <w:rsid w:val="00061165"/>
    <w:rsid w:val="00061396"/>
    <w:rsid w:val="000615B1"/>
    <w:rsid w:val="0006170D"/>
    <w:rsid w:val="000619EC"/>
    <w:rsid w:val="00061BB3"/>
    <w:rsid w:val="00061D90"/>
    <w:rsid w:val="00061ED4"/>
    <w:rsid w:val="00061FBB"/>
    <w:rsid w:val="00062521"/>
    <w:rsid w:val="000625F5"/>
    <w:rsid w:val="00062CB1"/>
    <w:rsid w:val="00062D64"/>
    <w:rsid w:val="00062F88"/>
    <w:rsid w:val="00063221"/>
    <w:rsid w:val="00063448"/>
    <w:rsid w:val="00063587"/>
    <w:rsid w:val="00063B2C"/>
    <w:rsid w:val="00063DC3"/>
    <w:rsid w:val="000641C2"/>
    <w:rsid w:val="00064316"/>
    <w:rsid w:val="000644C0"/>
    <w:rsid w:val="000644D8"/>
    <w:rsid w:val="000647D1"/>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D3"/>
    <w:rsid w:val="000671A1"/>
    <w:rsid w:val="00067243"/>
    <w:rsid w:val="00067303"/>
    <w:rsid w:val="00067404"/>
    <w:rsid w:val="000674C5"/>
    <w:rsid w:val="0006750F"/>
    <w:rsid w:val="00067C10"/>
    <w:rsid w:val="0007013F"/>
    <w:rsid w:val="000702FE"/>
    <w:rsid w:val="000706F4"/>
    <w:rsid w:val="000707AB"/>
    <w:rsid w:val="00070A29"/>
    <w:rsid w:val="00070CA6"/>
    <w:rsid w:val="000710DD"/>
    <w:rsid w:val="000713C9"/>
    <w:rsid w:val="00071956"/>
    <w:rsid w:val="00071AAB"/>
    <w:rsid w:val="00071E38"/>
    <w:rsid w:val="000722E4"/>
    <w:rsid w:val="000722EB"/>
    <w:rsid w:val="0007278F"/>
    <w:rsid w:val="00072BB7"/>
    <w:rsid w:val="00072BEC"/>
    <w:rsid w:val="00072C34"/>
    <w:rsid w:val="00072D0C"/>
    <w:rsid w:val="00073176"/>
    <w:rsid w:val="00073435"/>
    <w:rsid w:val="000737AB"/>
    <w:rsid w:val="00073AC2"/>
    <w:rsid w:val="00074BBB"/>
    <w:rsid w:val="00074BF8"/>
    <w:rsid w:val="00074F36"/>
    <w:rsid w:val="0007527B"/>
    <w:rsid w:val="000754B5"/>
    <w:rsid w:val="0007575E"/>
    <w:rsid w:val="00075B42"/>
    <w:rsid w:val="00075D8A"/>
    <w:rsid w:val="000763B7"/>
    <w:rsid w:val="000763FF"/>
    <w:rsid w:val="0007671E"/>
    <w:rsid w:val="000767F7"/>
    <w:rsid w:val="00076DF0"/>
    <w:rsid w:val="00077587"/>
    <w:rsid w:val="000776FB"/>
    <w:rsid w:val="00077A91"/>
    <w:rsid w:val="00077DCF"/>
    <w:rsid w:val="000800C8"/>
    <w:rsid w:val="00080398"/>
    <w:rsid w:val="000803F7"/>
    <w:rsid w:val="000804E8"/>
    <w:rsid w:val="0008068E"/>
    <w:rsid w:val="000809F1"/>
    <w:rsid w:val="000814FA"/>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2D1"/>
    <w:rsid w:val="00084656"/>
    <w:rsid w:val="000848A2"/>
    <w:rsid w:val="00084913"/>
    <w:rsid w:val="00084941"/>
    <w:rsid w:val="00084999"/>
    <w:rsid w:val="00084D57"/>
    <w:rsid w:val="00084F8B"/>
    <w:rsid w:val="00085094"/>
    <w:rsid w:val="000854B7"/>
    <w:rsid w:val="000855A5"/>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352"/>
    <w:rsid w:val="000946FB"/>
    <w:rsid w:val="00094912"/>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C3C"/>
    <w:rsid w:val="000A1F53"/>
    <w:rsid w:val="000A29A8"/>
    <w:rsid w:val="000A2A3A"/>
    <w:rsid w:val="000A2E69"/>
    <w:rsid w:val="000A335A"/>
    <w:rsid w:val="000A3637"/>
    <w:rsid w:val="000A3ABE"/>
    <w:rsid w:val="000A3C90"/>
    <w:rsid w:val="000A3E18"/>
    <w:rsid w:val="000A3E56"/>
    <w:rsid w:val="000A3E7B"/>
    <w:rsid w:val="000A43D6"/>
    <w:rsid w:val="000A465C"/>
    <w:rsid w:val="000A488B"/>
    <w:rsid w:val="000A4A7D"/>
    <w:rsid w:val="000A4AAB"/>
    <w:rsid w:val="000A4C01"/>
    <w:rsid w:val="000A4CE6"/>
    <w:rsid w:val="000A4F7B"/>
    <w:rsid w:val="000A5012"/>
    <w:rsid w:val="000A519F"/>
    <w:rsid w:val="000A53EC"/>
    <w:rsid w:val="000A5553"/>
    <w:rsid w:val="000A55C3"/>
    <w:rsid w:val="000A56EB"/>
    <w:rsid w:val="000A5753"/>
    <w:rsid w:val="000A5AE8"/>
    <w:rsid w:val="000A5DAF"/>
    <w:rsid w:val="000A6017"/>
    <w:rsid w:val="000A601F"/>
    <w:rsid w:val="000A62D0"/>
    <w:rsid w:val="000A648C"/>
    <w:rsid w:val="000A656C"/>
    <w:rsid w:val="000A65E8"/>
    <w:rsid w:val="000A66BC"/>
    <w:rsid w:val="000A6743"/>
    <w:rsid w:val="000A6A65"/>
    <w:rsid w:val="000A6B74"/>
    <w:rsid w:val="000A6FAB"/>
    <w:rsid w:val="000A7346"/>
    <w:rsid w:val="000A772B"/>
    <w:rsid w:val="000A7BA5"/>
    <w:rsid w:val="000A7C96"/>
    <w:rsid w:val="000A7D8D"/>
    <w:rsid w:val="000B011F"/>
    <w:rsid w:val="000B02CC"/>
    <w:rsid w:val="000B0503"/>
    <w:rsid w:val="000B0FAD"/>
    <w:rsid w:val="000B12B6"/>
    <w:rsid w:val="000B17DD"/>
    <w:rsid w:val="000B1A3D"/>
    <w:rsid w:val="000B1D28"/>
    <w:rsid w:val="000B1E27"/>
    <w:rsid w:val="000B21A9"/>
    <w:rsid w:val="000B2380"/>
    <w:rsid w:val="000B2463"/>
    <w:rsid w:val="000B24D9"/>
    <w:rsid w:val="000B2A35"/>
    <w:rsid w:val="000B2EEC"/>
    <w:rsid w:val="000B2FCC"/>
    <w:rsid w:val="000B30FE"/>
    <w:rsid w:val="000B3227"/>
    <w:rsid w:val="000B3237"/>
    <w:rsid w:val="000B3491"/>
    <w:rsid w:val="000B3C45"/>
    <w:rsid w:val="000B3DF4"/>
    <w:rsid w:val="000B3F56"/>
    <w:rsid w:val="000B4114"/>
    <w:rsid w:val="000B4283"/>
    <w:rsid w:val="000B42DE"/>
    <w:rsid w:val="000B4384"/>
    <w:rsid w:val="000B46C2"/>
    <w:rsid w:val="000B4A75"/>
    <w:rsid w:val="000B4C38"/>
    <w:rsid w:val="000B5180"/>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8E"/>
    <w:rsid w:val="000B7DC0"/>
    <w:rsid w:val="000B7F89"/>
    <w:rsid w:val="000C025A"/>
    <w:rsid w:val="000C08C7"/>
    <w:rsid w:val="000C098A"/>
    <w:rsid w:val="000C0EB6"/>
    <w:rsid w:val="000C1164"/>
    <w:rsid w:val="000C1360"/>
    <w:rsid w:val="000C1468"/>
    <w:rsid w:val="000C1802"/>
    <w:rsid w:val="000C185E"/>
    <w:rsid w:val="000C1A1A"/>
    <w:rsid w:val="000C1A4A"/>
    <w:rsid w:val="000C1C74"/>
    <w:rsid w:val="000C2335"/>
    <w:rsid w:val="000C2763"/>
    <w:rsid w:val="000C2DA5"/>
    <w:rsid w:val="000C2E00"/>
    <w:rsid w:val="000C3623"/>
    <w:rsid w:val="000C3A7E"/>
    <w:rsid w:val="000C3F9B"/>
    <w:rsid w:val="000C42ED"/>
    <w:rsid w:val="000C4429"/>
    <w:rsid w:val="000C4C35"/>
    <w:rsid w:val="000C4DC5"/>
    <w:rsid w:val="000C5183"/>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C02"/>
    <w:rsid w:val="000C7C2D"/>
    <w:rsid w:val="000D00AD"/>
    <w:rsid w:val="000D015B"/>
    <w:rsid w:val="000D06C3"/>
    <w:rsid w:val="000D0A1D"/>
    <w:rsid w:val="000D0AD0"/>
    <w:rsid w:val="000D0C2D"/>
    <w:rsid w:val="000D0CCB"/>
    <w:rsid w:val="000D1056"/>
    <w:rsid w:val="000D10E3"/>
    <w:rsid w:val="000D129A"/>
    <w:rsid w:val="000D155C"/>
    <w:rsid w:val="000D1A28"/>
    <w:rsid w:val="000D1BAF"/>
    <w:rsid w:val="000D203C"/>
    <w:rsid w:val="000D23B6"/>
    <w:rsid w:val="000D25BD"/>
    <w:rsid w:val="000D266D"/>
    <w:rsid w:val="000D26F3"/>
    <w:rsid w:val="000D27F9"/>
    <w:rsid w:val="000D2935"/>
    <w:rsid w:val="000D29B0"/>
    <w:rsid w:val="000D29F1"/>
    <w:rsid w:val="000D2D3F"/>
    <w:rsid w:val="000D300B"/>
    <w:rsid w:val="000D304B"/>
    <w:rsid w:val="000D3331"/>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55B"/>
    <w:rsid w:val="000D589F"/>
    <w:rsid w:val="000D614E"/>
    <w:rsid w:val="000D66E4"/>
    <w:rsid w:val="000D66FD"/>
    <w:rsid w:val="000D6F0F"/>
    <w:rsid w:val="000D713F"/>
    <w:rsid w:val="000D7184"/>
    <w:rsid w:val="000D739F"/>
    <w:rsid w:val="000D73E8"/>
    <w:rsid w:val="000D7446"/>
    <w:rsid w:val="000D749F"/>
    <w:rsid w:val="000D74EE"/>
    <w:rsid w:val="000D77FB"/>
    <w:rsid w:val="000D79C2"/>
    <w:rsid w:val="000D7E8D"/>
    <w:rsid w:val="000E01B7"/>
    <w:rsid w:val="000E0341"/>
    <w:rsid w:val="000E06F1"/>
    <w:rsid w:val="000E070E"/>
    <w:rsid w:val="000E095E"/>
    <w:rsid w:val="000E0F14"/>
    <w:rsid w:val="000E0F4E"/>
    <w:rsid w:val="000E0F68"/>
    <w:rsid w:val="000E1199"/>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A0"/>
    <w:rsid w:val="000E4AC5"/>
    <w:rsid w:val="000E4C90"/>
    <w:rsid w:val="000E4CC7"/>
    <w:rsid w:val="000E51F3"/>
    <w:rsid w:val="000E53B8"/>
    <w:rsid w:val="000E54CF"/>
    <w:rsid w:val="000E5586"/>
    <w:rsid w:val="000E558C"/>
    <w:rsid w:val="000E55FF"/>
    <w:rsid w:val="000E6149"/>
    <w:rsid w:val="000E6E6D"/>
    <w:rsid w:val="000E75D2"/>
    <w:rsid w:val="000E7665"/>
    <w:rsid w:val="000E782B"/>
    <w:rsid w:val="000E7AD8"/>
    <w:rsid w:val="000E7B0E"/>
    <w:rsid w:val="000E7DA9"/>
    <w:rsid w:val="000E7FCD"/>
    <w:rsid w:val="000F0474"/>
    <w:rsid w:val="000F0607"/>
    <w:rsid w:val="000F06FA"/>
    <w:rsid w:val="000F0835"/>
    <w:rsid w:val="000F0AAF"/>
    <w:rsid w:val="000F0BB2"/>
    <w:rsid w:val="000F0DB5"/>
    <w:rsid w:val="000F127A"/>
    <w:rsid w:val="000F12D9"/>
    <w:rsid w:val="000F13CB"/>
    <w:rsid w:val="000F15F6"/>
    <w:rsid w:val="000F1690"/>
    <w:rsid w:val="000F16EB"/>
    <w:rsid w:val="000F1C3C"/>
    <w:rsid w:val="000F2AE7"/>
    <w:rsid w:val="000F2B2C"/>
    <w:rsid w:val="000F2D46"/>
    <w:rsid w:val="000F305D"/>
    <w:rsid w:val="000F3407"/>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7183"/>
    <w:rsid w:val="000F7642"/>
    <w:rsid w:val="000F77EC"/>
    <w:rsid w:val="000F7994"/>
    <w:rsid w:val="000F7E76"/>
    <w:rsid w:val="0010044D"/>
    <w:rsid w:val="00101431"/>
    <w:rsid w:val="00101897"/>
    <w:rsid w:val="001018C8"/>
    <w:rsid w:val="00101D2F"/>
    <w:rsid w:val="00101D53"/>
    <w:rsid w:val="00101DE1"/>
    <w:rsid w:val="001022BB"/>
    <w:rsid w:val="00102AD1"/>
    <w:rsid w:val="00102F8A"/>
    <w:rsid w:val="001037D6"/>
    <w:rsid w:val="00103F7B"/>
    <w:rsid w:val="0010412D"/>
    <w:rsid w:val="00104A6E"/>
    <w:rsid w:val="00104B50"/>
    <w:rsid w:val="00104E04"/>
    <w:rsid w:val="0010536C"/>
    <w:rsid w:val="00105AC1"/>
    <w:rsid w:val="00105ED9"/>
    <w:rsid w:val="00105F93"/>
    <w:rsid w:val="001064B0"/>
    <w:rsid w:val="00106507"/>
    <w:rsid w:val="001066E9"/>
    <w:rsid w:val="00106C51"/>
    <w:rsid w:val="00106E5C"/>
    <w:rsid w:val="00107228"/>
    <w:rsid w:val="00107642"/>
    <w:rsid w:val="00107ECA"/>
    <w:rsid w:val="00107F0D"/>
    <w:rsid w:val="001100FF"/>
    <w:rsid w:val="001106EF"/>
    <w:rsid w:val="00110778"/>
    <w:rsid w:val="00110A32"/>
    <w:rsid w:val="0011110D"/>
    <w:rsid w:val="0011115B"/>
    <w:rsid w:val="001111DA"/>
    <w:rsid w:val="00111620"/>
    <w:rsid w:val="0011176C"/>
    <w:rsid w:val="00111C26"/>
    <w:rsid w:val="00111CD7"/>
    <w:rsid w:val="00112132"/>
    <w:rsid w:val="00112458"/>
    <w:rsid w:val="001125AB"/>
    <w:rsid w:val="001126C0"/>
    <w:rsid w:val="001131DE"/>
    <w:rsid w:val="0011336E"/>
    <w:rsid w:val="00113471"/>
    <w:rsid w:val="001136C2"/>
    <w:rsid w:val="00113A76"/>
    <w:rsid w:val="00113B6E"/>
    <w:rsid w:val="00113BA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FAC"/>
    <w:rsid w:val="00117588"/>
    <w:rsid w:val="001175B8"/>
    <w:rsid w:val="001175E2"/>
    <w:rsid w:val="001178C6"/>
    <w:rsid w:val="00117E9F"/>
    <w:rsid w:val="00117EFD"/>
    <w:rsid w:val="00117F35"/>
    <w:rsid w:val="001203E2"/>
    <w:rsid w:val="001204E8"/>
    <w:rsid w:val="00120AB0"/>
    <w:rsid w:val="00122162"/>
    <w:rsid w:val="0012243A"/>
    <w:rsid w:val="0012248B"/>
    <w:rsid w:val="00122EF8"/>
    <w:rsid w:val="00123044"/>
    <w:rsid w:val="00123087"/>
    <w:rsid w:val="0012320C"/>
    <w:rsid w:val="001232F4"/>
    <w:rsid w:val="0012351B"/>
    <w:rsid w:val="00123C80"/>
    <w:rsid w:val="00123C83"/>
    <w:rsid w:val="00123F74"/>
    <w:rsid w:val="0012432E"/>
    <w:rsid w:val="001243E8"/>
    <w:rsid w:val="00124656"/>
    <w:rsid w:val="00124B83"/>
    <w:rsid w:val="00124F69"/>
    <w:rsid w:val="001252E1"/>
    <w:rsid w:val="001255A5"/>
    <w:rsid w:val="00125796"/>
    <w:rsid w:val="00125AD5"/>
    <w:rsid w:val="00126686"/>
    <w:rsid w:val="00126930"/>
    <w:rsid w:val="001269D1"/>
    <w:rsid w:val="00126A8B"/>
    <w:rsid w:val="00126AB7"/>
    <w:rsid w:val="00126AE8"/>
    <w:rsid w:val="00126D9D"/>
    <w:rsid w:val="00127021"/>
    <w:rsid w:val="001271CC"/>
    <w:rsid w:val="0012763F"/>
    <w:rsid w:val="0012783A"/>
    <w:rsid w:val="001278D5"/>
    <w:rsid w:val="00127DC1"/>
    <w:rsid w:val="0013031D"/>
    <w:rsid w:val="00130407"/>
    <w:rsid w:val="0013061A"/>
    <w:rsid w:val="00130858"/>
    <w:rsid w:val="0013086E"/>
    <w:rsid w:val="00130ADD"/>
    <w:rsid w:val="00131021"/>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2E41"/>
    <w:rsid w:val="0013344F"/>
    <w:rsid w:val="001334AA"/>
    <w:rsid w:val="001334AB"/>
    <w:rsid w:val="00133542"/>
    <w:rsid w:val="001336B2"/>
    <w:rsid w:val="00133788"/>
    <w:rsid w:val="001337E8"/>
    <w:rsid w:val="00133C77"/>
    <w:rsid w:val="00133CAE"/>
    <w:rsid w:val="00133D94"/>
    <w:rsid w:val="001340A7"/>
    <w:rsid w:val="001341D2"/>
    <w:rsid w:val="00134665"/>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BD"/>
    <w:rsid w:val="00137752"/>
    <w:rsid w:val="00137808"/>
    <w:rsid w:val="00137858"/>
    <w:rsid w:val="00137D32"/>
    <w:rsid w:val="00137F83"/>
    <w:rsid w:val="0014030A"/>
    <w:rsid w:val="001403BA"/>
    <w:rsid w:val="00140664"/>
    <w:rsid w:val="001406E1"/>
    <w:rsid w:val="0014079C"/>
    <w:rsid w:val="0014089C"/>
    <w:rsid w:val="00140C95"/>
    <w:rsid w:val="00141205"/>
    <w:rsid w:val="001415AD"/>
    <w:rsid w:val="00141C3D"/>
    <w:rsid w:val="0014205F"/>
    <w:rsid w:val="00142436"/>
    <w:rsid w:val="0014276F"/>
    <w:rsid w:val="00142A5E"/>
    <w:rsid w:val="00142B04"/>
    <w:rsid w:val="00142C8C"/>
    <w:rsid w:val="00142D14"/>
    <w:rsid w:val="00142D2D"/>
    <w:rsid w:val="001432FF"/>
    <w:rsid w:val="0014334B"/>
    <w:rsid w:val="00143F68"/>
    <w:rsid w:val="001442DC"/>
    <w:rsid w:val="001442E0"/>
    <w:rsid w:val="00144451"/>
    <w:rsid w:val="001446A0"/>
    <w:rsid w:val="001448F9"/>
    <w:rsid w:val="00144A9C"/>
    <w:rsid w:val="00144AEC"/>
    <w:rsid w:val="00145146"/>
    <w:rsid w:val="00145461"/>
    <w:rsid w:val="00145783"/>
    <w:rsid w:val="001459D2"/>
    <w:rsid w:val="00145AD9"/>
    <w:rsid w:val="00145B13"/>
    <w:rsid w:val="00145DE6"/>
    <w:rsid w:val="0014614C"/>
    <w:rsid w:val="001463CA"/>
    <w:rsid w:val="00146453"/>
    <w:rsid w:val="00146633"/>
    <w:rsid w:val="00146651"/>
    <w:rsid w:val="00146819"/>
    <w:rsid w:val="001469A8"/>
    <w:rsid w:val="00146DBF"/>
    <w:rsid w:val="001470C4"/>
    <w:rsid w:val="0014710D"/>
    <w:rsid w:val="00147590"/>
    <w:rsid w:val="001476AB"/>
    <w:rsid w:val="001478FA"/>
    <w:rsid w:val="00147911"/>
    <w:rsid w:val="00147F64"/>
    <w:rsid w:val="001509DE"/>
    <w:rsid w:val="00151153"/>
    <w:rsid w:val="001511C8"/>
    <w:rsid w:val="00151246"/>
    <w:rsid w:val="001517A8"/>
    <w:rsid w:val="001517F8"/>
    <w:rsid w:val="00151908"/>
    <w:rsid w:val="00151F30"/>
    <w:rsid w:val="0015223E"/>
    <w:rsid w:val="001527F7"/>
    <w:rsid w:val="00152ACB"/>
    <w:rsid w:val="00152B8F"/>
    <w:rsid w:val="00152BEE"/>
    <w:rsid w:val="00152C64"/>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316"/>
    <w:rsid w:val="0015565A"/>
    <w:rsid w:val="0015570A"/>
    <w:rsid w:val="001559E6"/>
    <w:rsid w:val="00155C2F"/>
    <w:rsid w:val="00155ECD"/>
    <w:rsid w:val="001561BD"/>
    <w:rsid w:val="001562CC"/>
    <w:rsid w:val="0015638D"/>
    <w:rsid w:val="001564FE"/>
    <w:rsid w:val="00156E0A"/>
    <w:rsid w:val="00156E80"/>
    <w:rsid w:val="00156FDF"/>
    <w:rsid w:val="001570DB"/>
    <w:rsid w:val="001573C3"/>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E7"/>
    <w:rsid w:val="00162527"/>
    <w:rsid w:val="00162599"/>
    <w:rsid w:val="0016270D"/>
    <w:rsid w:val="001629FD"/>
    <w:rsid w:val="00162D9E"/>
    <w:rsid w:val="001630D4"/>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30A9"/>
    <w:rsid w:val="001731E7"/>
    <w:rsid w:val="00173235"/>
    <w:rsid w:val="001736AC"/>
    <w:rsid w:val="00173753"/>
    <w:rsid w:val="001737C2"/>
    <w:rsid w:val="001738E1"/>
    <w:rsid w:val="00173A7F"/>
    <w:rsid w:val="00173B56"/>
    <w:rsid w:val="00173DCE"/>
    <w:rsid w:val="00173FD8"/>
    <w:rsid w:val="001740CC"/>
    <w:rsid w:val="00174C12"/>
    <w:rsid w:val="001750B1"/>
    <w:rsid w:val="001750CA"/>
    <w:rsid w:val="0017558B"/>
    <w:rsid w:val="00175C25"/>
    <w:rsid w:val="00175C2F"/>
    <w:rsid w:val="0017616A"/>
    <w:rsid w:val="001762C0"/>
    <w:rsid w:val="00176544"/>
    <w:rsid w:val="00176599"/>
    <w:rsid w:val="001766ED"/>
    <w:rsid w:val="00176860"/>
    <w:rsid w:val="001768A8"/>
    <w:rsid w:val="00176E10"/>
    <w:rsid w:val="00176E37"/>
    <w:rsid w:val="0017713F"/>
    <w:rsid w:val="001772C9"/>
    <w:rsid w:val="00177B5B"/>
    <w:rsid w:val="00177D95"/>
    <w:rsid w:val="00177EF1"/>
    <w:rsid w:val="001805BF"/>
    <w:rsid w:val="00180AB1"/>
    <w:rsid w:val="00180E4D"/>
    <w:rsid w:val="001810C1"/>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9A7"/>
    <w:rsid w:val="00184B04"/>
    <w:rsid w:val="00184F3C"/>
    <w:rsid w:val="0018505C"/>
    <w:rsid w:val="00185071"/>
    <w:rsid w:val="001852AC"/>
    <w:rsid w:val="00185401"/>
    <w:rsid w:val="001854C0"/>
    <w:rsid w:val="0018556B"/>
    <w:rsid w:val="001855AA"/>
    <w:rsid w:val="001859DD"/>
    <w:rsid w:val="00185AB0"/>
    <w:rsid w:val="00185AF5"/>
    <w:rsid w:val="00185D5E"/>
    <w:rsid w:val="00185DC6"/>
    <w:rsid w:val="00186346"/>
    <w:rsid w:val="0018650E"/>
    <w:rsid w:val="001865D4"/>
    <w:rsid w:val="001869FF"/>
    <w:rsid w:val="001871A9"/>
    <w:rsid w:val="001875C9"/>
    <w:rsid w:val="00187A1C"/>
    <w:rsid w:val="00187F38"/>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686E"/>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86B"/>
    <w:rsid w:val="001A0DC3"/>
    <w:rsid w:val="001A12BB"/>
    <w:rsid w:val="001A162A"/>
    <w:rsid w:val="001A1644"/>
    <w:rsid w:val="001A1CA8"/>
    <w:rsid w:val="001A2126"/>
    <w:rsid w:val="001A2192"/>
    <w:rsid w:val="001A27FB"/>
    <w:rsid w:val="001A2B67"/>
    <w:rsid w:val="001A2C29"/>
    <w:rsid w:val="001A2D85"/>
    <w:rsid w:val="001A2EEF"/>
    <w:rsid w:val="001A2FC5"/>
    <w:rsid w:val="001A3A1C"/>
    <w:rsid w:val="001A3C11"/>
    <w:rsid w:val="001A4177"/>
    <w:rsid w:val="001A419D"/>
    <w:rsid w:val="001A4317"/>
    <w:rsid w:val="001A4450"/>
    <w:rsid w:val="001A44DC"/>
    <w:rsid w:val="001A4663"/>
    <w:rsid w:val="001A4811"/>
    <w:rsid w:val="001A49BA"/>
    <w:rsid w:val="001A49BE"/>
    <w:rsid w:val="001A4BD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27A"/>
    <w:rsid w:val="001B3349"/>
    <w:rsid w:val="001B3635"/>
    <w:rsid w:val="001B3994"/>
    <w:rsid w:val="001B3A4B"/>
    <w:rsid w:val="001B3D54"/>
    <w:rsid w:val="001B3E1A"/>
    <w:rsid w:val="001B3E66"/>
    <w:rsid w:val="001B3EC3"/>
    <w:rsid w:val="001B3F50"/>
    <w:rsid w:val="001B41E6"/>
    <w:rsid w:val="001B49AF"/>
    <w:rsid w:val="001B4B02"/>
    <w:rsid w:val="001B4E5D"/>
    <w:rsid w:val="001B4FBE"/>
    <w:rsid w:val="001B52C3"/>
    <w:rsid w:val="001B5415"/>
    <w:rsid w:val="001B569F"/>
    <w:rsid w:val="001B5908"/>
    <w:rsid w:val="001B5974"/>
    <w:rsid w:val="001B5AD3"/>
    <w:rsid w:val="001B5BA9"/>
    <w:rsid w:val="001B6036"/>
    <w:rsid w:val="001B6295"/>
    <w:rsid w:val="001B6463"/>
    <w:rsid w:val="001B6488"/>
    <w:rsid w:val="001B658A"/>
    <w:rsid w:val="001B66C1"/>
    <w:rsid w:val="001B67A3"/>
    <w:rsid w:val="001B7292"/>
    <w:rsid w:val="001B7E0D"/>
    <w:rsid w:val="001C01CA"/>
    <w:rsid w:val="001C0A6B"/>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799"/>
    <w:rsid w:val="001C4851"/>
    <w:rsid w:val="001C48D9"/>
    <w:rsid w:val="001C4D0D"/>
    <w:rsid w:val="001C4EE2"/>
    <w:rsid w:val="001C539C"/>
    <w:rsid w:val="001C5652"/>
    <w:rsid w:val="001C5860"/>
    <w:rsid w:val="001C5863"/>
    <w:rsid w:val="001C5C79"/>
    <w:rsid w:val="001C60DC"/>
    <w:rsid w:val="001C6191"/>
    <w:rsid w:val="001C6320"/>
    <w:rsid w:val="001C6598"/>
    <w:rsid w:val="001C65E4"/>
    <w:rsid w:val="001C6E1C"/>
    <w:rsid w:val="001C6E57"/>
    <w:rsid w:val="001C6EF5"/>
    <w:rsid w:val="001C7390"/>
    <w:rsid w:val="001C7615"/>
    <w:rsid w:val="001C7779"/>
    <w:rsid w:val="001C780B"/>
    <w:rsid w:val="001C79B7"/>
    <w:rsid w:val="001D01C6"/>
    <w:rsid w:val="001D01F0"/>
    <w:rsid w:val="001D0660"/>
    <w:rsid w:val="001D0D9F"/>
    <w:rsid w:val="001D122A"/>
    <w:rsid w:val="001D1598"/>
    <w:rsid w:val="001D16D2"/>
    <w:rsid w:val="001D1A02"/>
    <w:rsid w:val="001D1CD0"/>
    <w:rsid w:val="001D2181"/>
    <w:rsid w:val="001D2457"/>
    <w:rsid w:val="001D2BDA"/>
    <w:rsid w:val="001D2C9A"/>
    <w:rsid w:val="001D2CB6"/>
    <w:rsid w:val="001D2CCB"/>
    <w:rsid w:val="001D33E9"/>
    <w:rsid w:val="001D34F2"/>
    <w:rsid w:val="001D3836"/>
    <w:rsid w:val="001D3936"/>
    <w:rsid w:val="001D39DF"/>
    <w:rsid w:val="001D3C22"/>
    <w:rsid w:val="001D3E57"/>
    <w:rsid w:val="001D40A2"/>
    <w:rsid w:val="001D4635"/>
    <w:rsid w:val="001D48B7"/>
    <w:rsid w:val="001D4DDC"/>
    <w:rsid w:val="001D4FB7"/>
    <w:rsid w:val="001D536B"/>
    <w:rsid w:val="001D5626"/>
    <w:rsid w:val="001D5A83"/>
    <w:rsid w:val="001D5B27"/>
    <w:rsid w:val="001D5B43"/>
    <w:rsid w:val="001D5C7A"/>
    <w:rsid w:val="001D5FAD"/>
    <w:rsid w:val="001D608A"/>
    <w:rsid w:val="001D6689"/>
    <w:rsid w:val="001D6727"/>
    <w:rsid w:val="001D68A8"/>
    <w:rsid w:val="001D6C15"/>
    <w:rsid w:val="001D7114"/>
    <w:rsid w:val="001D715B"/>
    <w:rsid w:val="001D7189"/>
    <w:rsid w:val="001D7477"/>
    <w:rsid w:val="001D7AAB"/>
    <w:rsid w:val="001E00B4"/>
    <w:rsid w:val="001E04FA"/>
    <w:rsid w:val="001E0628"/>
    <w:rsid w:val="001E080F"/>
    <w:rsid w:val="001E0A86"/>
    <w:rsid w:val="001E0AC7"/>
    <w:rsid w:val="001E0D30"/>
    <w:rsid w:val="001E154B"/>
    <w:rsid w:val="001E17FD"/>
    <w:rsid w:val="001E1885"/>
    <w:rsid w:val="001E197F"/>
    <w:rsid w:val="001E1A7B"/>
    <w:rsid w:val="001E1BDB"/>
    <w:rsid w:val="001E1C3B"/>
    <w:rsid w:val="001E1DB8"/>
    <w:rsid w:val="001E1ED7"/>
    <w:rsid w:val="001E23F6"/>
    <w:rsid w:val="001E255C"/>
    <w:rsid w:val="001E25D3"/>
    <w:rsid w:val="001E272E"/>
    <w:rsid w:val="001E27C8"/>
    <w:rsid w:val="001E2CF9"/>
    <w:rsid w:val="001E2EC4"/>
    <w:rsid w:val="001E30AF"/>
    <w:rsid w:val="001E31FB"/>
    <w:rsid w:val="001E36C3"/>
    <w:rsid w:val="001E3B9A"/>
    <w:rsid w:val="001E4199"/>
    <w:rsid w:val="001E4448"/>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F3"/>
    <w:rsid w:val="001E6D9E"/>
    <w:rsid w:val="001E6E80"/>
    <w:rsid w:val="001E6EB8"/>
    <w:rsid w:val="001E6EC1"/>
    <w:rsid w:val="001E6F0D"/>
    <w:rsid w:val="001E7204"/>
    <w:rsid w:val="001E74BC"/>
    <w:rsid w:val="001E7837"/>
    <w:rsid w:val="001E78E0"/>
    <w:rsid w:val="001E794F"/>
    <w:rsid w:val="001E7B28"/>
    <w:rsid w:val="001E7BF1"/>
    <w:rsid w:val="001F0342"/>
    <w:rsid w:val="001F070D"/>
    <w:rsid w:val="001F08E6"/>
    <w:rsid w:val="001F0912"/>
    <w:rsid w:val="001F095C"/>
    <w:rsid w:val="001F0A1B"/>
    <w:rsid w:val="001F0AA8"/>
    <w:rsid w:val="001F10C3"/>
    <w:rsid w:val="001F1259"/>
    <w:rsid w:val="001F1785"/>
    <w:rsid w:val="001F1E10"/>
    <w:rsid w:val="001F2092"/>
    <w:rsid w:val="001F249A"/>
    <w:rsid w:val="001F2942"/>
    <w:rsid w:val="001F29A0"/>
    <w:rsid w:val="001F2B92"/>
    <w:rsid w:val="001F31B3"/>
    <w:rsid w:val="001F31B5"/>
    <w:rsid w:val="001F344B"/>
    <w:rsid w:val="001F357F"/>
    <w:rsid w:val="001F35CB"/>
    <w:rsid w:val="001F3A4A"/>
    <w:rsid w:val="001F3A95"/>
    <w:rsid w:val="001F3B73"/>
    <w:rsid w:val="001F3CE9"/>
    <w:rsid w:val="001F4353"/>
    <w:rsid w:val="001F470E"/>
    <w:rsid w:val="001F47CB"/>
    <w:rsid w:val="001F4D9E"/>
    <w:rsid w:val="001F5055"/>
    <w:rsid w:val="001F52AC"/>
    <w:rsid w:val="001F56B2"/>
    <w:rsid w:val="001F5A36"/>
    <w:rsid w:val="001F5D08"/>
    <w:rsid w:val="001F5D2B"/>
    <w:rsid w:val="001F5DF9"/>
    <w:rsid w:val="001F667C"/>
    <w:rsid w:val="001F66E0"/>
    <w:rsid w:val="001F6C41"/>
    <w:rsid w:val="001F6EF9"/>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349"/>
    <w:rsid w:val="002013DA"/>
    <w:rsid w:val="00201586"/>
    <w:rsid w:val="002019E0"/>
    <w:rsid w:val="002026EC"/>
    <w:rsid w:val="0020271C"/>
    <w:rsid w:val="00202863"/>
    <w:rsid w:val="002028FB"/>
    <w:rsid w:val="00202BB6"/>
    <w:rsid w:val="00202D57"/>
    <w:rsid w:val="00203018"/>
    <w:rsid w:val="00203019"/>
    <w:rsid w:val="00203074"/>
    <w:rsid w:val="002030F2"/>
    <w:rsid w:val="0020323B"/>
    <w:rsid w:val="00203426"/>
    <w:rsid w:val="0020363A"/>
    <w:rsid w:val="00203FE2"/>
    <w:rsid w:val="00204579"/>
    <w:rsid w:val="0020461A"/>
    <w:rsid w:val="00204A50"/>
    <w:rsid w:val="00204AC9"/>
    <w:rsid w:val="00204DFA"/>
    <w:rsid w:val="00205AAB"/>
    <w:rsid w:val="00205AF5"/>
    <w:rsid w:val="00205B1C"/>
    <w:rsid w:val="002060C8"/>
    <w:rsid w:val="00206295"/>
    <w:rsid w:val="002063BA"/>
    <w:rsid w:val="002065EF"/>
    <w:rsid w:val="00206A3B"/>
    <w:rsid w:val="00206C73"/>
    <w:rsid w:val="00206E69"/>
    <w:rsid w:val="00206ED0"/>
    <w:rsid w:val="00207283"/>
    <w:rsid w:val="002072DC"/>
    <w:rsid w:val="00207329"/>
    <w:rsid w:val="002074B3"/>
    <w:rsid w:val="0020752B"/>
    <w:rsid w:val="00207596"/>
    <w:rsid w:val="00207797"/>
    <w:rsid w:val="00207B12"/>
    <w:rsid w:val="00207B94"/>
    <w:rsid w:val="00207EF4"/>
    <w:rsid w:val="00207F4A"/>
    <w:rsid w:val="00210168"/>
    <w:rsid w:val="002105F5"/>
    <w:rsid w:val="0021075F"/>
    <w:rsid w:val="002108D4"/>
    <w:rsid w:val="00210C31"/>
    <w:rsid w:val="00210CFF"/>
    <w:rsid w:val="0021130F"/>
    <w:rsid w:val="00211372"/>
    <w:rsid w:val="00211874"/>
    <w:rsid w:val="00211A45"/>
    <w:rsid w:val="00211B06"/>
    <w:rsid w:val="00211CE9"/>
    <w:rsid w:val="00211D48"/>
    <w:rsid w:val="00211F76"/>
    <w:rsid w:val="002122CA"/>
    <w:rsid w:val="00212F98"/>
    <w:rsid w:val="00213136"/>
    <w:rsid w:val="002138E3"/>
    <w:rsid w:val="00213B82"/>
    <w:rsid w:val="00213CFC"/>
    <w:rsid w:val="00213D30"/>
    <w:rsid w:val="00213EE4"/>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F2"/>
    <w:rsid w:val="0021702F"/>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19"/>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3E5"/>
    <w:rsid w:val="00226530"/>
    <w:rsid w:val="002266D4"/>
    <w:rsid w:val="00226D27"/>
    <w:rsid w:val="00227600"/>
    <w:rsid w:val="0023019D"/>
    <w:rsid w:val="00230222"/>
    <w:rsid w:val="0023068E"/>
    <w:rsid w:val="0023078A"/>
    <w:rsid w:val="0023098F"/>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887"/>
    <w:rsid w:val="00233D43"/>
    <w:rsid w:val="002342CF"/>
    <w:rsid w:val="0023431C"/>
    <w:rsid w:val="002344FC"/>
    <w:rsid w:val="00234661"/>
    <w:rsid w:val="002346CB"/>
    <w:rsid w:val="00234B1E"/>
    <w:rsid w:val="00234E69"/>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4EE"/>
    <w:rsid w:val="0024161B"/>
    <w:rsid w:val="002417B4"/>
    <w:rsid w:val="00241B90"/>
    <w:rsid w:val="00242321"/>
    <w:rsid w:val="002424FA"/>
    <w:rsid w:val="002428AE"/>
    <w:rsid w:val="00242944"/>
    <w:rsid w:val="002433DE"/>
    <w:rsid w:val="0024393C"/>
    <w:rsid w:val="002439E9"/>
    <w:rsid w:val="00243FAD"/>
    <w:rsid w:val="002442B0"/>
    <w:rsid w:val="00244824"/>
    <w:rsid w:val="00244950"/>
    <w:rsid w:val="00244959"/>
    <w:rsid w:val="00244BB7"/>
    <w:rsid w:val="00245136"/>
    <w:rsid w:val="002457D1"/>
    <w:rsid w:val="00245E33"/>
    <w:rsid w:val="00245F67"/>
    <w:rsid w:val="00245FE5"/>
    <w:rsid w:val="0024616A"/>
    <w:rsid w:val="002462C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E2"/>
    <w:rsid w:val="00252F5F"/>
    <w:rsid w:val="00253084"/>
    <w:rsid w:val="002533F2"/>
    <w:rsid w:val="0025359D"/>
    <w:rsid w:val="00253B22"/>
    <w:rsid w:val="00253F81"/>
    <w:rsid w:val="002540D8"/>
    <w:rsid w:val="00254120"/>
    <w:rsid w:val="00254332"/>
    <w:rsid w:val="0025475F"/>
    <w:rsid w:val="00254D0D"/>
    <w:rsid w:val="00254F05"/>
    <w:rsid w:val="00254F0E"/>
    <w:rsid w:val="00255194"/>
    <w:rsid w:val="002554C6"/>
    <w:rsid w:val="002558BF"/>
    <w:rsid w:val="00255BBE"/>
    <w:rsid w:val="00256445"/>
    <w:rsid w:val="00256499"/>
    <w:rsid w:val="002569D9"/>
    <w:rsid w:val="00256A2A"/>
    <w:rsid w:val="00256B37"/>
    <w:rsid w:val="00256C10"/>
    <w:rsid w:val="00256D5E"/>
    <w:rsid w:val="00256ED8"/>
    <w:rsid w:val="00257163"/>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104F"/>
    <w:rsid w:val="002610D7"/>
    <w:rsid w:val="002611FC"/>
    <w:rsid w:val="00261327"/>
    <w:rsid w:val="002615BB"/>
    <w:rsid w:val="00261776"/>
    <w:rsid w:val="00261FE4"/>
    <w:rsid w:val="0026209D"/>
    <w:rsid w:val="002622F4"/>
    <w:rsid w:val="00262A66"/>
    <w:rsid w:val="00262C4E"/>
    <w:rsid w:val="00262EF5"/>
    <w:rsid w:val="0026312D"/>
    <w:rsid w:val="0026375D"/>
    <w:rsid w:val="00263B64"/>
    <w:rsid w:val="00263F76"/>
    <w:rsid w:val="0026445B"/>
    <w:rsid w:val="00264523"/>
    <w:rsid w:val="00264789"/>
    <w:rsid w:val="002647F0"/>
    <w:rsid w:val="00264923"/>
    <w:rsid w:val="00264AA3"/>
    <w:rsid w:val="00264B33"/>
    <w:rsid w:val="00264C58"/>
    <w:rsid w:val="00264E41"/>
    <w:rsid w:val="0026506C"/>
    <w:rsid w:val="0026537E"/>
    <w:rsid w:val="00265503"/>
    <w:rsid w:val="002657AF"/>
    <w:rsid w:val="00265A91"/>
    <w:rsid w:val="00265EDB"/>
    <w:rsid w:val="00265EDF"/>
    <w:rsid w:val="00266536"/>
    <w:rsid w:val="0026695D"/>
    <w:rsid w:val="00266AAA"/>
    <w:rsid w:val="00266D5F"/>
    <w:rsid w:val="00266D7D"/>
    <w:rsid w:val="00267048"/>
    <w:rsid w:val="00267117"/>
    <w:rsid w:val="00267233"/>
    <w:rsid w:val="002673F7"/>
    <w:rsid w:val="00267769"/>
    <w:rsid w:val="00267ADA"/>
    <w:rsid w:val="00267C37"/>
    <w:rsid w:val="00267C93"/>
    <w:rsid w:val="00267D95"/>
    <w:rsid w:val="00267DC7"/>
    <w:rsid w:val="00267F27"/>
    <w:rsid w:val="00270389"/>
    <w:rsid w:val="00270431"/>
    <w:rsid w:val="00270440"/>
    <w:rsid w:val="002705D7"/>
    <w:rsid w:val="00270641"/>
    <w:rsid w:val="002706B2"/>
    <w:rsid w:val="00270A0A"/>
    <w:rsid w:val="00270FD4"/>
    <w:rsid w:val="00270FE2"/>
    <w:rsid w:val="0027151D"/>
    <w:rsid w:val="002717E8"/>
    <w:rsid w:val="00271BD4"/>
    <w:rsid w:val="00271C37"/>
    <w:rsid w:val="00272161"/>
    <w:rsid w:val="002721AF"/>
    <w:rsid w:val="002725BA"/>
    <w:rsid w:val="00272F44"/>
    <w:rsid w:val="002730D4"/>
    <w:rsid w:val="00273186"/>
    <w:rsid w:val="002731A7"/>
    <w:rsid w:val="002736D3"/>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DE5"/>
    <w:rsid w:val="00275F26"/>
    <w:rsid w:val="00275FA0"/>
    <w:rsid w:val="0027610C"/>
    <w:rsid w:val="0027619D"/>
    <w:rsid w:val="002762E7"/>
    <w:rsid w:val="00276C2A"/>
    <w:rsid w:val="00276C6B"/>
    <w:rsid w:val="00276E61"/>
    <w:rsid w:val="0027713A"/>
    <w:rsid w:val="00277147"/>
    <w:rsid w:val="00277C03"/>
    <w:rsid w:val="00277CE3"/>
    <w:rsid w:val="00277DD2"/>
    <w:rsid w:val="00280070"/>
    <w:rsid w:val="00280189"/>
    <w:rsid w:val="002803CF"/>
    <w:rsid w:val="002804B1"/>
    <w:rsid w:val="0028079E"/>
    <w:rsid w:val="002807BC"/>
    <w:rsid w:val="002808BE"/>
    <w:rsid w:val="00281146"/>
    <w:rsid w:val="0028138B"/>
    <w:rsid w:val="00281D24"/>
    <w:rsid w:val="00281F8F"/>
    <w:rsid w:val="002821A6"/>
    <w:rsid w:val="0028225E"/>
    <w:rsid w:val="00282506"/>
    <w:rsid w:val="00282D9E"/>
    <w:rsid w:val="0028307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860"/>
    <w:rsid w:val="00285894"/>
    <w:rsid w:val="00285C95"/>
    <w:rsid w:val="00285DED"/>
    <w:rsid w:val="002860B3"/>
    <w:rsid w:val="00286147"/>
    <w:rsid w:val="00286232"/>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9B3"/>
    <w:rsid w:val="00290B77"/>
    <w:rsid w:val="00290FC7"/>
    <w:rsid w:val="002910B3"/>
    <w:rsid w:val="00291231"/>
    <w:rsid w:val="0029150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E2"/>
    <w:rsid w:val="002944E4"/>
    <w:rsid w:val="00294509"/>
    <w:rsid w:val="00294640"/>
    <w:rsid w:val="00295060"/>
    <w:rsid w:val="0029551F"/>
    <w:rsid w:val="00295A40"/>
    <w:rsid w:val="00295A90"/>
    <w:rsid w:val="00295AA9"/>
    <w:rsid w:val="00295BA6"/>
    <w:rsid w:val="00295BD4"/>
    <w:rsid w:val="00295E77"/>
    <w:rsid w:val="002966FE"/>
    <w:rsid w:val="002969FC"/>
    <w:rsid w:val="00296D27"/>
    <w:rsid w:val="00296FE8"/>
    <w:rsid w:val="002972FB"/>
    <w:rsid w:val="00297E8C"/>
    <w:rsid w:val="00297EB1"/>
    <w:rsid w:val="002A01DB"/>
    <w:rsid w:val="002A02AA"/>
    <w:rsid w:val="002A03EF"/>
    <w:rsid w:val="002A0539"/>
    <w:rsid w:val="002A08FC"/>
    <w:rsid w:val="002A098B"/>
    <w:rsid w:val="002A09E2"/>
    <w:rsid w:val="002A0BE9"/>
    <w:rsid w:val="002A0F48"/>
    <w:rsid w:val="002A0FF7"/>
    <w:rsid w:val="002A132D"/>
    <w:rsid w:val="002A1643"/>
    <w:rsid w:val="002A16EE"/>
    <w:rsid w:val="002A18C2"/>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ECD"/>
    <w:rsid w:val="002B50D8"/>
    <w:rsid w:val="002B5158"/>
    <w:rsid w:val="002B519C"/>
    <w:rsid w:val="002B520D"/>
    <w:rsid w:val="002B5316"/>
    <w:rsid w:val="002B5698"/>
    <w:rsid w:val="002B5731"/>
    <w:rsid w:val="002B5964"/>
    <w:rsid w:val="002B59CB"/>
    <w:rsid w:val="002B5F2C"/>
    <w:rsid w:val="002B5FF1"/>
    <w:rsid w:val="002B6076"/>
    <w:rsid w:val="002B653B"/>
    <w:rsid w:val="002B67D8"/>
    <w:rsid w:val="002B680E"/>
    <w:rsid w:val="002B6AB5"/>
    <w:rsid w:val="002B7289"/>
    <w:rsid w:val="002B7A01"/>
    <w:rsid w:val="002B7D87"/>
    <w:rsid w:val="002B7DB2"/>
    <w:rsid w:val="002C01B3"/>
    <w:rsid w:val="002C0235"/>
    <w:rsid w:val="002C03E9"/>
    <w:rsid w:val="002C04C7"/>
    <w:rsid w:val="002C0528"/>
    <w:rsid w:val="002C0A68"/>
    <w:rsid w:val="002C0B79"/>
    <w:rsid w:val="002C10FE"/>
    <w:rsid w:val="002C1155"/>
    <w:rsid w:val="002C125F"/>
    <w:rsid w:val="002C1287"/>
    <w:rsid w:val="002C156B"/>
    <w:rsid w:val="002C1874"/>
    <w:rsid w:val="002C2152"/>
    <w:rsid w:val="002C2495"/>
    <w:rsid w:val="002C2D34"/>
    <w:rsid w:val="002C2E5D"/>
    <w:rsid w:val="002C2F6D"/>
    <w:rsid w:val="002C355B"/>
    <w:rsid w:val="002C38EF"/>
    <w:rsid w:val="002C391B"/>
    <w:rsid w:val="002C3B4D"/>
    <w:rsid w:val="002C3C0F"/>
    <w:rsid w:val="002C3CE9"/>
    <w:rsid w:val="002C443F"/>
    <w:rsid w:val="002C462D"/>
    <w:rsid w:val="002C4AC8"/>
    <w:rsid w:val="002C4C65"/>
    <w:rsid w:val="002C50FC"/>
    <w:rsid w:val="002C5202"/>
    <w:rsid w:val="002C54EE"/>
    <w:rsid w:val="002C552D"/>
    <w:rsid w:val="002C5557"/>
    <w:rsid w:val="002C55B3"/>
    <w:rsid w:val="002C56E6"/>
    <w:rsid w:val="002C56EC"/>
    <w:rsid w:val="002C5984"/>
    <w:rsid w:val="002C59D8"/>
    <w:rsid w:val="002C650D"/>
    <w:rsid w:val="002C661E"/>
    <w:rsid w:val="002C6622"/>
    <w:rsid w:val="002C680D"/>
    <w:rsid w:val="002C6FE7"/>
    <w:rsid w:val="002C7297"/>
    <w:rsid w:val="002C766E"/>
    <w:rsid w:val="002C7E0A"/>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515"/>
    <w:rsid w:val="002D2D46"/>
    <w:rsid w:val="002D2D97"/>
    <w:rsid w:val="002D2E30"/>
    <w:rsid w:val="002D3237"/>
    <w:rsid w:val="002D32BA"/>
    <w:rsid w:val="002D33E9"/>
    <w:rsid w:val="002D3698"/>
    <w:rsid w:val="002D39FC"/>
    <w:rsid w:val="002D3A19"/>
    <w:rsid w:val="002D3B50"/>
    <w:rsid w:val="002D412C"/>
    <w:rsid w:val="002D4193"/>
    <w:rsid w:val="002D42E6"/>
    <w:rsid w:val="002D46C7"/>
    <w:rsid w:val="002D49FB"/>
    <w:rsid w:val="002D4A79"/>
    <w:rsid w:val="002D4C4B"/>
    <w:rsid w:val="002D5390"/>
    <w:rsid w:val="002D53EF"/>
    <w:rsid w:val="002D5451"/>
    <w:rsid w:val="002D549E"/>
    <w:rsid w:val="002D5712"/>
    <w:rsid w:val="002D5F2A"/>
    <w:rsid w:val="002D63FB"/>
    <w:rsid w:val="002D6535"/>
    <w:rsid w:val="002D7682"/>
    <w:rsid w:val="002D774D"/>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5F"/>
    <w:rsid w:val="002E3B7A"/>
    <w:rsid w:val="002E3DE4"/>
    <w:rsid w:val="002E486A"/>
    <w:rsid w:val="002E4EF0"/>
    <w:rsid w:val="002E5436"/>
    <w:rsid w:val="002E556C"/>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46"/>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8E3"/>
    <w:rsid w:val="002F596E"/>
    <w:rsid w:val="002F5BFB"/>
    <w:rsid w:val="002F5CA4"/>
    <w:rsid w:val="002F6316"/>
    <w:rsid w:val="002F655F"/>
    <w:rsid w:val="002F6F93"/>
    <w:rsid w:val="002F72D7"/>
    <w:rsid w:val="002F743A"/>
    <w:rsid w:val="002F7551"/>
    <w:rsid w:val="002F7928"/>
    <w:rsid w:val="002F7AA5"/>
    <w:rsid w:val="002F7AE1"/>
    <w:rsid w:val="002F7B13"/>
    <w:rsid w:val="002F7C9C"/>
    <w:rsid w:val="002F7F09"/>
    <w:rsid w:val="0030017F"/>
    <w:rsid w:val="00300214"/>
    <w:rsid w:val="003007DC"/>
    <w:rsid w:val="0030085C"/>
    <w:rsid w:val="003009F7"/>
    <w:rsid w:val="00300BB1"/>
    <w:rsid w:val="00300BDF"/>
    <w:rsid w:val="00300EFD"/>
    <w:rsid w:val="0030100E"/>
    <w:rsid w:val="0030122F"/>
    <w:rsid w:val="00301338"/>
    <w:rsid w:val="0030147C"/>
    <w:rsid w:val="003014A4"/>
    <w:rsid w:val="00301776"/>
    <w:rsid w:val="00301787"/>
    <w:rsid w:val="00301CD8"/>
    <w:rsid w:val="0030212D"/>
    <w:rsid w:val="0030245B"/>
    <w:rsid w:val="00302849"/>
    <w:rsid w:val="0030316D"/>
    <w:rsid w:val="0030317C"/>
    <w:rsid w:val="003031FB"/>
    <w:rsid w:val="0030364D"/>
    <w:rsid w:val="00303676"/>
    <w:rsid w:val="00303718"/>
    <w:rsid w:val="00303966"/>
    <w:rsid w:val="00303A79"/>
    <w:rsid w:val="00303DD8"/>
    <w:rsid w:val="00303FCD"/>
    <w:rsid w:val="00304340"/>
    <w:rsid w:val="003047B1"/>
    <w:rsid w:val="003047F2"/>
    <w:rsid w:val="00304B9C"/>
    <w:rsid w:val="0030501B"/>
    <w:rsid w:val="003057F9"/>
    <w:rsid w:val="00305876"/>
    <w:rsid w:val="003059D4"/>
    <w:rsid w:val="00305A33"/>
    <w:rsid w:val="00305D11"/>
    <w:rsid w:val="00305E4E"/>
    <w:rsid w:val="003064A2"/>
    <w:rsid w:val="00306507"/>
    <w:rsid w:val="003067F0"/>
    <w:rsid w:val="00306CB0"/>
    <w:rsid w:val="00306CE0"/>
    <w:rsid w:val="00307377"/>
    <w:rsid w:val="003075E5"/>
    <w:rsid w:val="00307721"/>
    <w:rsid w:val="0031014C"/>
    <w:rsid w:val="003103AF"/>
    <w:rsid w:val="003103C0"/>
    <w:rsid w:val="003104A0"/>
    <w:rsid w:val="003106E9"/>
    <w:rsid w:val="00310731"/>
    <w:rsid w:val="003108CE"/>
    <w:rsid w:val="00310C0A"/>
    <w:rsid w:val="00310CEA"/>
    <w:rsid w:val="00310DDA"/>
    <w:rsid w:val="00310EC7"/>
    <w:rsid w:val="0031100F"/>
    <w:rsid w:val="003111A5"/>
    <w:rsid w:val="00311262"/>
    <w:rsid w:val="003115AF"/>
    <w:rsid w:val="00311AB3"/>
    <w:rsid w:val="00311B03"/>
    <w:rsid w:val="00311C73"/>
    <w:rsid w:val="00311E13"/>
    <w:rsid w:val="003122B1"/>
    <w:rsid w:val="003125B3"/>
    <w:rsid w:val="00312675"/>
    <w:rsid w:val="00312A0D"/>
    <w:rsid w:val="00312FCF"/>
    <w:rsid w:val="00313157"/>
    <w:rsid w:val="0031325C"/>
    <w:rsid w:val="003134C0"/>
    <w:rsid w:val="00313799"/>
    <w:rsid w:val="003139BB"/>
    <w:rsid w:val="00313A70"/>
    <w:rsid w:val="00313D8C"/>
    <w:rsid w:val="003140CB"/>
    <w:rsid w:val="00314391"/>
    <w:rsid w:val="00314B41"/>
    <w:rsid w:val="00314C96"/>
    <w:rsid w:val="00314EDF"/>
    <w:rsid w:val="00315011"/>
    <w:rsid w:val="00315494"/>
    <w:rsid w:val="00315522"/>
    <w:rsid w:val="003155E1"/>
    <w:rsid w:val="0031568E"/>
    <w:rsid w:val="003157CC"/>
    <w:rsid w:val="0031582B"/>
    <w:rsid w:val="00315FF1"/>
    <w:rsid w:val="0031618E"/>
    <w:rsid w:val="003161D5"/>
    <w:rsid w:val="003164DE"/>
    <w:rsid w:val="0031678A"/>
    <w:rsid w:val="00316E4D"/>
    <w:rsid w:val="0031707B"/>
    <w:rsid w:val="003170A6"/>
    <w:rsid w:val="003171B1"/>
    <w:rsid w:val="003172F6"/>
    <w:rsid w:val="0031760B"/>
    <w:rsid w:val="00317642"/>
    <w:rsid w:val="00317652"/>
    <w:rsid w:val="0031770B"/>
    <w:rsid w:val="00317A1B"/>
    <w:rsid w:val="00317A38"/>
    <w:rsid w:val="00317C1E"/>
    <w:rsid w:val="003203C1"/>
    <w:rsid w:val="00320565"/>
    <w:rsid w:val="003209FC"/>
    <w:rsid w:val="00320A00"/>
    <w:rsid w:val="0032100A"/>
    <w:rsid w:val="00321063"/>
    <w:rsid w:val="003214D2"/>
    <w:rsid w:val="0032162F"/>
    <w:rsid w:val="00321992"/>
    <w:rsid w:val="00321D7C"/>
    <w:rsid w:val="00321E5C"/>
    <w:rsid w:val="00321E94"/>
    <w:rsid w:val="00321F6D"/>
    <w:rsid w:val="003222EA"/>
    <w:rsid w:val="003225F3"/>
    <w:rsid w:val="00322713"/>
    <w:rsid w:val="00322925"/>
    <w:rsid w:val="003229C6"/>
    <w:rsid w:val="00322BF2"/>
    <w:rsid w:val="003232C3"/>
    <w:rsid w:val="003234A9"/>
    <w:rsid w:val="0032360B"/>
    <w:rsid w:val="00323B82"/>
    <w:rsid w:val="003240A3"/>
    <w:rsid w:val="003243B3"/>
    <w:rsid w:val="0032483B"/>
    <w:rsid w:val="003249CB"/>
    <w:rsid w:val="00324DD2"/>
    <w:rsid w:val="00324EC4"/>
    <w:rsid w:val="00324F41"/>
    <w:rsid w:val="003252F7"/>
    <w:rsid w:val="003253A2"/>
    <w:rsid w:val="00325B1F"/>
    <w:rsid w:val="0032699F"/>
    <w:rsid w:val="00326A52"/>
    <w:rsid w:val="00326AC6"/>
    <w:rsid w:val="00326DB2"/>
    <w:rsid w:val="00327299"/>
    <w:rsid w:val="003275D9"/>
    <w:rsid w:val="003279AD"/>
    <w:rsid w:val="00327C77"/>
    <w:rsid w:val="00327DD4"/>
    <w:rsid w:val="00327E59"/>
    <w:rsid w:val="00327F3F"/>
    <w:rsid w:val="00327FDD"/>
    <w:rsid w:val="00330139"/>
    <w:rsid w:val="003302A0"/>
    <w:rsid w:val="00330625"/>
    <w:rsid w:val="00330678"/>
    <w:rsid w:val="00330B4F"/>
    <w:rsid w:val="00331368"/>
    <w:rsid w:val="003313E4"/>
    <w:rsid w:val="003313F0"/>
    <w:rsid w:val="00331533"/>
    <w:rsid w:val="0033193A"/>
    <w:rsid w:val="003324B2"/>
    <w:rsid w:val="0033266A"/>
    <w:rsid w:val="003329F2"/>
    <w:rsid w:val="00332E2C"/>
    <w:rsid w:val="003333CE"/>
    <w:rsid w:val="00333AA2"/>
    <w:rsid w:val="00333E96"/>
    <w:rsid w:val="00333F30"/>
    <w:rsid w:val="00333FF9"/>
    <w:rsid w:val="003343CB"/>
    <w:rsid w:val="0033498C"/>
    <w:rsid w:val="00334DE1"/>
    <w:rsid w:val="00334EAB"/>
    <w:rsid w:val="00335173"/>
    <w:rsid w:val="0033543B"/>
    <w:rsid w:val="00335818"/>
    <w:rsid w:val="003359C0"/>
    <w:rsid w:val="00335B4D"/>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4001D"/>
    <w:rsid w:val="0034034E"/>
    <w:rsid w:val="003404FC"/>
    <w:rsid w:val="003405A6"/>
    <w:rsid w:val="00340954"/>
    <w:rsid w:val="00340D30"/>
    <w:rsid w:val="00340F78"/>
    <w:rsid w:val="003415CC"/>
    <w:rsid w:val="00341763"/>
    <w:rsid w:val="00341A66"/>
    <w:rsid w:val="00342179"/>
    <w:rsid w:val="003424AD"/>
    <w:rsid w:val="003426E7"/>
    <w:rsid w:val="00342710"/>
    <w:rsid w:val="0034274A"/>
    <w:rsid w:val="003427C7"/>
    <w:rsid w:val="00342C9E"/>
    <w:rsid w:val="00342E33"/>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601A"/>
    <w:rsid w:val="003461EA"/>
    <w:rsid w:val="00346587"/>
    <w:rsid w:val="00346594"/>
    <w:rsid w:val="003465DA"/>
    <w:rsid w:val="00346626"/>
    <w:rsid w:val="00346836"/>
    <w:rsid w:val="00346A1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902"/>
    <w:rsid w:val="00352A1E"/>
    <w:rsid w:val="00352DE1"/>
    <w:rsid w:val="00352F15"/>
    <w:rsid w:val="0035369E"/>
    <w:rsid w:val="003537BC"/>
    <w:rsid w:val="0035408E"/>
    <w:rsid w:val="00354234"/>
    <w:rsid w:val="0035479D"/>
    <w:rsid w:val="0035550B"/>
    <w:rsid w:val="003555DD"/>
    <w:rsid w:val="00355652"/>
    <w:rsid w:val="00355A94"/>
    <w:rsid w:val="00355D9C"/>
    <w:rsid w:val="00355DA4"/>
    <w:rsid w:val="003561B8"/>
    <w:rsid w:val="0035637B"/>
    <w:rsid w:val="003565A3"/>
    <w:rsid w:val="00356989"/>
    <w:rsid w:val="00356B44"/>
    <w:rsid w:val="00356BF2"/>
    <w:rsid w:val="00357158"/>
    <w:rsid w:val="003575FF"/>
    <w:rsid w:val="00357996"/>
    <w:rsid w:val="00357A6B"/>
    <w:rsid w:val="00357BF5"/>
    <w:rsid w:val="00360185"/>
    <w:rsid w:val="003606CE"/>
    <w:rsid w:val="00360A2C"/>
    <w:rsid w:val="00360E30"/>
    <w:rsid w:val="003612CB"/>
    <w:rsid w:val="003619BA"/>
    <w:rsid w:val="00361BFD"/>
    <w:rsid w:val="00361D8C"/>
    <w:rsid w:val="003623E6"/>
    <w:rsid w:val="003624D2"/>
    <w:rsid w:val="00362C50"/>
    <w:rsid w:val="00362C90"/>
    <w:rsid w:val="00362D33"/>
    <w:rsid w:val="00363169"/>
    <w:rsid w:val="003632DC"/>
    <w:rsid w:val="00363A17"/>
    <w:rsid w:val="00364C16"/>
    <w:rsid w:val="00364DEA"/>
    <w:rsid w:val="00364DF8"/>
    <w:rsid w:val="003652A5"/>
    <w:rsid w:val="00365A1C"/>
    <w:rsid w:val="00365C32"/>
    <w:rsid w:val="003665D8"/>
    <w:rsid w:val="0036685E"/>
    <w:rsid w:val="00366984"/>
    <w:rsid w:val="00366EDA"/>
    <w:rsid w:val="00367081"/>
    <w:rsid w:val="00367364"/>
    <w:rsid w:val="003674DB"/>
    <w:rsid w:val="00367BD5"/>
    <w:rsid w:val="00367CCC"/>
    <w:rsid w:val="0037014B"/>
    <w:rsid w:val="00370605"/>
    <w:rsid w:val="003709ED"/>
    <w:rsid w:val="003715D5"/>
    <w:rsid w:val="00371822"/>
    <w:rsid w:val="00371A98"/>
    <w:rsid w:val="00371D54"/>
    <w:rsid w:val="00371E78"/>
    <w:rsid w:val="003721F5"/>
    <w:rsid w:val="0037263B"/>
    <w:rsid w:val="003729A9"/>
    <w:rsid w:val="00372A4B"/>
    <w:rsid w:val="00372AFE"/>
    <w:rsid w:val="003733E2"/>
    <w:rsid w:val="00373BE5"/>
    <w:rsid w:val="00373EA7"/>
    <w:rsid w:val="00374027"/>
    <w:rsid w:val="00374257"/>
    <w:rsid w:val="0037439F"/>
    <w:rsid w:val="0037456E"/>
    <w:rsid w:val="003746DA"/>
    <w:rsid w:val="003748F6"/>
    <w:rsid w:val="00374A2A"/>
    <w:rsid w:val="00374C53"/>
    <w:rsid w:val="00374CFF"/>
    <w:rsid w:val="00374D4A"/>
    <w:rsid w:val="00374EEF"/>
    <w:rsid w:val="003750C4"/>
    <w:rsid w:val="0037537B"/>
    <w:rsid w:val="00375571"/>
    <w:rsid w:val="003755E6"/>
    <w:rsid w:val="00375670"/>
    <w:rsid w:val="003757B9"/>
    <w:rsid w:val="003763BB"/>
    <w:rsid w:val="00376FAD"/>
    <w:rsid w:val="00377003"/>
    <w:rsid w:val="003772C8"/>
    <w:rsid w:val="0037734D"/>
    <w:rsid w:val="003773CF"/>
    <w:rsid w:val="00377830"/>
    <w:rsid w:val="00377837"/>
    <w:rsid w:val="003778CD"/>
    <w:rsid w:val="0037794E"/>
    <w:rsid w:val="0037798E"/>
    <w:rsid w:val="00377E0F"/>
    <w:rsid w:val="0038021B"/>
    <w:rsid w:val="00380C05"/>
    <w:rsid w:val="00380C2C"/>
    <w:rsid w:val="00381002"/>
    <w:rsid w:val="0038101A"/>
    <w:rsid w:val="00381753"/>
    <w:rsid w:val="003817A4"/>
    <w:rsid w:val="00381A96"/>
    <w:rsid w:val="00381C85"/>
    <w:rsid w:val="00382018"/>
    <w:rsid w:val="0038207A"/>
    <w:rsid w:val="003820D5"/>
    <w:rsid w:val="003821F4"/>
    <w:rsid w:val="003825D2"/>
    <w:rsid w:val="003826B7"/>
    <w:rsid w:val="00382CE4"/>
    <w:rsid w:val="00382D60"/>
    <w:rsid w:val="00382F21"/>
    <w:rsid w:val="003834CE"/>
    <w:rsid w:val="0038362E"/>
    <w:rsid w:val="00383DE9"/>
    <w:rsid w:val="00383FB2"/>
    <w:rsid w:val="00384705"/>
    <w:rsid w:val="003853AF"/>
    <w:rsid w:val="00385565"/>
    <w:rsid w:val="0038570D"/>
    <w:rsid w:val="00385716"/>
    <w:rsid w:val="00385A32"/>
    <w:rsid w:val="00385C7D"/>
    <w:rsid w:val="00385D3B"/>
    <w:rsid w:val="00385EB6"/>
    <w:rsid w:val="00386682"/>
    <w:rsid w:val="00386878"/>
    <w:rsid w:val="00386892"/>
    <w:rsid w:val="00387A64"/>
    <w:rsid w:val="00387D6C"/>
    <w:rsid w:val="00387D9D"/>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D6F"/>
    <w:rsid w:val="0039406E"/>
    <w:rsid w:val="0039474E"/>
    <w:rsid w:val="003948AA"/>
    <w:rsid w:val="00394ECF"/>
    <w:rsid w:val="00395753"/>
    <w:rsid w:val="003958BD"/>
    <w:rsid w:val="00395FCF"/>
    <w:rsid w:val="00396045"/>
    <w:rsid w:val="003965A7"/>
    <w:rsid w:val="003967DA"/>
    <w:rsid w:val="00396CBB"/>
    <w:rsid w:val="0039725D"/>
    <w:rsid w:val="003972BE"/>
    <w:rsid w:val="00397C6E"/>
    <w:rsid w:val="003A08D5"/>
    <w:rsid w:val="003A0E7C"/>
    <w:rsid w:val="003A1A77"/>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A5D"/>
    <w:rsid w:val="003A5126"/>
    <w:rsid w:val="003A535A"/>
    <w:rsid w:val="003A586F"/>
    <w:rsid w:val="003A5ADE"/>
    <w:rsid w:val="003A607C"/>
    <w:rsid w:val="003A60CD"/>
    <w:rsid w:val="003A620B"/>
    <w:rsid w:val="003A63F0"/>
    <w:rsid w:val="003A64D2"/>
    <w:rsid w:val="003A6AB9"/>
    <w:rsid w:val="003A6B80"/>
    <w:rsid w:val="003A72E3"/>
    <w:rsid w:val="003A7371"/>
    <w:rsid w:val="003A752C"/>
    <w:rsid w:val="003A793B"/>
    <w:rsid w:val="003A79CE"/>
    <w:rsid w:val="003B01A2"/>
    <w:rsid w:val="003B01F2"/>
    <w:rsid w:val="003B06C3"/>
    <w:rsid w:val="003B0DE4"/>
    <w:rsid w:val="003B1049"/>
    <w:rsid w:val="003B1796"/>
    <w:rsid w:val="003B1BA8"/>
    <w:rsid w:val="003B1CF2"/>
    <w:rsid w:val="003B1DBF"/>
    <w:rsid w:val="003B226B"/>
    <w:rsid w:val="003B2C1A"/>
    <w:rsid w:val="003B2CD9"/>
    <w:rsid w:val="003B2F05"/>
    <w:rsid w:val="003B34CB"/>
    <w:rsid w:val="003B4204"/>
    <w:rsid w:val="003B42F6"/>
    <w:rsid w:val="003B4616"/>
    <w:rsid w:val="003B49C4"/>
    <w:rsid w:val="003B4A12"/>
    <w:rsid w:val="003B5352"/>
    <w:rsid w:val="003B5DAC"/>
    <w:rsid w:val="003B6615"/>
    <w:rsid w:val="003B6AED"/>
    <w:rsid w:val="003B736B"/>
    <w:rsid w:val="003B73F7"/>
    <w:rsid w:val="003B75EB"/>
    <w:rsid w:val="003B7A26"/>
    <w:rsid w:val="003B7A92"/>
    <w:rsid w:val="003B7AE0"/>
    <w:rsid w:val="003C0228"/>
    <w:rsid w:val="003C07CE"/>
    <w:rsid w:val="003C0F35"/>
    <w:rsid w:val="003C12E5"/>
    <w:rsid w:val="003C1671"/>
    <w:rsid w:val="003C16DB"/>
    <w:rsid w:val="003C1841"/>
    <w:rsid w:val="003C18C9"/>
    <w:rsid w:val="003C1AF6"/>
    <w:rsid w:val="003C1B4D"/>
    <w:rsid w:val="003C1B8D"/>
    <w:rsid w:val="003C1C0E"/>
    <w:rsid w:val="003C1C5F"/>
    <w:rsid w:val="003C1EC7"/>
    <w:rsid w:val="003C2122"/>
    <w:rsid w:val="003C25E2"/>
    <w:rsid w:val="003C27D5"/>
    <w:rsid w:val="003C2899"/>
    <w:rsid w:val="003C2939"/>
    <w:rsid w:val="003C2AEF"/>
    <w:rsid w:val="003C2BB0"/>
    <w:rsid w:val="003C2DC9"/>
    <w:rsid w:val="003C2FBF"/>
    <w:rsid w:val="003C34B9"/>
    <w:rsid w:val="003C34FA"/>
    <w:rsid w:val="003C3881"/>
    <w:rsid w:val="003C41D5"/>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29"/>
    <w:rsid w:val="003C7983"/>
    <w:rsid w:val="003C7A61"/>
    <w:rsid w:val="003C7BCB"/>
    <w:rsid w:val="003C7C8A"/>
    <w:rsid w:val="003C7F06"/>
    <w:rsid w:val="003D0274"/>
    <w:rsid w:val="003D06CB"/>
    <w:rsid w:val="003D1779"/>
    <w:rsid w:val="003D1788"/>
    <w:rsid w:val="003D193F"/>
    <w:rsid w:val="003D1CC9"/>
    <w:rsid w:val="003D1D66"/>
    <w:rsid w:val="003D1DF0"/>
    <w:rsid w:val="003D1E59"/>
    <w:rsid w:val="003D1F9F"/>
    <w:rsid w:val="003D2141"/>
    <w:rsid w:val="003D2317"/>
    <w:rsid w:val="003D242D"/>
    <w:rsid w:val="003D253F"/>
    <w:rsid w:val="003D26ED"/>
    <w:rsid w:val="003D278A"/>
    <w:rsid w:val="003D28FE"/>
    <w:rsid w:val="003D29F6"/>
    <w:rsid w:val="003D2B6C"/>
    <w:rsid w:val="003D32AF"/>
    <w:rsid w:val="003D37E3"/>
    <w:rsid w:val="003D38CA"/>
    <w:rsid w:val="003D3C86"/>
    <w:rsid w:val="003D3EAE"/>
    <w:rsid w:val="003D4046"/>
    <w:rsid w:val="003D4051"/>
    <w:rsid w:val="003D4220"/>
    <w:rsid w:val="003D44A3"/>
    <w:rsid w:val="003D46B7"/>
    <w:rsid w:val="003D47B9"/>
    <w:rsid w:val="003D4834"/>
    <w:rsid w:val="003D4B45"/>
    <w:rsid w:val="003D4C48"/>
    <w:rsid w:val="003D4EDC"/>
    <w:rsid w:val="003D5181"/>
    <w:rsid w:val="003D5424"/>
    <w:rsid w:val="003D54AC"/>
    <w:rsid w:val="003D59FE"/>
    <w:rsid w:val="003D5C46"/>
    <w:rsid w:val="003D5ED0"/>
    <w:rsid w:val="003D61E3"/>
    <w:rsid w:val="003D6275"/>
    <w:rsid w:val="003D6408"/>
    <w:rsid w:val="003D660A"/>
    <w:rsid w:val="003D6860"/>
    <w:rsid w:val="003D6CF5"/>
    <w:rsid w:val="003D6DC2"/>
    <w:rsid w:val="003D6E72"/>
    <w:rsid w:val="003D6F55"/>
    <w:rsid w:val="003D7034"/>
    <w:rsid w:val="003D72E7"/>
    <w:rsid w:val="003D7332"/>
    <w:rsid w:val="003D73A5"/>
    <w:rsid w:val="003D7819"/>
    <w:rsid w:val="003D7B96"/>
    <w:rsid w:val="003D7BFA"/>
    <w:rsid w:val="003D7E33"/>
    <w:rsid w:val="003E048B"/>
    <w:rsid w:val="003E0698"/>
    <w:rsid w:val="003E078D"/>
    <w:rsid w:val="003E0953"/>
    <w:rsid w:val="003E13E8"/>
    <w:rsid w:val="003E17D3"/>
    <w:rsid w:val="003E1D34"/>
    <w:rsid w:val="003E1F73"/>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25D"/>
    <w:rsid w:val="003F176F"/>
    <w:rsid w:val="003F1A84"/>
    <w:rsid w:val="003F1C4D"/>
    <w:rsid w:val="003F1C71"/>
    <w:rsid w:val="003F1E0A"/>
    <w:rsid w:val="003F1E47"/>
    <w:rsid w:val="003F20CF"/>
    <w:rsid w:val="003F21DC"/>
    <w:rsid w:val="003F24A9"/>
    <w:rsid w:val="003F2548"/>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E5B"/>
    <w:rsid w:val="003F5317"/>
    <w:rsid w:val="003F5499"/>
    <w:rsid w:val="003F55D7"/>
    <w:rsid w:val="003F59BE"/>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EA"/>
    <w:rsid w:val="00405320"/>
    <w:rsid w:val="00406789"/>
    <w:rsid w:val="0040694B"/>
    <w:rsid w:val="004069A5"/>
    <w:rsid w:val="00406E5F"/>
    <w:rsid w:val="00406E67"/>
    <w:rsid w:val="004075E1"/>
    <w:rsid w:val="0040790A"/>
    <w:rsid w:val="0041002F"/>
    <w:rsid w:val="0041008C"/>
    <w:rsid w:val="00410090"/>
    <w:rsid w:val="0041033D"/>
    <w:rsid w:val="00410486"/>
    <w:rsid w:val="004104B1"/>
    <w:rsid w:val="004109F6"/>
    <w:rsid w:val="00411197"/>
    <w:rsid w:val="0041121B"/>
    <w:rsid w:val="00411D29"/>
    <w:rsid w:val="00411F18"/>
    <w:rsid w:val="00412254"/>
    <w:rsid w:val="00412424"/>
    <w:rsid w:val="004126F7"/>
    <w:rsid w:val="004128D5"/>
    <w:rsid w:val="004128E1"/>
    <w:rsid w:val="0041296D"/>
    <w:rsid w:val="004129A9"/>
    <w:rsid w:val="00412B27"/>
    <w:rsid w:val="00412C6B"/>
    <w:rsid w:val="0041315C"/>
    <w:rsid w:val="004131C4"/>
    <w:rsid w:val="004131D7"/>
    <w:rsid w:val="00413A78"/>
    <w:rsid w:val="00413F7D"/>
    <w:rsid w:val="0041406E"/>
    <w:rsid w:val="00414185"/>
    <w:rsid w:val="004142E8"/>
    <w:rsid w:val="00414317"/>
    <w:rsid w:val="00414487"/>
    <w:rsid w:val="004145E5"/>
    <w:rsid w:val="00414E5E"/>
    <w:rsid w:val="00414EF9"/>
    <w:rsid w:val="00415159"/>
    <w:rsid w:val="00415368"/>
    <w:rsid w:val="00415EBF"/>
    <w:rsid w:val="00415F7F"/>
    <w:rsid w:val="00416508"/>
    <w:rsid w:val="004168A5"/>
    <w:rsid w:val="00416ADE"/>
    <w:rsid w:val="00416CF6"/>
    <w:rsid w:val="0041730A"/>
    <w:rsid w:val="00417479"/>
    <w:rsid w:val="0041749D"/>
    <w:rsid w:val="0041766C"/>
    <w:rsid w:val="00417878"/>
    <w:rsid w:val="00417E57"/>
    <w:rsid w:val="0042005A"/>
    <w:rsid w:val="0042021D"/>
    <w:rsid w:val="004202C2"/>
    <w:rsid w:val="00420413"/>
    <w:rsid w:val="00420E2B"/>
    <w:rsid w:val="004213FE"/>
    <w:rsid w:val="00421AD0"/>
    <w:rsid w:val="00421D68"/>
    <w:rsid w:val="004221B8"/>
    <w:rsid w:val="004221DE"/>
    <w:rsid w:val="004225C2"/>
    <w:rsid w:val="00422708"/>
    <w:rsid w:val="00422F79"/>
    <w:rsid w:val="00423459"/>
    <w:rsid w:val="00423871"/>
    <w:rsid w:val="00423ACF"/>
    <w:rsid w:val="00423E07"/>
    <w:rsid w:val="00423FA7"/>
    <w:rsid w:val="0042414C"/>
    <w:rsid w:val="00424301"/>
    <w:rsid w:val="00424A72"/>
    <w:rsid w:val="00424B71"/>
    <w:rsid w:val="00425720"/>
    <w:rsid w:val="0042623C"/>
    <w:rsid w:val="004266D7"/>
    <w:rsid w:val="00426D27"/>
    <w:rsid w:val="0042778E"/>
    <w:rsid w:val="004277D0"/>
    <w:rsid w:val="00427BE4"/>
    <w:rsid w:val="00427BFE"/>
    <w:rsid w:val="00427F79"/>
    <w:rsid w:val="00430490"/>
    <w:rsid w:val="004304B2"/>
    <w:rsid w:val="00430623"/>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3E2"/>
    <w:rsid w:val="00433542"/>
    <w:rsid w:val="004336BB"/>
    <w:rsid w:val="00433745"/>
    <w:rsid w:val="004338A9"/>
    <w:rsid w:val="00433CC5"/>
    <w:rsid w:val="00433CD7"/>
    <w:rsid w:val="004345A1"/>
    <w:rsid w:val="00434B7C"/>
    <w:rsid w:val="00434C1B"/>
    <w:rsid w:val="00434D08"/>
    <w:rsid w:val="00434E3B"/>
    <w:rsid w:val="00435504"/>
    <w:rsid w:val="00435574"/>
    <w:rsid w:val="00435615"/>
    <w:rsid w:val="0043586A"/>
    <w:rsid w:val="00435D51"/>
    <w:rsid w:val="00436126"/>
    <w:rsid w:val="00436292"/>
    <w:rsid w:val="004364DB"/>
    <w:rsid w:val="004367BC"/>
    <w:rsid w:val="004368F3"/>
    <w:rsid w:val="004369B2"/>
    <w:rsid w:val="00437543"/>
    <w:rsid w:val="00437F1A"/>
    <w:rsid w:val="004403B8"/>
    <w:rsid w:val="004403C7"/>
    <w:rsid w:val="004404A4"/>
    <w:rsid w:val="00440AE9"/>
    <w:rsid w:val="00440EB1"/>
    <w:rsid w:val="0044155A"/>
    <w:rsid w:val="004415FF"/>
    <w:rsid w:val="00441878"/>
    <w:rsid w:val="00441EA1"/>
    <w:rsid w:val="004420CC"/>
    <w:rsid w:val="0044222E"/>
    <w:rsid w:val="004425B2"/>
    <w:rsid w:val="0044274D"/>
    <w:rsid w:val="00442C1C"/>
    <w:rsid w:val="0044322E"/>
    <w:rsid w:val="004433E1"/>
    <w:rsid w:val="0044382D"/>
    <w:rsid w:val="00443B27"/>
    <w:rsid w:val="00443BA0"/>
    <w:rsid w:val="00443BF4"/>
    <w:rsid w:val="00443CBD"/>
    <w:rsid w:val="004440C9"/>
    <w:rsid w:val="00444185"/>
    <w:rsid w:val="004442B0"/>
    <w:rsid w:val="004443B9"/>
    <w:rsid w:val="004443FE"/>
    <w:rsid w:val="0044459E"/>
    <w:rsid w:val="00444984"/>
    <w:rsid w:val="00444BB5"/>
    <w:rsid w:val="00445103"/>
    <w:rsid w:val="00445334"/>
    <w:rsid w:val="00445B4B"/>
    <w:rsid w:val="00445BB8"/>
    <w:rsid w:val="004462B7"/>
    <w:rsid w:val="0044644F"/>
    <w:rsid w:val="00446DFC"/>
    <w:rsid w:val="00446E51"/>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B9"/>
    <w:rsid w:val="004523BB"/>
    <w:rsid w:val="00452B1C"/>
    <w:rsid w:val="00452C4E"/>
    <w:rsid w:val="00452D8A"/>
    <w:rsid w:val="00452E76"/>
    <w:rsid w:val="00452E79"/>
    <w:rsid w:val="004537D3"/>
    <w:rsid w:val="00453849"/>
    <w:rsid w:val="00454004"/>
    <w:rsid w:val="00454044"/>
    <w:rsid w:val="0045416F"/>
    <w:rsid w:val="00454180"/>
    <w:rsid w:val="00454237"/>
    <w:rsid w:val="004543AB"/>
    <w:rsid w:val="004545E6"/>
    <w:rsid w:val="0045467F"/>
    <w:rsid w:val="00454748"/>
    <w:rsid w:val="00454999"/>
    <w:rsid w:val="00454D40"/>
    <w:rsid w:val="00455218"/>
    <w:rsid w:val="004553C9"/>
    <w:rsid w:val="00455F4D"/>
    <w:rsid w:val="00455F8B"/>
    <w:rsid w:val="004561C3"/>
    <w:rsid w:val="004561D0"/>
    <w:rsid w:val="00456275"/>
    <w:rsid w:val="00456432"/>
    <w:rsid w:val="00456546"/>
    <w:rsid w:val="00456552"/>
    <w:rsid w:val="004565DC"/>
    <w:rsid w:val="004566E0"/>
    <w:rsid w:val="0045695F"/>
    <w:rsid w:val="00456A21"/>
    <w:rsid w:val="00456AD9"/>
    <w:rsid w:val="0045727D"/>
    <w:rsid w:val="0045729F"/>
    <w:rsid w:val="004572EF"/>
    <w:rsid w:val="00457569"/>
    <w:rsid w:val="0045776B"/>
    <w:rsid w:val="004578E9"/>
    <w:rsid w:val="00457CC6"/>
    <w:rsid w:val="00457FA8"/>
    <w:rsid w:val="004600AE"/>
    <w:rsid w:val="0046100B"/>
    <w:rsid w:val="0046114C"/>
    <w:rsid w:val="004614BA"/>
    <w:rsid w:val="004617FE"/>
    <w:rsid w:val="00461A2C"/>
    <w:rsid w:val="00461B84"/>
    <w:rsid w:val="00461BBA"/>
    <w:rsid w:val="00461CBF"/>
    <w:rsid w:val="00462202"/>
    <w:rsid w:val="00462980"/>
    <w:rsid w:val="00462C8C"/>
    <w:rsid w:val="00462C91"/>
    <w:rsid w:val="00462CA7"/>
    <w:rsid w:val="00462FBB"/>
    <w:rsid w:val="004634F2"/>
    <w:rsid w:val="00463809"/>
    <w:rsid w:val="00463C2A"/>
    <w:rsid w:val="00463D98"/>
    <w:rsid w:val="00463E82"/>
    <w:rsid w:val="00463FEF"/>
    <w:rsid w:val="00464215"/>
    <w:rsid w:val="004642CC"/>
    <w:rsid w:val="004645CD"/>
    <w:rsid w:val="00464A73"/>
    <w:rsid w:val="00464BDA"/>
    <w:rsid w:val="00465346"/>
    <w:rsid w:val="004657BB"/>
    <w:rsid w:val="0046598B"/>
    <w:rsid w:val="00465D5E"/>
    <w:rsid w:val="00466119"/>
    <w:rsid w:val="004663D1"/>
    <w:rsid w:val="0046654A"/>
    <w:rsid w:val="00466AC0"/>
    <w:rsid w:val="00466E90"/>
    <w:rsid w:val="00466F9A"/>
    <w:rsid w:val="0046725A"/>
    <w:rsid w:val="00467314"/>
    <w:rsid w:val="004674A0"/>
    <w:rsid w:val="004676F8"/>
    <w:rsid w:val="0046780C"/>
    <w:rsid w:val="00467C35"/>
    <w:rsid w:val="00467CAB"/>
    <w:rsid w:val="00467EED"/>
    <w:rsid w:val="00467F7D"/>
    <w:rsid w:val="00470995"/>
    <w:rsid w:val="00470DF2"/>
    <w:rsid w:val="00470F7C"/>
    <w:rsid w:val="00471003"/>
    <w:rsid w:val="00471135"/>
    <w:rsid w:val="00471A3D"/>
    <w:rsid w:val="00471ACF"/>
    <w:rsid w:val="00471CCC"/>
    <w:rsid w:val="00471F43"/>
    <w:rsid w:val="00471F62"/>
    <w:rsid w:val="004724F8"/>
    <w:rsid w:val="00472A65"/>
    <w:rsid w:val="00473033"/>
    <w:rsid w:val="004734C1"/>
    <w:rsid w:val="004737ED"/>
    <w:rsid w:val="00473FD3"/>
    <w:rsid w:val="004746D4"/>
    <w:rsid w:val="00474728"/>
    <w:rsid w:val="00474CC9"/>
    <w:rsid w:val="00474D94"/>
    <w:rsid w:val="004752B0"/>
    <w:rsid w:val="00475736"/>
    <w:rsid w:val="004758A1"/>
    <w:rsid w:val="0047592E"/>
    <w:rsid w:val="00475CAB"/>
    <w:rsid w:val="00475CDD"/>
    <w:rsid w:val="0047643A"/>
    <w:rsid w:val="004765D4"/>
    <w:rsid w:val="00476896"/>
    <w:rsid w:val="00476900"/>
    <w:rsid w:val="00476C6F"/>
    <w:rsid w:val="00477679"/>
    <w:rsid w:val="00477767"/>
    <w:rsid w:val="00477847"/>
    <w:rsid w:val="004779FE"/>
    <w:rsid w:val="00477A15"/>
    <w:rsid w:val="00480265"/>
    <w:rsid w:val="00480404"/>
    <w:rsid w:val="0048078E"/>
    <w:rsid w:val="00480863"/>
    <w:rsid w:val="00480908"/>
    <w:rsid w:val="004809F0"/>
    <w:rsid w:val="0048100A"/>
    <w:rsid w:val="00481062"/>
    <w:rsid w:val="004811D9"/>
    <w:rsid w:val="00481351"/>
    <w:rsid w:val="00481510"/>
    <w:rsid w:val="0048158C"/>
    <w:rsid w:val="00481D30"/>
    <w:rsid w:val="00481D82"/>
    <w:rsid w:val="00481DAE"/>
    <w:rsid w:val="0048208F"/>
    <w:rsid w:val="004823BA"/>
    <w:rsid w:val="004823EA"/>
    <w:rsid w:val="00482701"/>
    <w:rsid w:val="00482AC0"/>
    <w:rsid w:val="00482AC9"/>
    <w:rsid w:val="00482BA8"/>
    <w:rsid w:val="00482C8E"/>
    <w:rsid w:val="00482D17"/>
    <w:rsid w:val="00482F38"/>
    <w:rsid w:val="004832B8"/>
    <w:rsid w:val="004833D8"/>
    <w:rsid w:val="00483433"/>
    <w:rsid w:val="00483467"/>
    <w:rsid w:val="00483D57"/>
    <w:rsid w:val="00483DE4"/>
    <w:rsid w:val="004841DE"/>
    <w:rsid w:val="004844D0"/>
    <w:rsid w:val="004847F8"/>
    <w:rsid w:val="004854F6"/>
    <w:rsid w:val="004856DD"/>
    <w:rsid w:val="00485AF8"/>
    <w:rsid w:val="00485B46"/>
    <w:rsid w:val="00485D70"/>
    <w:rsid w:val="00485E55"/>
    <w:rsid w:val="00485F85"/>
    <w:rsid w:val="004865B5"/>
    <w:rsid w:val="004865B8"/>
    <w:rsid w:val="004866BA"/>
    <w:rsid w:val="0048672D"/>
    <w:rsid w:val="0048673F"/>
    <w:rsid w:val="00486823"/>
    <w:rsid w:val="00486D86"/>
    <w:rsid w:val="004873AE"/>
    <w:rsid w:val="004877BE"/>
    <w:rsid w:val="0048796D"/>
    <w:rsid w:val="004879C9"/>
    <w:rsid w:val="0049011D"/>
    <w:rsid w:val="0049038A"/>
    <w:rsid w:val="004904BF"/>
    <w:rsid w:val="00490517"/>
    <w:rsid w:val="004907F5"/>
    <w:rsid w:val="00490980"/>
    <w:rsid w:val="0049098E"/>
    <w:rsid w:val="00490A26"/>
    <w:rsid w:val="00490D80"/>
    <w:rsid w:val="00491167"/>
    <w:rsid w:val="00491376"/>
    <w:rsid w:val="00491579"/>
    <w:rsid w:val="004918EA"/>
    <w:rsid w:val="00491B3F"/>
    <w:rsid w:val="00491E94"/>
    <w:rsid w:val="00492394"/>
    <w:rsid w:val="00492522"/>
    <w:rsid w:val="00492554"/>
    <w:rsid w:val="00492CED"/>
    <w:rsid w:val="00492F40"/>
    <w:rsid w:val="0049327D"/>
    <w:rsid w:val="00493363"/>
    <w:rsid w:val="004933B6"/>
    <w:rsid w:val="00493A08"/>
    <w:rsid w:val="00493ABA"/>
    <w:rsid w:val="00493D95"/>
    <w:rsid w:val="00493F9C"/>
    <w:rsid w:val="0049404D"/>
    <w:rsid w:val="00494104"/>
    <w:rsid w:val="00494134"/>
    <w:rsid w:val="00494B2B"/>
    <w:rsid w:val="004960C7"/>
    <w:rsid w:val="00496388"/>
    <w:rsid w:val="004964D8"/>
    <w:rsid w:val="004965D4"/>
    <w:rsid w:val="0049660D"/>
    <w:rsid w:val="00496CCB"/>
    <w:rsid w:val="00496D12"/>
    <w:rsid w:val="00496FC1"/>
    <w:rsid w:val="00497301"/>
    <w:rsid w:val="00497BE5"/>
    <w:rsid w:val="00497F8D"/>
    <w:rsid w:val="004A0469"/>
    <w:rsid w:val="004A0B8B"/>
    <w:rsid w:val="004A0F9E"/>
    <w:rsid w:val="004A0FB2"/>
    <w:rsid w:val="004A11CB"/>
    <w:rsid w:val="004A161F"/>
    <w:rsid w:val="004A19CE"/>
    <w:rsid w:val="004A1C46"/>
    <w:rsid w:val="004A1D39"/>
    <w:rsid w:val="004A1D3C"/>
    <w:rsid w:val="004A1EFB"/>
    <w:rsid w:val="004A1F61"/>
    <w:rsid w:val="004A243D"/>
    <w:rsid w:val="004A2498"/>
    <w:rsid w:val="004A26F9"/>
    <w:rsid w:val="004A2949"/>
    <w:rsid w:val="004A29F1"/>
    <w:rsid w:val="004A2BC5"/>
    <w:rsid w:val="004A2BFF"/>
    <w:rsid w:val="004A30A8"/>
    <w:rsid w:val="004A354F"/>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D4D"/>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E2B"/>
    <w:rsid w:val="004B1413"/>
    <w:rsid w:val="004B160C"/>
    <w:rsid w:val="004B16BB"/>
    <w:rsid w:val="004B19E4"/>
    <w:rsid w:val="004B1AA8"/>
    <w:rsid w:val="004B1BCB"/>
    <w:rsid w:val="004B241B"/>
    <w:rsid w:val="004B2719"/>
    <w:rsid w:val="004B2B68"/>
    <w:rsid w:val="004B2B84"/>
    <w:rsid w:val="004B2C7B"/>
    <w:rsid w:val="004B2D5A"/>
    <w:rsid w:val="004B3038"/>
    <w:rsid w:val="004B3370"/>
    <w:rsid w:val="004B3673"/>
    <w:rsid w:val="004B3A77"/>
    <w:rsid w:val="004B3F32"/>
    <w:rsid w:val="004B42A3"/>
    <w:rsid w:val="004B4370"/>
    <w:rsid w:val="004B447E"/>
    <w:rsid w:val="004B4505"/>
    <w:rsid w:val="004B464E"/>
    <w:rsid w:val="004B4721"/>
    <w:rsid w:val="004B4809"/>
    <w:rsid w:val="004B4E37"/>
    <w:rsid w:val="004B510F"/>
    <w:rsid w:val="004B52AF"/>
    <w:rsid w:val="004B547C"/>
    <w:rsid w:val="004B54A1"/>
    <w:rsid w:val="004B552B"/>
    <w:rsid w:val="004B5601"/>
    <w:rsid w:val="004B576E"/>
    <w:rsid w:val="004B5811"/>
    <w:rsid w:val="004B5E3B"/>
    <w:rsid w:val="004B5F19"/>
    <w:rsid w:val="004B5F82"/>
    <w:rsid w:val="004B5FEC"/>
    <w:rsid w:val="004B613A"/>
    <w:rsid w:val="004B61F8"/>
    <w:rsid w:val="004B667F"/>
    <w:rsid w:val="004B6C8E"/>
    <w:rsid w:val="004B6DDF"/>
    <w:rsid w:val="004B79BA"/>
    <w:rsid w:val="004B7DBD"/>
    <w:rsid w:val="004C04B3"/>
    <w:rsid w:val="004C0A60"/>
    <w:rsid w:val="004C0B5D"/>
    <w:rsid w:val="004C0B86"/>
    <w:rsid w:val="004C0F1B"/>
    <w:rsid w:val="004C1726"/>
    <w:rsid w:val="004C189C"/>
    <w:rsid w:val="004C1A6D"/>
    <w:rsid w:val="004C1D9F"/>
    <w:rsid w:val="004C1EDF"/>
    <w:rsid w:val="004C2178"/>
    <w:rsid w:val="004C2798"/>
    <w:rsid w:val="004C2BF9"/>
    <w:rsid w:val="004C2CA5"/>
    <w:rsid w:val="004C2CE3"/>
    <w:rsid w:val="004C2D87"/>
    <w:rsid w:val="004C2F7B"/>
    <w:rsid w:val="004C3584"/>
    <w:rsid w:val="004C3886"/>
    <w:rsid w:val="004C3B30"/>
    <w:rsid w:val="004C3B85"/>
    <w:rsid w:val="004C42F9"/>
    <w:rsid w:val="004C4652"/>
    <w:rsid w:val="004C4B77"/>
    <w:rsid w:val="004C4C45"/>
    <w:rsid w:val="004C4D56"/>
    <w:rsid w:val="004C4D8E"/>
    <w:rsid w:val="004C4DD0"/>
    <w:rsid w:val="004C5087"/>
    <w:rsid w:val="004C52E7"/>
    <w:rsid w:val="004C5429"/>
    <w:rsid w:val="004C5613"/>
    <w:rsid w:val="004C56B3"/>
    <w:rsid w:val="004C5A2C"/>
    <w:rsid w:val="004C5CC3"/>
    <w:rsid w:val="004C5DE5"/>
    <w:rsid w:val="004C5E61"/>
    <w:rsid w:val="004C609B"/>
    <w:rsid w:val="004C616B"/>
    <w:rsid w:val="004C675B"/>
    <w:rsid w:val="004C6877"/>
    <w:rsid w:val="004C7034"/>
    <w:rsid w:val="004C70F0"/>
    <w:rsid w:val="004C710A"/>
    <w:rsid w:val="004C725A"/>
    <w:rsid w:val="004C74D6"/>
    <w:rsid w:val="004C7B0F"/>
    <w:rsid w:val="004C7B94"/>
    <w:rsid w:val="004C7CE8"/>
    <w:rsid w:val="004C7DED"/>
    <w:rsid w:val="004D01CE"/>
    <w:rsid w:val="004D07DB"/>
    <w:rsid w:val="004D0E01"/>
    <w:rsid w:val="004D1369"/>
    <w:rsid w:val="004D14D4"/>
    <w:rsid w:val="004D1589"/>
    <w:rsid w:val="004D1743"/>
    <w:rsid w:val="004D1A46"/>
    <w:rsid w:val="004D1E45"/>
    <w:rsid w:val="004D1F0A"/>
    <w:rsid w:val="004D1F86"/>
    <w:rsid w:val="004D2F30"/>
    <w:rsid w:val="004D2F7B"/>
    <w:rsid w:val="004D3143"/>
    <w:rsid w:val="004D3420"/>
    <w:rsid w:val="004D34A0"/>
    <w:rsid w:val="004D360F"/>
    <w:rsid w:val="004D3846"/>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6380"/>
    <w:rsid w:val="004D644B"/>
    <w:rsid w:val="004D65F3"/>
    <w:rsid w:val="004D677C"/>
    <w:rsid w:val="004D686F"/>
    <w:rsid w:val="004D69E9"/>
    <w:rsid w:val="004D6FF2"/>
    <w:rsid w:val="004D71C6"/>
    <w:rsid w:val="004D7250"/>
    <w:rsid w:val="004D7320"/>
    <w:rsid w:val="004D7BD9"/>
    <w:rsid w:val="004D7F47"/>
    <w:rsid w:val="004E0257"/>
    <w:rsid w:val="004E0350"/>
    <w:rsid w:val="004E07EC"/>
    <w:rsid w:val="004E087A"/>
    <w:rsid w:val="004E0E68"/>
    <w:rsid w:val="004E1183"/>
    <w:rsid w:val="004E16D6"/>
    <w:rsid w:val="004E1AA6"/>
    <w:rsid w:val="004E1BBF"/>
    <w:rsid w:val="004E1F3F"/>
    <w:rsid w:val="004E2106"/>
    <w:rsid w:val="004E21CE"/>
    <w:rsid w:val="004E22EE"/>
    <w:rsid w:val="004E291D"/>
    <w:rsid w:val="004E2C9D"/>
    <w:rsid w:val="004E2ECB"/>
    <w:rsid w:val="004E314C"/>
    <w:rsid w:val="004E3436"/>
    <w:rsid w:val="004E38AE"/>
    <w:rsid w:val="004E3A50"/>
    <w:rsid w:val="004E3E1A"/>
    <w:rsid w:val="004E402F"/>
    <w:rsid w:val="004E416E"/>
    <w:rsid w:val="004E47F6"/>
    <w:rsid w:val="004E4F1D"/>
    <w:rsid w:val="004E503C"/>
    <w:rsid w:val="004E5212"/>
    <w:rsid w:val="004E538B"/>
    <w:rsid w:val="004E543B"/>
    <w:rsid w:val="004E55C8"/>
    <w:rsid w:val="004E5A3C"/>
    <w:rsid w:val="004E5A7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3E3"/>
    <w:rsid w:val="004F0518"/>
    <w:rsid w:val="004F05BE"/>
    <w:rsid w:val="004F0CE1"/>
    <w:rsid w:val="004F137B"/>
    <w:rsid w:val="004F1579"/>
    <w:rsid w:val="004F1C6E"/>
    <w:rsid w:val="004F1F0A"/>
    <w:rsid w:val="004F296D"/>
    <w:rsid w:val="004F2A84"/>
    <w:rsid w:val="004F2CFE"/>
    <w:rsid w:val="004F2D1C"/>
    <w:rsid w:val="004F305B"/>
    <w:rsid w:val="004F30E8"/>
    <w:rsid w:val="004F361B"/>
    <w:rsid w:val="004F3637"/>
    <w:rsid w:val="004F398D"/>
    <w:rsid w:val="004F3A0C"/>
    <w:rsid w:val="004F3B8C"/>
    <w:rsid w:val="004F3DD4"/>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6FD8"/>
    <w:rsid w:val="004F702E"/>
    <w:rsid w:val="004F75FF"/>
    <w:rsid w:val="004F7922"/>
    <w:rsid w:val="004F79A1"/>
    <w:rsid w:val="004F7B32"/>
    <w:rsid w:val="004F7B72"/>
    <w:rsid w:val="004F7CEC"/>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5821"/>
    <w:rsid w:val="00505BD3"/>
    <w:rsid w:val="0050608C"/>
    <w:rsid w:val="0050640C"/>
    <w:rsid w:val="005067E2"/>
    <w:rsid w:val="005069A9"/>
    <w:rsid w:val="00506AD1"/>
    <w:rsid w:val="00507421"/>
    <w:rsid w:val="00507772"/>
    <w:rsid w:val="0051043F"/>
    <w:rsid w:val="005105C2"/>
    <w:rsid w:val="00510880"/>
    <w:rsid w:val="00510AD7"/>
    <w:rsid w:val="00510B28"/>
    <w:rsid w:val="00510C78"/>
    <w:rsid w:val="00510EC8"/>
    <w:rsid w:val="0051180B"/>
    <w:rsid w:val="00511B15"/>
    <w:rsid w:val="00511E2F"/>
    <w:rsid w:val="00511E6C"/>
    <w:rsid w:val="00511FA9"/>
    <w:rsid w:val="005125B7"/>
    <w:rsid w:val="00512F0B"/>
    <w:rsid w:val="00512F69"/>
    <w:rsid w:val="00513604"/>
    <w:rsid w:val="005136AA"/>
    <w:rsid w:val="005144DF"/>
    <w:rsid w:val="005146FE"/>
    <w:rsid w:val="00514A03"/>
    <w:rsid w:val="00514C9D"/>
    <w:rsid w:val="00514EE9"/>
    <w:rsid w:val="00515132"/>
    <w:rsid w:val="005153B3"/>
    <w:rsid w:val="00515401"/>
    <w:rsid w:val="0051559A"/>
    <w:rsid w:val="00515771"/>
    <w:rsid w:val="005159BD"/>
    <w:rsid w:val="00515A17"/>
    <w:rsid w:val="00515E6D"/>
    <w:rsid w:val="005162F0"/>
    <w:rsid w:val="005163FF"/>
    <w:rsid w:val="00516CEF"/>
    <w:rsid w:val="00517543"/>
    <w:rsid w:val="00517B0F"/>
    <w:rsid w:val="00517B72"/>
    <w:rsid w:val="00517C95"/>
    <w:rsid w:val="00517CD5"/>
    <w:rsid w:val="00517ED4"/>
    <w:rsid w:val="00520791"/>
    <w:rsid w:val="00520C87"/>
    <w:rsid w:val="00520EF5"/>
    <w:rsid w:val="00520F24"/>
    <w:rsid w:val="00520F97"/>
    <w:rsid w:val="00521645"/>
    <w:rsid w:val="00521B60"/>
    <w:rsid w:val="00521D67"/>
    <w:rsid w:val="00521E8F"/>
    <w:rsid w:val="00522484"/>
    <w:rsid w:val="005224B4"/>
    <w:rsid w:val="005226BD"/>
    <w:rsid w:val="00522D79"/>
    <w:rsid w:val="00522F1B"/>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1D4"/>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4B"/>
    <w:rsid w:val="00533B53"/>
    <w:rsid w:val="00533DBF"/>
    <w:rsid w:val="00533DFB"/>
    <w:rsid w:val="00534067"/>
    <w:rsid w:val="0053429C"/>
    <w:rsid w:val="00534DC5"/>
    <w:rsid w:val="00535458"/>
    <w:rsid w:val="00535A0F"/>
    <w:rsid w:val="00535A14"/>
    <w:rsid w:val="00535A48"/>
    <w:rsid w:val="00535B02"/>
    <w:rsid w:val="00535BD5"/>
    <w:rsid w:val="0053619F"/>
    <w:rsid w:val="005363C6"/>
    <w:rsid w:val="00536A82"/>
    <w:rsid w:val="00536F41"/>
    <w:rsid w:val="0053700C"/>
    <w:rsid w:val="00537223"/>
    <w:rsid w:val="00537663"/>
    <w:rsid w:val="00537A0C"/>
    <w:rsid w:val="00537CFC"/>
    <w:rsid w:val="00537EC7"/>
    <w:rsid w:val="00540089"/>
    <w:rsid w:val="00540113"/>
    <w:rsid w:val="005404BC"/>
    <w:rsid w:val="0054066B"/>
    <w:rsid w:val="00540A32"/>
    <w:rsid w:val="00540CA2"/>
    <w:rsid w:val="00540F0B"/>
    <w:rsid w:val="00541013"/>
    <w:rsid w:val="00541249"/>
    <w:rsid w:val="0054137B"/>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4FF"/>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7391"/>
    <w:rsid w:val="00547426"/>
    <w:rsid w:val="00547784"/>
    <w:rsid w:val="005501DA"/>
    <w:rsid w:val="00550231"/>
    <w:rsid w:val="00550292"/>
    <w:rsid w:val="00550706"/>
    <w:rsid w:val="005507D5"/>
    <w:rsid w:val="005508A9"/>
    <w:rsid w:val="00550CC4"/>
    <w:rsid w:val="00550D26"/>
    <w:rsid w:val="0055116A"/>
    <w:rsid w:val="00551614"/>
    <w:rsid w:val="00551709"/>
    <w:rsid w:val="00551B90"/>
    <w:rsid w:val="00551C49"/>
    <w:rsid w:val="00552964"/>
    <w:rsid w:val="00552A13"/>
    <w:rsid w:val="0055301D"/>
    <w:rsid w:val="0055354E"/>
    <w:rsid w:val="005539F7"/>
    <w:rsid w:val="00553EF8"/>
    <w:rsid w:val="0055415A"/>
    <w:rsid w:val="00554468"/>
    <w:rsid w:val="00554554"/>
    <w:rsid w:val="00554993"/>
    <w:rsid w:val="00554B29"/>
    <w:rsid w:val="00554B7C"/>
    <w:rsid w:val="00554D2F"/>
    <w:rsid w:val="0055509D"/>
    <w:rsid w:val="00555258"/>
    <w:rsid w:val="00555917"/>
    <w:rsid w:val="00556058"/>
    <w:rsid w:val="00556428"/>
    <w:rsid w:val="005566B0"/>
    <w:rsid w:val="0055670B"/>
    <w:rsid w:val="00556AEB"/>
    <w:rsid w:val="00557D91"/>
    <w:rsid w:val="00560254"/>
    <w:rsid w:val="00560293"/>
    <w:rsid w:val="0056039F"/>
    <w:rsid w:val="0056040B"/>
    <w:rsid w:val="005606FA"/>
    <w:rsid w:val="00560864"/>
    <w:rsid w:val="00560A1A"/>
    <w:rsid w:val="00560A4C"/>
    <w:rsid w:val="00560AC9"/>
    <w:rsid w:val="00560F4B"/>
    <w:rsid w:val="00561161"/>
    <w:rsid w:val="00561379"/>
    <w:rsid w:val="0056159D"/>
    <w:rsid w:val="005620AC"/>
    <w:rsid w:val="0056259C"/>
    <w:rsid w:val="005628AE"/>
    <w:rsid w:val="00562B80"/>
    <w:rsid w:val="00562BD7"/>
    <w:rsid w:val="0056356F"/>
    <w:rsid w:val="005635FA"/>
    <w:rsid w:val="00563662"/>
    <w:rsid w:val="005636FB"/>
    <w:rsid w:val="00563749"/>
    <w:rsid w:val="00563B51"/>
    <w:rsid w:val="00563E78"/>
    <w:rsid w:val="0056401D"/>
    <w:rsid w:val="005646B9"/>
    <w:rsid w:val="005646C8"/>
    <w:rsid w:val="005647FC"/>
    <w:rsid w:val="00564800"/>
    <w:rsid w:val="00564D93"/>
    <w:rsid w:val="005650E7"/>
    <w:rsid w:val="0056516F"/>
    <w:rsid w:val="005654C5"/>
    <w:rsid w:val="00565687"/>
    <w:rsid w:val="0056568C"/>
    <w:rsid w:val="00565B17"/>
    <w:rsid w:val="00565D6C"/>
    <w:rsid w:val="00565DC5"/>
    <w:rsid w:val="00565F0A"/>
    <w:rsid w:val="0056634F"/>
    <w:rsid w:val="005663D4"/>
    <w:rsid w:val="005664F2"/>
    <w:rsid w:val="005666EB"/>
    <w:rsid w:val="005668CF"/>
    <w:rsid w:val="00566990"/>
    <w:rsid w:val="00566B10"/>
    <w:rsid w:val="0056763D"/>
    <w:rsid w:val="00567D7B"/>
    <w:rsid w:val="00570621"/>
    <w:rsid w:val="00571010"/>
    <w:rsid w:val="00571011"/>
    <w:rsid w:val="0057105D"/>
    <w:rsid w:val="00571074"/>
    <w:rsid w:val="0057118A"/>
    <w:rsid w:val="005711E9"/>
    <w:rsid w:val="0057124F"/>
    <w:rsid w:val="00571883"/>
    <w:rsid w:val="0057196E"/>
    <w:rsid w:val="00571A8A"/>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A31"/>
    <w:rsid w:val="00574A56"/>
    <w:rsid w:val="005754B5"/>
    <w:rsid w:val="00575952"/>
    <w:rsid w:val="00575A9C"/>
    <w:rsid w:val="00575C19"/>
    <w:rsid w:val="00576178"/>
    <w:rsid w:val="0057625F"/>
    <w:rsid w:val="00576AAD"/>
    <w:rsid w:val="00576C7B"/>
    <w:rsid w:val="00576CD8"/>
    <w:rsid w:val="00576D8D"/>
    <w:rsid w:val="00576FD0"/>
    <w:rsid w:val="00577073"/>
    <w:rsid w:val="0057734F"/>
    <w:rsid w:val="005777E7"/>
    <w:rsid w:val="00577CFC"/>
    <w:rsid w:val="00580059"/>
    <w:rsid w:val="00580104"/>
    <w:rsid w:val="00580350"/>
    <w:rsid w:val="00580387"/>
    <w:rsid w:val="005806FF"/>
    <w:rsid w:val="00580C6A"/>
    <w:rsid w:val="00581313"/>
    <w:rsid w:val="005813C1"/>
    <w:rsid w:val="005814FA"/>
    <w:rsid w:val="00581892"/>
    <w:rsid w:val="00581D96"/>
    <w:rsid w:val="00581EF3"/>
    <w:rsid w:val="0058227C"/>
    <w:rsid w:val="00582328"/>
    <w:rsid w:val="00582380"/>
    <w:rsid w:val="005823E6"/>
    <w:rsid w:val="0058300C"/>
    <w:rsid w:val="005831DD"/>
    <w:rsid w:val="005833B0"/>
    <w:rsid w:val="005834E3"/>
    <w:rsid w:val="0058365B"/>
    <w:rsid w:val="00583A49"/>
    <w:rsid w:val="00583F6B"/>
    <w:rsid w:val="00583FAC"/>
    <w:rsid w:val="005841C4"/>
    <w:rsid w:val="0058481A"/>
    <w:rsid w:val="0058527B"/>
    <w:rsid w:val="0058540A"/>
    <w:rsid w:val="005856EB"/>
    <w:rsid w:val="00585E80"/>
    <w:rsid w:val="00585F04"/>
    <w:rsid w:val="005860B4"/>
    <w:rsid w:val="00586431"/>
    <w:rsid w:val="00586562"/>
    <w:rsid w:val="005865CD"/>
    <w:rsid w:val="005866DB"/>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1318"/>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691"/>
    <w:rsid w:val="005977D6"/>
    <w:rsid w:val="00597950"/>
    <w:rsid w:val="00597C95"/>
    <w:rsid w:val="00597D27"/>
    <w:rsid w:val="00597F0D"/>
    <w:rsid w:val="005A0484"/>
    <w:rsid w:val="005A049E"/>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3F1B"/>
    <w:rsid w:val="005A4338"/>
    <w:rsid w:val="005A4391"/>
    <w:rsid w:val="005A4596"/>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B08"/>
    <w:rsid w:val="005A6EA2"/>
    <w:rsid w:val="005A7001"/>
    <w:rsid w:val="005A722B"/>
    <w:rsid w:val="005A728D"/>
    <w:rsid w:val="005A7845"/>
    <w:rsid w:val="005A798D"/>
    <w:rsid w:val="005A7998"/>
    <w:rsid w:val="005B0076"/>
    <w:rsid w:val="005B00F4"/>
    <w:rsid w:val="005B022A"/>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392"/>
    <w:rsid w:val="005B3B36"/>
    <w:rsid w:val="005B3D09"/>
    <w:rsid w:val="005B4357"/>
    <w:rsid w:val="005B4595"/>
    <w:rsid w:val="005B46AC"/>
    <w:rsid w:val="005B47B1"/>
    <w:rsid w:val="005B4A1D"/>
    <w:rsid w:val="005B4E35"/>
    <w:rsid w:val="005B508C"/>
    <w:rsid w:val="005B520F"/>
    <w:rsid w:val="005B54B8"/>
    <w:rsid w:val="005B56CA"/>
    <w:rsid w:val="005B574B"/>
    <w:rsid w:val="005B593A"/>
    <w:rsid w:val="005B5D32"/>
    <w:rsid w:val="005B60A3"/>
    <w:rsid w:val="005B63B3"/>
    <w:rsid w:val="005B648A"/>
    <w:rsid w:val="005B66C4"/>
    <w:rsid w:val="005B6F6E"/>
    <w:rsid w:val="005B76AB"/>
    <w:rsid w:val="005B777F"/>
    <w:rsid w:val="005B77A8"/>
    <w:rsid w:val="005B7AB7"/>
    <w:rsid w:val="005B7ABE"/>
    <w:rsid w:val="005B7D12"/>
    <w:rsid w:val="005B7D2C"/>
    <w:rsid w:val="005B7F98"/>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4AB"/>
    <w:rsid w:val="005C26A0"/>
    <w:rsid w:val="005C2F90"/>
    <w:rsid w:val="005C30C0"/>
    <w:rsid w:val="005C373E"/>
    <w:rsid w:val="005C388A"/>
    <w:rsid w:val="005C3EB1"/>
    <w:rsid w:val="005C4146"/>
    <w:rsid w:val="005C4421"/>
    <w:rsid w:val="005C4574"/>
    <w:rsid w:val="005C4B8E"/>
    <w:rsid w:val="005C560C"/>
    <w:rsid w:val="005C58D2"/>
    <w:rsid w:val="005C59E2"/>
    <w:rsid w:val="005C5AA0"/>
    <w:rsid w:val="005C5DCD"/>
    <w:rsid w:val="005C63E6"/>
    <w:rsid w:val="005C6408"/>
    <w:rsid w:val="005C6B06"/>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ACC"/>
    <w:rsid w:val="005D1AF9"/>
    <w:rsid w:val="005D1AFF"/>
    <w:rsid w:val="005D2096"/>
    <w:rsid w:val="005D20D5"/>
    <w:rsid w:val="005D2968"/>
    <w:rsid w:val="005D2B49"/>
    <w:rsid w:val="005D2D5A"/>
    <w:rsid w:val="005D347F"/>
    <w:rsid w:val="005D35E9"/>
    <w:rsid w:val="005D3627"/>
    <w:rsid w:val="005D3727"/>
    <w:rsid w:val="005D3760"/>
    <w:rsid w:val="005D37FF"/>
    <w:rsid w:val="005D38C2"/>
    <w:rsid w:val="005D3CAE"/>
    <w:rsid w:val="005D3F14"/>
    <w:rsid w:val="005D40D9"/>
    <w:rsid w:val="005D448A"/>
    <w:rsid w:val="005D44D2"/>
    <w:rsid w:val="005D48F1"/>
    <w:rsid w:val="005D49C2"/>
    <w:rsid w:val="005D4A23"/>
    <w:rsid w:val="005D4C96"/>
    <w:rsid w:val="005D4E35"/>
    <w:rsid w:val="005D4E74"/>
    <w:rsid w:val="005D500A"/>
    <w:rsid w:val="005D504B"/>
    <w:rsid w:val="005D508D"/>
    <w:rsid w:val="005D55F4"/>
    <w:rsid w:val="005D5A8F"/>
    <w:rsid w:val="005D5C75"/>
    <w:rsid w:val="005D6028"/>
    <w:rsid w:val="005D6097"/>
    <w:rsid w:val="005D629E"/>
    <w:rsid w:val="005D6303"/>
    <w:rsid w:val="005D6959"/>
    <w:rsid w:val="005D7830"/>
    <w:rsid w:val="005D7A13"/>
    <w:rsid w:val="005D7CF0"/>
    <w:rsid w:val="005D7ED0"/>
    <w:rsid w:val="005E00EF"/>
    <w:rsid w:val="005E0397"/>
    <w:rsid w:val="005E05AF"/>
    <w:rsid w:val="005E078A"/>
    <w:rsid w:val="005E0816"/>
    <w:rsid w:val="005E0C03"/>
    <w:rsid w:val="005E0EAB"/>
    <w:rsid w:val="005E1218"/>
    <w:rsid w:val="005E1268"/>
    <w:rsid w:val="005E1473"/>
    <w:rsid w:val="005E14FE"/>
    <w:rsid w:val="005E1D24"/>
    <w:rsid w:val="005E1F1A"/>
    <w:rsid w:val="005E2234"/>
    <w:rsid w:val="005E22FE"/>
    <w:rsid w:val="005E246A"/>
    <w:rsid w:val="005E253C"/>
    <w:rsid w:val="005E28E9"/>
    <w:rsid w:val="005E292D"/>
    <w:rsid w:val="005E2BD8"/>
    <w:rsid w:val="005E3094"/>
    <w:rsid w:val="005E3116"/>
    <w:rsid w:val="005E3223"/>
    <w:rsid w:val="005E3369"/>
    <w:rsid w:val="005E3377"/>
    <w:rsid w:val="005E34BF"/>
    <w:rsid w:val="005E34D7"/>
    <w:rsid w:val="005E37F0"/>
    <w:rsid w:val="005E3C9C"/>
    <w:rsid w:val="005E3DD9"/>
    <w:rsid w:val="005E415F"/>
    <w:rsid w:val="005E441D"/>
    <w:rsid w:val="005E459F"/>
    <w:rsid w:val="005E45CC"/>
    <w:rsid w:val="005E46F4"/>
    <w:rsid w:val="005E4CB4"/>
    <w:rsid w:val="005E4F92"/>
    <w:rsid w:val="005E4FDF"/>
    <w:rsid w:val="005E5265"/>
    <w:rsid w:val="005E553E"/>
    <w:rsid w:val="005E5659"/>
    <w:rsid w:val="005E5EF1"/>
    <w:rsid w:val="005E6B99"/>
    <w:rsid w:val="005E6E8D"/>
    <w:rsid w:val="005E71D5"/>
    <w:rsid w:val="005E7213"/>
    <w:rsid w:val="005E7457"/>
    <w:rsid w:val="005E766B"/>
    <w:rsid w:val="005E7766"/>
    <w:rsid w:val="005E7850"/>
    <w:rsid w:val="005E78BA"/>
    <w:rsid w:val="005E7B9F"/>
    <w:rsid w:val="005E7E47"/>
    <w:rsid w:val="005F02C3"/>
    <w:rsid w:val="005F0661"/>
    <w:rsid w:val="005F0662"/>
    <w:rsid w:val="005F0666"/>
    <w:rsid w:val="005F076F"/>
    <w:rsid w:val="005F08DF"/>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4BB"/>
    <w:rsid w:val="005F2CA4"/>
    <w:rsid w:val="005F2CE3"/>
    <w:rsid w:val="005F2F33"/>
    <w:rsid w:val="005F3113"/>
    <w:rsid w:val="005F33EB"/>
    <w:rsid w:val="005F363D"/>
    <w:rsid w:val="005F3EF1"/>
    <w:rsid w:val="005F3F06"/>
    <w:rsid w:val="005F42B5"/>
    <w:rsid w:val="005F43E6"/>
    <w:rsid w:val="005F4623"/>
    <w:rsid w:val="005F4724"/>
    <w:rsid w:val="005F476F"/>
    <w:rsid w:val="005F4D23"/>
    <w:rsid w:val="005F4F4D"/>
    <w:rsid w:val="005F4F7B"/>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0E9"/>
    <w:rsid w:val="0060145C"/>
    <w:rsid w:val="00601A06"/>
    <w:rsid w:val="00601A7B"/>
    <w:rsid w:val="00601C14"/>
    <w:rsid w:val="00601E12"/>
    <w:rsid w:val="00602593"/>
    <w:rsid w:val="00602760"/>
    <w:rsid w:val="00602A0F"/>
    <w:rsid w:val="00602A69"/>
    <w:rsid w:val="00602E7B"/>
    <w:rsid w:val="006034EF"/>
    <w:rsid w:val="00603A13"/>
    <w:rsid w:val="00603A99"/>
    <w:rsid w:val="00603C83"/>
    <w:rsid w:val="00603E8B"/>
    <w:rsid w:val="00603EF4"/>
    <w:rsid w:val="00604186"/>
    <w:rsid w:val="0060479F"/>
    <w:rsid w:val="00604855"/>
    <w:rsid w:val="00604A71"/>
    <w:rsid w:val="0060507F"/>
    <w:rsid w:val="00605113"/>
    <w:rsid w:val="00605359"/>
    <w:rsid w:val="00605F37"/>
    <w:rsid w:val="006063E8"/>
    <w:rsid w:val="00606531"/>
    <w:rsid w:val="00606657"/>
    <w:rsid w:val="00606D26"/>
    <w:rsid w:val="0060719C"/>
    <w:rsid w:val="006071ED"/>
    <w:rsid w:val="00607445"/>
    <w:rsid w:val="00607832"/>
    <w:rsid w:val="00607A7C"/>
    <w:rsid w:val="00607AF4"/>
    <w:rsid w:val="00607B94"/>
    <w:rsid w:val="006103BB"/>
    <w:rsid w:val="00610513"/>
    <w:rsid w:val="00610525"/>
    <w:rsid w:val="006108B1"/>
    <w:rsid w:val="00610BAD"/>
    <w:rsid w:val="00610F2D"/>
    <w:rsid w:val="00611193"/>
    <w:rsid w:val="00611F1C"/>
    <w:rsid w:val="006121C9"/>
    <w:rsid w:val="0061231D"/>
    <w:rsid w:val="00612330"/>
    <w:rsid w:val="0061239E"/>
    <w:rsid w:val="0061249B"/>
    <w:rsid w:val="006125AE"/>
    <w:rsid w:val="00612714"/>
    <w:rsid w:val="00612798"/>
    <w:rsid w:val="00612B1F"/>
    <w:rsid w:val="00612C43"/>
    <w:rsid w:val="0061308D"/>
    <w:rsid w:val="0061331F"/>
    <w:rsid w:val="0061335F"/>
    <w:rsid w:val="006138AD"/>
    <w:rsid w:val="00613B45"/>
    <w:rsid w:val="00613CB2"/>
    <w:rsid w:val="00613ECF"/>
    <w:rsid w:val="006146F3"/>
    <w:rsid w:val="0061496A"/>
    <w:rsid w:val="00614D7F"/>
    <w:rsid w:val="006150A9"/>
    <w:rsid w:val="00615498"/>
    <w:rsid w:val="00615929"/>
    <w:rsid w:val="00615979"/>
    <w:rsid w:val="00615991"/>
    <w:rsid w:val="00615FC1"/>
    <w:rsid w:val="006161CD"/>
    <w:rsid w:val="006162F2"/>
    <w:rsid w:val="0061644E"/>
    <w:rsid w:val="006164B4"/>
    <w:rsid w:val="006169B8"/>
    <w:rsid w:val="00616BCC"/>
    <w:rsid w:val="00616D11"/>
    <w:rsid w:val="00616D4A"/>
    <w:rsid w:val="00616DB3"/>
    <w:rsid w:val="00616DC8"/>
    <w:rsid w:val="00616EB5"/>
    <w:rsid w:val="00617489"/>
    <w:rsid w:val="00617750"/>
    <w:rsid w:val="0062064D"/>
    <w:rsid w:val="0062071A"/>
    <w:rsid w:val="00620F3A"/>
    <w:rsid w:val="0062175F"/>
    <w:rsid w:val="006219C9"/>
    <w:rsid w:val="00621A04"/>
    <w:rsid w:val="006221B5"/>
    <w:rsid w:val="006221B7"/>
    <w:rsid w:val="00622425"/>
    <w:rsid w:val="00622488"/>
    <w:rsid w:val="00622865"/>
    <w:rsid w:val="0062289A"/>
    <w:rsid w:val="00622CCC"/>
    <w:rsid w:val="00622D11"/>
    <w:rsid w:val="00622E61"/>
    <w:rsid w:val="00622F16"/>
    <w:rsid w:val="0062344E"/>
    <w:rsid w:val="00623A0C"/>
    <w:rsid w:val="00623CC6"/>
    <w:rsid w:val="00623CD3"/>
    <w:rsid w:val="00624307"/>
    <w:rsid w:val="00624467"/>
    <w:rsid w:val="00624BDA"/>
    <w:rsid w:val="00624D5C"/>
    <w:rsid w:val="00624DE1"/>
    <w:rsid w:val="006252B7"/>
    <w:rsid w:val="006254E1"/>
    <w:rsid w:val="00625566"/>
    <w:rsid w:val="0062596E"/>
    <w:rsid w:val="00625973"/>
    <w:rsid w:val="00625AB8"/>
    <w:rsid w:val="00625AF5"/>
    <w:rsid w:val="00625CDB"/>
    <w:rsid w:val="00625DC5"/>
    <w:rsid w:val="00625EC3"/>
    <w:rsid w:val="006263D6"/>
    <w:rsid w:val="00626831"/>
    <w:rsid w:val="00626DD3"/>
    <w:rsid w:val="00626E82"/>
    <w:rsid w:val="00626FA8"/>
    <w:rsid w:val="0062734D"/>
    <w:rsid w:val="006274CB"/>
    <w:rsid w:val="006278A5"/>
    <w:rsid w:val="00627A1F"/>
    <w:rsid w:val="00627B7E"/>
    <w:rsid w:val="00627BC2"/>
    <w:rsid w:val="00627D32"/>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22E9"/>
    <w:rsid w:val="00632C6A"/>
    <w:rsid w:val="00633051"/>
    <w:rsid w:val="00633168"/>
    <w:rsid w:val="006334D3"/>
    <w:rsid w:val="006335F5"/>
    <w:rsid w:val="00633A6C"/>
    <w:rsid w:val="00633D63"/>
    <w:rsid w:val="00633FA1"/>
    <w:rsid w:val="0063445A"/>
    <w:rsid w:val="00634595"/>
    <w:rsid w:val="00634B7A"/>
    <w:rsid w:val="00634BCA"/>
    <w:rsid w:val="00635001"/>
    <w:rsid w:val="00635046"/>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612"/>
    <w:rsid w:val="00637921"/>
    <w:rsid w:val="00637E0C"/>
    <w:rsid w:val="00637F39"/>
    <w:rsid w:val="00640135"/>
    <w:rsid w:val="0064026D"/>
    <w:rsid w:val="006402AC"/>
    <w:rsid w:val="00640300"/>
    <w:rsid w:val="00640460"/>
    <w:rsid w:val="006405E9"/>
    <w:rsid w:val="0064085A"/>
    <w:rsid w:val="00640C11"/>
    <w:rsid w:val="00640C89"/>
    <w:rsid w:val="00640CCD"/>
    <w:rsid w:val="00640F2E"/>
    <w:rsid w:val="00641027"/>
    <w:rsid w:val="006412F8"/>
    <w:rsid w:val="00641883"/>
    <w:rsid w:val="00641AEE"/>
    <w:rsid w:val="00641EA0"/>
    <w:rsid w:val="006423FF"/>
    <w:rsid w:val="00642495"/>
    <w:rsid w:val="00642B8E"/>
    <w:rsid w:val="00642D98"/>
    <w:rsid w:val="006430BE"/>
    <w:rsid w:val="006432F6"/>
    <w:rsid w:val="00643535"/>
    <w:rsid w:val="006435AF"/>
    <w:rsid w:val="00643C40"/>
    <w:rsid w:val="00643F65"/>
    <w:rsid w:val="006440AC"/>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869"/>
    <w:rsid w:val="0064694B"/>
    <w:rsid w:val="006469C2"/>
    <w:rsid w:val="00646E96"/>
    <w:rsid w:val="00646EA8"/>
    <w:rsid w:val="006471DE"/>
    <w:rsid w:val="0064729B"/>
    <w:rsid w:val="00647313"/>
    <w:rsid w:val="0064738D"/>
    <w:rsid w:val="00647DF3"/>
    <w:rsid w:val="00650812"/>
    <w:rsid w:val="00650951"/>
    <w:rsid w:val="006510B4"/>
    <w:rsid w:val="006510BC"/>
    <w:rsid w:val="0065155B"/>
    <w:rsid w:val="0065238B"/>
    <w:rsid w:val="006524B0"/>
    <w:rsid w:val="00652A0B"/>
    <w:rsid w:val="00652A8E"/>
    <w:rsid w:val="00652E14"/>
    <w:rsid w:val="00652F92"/>
    <w:rsid w:val="0065336F"/>
    <w:rsid w:val="0065347B"/>
    <w:rsid w:val="0065354E"/>
    <w:rsid w:val="00653845"/>
    <w:rsid w:val="00653BC5"/>
    <w:rsid w:val="0065448F"/>
    <w:rsid w:val="006545E0"/>
    <w:rsid w:val="006549F0"/>
    <w:rsid w:val="00654A33"/>
    <w:rsid w:val="00654D66"/>
    <w:rsid w:val="00655279"/>
    <w:rsid w:val="00655347"/>
    <w:rsid w:val="0065555F"/>
    <w:rsid w:val="00655BFD"/>
    <w:rsid w:val="00655CD3"/>
    <w:rsid w:val="00655F4D"/>
    <w:rsid w:val="00655FFF"/>
    <w:rsid w:val="006560A7"/>
    <w:rsid w:val="006561C5"/>
    <w:rsid w:val="006562D8"/>
    <w:rsid w:val="0065630B"/>
    <w:rsid w:val="00656642"/>
    <w:rsid w:val="0065678D"/>
    <w:rsid w:val="0065680F"/>
    <w:rsid w:val="00656929"/>
    <w:rsid w:val="00656C23"/>
    <w:rsid w:val="006579E2"/>
    <w:rsid w:val="00657A55"/>
    <w:rsid w:val="00660502"/>
    <w:rsid w:val="00660A43"/>
    <w:rsid w:val="006612D6"/>
    <w:rsid w:val="0066154B"/>
    <w:rsid w:val="00661631"/>
    <w:rsid w:val="00661BE1"/>
    <w:rsid w:val="00661E60"/>
    <w:rsid w:val="006625CF"/>
    <w:rsid w:val="00662645"/>
    <w:rsid w:val="006626B2"/>
    <w:rsid w:val="00662754"/>
    <w:rsid w:val="0066282B"/>
    <w:rsid w:val="006630FE"/>
    <w:rsid w:val="0066362C"/>
    <w:rsid w:val="00663AEE"/>
    <w:rsid w:val="00663B38"/>
    <w:rsid w:val="00663B67"/>
    <w:rsid w:val="00663B8F"/>
    <w:rsid w:val="00663C39"/>
    <w:rsid w:val="00663D10"/>
    <w:rsid w:val="00663EB3"/>
    <w:rsid w:val="006641ED"/>
    <w:rsid w:val="0066490C"/>
    <w:rsid w:val="00664D46"/>
    <w:rsid w:val="006657BE"/>
    <w:rsid w:val="0066607B"/>
    <w:rsid w:val="006664A1"/>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4E3"/>
    <w:rsid w:val="0067269E"/>
    <w:rsid w:val="006729D7"/>
    <w:rsid w:val="00673345"/>
    <w:rsid w:val="00673387"/>
    <w:rsid w:val="006733BA"/>
    <w:rsid w:val="0067369C"/>
    <w:rsid w:val="00673817"/>
    <w:rsid w:val="00673859"/>
    <w:rsid w:val="00673871"/>
    <w:rsid w:val="00673BEA"/>
    <w:rsid w:val="00673D5E"/>
    <w:rsid w:val="00674346"/>
    <w:rsid w:val="00674A15"/>
    <w:rsid w:val="00674B08"/>
    <w:rsid w:val="0067524A"/>
    <w:rsid w:val="00675531"/>
    <w:rsid w:val="00675C3F"/>
    <w:rsid w:val="0067612E"/>
    <w:rsid w:val="00676B63"/>
    <w:rsid w:val="00676C0A"/>
    <w:rsid w:val="00676EC3"/>
    <w:rsid w:val="00676F3B"/>
    <w:rsid w:val="006770E8"/>
    <w:rsid w:val="00677111"/>
    <w:rsid w:val="0067745C"/>
    <w:rsid w:val="00677555"/>
    <w:rsid w:val="00677646"/>
    <w:rsid w:val="0067775F"/>
    <w:rsid w:val="00677994"/>
    <w:rsid w:val="00677A45"/>
    <w:rsid w:val="00677FDC"/>
    <w:rsid w:val="0068018D"/>
    <w:rsid w:val="006801FC"/>
    <w:rsid w:val="00680BED"/>
    <w:rsid w:val="00680C48"/>
    <w:rsid w:val="00680ECC"/>
    <w:rsid w:val="00681122"/>
    <w:rsid w:val="0068121F"/>
    <w:rsid w:val="0068152C"/>
    <w:rsid w:val="00681A83"/>
    <w:rsid w:val="00682284"/>
    <w:rsid w:val="0068258A"/>
    <w:rsid w:val="0068282C"/>
    <w:rsid w:val="006829B0"/>
    <w:rsid w:val="006829BA"/>
    <w:rsid w:val="006829E1"/>
    <w:rsid w:val="00682C0E"/>
    <w:rsid w:val="00683669"/>
    <w:rsid w:val="00683787"/>
    <w:rsid w:val="00683860"/>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EB7"/>
    <w:rsid w:val="006914AE"/>
    <w:rsid w:val="00691606"/>
    <w:rsid w:val="006919DA"/>
    <w:rsid w:val="00691BC3"/>
    <w:rsid w:val="00691C40"/>
    <w:rsid w:val="00691E4A"/>
    <w:rsid w:val="00692024"/>
    <w:rsid w:val="0069207E"/>
    <w:rsid w:val="00692140"/>
    <w:rsid w:val="006922E6"/>
    <w:rsid w:val="00692469"/>
    <w:rsid w:val="006925C7"/>
    <w:rsid w:val="00692945"/>
    <w:rsid w:val="00692C54"/>
    <w:rsid w:val="00693062"/>
    <w:rsid w:val="00693363"/>
    <w:rsid w:val="00693A2D"/>
    <w:rsid w:val="00693BED"/>
    <w:rsid w:val="00694099"/>
    <w:rsid w:val="006944FF"/>
    <w:rsid w:val="006949A9"/>
    <w:rsid w:val="00694E49"/>
    <w:rsid w:val="0069513C"/>
    <w:rsid w:val="00695338"/>
    <w:rsid w:val="0069539A"/>
    <w:rsid w:val="006954E6"/>
    <w:rsid w:val="00695601"/>
    <w:rsid w:val="00695D0C"/>
    <w:rsid w:val="0069629A"/>
    <w:rsid w:val="00696432"/>
    <w:rsid w:val="00696885"/>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EFC"/>
    <w:rsid w:val="006A302E"/>
    <w:rsid w:val="006A30D8"/>
    <w:rsid w:val="006A343E"/>
    <w:rsid w:val="006A35EB"/>
    <w:rsid w:val="006A365B"/>
    <w:rsid w:val="006A389D"/>
    <w:rsid w:val="006A3A0D"/>
    <w:rsid w:val="006A41B8"/>
    <w:rsid w:val="006A4635"/>
    <w:rsid w:val="006A4A1D"/>
    <w:rsid w:val="006A4ED3"/>
    <w:rsid w:val="006A5149"/>
    <w:rsid w:val="006A527F"/>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FFB"/>
    <w:rsid w:val="006B1006"/>
    <w:rsid w:val="006B11E4"/>
    <w:rsid w:val="006B1233"/>
    <w:rsid w:val="006B193A"/>
    <w:rsid w:val="006B1CAD"/>
    <w:rsid w:val="006B1D4F"/>
    <w:rsid w:val="006B22D3"/>
    <w:rsid w:val="006B2355"/>
    <w:rsid w:val="006B24A1"/>
    <w:rsid w:val="006B25C8"/>
    <w:rsid w:val="006B2698"/>
    <w:rsid w:val="006B2F8D"/>
    <w:rsid w:val="006B3002"/>
    <w:rsid w:val="006B3343"/>
    <w:rsid w:val="006B3421"/>
    <w:rsid w:val="006B3668"/>
    <w:rsid w:val="006B4A7E"/>
    <w:rsid w:val="006B59F2"/>
    <w:rsid w:val="006B5ABB"/>
    <w:rsid w:val="006B5F12"/>
    <w:rsid w:val="006B5FF2"/>
    <w:rsid w:val="006B60A6"/>
    <w:rsid w:val="006B6317"/>
    <w:rsid w:val="006B6857"/>
    <w:rsid w:val="006B6861"/>
    <w:rsid w:val="006B69C6"/>
    <w:rsid w:val="006B705C"/>
    <w:rsid w:val="006B7151"/>
    <w:rsid w:val="006B731B"/>
    <w:rsid w:val="006B77AA"/>
    <w:rsid w:val="006B7E26"/>
    <w:rsid w:val="006B7F45"/>
    <w:rsid w:val="006C0097"/>
    <w:rsid w:val="006C0326"/>
    <w:rsid w:val="006C08FB"/>
    <w:rsid w:val="006C0E7F"/>
    <w:rsid w:val="006C158C"/>
    <w:rsid w:val="006C19CD"/>
    <w:rsid w:val="006C1A7F"/>
    <w:rsid w:val="006C1FD5"/>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7085"/>
    <w:rsid w:val="006C7345"/>
    <w:rsid w:val="006C75FF"/>
    <w:rsid w:val="006C7772"/>
    <w:rsid w:val="006C7DA6"/>
    <w:rsid w:val="006C7E0C"/>
    <w:rsid w:val="006C7E29"/>
    <w:rsid w:val="006D0367"/>
    <w:rsid w:val="006D0472"/>
    <w:rsid w:val="006D05B1"/>
    <w:rsid w:val="006D07AA"/>
    <w:rsid w:val="006D0A33"/>
    <w:rsid w:val="006D0AA9"/>
    <w:rsid w:val="006D128A"/>
    <w:rsid w:val="006D167E"/>
    <w:rsid w:val="006D1B7B"/>
    <w:rsid w:val="006D1FE2"/>
    <w:rsid w:val="006D223A"/>
    <w:rsid w:val="006D2241"/>
    <w:rsid w:val="006D234E"/>
    <w:rsid w:val="006D24E3"/>
    <w:rsid w:val="006D294C"/>
    <w:rsid w:val="006D2C60"/>
    <w:rsid w:val="006D2D24"/>
    <w:rsid w:val="006D2D31"/>
    <w:rsid w:val="006D2D7F"/>
    <w:rsid w:val="006D32DE"/>
    <w:rsid w:val="006D3644"/>
    <w:rsid w:val="006D37EA"/>
    <w:rsid w:val="006D393A"/>
    <w:rsid w:val="006D3C2A"/>
    <w:rsid w:val="006D3E7D"/>
    <w:rsid w:val="006D3F05"/>
    <w:rsid w:val="006D417C"/>
    <w:rsid w:val="006D4790"/>
    <w:rsid w:val="006D47F8"/>
    <w:rsid w:val="006D49BC"/>
    <w:rsid w:val="006D49E2"/>
    <w:rsid w:val="006D4B15"/>
    <w:rsid w:val="006D4B32"/>
    <w:rsid w:val="006D54C4"/>
    <w:rsid w:val="006D54C6"/>
    <w:rsid w:val="006D54F5"/>
    <w:rsid w:val="006D556F"/>
    <w:rsid w:val="006D5673"/>
    <w:rsid w:val="006D5C2F"/>
    <w:rsid w:val="006D6138"/>
    <w:rsid w:val="006D65FC"/>
    <w:rsid w:val="006D661B"/>
    <w:rsid w:val="006D6A41"/>
    <w:rsid w:val="006D6B0B"/>
    <w:rsid w:val="006D6FB0"/>
    <w:rsid w:val="006D6FBD"/>
    <w:rsid w:val="006D70B2"/>
    <w:rsid w:val="006D7272"/>
    <w:rsid w:val="006D73AA"/>
    <w:rsid w:val="006D759A"/>
    <w:rsid w:val="006D76AF"/>
    <w:rsid w:val="006D786D"/>
    <w:rsid w:val="006D7ABF"/>
    <w:rsid w:val="006D7BA5"/>
    <w:rsid w:val="006D7C34"/>
    <w:rsid w:val="006D7E08"/>
    <w:rsid w:val="006E03BD"/>
    <w:rsid w:val="006E0452"/>
    <w:rsid w:val="006E07D6"/>
    <w:rsid w:val="006E0CD9"/>
    <w:rsid w:val="006E1084"/>
    <w:rsid w:val="006E18E5"/>
    <w:rsid w:val="006E1943"/>
    <w:rsid w:val="006E1A24"/>
    <w:rsid w:val="006E1BC5"/>
    <w:rsid w:val="006E1F3F"/>
    <w:rsid w:val="006E210F"/>
    <w:rsid w:val="006E21CD"/>
    <w:rsid w:val="006E24C6"/>
    <w:rsid w:val="006E2BBE"/>
    <w:rsid w:val="006E2C71"/>
    <w:rsid w:val="006E2ED1"/>
    <w:rsid w:val="006E38ED"/>
    <w:rsid w:val="006E3950"/>
    <w:rsid w:val="006E3BA4"/>
    <w:rsid w:val="006E3C89"/>
    <w:rsid w:val="006E3E2A"/>
    <w:rsid w:val="006E4300"/>
    <w:rsid w:val="006E4351"/>
    <w:rsid w:val="006E4449"/>
    <w:rsid w:val="006E451C"/>
    <w:rsid w:val="006E4C7C"/>
    <w:rsid w:val="006E50B7"/>
    <w:rsid w:val="006E53DC"/>
    <w:rsid w:val="006E5669"/>
    <w:rsid w:val="006E56EE"/>
    <w:rsid w:val="006E573E"/>
    <w:rsid w:val="006E5EA5"/>
    <w:rsid w:val="006E5F39"/>
    <w:rsid w:val="006E61EE"/>
    <w:rsid w:val="006E6219"/>
    <w:rsid w:val="006E62C2"/>
    <w:rsid w:val="006E64C2"/>
    <w:rsid w:val="006E6C51"/>
    <w:rsid w:val="006E6CEB"/>
    <w:rsid w:val="006E6E72"/>
    <w:rsid w:val="006E7075"/>
    <w:rsid w:val="006E7694"/>
    <w:rsid w:val="006E7937"/>
    <w:rsid w:val="006E79DC"/>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527"/>
    <w:rsid w:val="006F27C4"/>
    <w:rsid w:val="006F2CB0"/>
    <w:rsid w:val="006F2E69"/>
    <w:rsid w:val="006F2E90"/>
    <w:rsid w:val="006F306D"/>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DF8"/>
    <w:rsid w:val="006F700F"/>
    <w:rsid w:val="006F704E"/>
    <w:rsid w:val="00700101"/>
    <w:rsid w:val="007002F0"/>
    <w:rsid w:val="007006BC"/>
    <w:rsid w:val="00700746"/>
    <w:rsid w:val="007008A6"/>
    <w:rsid w:val="00700C0F"/>
    <w:rsid w:val="00700E15"/>
    <w:rsid w:val="00700E66"/>
    <w:rsid w:val="00700F07"/>
    <w:rsid w:val="007016E4"/>
    <w:rsid w:val="0070202A"/>
    <w:rsid w:val="00702148"/>
    <w:rsid w:val="00702205"/>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C0E"/>
    <w:rsid w:val="00704DAB"/>
    <w:rsid w:val="00705041"/>
    <w:rsid w:val="007052DC"/>
    <w:rsid w:val="007053E9"/>
    <w:rsid w:val="007054D2"/>
    <w:rsid w:val="00705838"/>
    <w:rsid w:val="00705864"/>
    <w:rsid w:val="00705D01"/>
    <w:rsid w:val="00705D0D"/>
    <w:rsid w:val="00705D6C"/>
    <w:rsid w:val="00705E5F"/>
    <w:rsid w:val="00705E99"/>
    <w:rsid w:val="00705F25"/>
    <w:rsid w:val="007060CD"/>
    <w:rsid w:val="007065E9"/>
    <w:rsid w:val="007067CC"/>
    <w:rsid w:val="0070685E"/>
    <w:rsid w:val="00706B76"/>
    <w:rsid w:val="00707C63"/>
    <w:rsid w:val="00707E64"/>
    <w:rsid w:val="00707EF8"/>
    <w:rsid w:val="0071003C"/>
    <w:rsid w:val="007106BE"/>
    <w:rsid w:val="00710F57"/>
    <w:rsid w:val="00711217"/>
    <w:rsid w:val="007121C7"/>
    <w:rsid w:val="007123F5"/>
    <w:rsid w:val="00712592"/>
    <w:rsid w:val="00712686"/>
    <w:rsid w:val="0071283C"/>
    <w:rsid w:val="00712FE9"/>
    <w:rsid w:val="00713237"/>
    <w:rsid w:val="007133D8"/>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BC0"/>
    <w:rsid w:val="00717C2E"/>
    <w:rsid w:val="00717D51"/>
    <w:rsid w:val="00717F6C"/>
    <w:rsid w:val="00720524"/>
    <w:rsid w:val="00720904"/>
    <w:rsid w:val="00721008"/>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B2"/>
    <w:rsid w:val="00723095"/>
    <w:rsid w:val="0072318D"/>
    <w:rsid w:val="00723585"/>
    <w:rsid w:val="007235CC"/>
    <w:rsid w:val="007236BF"/>
    <w:rsid w:val="007237D7"/>
    <w:rsid w:val="007237F2"/>
    <w:rsid w:val="00723E1A"/>
    <w:rsid w:val="0072421B"/>
    <w:rsid w:val="0072457F"/>
    <w:rsid w:val="00724EB1"/>
    <w:rsid w:val="007252B2"/>
    <w:rsid w:val="00725631"/>
    <w:rsid w:val="0072568D"/>
    <w:rsid w:val="0072576D"/>
    <w:rsid w:val="00725791"/>
    <w:rsid w:val="00725ABF"/>
    <w:rsid w:val="00725B2B"/>
    <w:rsid w:val="00726288"/>
    <w:rsid w:val="0072699A"/>
    <w:rsid w:val="00726A0D"/>
    <w:rsid w:val="00726A1D"/>
    <w:rsid w:val="00726AC7"/>
    <w:rsid w:val="00727967"/>
    <w:rsid w:val="00727B66"/>
    <w:rsid w:val="00727D88"/>
    <w:rsid w:val="007301F9"/>
    <w:rsid w:val="00730D07"/>
    <w:rsid w:val="00730DEB"/>
    <w:rsid w:val="00731357"/>
    <w:rsid w:val="0073141C"/>
    <w:rsid w:val="00731910"/>
    <w:rsid w:val="00731F06"/>
    <w:rsid w:val="007323E1"/>
    <w:rsid w:val="0073245D"/>
    <w:rsid w:val="00732A2E"/>
    <w:rsid w:val="00732B3A"/>
    <w:rsid w:val="00732B6F"/>
    <w:rsid w:val="00732C95"/>
    <w:rsid w:val="00732E28"/>
    <w:rsid w:val="00732F90"/>
    <w:rsid w:val="007336ED"/>
    <w:rsid w:val="007338C1"/>
    <w:rsid w:val="00733C79"/>
    <w:rsid w:val="0073411F"/>
    <w:rsid w:val="0073439E"/>
    <w:rsid w:val="0073440B"/>
    <w:rsid w:val="007344B0"/>
    <w:rsid w:val="0073460A"/>
    <w:rsid w:val="00734907"/>
    <w:rsid w:val="00734A9C"/>
    <w:rsid w:val="00734F2E"/>
    <w:rsid w:val="0073514B"/>
    <w:rsid w:val="00735168"/>
    <w:rsid w:val="0073524F"/>
    <w:rsid w:val="00735258"/>
    <w:rsid w:val="00735A33"/>
    <w:rsid w:val="00735A45"/>
    <w:rsid w:val="00735E1F"/>
    <w:rsid w:val="007365BE"/>
    <w:rsid w:val="00736780"/>
    <w:rsid w:val="00736AC4"/>
    <w:rsid w:val="00736D11"/>
    <w:rsid w:val="00736DDC"/>
    <w:rsid w:val="00737162"/>
    <w:rsid w:val="007372DA"/>
    <w:rsid w:val="00737531"/>
    <w:rsid w:val="007377F3"/>
    <w:rsid w:val="007379E7"/>
    <w:rsid w:val="00737AB9"/>
    <w:rsid w:val="00737B10"/>
    <w:rsid w:val="007405A1"/>
    <w:rsid w:val="00740AF4"/>
    <w:rsid w:val="00740DC5"/>
    <w:rsid w:val="00740F38"/>
    <w:rsid w:val="007413BA"/>
    <w:rsid w:val="007418ED"/>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940"/>
    <w:rsid w:val="00746BED"/>
    <w:rsid w:val="00747300"/>
    <w:rsid w:val="007475BC"/>
    <w:rsid w:val="007475C9"/>
    <w:rsid w:val="007477EA"/>
    <w:rsid w:val="00747816"/>
    <w:rsid w:val="00747ADD"/>
    <w:rsid w:val="00747D0C"/>
    <w:rsid w:val="00747FA3"/>
    <w:rsid w:val="0075018A"/>
    <w:rsid w:val="00750393"/>
    <w:rsid w:val="00750497"/>
    <w:rsid w:val="007506B6"/>
    <w:rsid w:val="007507D0"/>
    <w:rsid w:val="00750838"/>
    <w:rsid w:val="00750B21"/>
    <w:rsid w:val="00751084"/>
    <w:rsid w:val="0075117F"/>
    <w:rsid w:val="00751485"/>
    <w:rsid w:val="00751486"/>
    <w:rsid w:val="00751D1B"/>
    <w:rsid w:val="00752613"/>
    <w:rsid w:val="00752786"/>
    <w:rsid w:val="007528AB"/>
    <w:rsid w:val="00752B34"/>
    <w:rsid w:val="00752C17"/>
    <w:rsid w:val="0075325B"/>
    <w:rsid w:val="007535AE"/>
    <w:rsid w:val="00753BC6"/>
    <w:rsid w:val="00753DDE"/>
    <w:rsid w:val="00754414"/>
    <w:rsid w:val="00754686"/>
    <w:rsid w:val="007548A2"/>
    <w:rsid w:val="007548FA"/>
    <w:rsid w:val="00754D79"/>
    <w:rsid w:val="00754F2D"/>
    <w:rsid w:val="00754F5D"/>
    <w:rsid w:val="0075526E"/>
    <w:rsid w:val="007554BE"/>
    <w:rsid w:val="007554CD"/>
    <w:rsid w:val="007555FC"/>
    <w:rsid w:val="00755B1B"/>
    <w:rsid w:val="00755D14"/>
    <w:rsid w:val="00755EEF"/>
    <w:rsid w:val="007561CE"/>
    <w:rsid w:val="0075624C"/>
    <w:rsid w:val="0075639F"/>
    <w:rsid w:val="007565D1"/>
    <w:rsid w:val="007568BE"/>
    <w:rsid w:val="00756D7D"/>
    <w:rsid w:val="00756DA2"/>
    <w:rsid w:val="007572D8"/>
    <w:rsid w:val="007573B1"/>
    <w:rsid w:val="00757678"/>
    <w:rsid w:val="00757731"/>
    <w:rsid w:val="00757E75"/>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58C"/>
    <w:rsid w:val="007708BC"/>
    <w:rsid w:val="00770FF0"/>
    <w:rsid w:val="0077122C"/>
    <w:rsid w:val="00771271"/>
    <w:rsid w:val="007713B6"/>
    <w:rsid w:val="00771494"/>
    <w:rsid w:val="007716C9"/>
    <w:rsid w:val="00771827"/>
    <w:rsid w:val="00771884"/>
    <w:rsid w:val="00771DC4"/>
    <w:rsid w:val="00771E08"/>
    <w:rsid w:val="0077210B"/>
    <w:rsid w:val="00772923"/>
    <w:rsid w:val="00772930"/>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DE5"/>
    <w:rsid w:val="00774F6C"/>
    <w:rsid w:val="00775551"/>
    <w:rsid w:val="007755D8"/>
    <w:rsid w:val="00775790"/>
    <w:rsid w:val="00775D38"/>
    <w:rsid w:val="00775DAB"/>
    <w:rsid w:val="007763C7"/>
    <w:rsid w:val="00776488"/>
    <w:rsid w:val="007769CD"/>
    <w:rsid w:val="00776A1C"/>
    <w:rsid w:val="00776D8A"/>
    <w:rsid w:val="00777069"/>
    <w:rsid w:val="007773A9"/>
    <w:rsid w:val="007773C9"/>
    <w:rsid w:val="00777411"/>
    <w:rsid w:val="00777634"/>
    <w:rsid w:val="00777B2F"/>
    <w:rsid w:val="00777BD9"/>
    <w:rsid w:val="00777C2C"/>
    <w:rsid w:val="00780432"/>
    <w:rsid w:val="007805BE"/>
    <w:rsid w:val="007807E4"/>
    <w:rsid w:val="00780E03"/>
    <w:rsid w:val="00780F56"/>
    <w:rsid w:val="007813B0"/>
    <w:rsid w:val="0078148E"/>
    <w:rsid w:val="0078172B"/>
    <w:rsid w:val="007818D3"/>
    <w:rsid w:val="00781B19"/>
    <w:rsid w:val="00781BC4"/>
    <w:rsid w:val="00781C75"/>
    <w:rsid w:val="00782514"/>
    <w:rsid w:val="00782776"/>
    <w:rsid w:val="007827B8"/>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3A"/>
    <w:rsid w:val="00786803"/>
    <w:rsid w:val="00786884"/>
    <w:rsid w:val="007868B8"/>
    <w:rsid w:val="00786AE2"/>
    <w:rsid w:val="00786CFA"/>
    <w:rsid w:val="00786D45"/>
    <w:rsid w:val="00787538"/>
    <w:rsid w:val="007875B3"/>
    <w:rsid w:val="00787683"/>
    <w:rsid w:val="0079008E"/>
    <w:rsid w:val="00790489"/>
    <w:rsid w:val="00790A3E"/>
    <w:rsid w:val="00791565"/>
    <w:rsid w:val="0079177B"/>
    <w:rsid w:val="007917C5"/>
    <w:rsid w:val="00791A2B"/>
    <w:rsid w:val="0079209D"/>
    <w:rsid w:val="00792111"/>
    <w:rsid w:val="00792184"/>
    <w:rsid w:val="00792533"/>
    <w:rsid w:val="0079257B"/>
    <w:rsid w:val="007926B8"/>
    <w:rsid w:val="007927BD"/>
    <w:rsid w:val="007927EB"/>
    <w:rsid w:val="00792928"/>
    <w:rsid w:val="00793035"/>
    <w:rsid w:val="00793342"/>
    <w:rsid w:val="00793650"/>
    <w:rsid w:val="007937EA"/>
    <w:rsid w:val="00793D66"/>
    <w:rsid w:val="00793DB4"/>
    <w:rsid w:val="00793F12"/>
    <w:rsid w:val="007940A1"/>
    <w:rsid w:val="007945D5"/>
    <w:rsid w:val="00794A0E"/>
    <w:rsid w:val="00794ABA"/>
    <w:rsid w:val="00794ABF"/>
    <w:rsid w:val="00794DEC"/>
    <w:rsid w:val="00794EA2"/>
    <w:rsid w:val="00794FE2"/>
    <w:rsid w:val="007951A6"/>
    <w:rsid w:val="007951F0"/>
    <w:rsid w:val="007954D9"/>
    <w:rsid w:val="00795674"/>
    <w:rsid w:val="00795B5F"/>
    <w:rsid w:val="00795D9C"/>
    <w:rsid w:val="00795DFF"/>
    <w:rsid w:val="00796083"/>
    <w:rsid w:val="00796407"/>
    <w:rsid w:val="007964D9"/>
    <w:rsid w:val="0079673F"/>
    <w:rsid w:val="00796758"/>
    <w:rsid w:val="00796C8A"/>
    <w:rsid w:val="00797287"/>
    <w:rsid w:val="0079770C"/>
    <w:rsid w:val="007977B3"/>
    <w:rsid w:val="00797C60"/>
    <w:rsid w:val="00797DE9"/>
    <w:rsid w:val="007A0439"/>
    <w:rsid w:val="007A050A"/>
    <w:rsid w:val="007A05D2"/>
    <w:rsid w:val="007A07C4"/>
    <w:rsid w:val="007A0E46"/>
    <w:rsid w:val="007A0F90"/>
    <w:rsid w:val="007A121F"/>
    <w:rsid w:val="007A136F"/>
    <w:rsid w:val="007A152B"/>
    <w:rsid w:val="007A155B"/>
    <w:rsid w:val="007A168D"/>
    <w:rsid w:val="007A16EA"/>
    <w:rsid w:val="007A1B3F"/>
    <w:rsid w:val="007A1E50"/>
    <w:rsid w:val="007A22A1"/>
    <w:rsid w:val="007A24C1"/>
    <w:rsid w:val="007A26DE"/>
    <w:rsid w:val="007A2B75"/>
    <w:rsid w:val="007A2BDC"/>
    <w:rsid w:val="007A2C2D"/>
    <w:rsid w:val="007A2E52"/>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DCB"/>
    <w:rsid w:val="007A4E1E"/>
    <w:rsid w:val="007A51B8"/>
    <w:rsid w:val="007A572C"/>
    <w:rsid w:val="007A5A34"/>
    <w:rsid w:val="007A5BA2"/>
    <w:rsid w:val="007A5FCE"/>
    <w:rsid w:val="007A610D"/>
    <w:rsid w:val="007A6463"/>
    <w:rsid w:val="007A6507"/>
    <w:rsid w:val="007A68F4"/>
    <w:rsid w:val="007A6A11"/>
    <w:rsid w:val="007A6A8B"/>
    <w:rsid w:val="007A6BB7"/>
    <w:rsid w:val="007A6D16"/>
    <w:rsid w:val="007A6E6B"/>
    <w:rsid w:val="007A6F95"/>
    <w:rsid w:val="007A7210"/>
    <w:rsid w:val="007A73E3"/>
    <w:rsid w:val="007A7545"/>
    <w:rsid w:val="007A77CC"/>
    <w:rsid w:val="007A7C01"/>
    <w:rsid w:val="007A7E28"/>
    <w:rsid w:val="007A7F58"/>
    <w:rsid w:val="007B02B6"/>
    <w:rsid w:val="007B09C1"/>
    <w:rsid w:val="007B0C68"/>
    <w:rsid w:val="007B0D32"/>
    <w:rsid w:val="007B0D82"/>
    <w:rsid w:val="007B1155"/>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DCF"/>
    <w:rsid w:val="007B6FE3"/>
    <w:rsid w:val="007B700A"/>
    <w:rsid w:val="007B718A"/>
    <w:rsid w:val="007B736B"/>
    <w:rsid w:val="007B73F4"/>
    <w:rsid w:val="007B749E"/>
    <w:rsid w:val="007B7517"/>
    <w:rsid w:val="007B76AA"/>
    <w:rsid w:val="007B786D"/>
    <w:rsid w:val="007B7B17"/>
    <w:rsid w:val="007B7B74"/>
    <w:rsid w:val="007B7FAA"/>
    <w:rsid w:val="007C06A2"/>
    <w:rsid w:val="007C07BA"/>
    <w:rsid w:val="007C0910"/>
    <w:rsid w:val="007C09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6BF"/>
    <w:rsid w:val="007C3787"/>
    <w:rsid w:val="007C379B"/>
    <w:rsid w:val="007C3CA3"/>
    <w:rsid w:val="007C3D62"/>
    <w:rsid w:val="007C405D"/>
    <w:rsid w:val="007C4101"/>
    <w:rsid w:val="007C4105"/>
    <w:rsid w:val="007C433F"/>
    <w:rsid w:val="007C438C"/>
    <w:rsid w:val="007C47A2"/>
    <w:rsid w:val="007C49B1"/>
    <w:rsid w:val="007C5029"/>
    <w:rsid w:val="007C52EB"/>
    <w:rsid w:val="007C58E6"/>
    <w:rsid w:val="007C5D06"/>
    <w:rsid w:val="007C5F7D"/>
    <w:rsid w:val="007C6069"/>
    <w:rsid w:val="007C6C33"/>
    <w:rsid w:val="007C6EDD"/>
    <w:rsid w:val="007C6FA4"/>
    <w:rsid w:val="007C726B"/>
    <w:rsid w:val="007C72D3"/>
    <w:rsid w:val="007C750C"/>
    <w:rsid w:val="007C77DD"/>
    <w:rsid w:val="007C7CF7"/>
    <w:rsid w:val="007C7D9B"/>
    <w:rsid w:val="007D0338"/>
    <w:rsid w:val="007D0449"/>
    <w:rsid w:val="007D06A8"/>
    <w:rsid w:val="007D07D2"/>
    <w:rsid w:val="007D0A5D"/>
    <w:rsid w:val="007D0A95"/>
    <w:rsid w:val="007D123C"/>
    <w:rsid w:val="007D16A8"/>
    <w:rsid w:val="007D18D6"/>
    <w:rsid w:val="007D1B48"/>
    <w:rsid w:val="007D1BC0"/>
    <w:rsid w:val="007D1EBB"/>
    <w:rsid w:val="007D1F03"/>
    <w:rsid w:val="007D2A32"/>
    <w:rsid w:val="007D2A81"/>
    <w:rsid w:val="007D2A84"/>
    <w:rsid w:val="007D2B08"/>
    <w:rsid w:val="007D2E63"/>
    <w:rsid w:val="007D323C"/>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9BE"/>
    <w:rsid w:val="007D6AF2"/>
    <w:rsid w:val="007D6C38"/>
    <w:rsid w:val="007D6C9B"/>
    <w:rsid w:val="007D6CF1"/>
    <w:rsid w:val="007D6F47"/>
    <w:rsid w:val="007D6F62"/>
    <w:rsid w:val="007D701D"/>
    <w:rsid w:val="007D7162"/>
    <w:rsid w:val="007D7607"/>
    <w:rsid w:val="007D78C1"/>
    <w:rsid w:val="007D7C93"/>
    <w:rsid w:val="007D7FC2"/>
    <w:rsid w:val="007E03AE"/>
    <w:rsid w:val="007E050C"/>
    <w:rsid w:val="007E088E"/>
    <w:rsid w:val="007E08D4"/>
    <w:rsid w:val="007E0C0E"/>
    <w:rsid w:val="007E0C5D"/>
    <w:rsid w:val="007E0D43"/>
    <w:rsid w:val="007E0FEF"/>
    <w:rsid w:val="007E11A3"/>
    <w:rsid w:val="007E153A"/>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320"/>
    <w:rsid w:val="007E5680"/>
    <w:rsid w:val="007E5700"/>
    <w:rsid w:val="007E5704"/>
    <w:rsid w:val="007E59A3"/>
    <w:rsid w:val="007E6080"/>
    <w:rsid w:val="007E6481"/>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D1A"/>
    <w:rsid w:val="007F1D80"/>
    <w:rsid w:val="007F1E84"/>
    <w:rsid w:val="007F1EA8"/>
    <w:rsid w:val="007F1F70"/>
    <w:rsid w:val="007F209E"/>
    <w:rsid w:val="007F227D"/>
    <w:rsid w:val="007F22D3"/>
    <w:rsid w:val="007F2D71"/>
    <w:rsid w:val="007F3430"/>
    <w:rsid w:val="007F34BE"/>
    <w:rsid w:val="007F3580"/>
    <w:rsid w:val="007F3770"/>
    <w:rsid w:val="007F3CB1"/>
    <w:rsid w:val="007F3EC4"/>
    <w:rsid w:val="007F4036"/>
    <w:rsid w:val="007F4120"/>
    <w:rsid w:val="007F43CF"/>
    <w:rsid w:val="007F4E89"/>
    <w:rsid w:val="007F5152"/>
    <w:rsid w:val="007F5168"/>
    <w:rsid w:val="007F5625"/>
    <w:rsid w:val="007F5938"/>
    <w:rsid w:val="007F5ABA"/>
    <w:rsid w:val="007F5B78"/>
    <w:rsid w:val="007F5C32"/>
    <w:rsid w:val="007F5DEA"/>
    <w:rsid w:val="007F5FB3"/>
    <w:rsid w:val="007F6116"/>
    <w:rsid w:val="007F671C"/>
    <w:rsid w:val="007F6720"/>
    <w:rsid w:val="007F6845"/>
    <w:rsid w:val="007F68CC"/>
    <w:rsid w:val="007F6A77"/>
    <w:rsid w:val="007F6B6D"/>
    <w:rsid w:val="007F6BB4"/>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7B5"/>
    <w:rsid w:val="00801C72"/>
    <w:rsid w:val="00802040"/>
    <w:rsid w:val="008020D0"/>
    <w:rsid w:val="0080243B"/>
    <w:rsid w:val="0080250B"/>
    <w:rsid w:val="00802581"/>
    <w:rsid w:val="00802FB1"/>
    <w:rsid w:val="008031DC"/>
    <w:rsid w:val="00803508"/>
    <w:rsid w:val="008035B6"/>
    <w:rsid w:val="00803A0D"/>
    <w:rsid w:val="00803E87"/>
    <w:rsid w:val="00803FE8"/>
    <w:rsid w:val="0080427B"/>
    <w:rsid w:val="00804364"/>
    <w:rsid w:val="00804482"/>
    <w:rsid w:val="00804672"/>
    <w:rsid w:val="00804E56"/>
    <w:rsid w:val="00804F55"/>
    <w:rsid w:val="00804FB1"/>
    <w:rsid w:val="00805256"/>
    <w:rsid w:val="00805300"/>
    <w:rsid w:val="0080542C"/>
    <w:rsid w:val="00805611"/>
    <w:rsid w:val="00805651"/>
    <w:rsid w:val="008058A1"/>
    <w:rsid w:val="00805A5D"/>
    <w:rsid w:val="00805F4B"/>
    <w:rsid w:val="00805F52"/>
    <w:rsid w:val="0080613A"/>
    <w:rsid w:val="008062B3"/>
    <w:rsid w:val="008074D4"/>
    <w:rsid w:val="00807673"/>
    <w:rsid w:val="008076AB"/>
    <w:rsid w:val="00807A24"/>
    <w:rsid w:val="00807A2A"/>
    <w:rsid w:val="00807D03"/>
    <w:rsid w:val="00807E7B"/>
    <w:rsid w:val="00810F57"/>
    <w:rsid w:val="008112F8"/>
    <w:rsid w:val="00811393"/>
    <w:rsid w:val="00811779"/>
    <w:rsid w:val="00811ACA"/>
    <w:rsid w:val="00811D2A"/>
    <w:rsid w:val="00812217"/>
    <w:rsid w:val="008125F0"/>
    <w:rsid w:val="008127F5"/>
    <w:rsid w:val="0081284B"/>
    <w:rsid w:val="008130DB"/>
    <w:rsid w:val="0081330A"/>
    <w:rsid w:val="00813474"/>
    <w:rsid w:val="0081361F"/>
    <w:rsid w:val="00813651"/>
    <w:rsid w:val="008136F1"/>
    <w:rsid w:val="00813A80"/>
    <w:rsid w:val="00813B10"/>
    <w:rsid w:val="00813B86"/>
    <w:rsid w:val="00813D33"/>
    <w:rsid w:val="00814536"/>
    <w:rsid w:val="0081498E"/>
    <w:rsid w:val="00814C97"/>
    <w:rsid w:val="00814F7A"/>
    <w:rsid w:val="00815023"/>
    <w:rsid w:val="00815245"/>
    <w:rsid w:val="0081526D"/>
    <w:rsid w:val="0081552D"/>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F90"/>
    <w:rsid w:val="0082001D"/>
    <w:rsid w:val="0082011E"/>
    <w:rsid w:val="00820410"/>
    <w:rsid w:val="00820417"/>
    <w:rsid w:val="00820F41"/>
    <w:rsid w:val="00821980"/>
    <w:rsid w:val="00821D0B"/>
    <w:rsid w:val="00821F6E"/>
    <w:rsid w:val="00822130"/>
    <w:rsid w:val="008221FE"/>
    <w:rsid w:val="00822236"/>
    <w:rsid w:val="0082263C"/>
    <w:rsid w:val="008226F0"/>
    <w:rsid w:val="008227E3"/>
    <w:rsid w:val="0082299E"/>
    <w:rsid w:val="00822BF9"/>
    <w:rsid w:val="00822E3F"/>
    <w:rsid w:val="00823179"/>
    <w:rsid w:val="008234D1"/>
    <w:rsid w:val="008238B7"/>
    <w:rsid w:val="00823956"/>
    <w:rsid w:val="00823B3D"/>
    <w:rsid w:val="00823CE4"/>
    <w:rsid w:val="00823EB0"/>
    <w:rsid w:val="00823FBC"/>
    <w:rsid w:val="00823FC4"/>
    <w:rsid w:val="0082402D"/>
    <w:rsid w:val="008245F9"/>
    <w:rsid w:val="00824ADB"/>
    <w:rsid w:val="00824AE2"/>
    <w:rsid w:val="00824CEC"/>
    <w:rsid w:val="00824D3E"/>
    <w:rsid w:val="00824E99"/>
    <w:rsid w:val="00825058"/>
    <w:rsid w:val="00825116"/>
    <w:rsid w:val="00825179"/>
    <w:rsid w:val="008251FF"/>
    <w:rsid w:val="00825418"/>
    <w:rsid w:val="008255DC"/>
    <w:rsid w:val="0082573D"/>
    <w:rsid w:val="00825AA0"/>
    <w:rsid w:val="00825DA7"/>
    <w:rsid w:val="00825F6D"/>
    <w:rsid w:val="00826122"/>
    <w:rsid w:val="0082662E"/>
    <w:rsid w:val="008267B6"/>
    <w:rsid w:val="00826DA5"/>
    <w:rsid w:val="00827034"/>
    <w:rsid w:val="00827799"/>
    <w:rsid w:val="00827870"/>
    <w:rsid w:val="0083011A"/>
    <w:rsid w:val="008302CE"/>
    <w:rsid w:val="008307F2"/>
    <w:rsid w:val="008308FD"/>
    <w:rsid w:val="00830AE4"/>
    <w:rsid w:val="00830BD2"/>
    <w:rsid w:val="00830D6F"/>
    <w:rsid w:val="0083146F"/>
    <w:rsid w:val="008314DE"/>
    <w:rsid w:val="0083152F"/>
    <w:rsid w:val="00831578"/>
    <w:rsid w:val="00831DA6"/>
    <w:rsid w:val="00832412"/>
    <w:rsid w:val="00832569"/>
    <w:rsid w:val="00832E31"/>
    <w:rsid w:val="00833471"/>
    <w:rsid w:val="0083370C"/>
    <w:rsid w:val="0083381C"/>
    <w:rsid w:val="008338B0"/>
    <w:rsid w:val="008342C0"/>
    <w:rsid w:val="0083433B"/>
    <w:rsid w:val="008348EC"/>
    <w:rsid w:val="00834A4C"/>
    <w:rsid w:val="00834A84"/>
    <w:rsid w:val="00834ABC"/>
    <w:rsid w:val="00834E00"/>
    <w:rsid w:val="0083507A"/>
    <w:rsid w:val="0083508A"/>
    <w:rsid w:val="00835376"/>
    <w:rsid w:val="00835508"/>
    <w:rsid w:val="0083586C"/>
    <w:rsid w:val="00835DE3"/>
    <w:rsid w:val="00835F21"/>
    <w:rsid w:val="008360A7"/>
    <w:rsid w:val="00836591"/>
    <w:rsid w:val="00836AB6"/>
    <w:rsid w:val="00836BCD"/>
    <w:rsid w:val="00836E39"/>
    <w:rsid w:val="00836E93"/>
    <w:rsid w:val="00836ED4"/>
    <w:rsid w:val="00836F93"/>
    <w:rsid w:val="00836FE6"/>
    <w:rsid w:val="008374D9"/>
    <w:rsid w:val="0083760C"/>
    <w:rsid w:val="00837973"/>
    <w:rsid w:val="00837B09"/>
    <w:rsid w:val="00840139"/>
    <w:rsid w:val="0084018A"/>
    <w:rsid w:val="00840322"/>
    <w:rsid w:val="0084085F"/>
    <w:rsid w:val="00840ADE"/>
    <w:rsid w:val="00840D4A"/>
    <w:rsid w:val="00841162"/>
    <w:rsid w:val="00841218"/>
    <w:rsid w:val="0084151F"/>
    <w:rsid w:val="00841D67"/>
    <w:rsid w:val="00841EF3"/>
    <w:rsid w:val="008424EA"/>
    <w:rsid w:val="00842918"/>
    <w:rsid w:val="00842D7A"/>
    <w:rsid w:val="00842F9D"/>
    <w:rsid w:val="008432BA"/>
    <w:rsid w:val="008433F6"/>
    <w:rsid w:val="0084370A"/>
    <w:rsid w:val="00843879"/>
    <w:rsid w:val="00843A40"/>
    <w:rsid w:val="00843E30"/>
    <w:rsid w:val="00844015"/>
    <w:rsid w:val="008441C8"/>
    <w:rsid w:val="00844C58"/>
    <w:rsid w:val="00844F1F"/>
    <w:rsid w:val="00844F5D"/>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EED"/>
    <w:rsid w:val="00851F09"/>
    <w:rsid w:val="00851FB1"/>
    <w:rsid w:val="00852174"/>
    <w:rsid w:val="00852659"/>
    <w:rsid w:val="008527DA"/>
    <w:rsid w:val="00852CEA"/>
    <w:rsid w:val="00852E9E"/>
    <w:rsid w:val="00852EFF"/>
    <w:rsid w:val="00852F4E"/>
    <w:rsid w:val="00852FDC"/>
    <w:rsid w:val="00853192"/>
    <w:rsid w:val="0085391A"/>
    <w:rsid w:val="0085393D"/>
    <w:rsid w:val="00853A36"/>
    <w:rsid w:val="00853E4B"/>
    <w:rsid w:val="00853E9D"/>
    <w:rsid w:val="00853ED9"/>
    <w:rsid w:val="0085402B"/>
    <w:rsid w:val="0085403F"/>
    <w:rsid w:val="00854068"/>
    <w:rsid w:val="00854176"/>
    <w:rsid w:val="00854259"/>
    <w:rsid w:val="008546CA"/>
    <w:rsid w:val="00854B2F"/>
    <w:rsid w:val="00855333"/>
    <w:rsid w:val="00855563"/>
    <w:rsid w:val="008556A0"/>
    <w:rsid w:val="008556B6"/>
    <w:rsid w:val="00855800"/>
    <w:rsid w:val="00855892"/>
    <w:rsid w:val="00855B01"/>
    <w:rsid w:val="00856774"/>
    <w:rsid w:val="008568DE"/>
    <w:rsid w:val="0085697A"/>
    <w:rsid w:val="00856F72"/>
    <w:rsid w:val="00856F73"/>
    <w:rsid w:val="008575D2"/>
    <w:rsid w:val="00857A26"/>
    <w:rsid w:val="00857FC8"/>
    <w:rsid w:val="00860510"/>
    <w:rsid w:val="00860A6D"/>
    <w:rsid w:val="00861464"/>
    <w:rsid w:val="0086155E"/>
    <w:rsid w:val="008615DF"/>
    <w:rsid w:val="008616A6"/>
    <w:rsid w:val="008619CC"/>
    <w:rsid w:val="00861CE8"/>
    <w:rsid w:val="00861EFB"/>
    <w:rsid w:val="0086219F"/>
    <w:rsid w:val="0086265B"/>
    <w:rsid w:val="008626A0"/>
    <w:rsid w:val="008626A3"/>
    <w:rsid w:val="008627CC"/>
    <w:rsid w:val="00862B7E"/>
    <w:rsid w:val="00862B80"/>
    <w:rsid w:val="00862D89"/>
    <w:rsid w:val="0086320F"/>
    <w:rsid w:val="008633E0"/>
    <w:rsid w:val="00863B6C"/>
    <w:rsid w:val="00863BCE"/>
    <w:rsid w:val="00863E02"/>
    <w:rsid w:val="00863F2C"/>
    <w:rsid w:val="00863FB4"/>
    <w:rsid w:val="0086412B"/>
    <w:rsid w:val="008642D6"/>
    <w:rsid w:val="00864398"/>
    <w:rsid w:val="008643F8"/>
    <w:rsid w:val="00864464"/>
    <w:rsid w:val="008648F3"/>
    <w:rsid w:val="00864B86"/>
    <w:rsid w:val="00864D16"/>
    <w:rsid w:val="00864E40"/>
    <w:rsid w:val="00864E90"/>
    <w:rsid w:val="00864F7E"/>
    <w:rsid w:val="00865357"/>
    <w:rsid w:val="008656BB"/>
    <w:rsid w:val="00865BB7"/>
    <w:rsid w:val="008662CE"/>
    <w:rsid w:val="00866653"/>
    <w:rsid w:val="00866666"/>
    <w:rsid w:val="008667C7"/>
    <w:rsid w:val="00866B33"/>
    <w:rsid w:val="008672B8"/>
    <w:rsid w:val="00867404"/>
    <w:rsid w:val="00867419"/>
    <w:rsid w:val="008675BD"/>
    <w:rsid w:val="00867902"/>
    <w:rsid w:val="008679C1"/>
    <w:rsid w:val="00867E9F"/>
    <w:rsid w:val="008700F1"/>
    <w:rsid w:val="00871263"/>
    <w:rsid w:val="00871581"/>
    <w:rsid w:val="00871767"/>
    <w:rsid w:val="00871E5A"/>
    <w:rsid w:val="00871E74"/>
    <w:rsid w:val="00872511"/>
    <w:rsid w:val="008725C9"/>
    <w:rsid w:val="00872AB6"/>
    <w:rsid w:val="00872BF9"/>
    <w:rsid w:val="00872DF3"/>
    <w:rsid w:val="0087324C"/>
    <w:rsid w:val="008732EE"/>
    <w:rsid w:val="00873390"/>
    <w:rsid w:val="00873A8A"/>
    <w:rsid w:val="00873AAC"/>
    <w:rsid w:val="00873B0B"/>
    <w:rsid w:val="00873D26"/>
    <w:rsid w:val="00873D67"/>
    <w:rsid w:val="00873E49"/>
    <w:rsid w:val="00873E6F"/>
    <w:rsid w:val="008740D9"/>
    <w:rsid w:val="00874899"/>
    <w:rsid w:val="00874D2B"/>
    <w:rsid w:val="008750FF"/>
    <w:rsid w:val="008752B8"/>
    <w:rsid w:val="00875581"/>
    <w:rsid w:val="00875B78"/>
    <w:rsid w:val="00875BF6"/>
    <w:rsid w:val="00875C37"/>
    <w:rsid w:val="00875E93"/>
    <w:rsid w:val="00875EC1"/>
    <w:rsid w:val="008761AE"/>
    <w:rsid w:val="00876448"/>
    <w:rsid w:val="00876757"/>
    <w:rsid w:val="00876AEE"/>
    <w:rsid w:val="00876C2D"/>
    <w:rsid w:val="00876FBF"/>
    <w:rsid w:val="0087722F"/>
    <w:rsid w:val="00877678"/>
    <w:rsid w:val="00877F55"/>
    <w:rsid w:val="0088002B"/>
    <w:rsid w:val="0088003E"/>
    <w:rsid w:val="0088044C"/>
    <w:rsid w:val="008806FF"/>
    <w:rsid w:val="0088088B"/>
    <w:rsid w:val="00880ACB"/>
    <w:rsid w:val="00880EBA"/>
    <w:rsid w:val="00880FC7"/>
    <w:rsid w:val="0088121C"/>
    <w:rsid w:val="00881282"/>
    <w:rsid w:val="0088137E"/>
    <w:rsid w:val="00881458"/>
    <w:rsid w:val="00881568"/>
    <w:rsid w:val="00881592"/>
    <w:rsid w:val="00881603"/>
    <w:rsid w:val="008817A2"/>
    <w:rsid w:val="00881BB7"/>
    <w:rsid w:val="00881EB3"/>
    <w:rsid w:val="0088201C"/>
    <w:rsid w:val="008823AE"/>
    <w:rsid w:val="00882410"/>
    <w:rsid w:val="0088246C"/>
    <w:rsid w:val="00882C61"/>
    <w:rsid w:val="00882D08"/>
    <w:rsid w:val="008832AD"/>
    <w:rsid w:val="00883353"/>
    <w:rsid w:val="008834EB"/>
    <w:rsid w:val="008837B6"/>
    <w:rsid w:val="008838E8"/>
    <w:rsid w:val="00883923"/>
    <w:rsid w:val="00883AAF"/>
    <w:rsid w:val="00884AD8"/>
    <w:rsid w:val="00884B65"/>
    <w:rsid w:val="00884C8E"/>
    <w:rsid w:val="00884CB0"/>
    <w:rsid w:val="008850DD"/>
    <w:rsid w:val="008855FD"/>
    <w:rsid w:val="0088578A"/>
    <w:rsid w:val="00885A04"/>
    <w:rsid w:val="00885BE1"/>
    <w:rsid w:val="00885BEC"/>
    <w:rsid w:val="00886178"/>
    <w:rsid w:val="0088691C"/>
    <w:rsid w:val="00886AE7"/>
    <w:rsid w:val="00886FE6"/>
    <w:rsid w:val="008871C8"/>
    <w:rsid w:val="0088767C"/>
    <w:rsid w:val="008877FA"/>
    <w:rsid w:val="00887852"/>
    <w:rsid w:val="008878B2"/>
    <w:rsid w:val="00887B8D"/>
    <w:rsid w:val="00887C50"/>
    <w:rsid w:val="00887C55"/>
    <w:rsid w:val="00887C65"/>
    <w:rsid w:val="00887E7A"/>
    <w:rsid w:val="0089002F"/>
    <w:rsid w:val="00890098"/>
    <w:rsid w:val="00890683"/>
    <w:rsid w:val="00890882"/>
    <w:rsid w:val="00890F08"/>
    <w:rsid w:val="008911AE"/>
    <w:rsid w:val="008911CE"/>
    <w:rsid w:val="008912F1"/>
    <w:rsid w:val="00891A95"/>
    <w:rsid w:val="00891DD5"/>
    <w:rsid w:val="00891FE5"/>
    <w:rsid w:val="008920C1"/>
    <w:rsid w:val="008921B6"/>
    <w:rsid w:val="008922E2"/>
    <w:rsid w:val="00892373"/>
    <w:rsid w:val="0089241B"/>
    <w:rsid w:val="00892AA0"/>
    <w:rsid w:val="00892E27"/>
    <w:rsid w:val="00892F1B"/>
    <w:rsid w:val="00892F6D"/>
    <w:rsid w:val="008932C5"/>
    <w:rsid w:val="00893358"/>
    <w:rsid w:val="00893431"/>
    <w:rsid w:val="008935D7"/>
    <w:rsid w:val="008936A7"/>
    <w:rsid w:val="008936B5"/>
    <w:rsid w:val="00893988"/>
    <w:rsid w:val="008939FF"/>
    <w:rsid w:val="00893D26"/>
    <w:rsid w:val="00893DD3"/>
    <w:rsid w:val="0089400D"/>
    <w:rsid w:val="0089411D"/>
    <w:rsid w:val="00894740"/>
    <w:rsid w:val="00894AA5"/>
    <w:rsid w:val="00894BE7"/>
    <w:rsid w:val="0089540B"/>
    <w:rsid w:val="008955F6"/>
    <w:rsid w:val="0089575D"/>
    <w:rsid w:val="00895AF9"/>
    <w:rsid w:val="008966DB"/>
    <w:rsid w:val="00896754"/>
    <w:rsid w:val="00896B33"/>
    <w:rsid w:val="008974E3"/>
    <w:rsid w:val="00897959"/>
    <w:rsid w:val="00897BAB"/>
    <w:rsid w:val="008A01CC"/>
    <w:rsid w:val="008A05C2"/>
    <w:rsid w:val="008A06C7"/>
    <w:rsid w:val="008A08E8"/>
    <w:rsid w:val="008A0A72"/>
    <w:rsid w:val="008A0E38"/>
    <w:rsid w:val="008A1159"/>
    <w:rsid w:val="008A1416"/>
    <w:rsid w:val="008A19C0"/>
    <w:rsid w:val="008A1B2E"/>
    <w:rsid w:val="008A1BC7"/>
    <w:rsid w:val="008A1C71"/>
    <w:rsid w:val="008A1F41"/>
    <w:rsid w:val="008A2380"/>
    <w:rsid w:val="008A2772"/>
    <w:rsid w:val="008A2C57"/>
    <w:rsid w:val="008A2D2A"/>
    <w:rsid w:val="008A2D4C"/>
    <w:rsid w:val="008A2E1B"/>
    <w:rsid w:val="008A2FCE"/>
    <w:rsid w:val="008A3078"/>
    <w:rsid w:val="008A3147"/>
    <w:rsid w:val="008A36B3"/>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3FA"/>
    <w:rsid w:val="008A6A2D"/>
    <w:rsid w:val="008A6C55"/>
    <w:rsid w:val="008A6D64"/>
    <w:rsid w:val="008A6D9B"/>
    <w:rsid w:val="008A6E95"/>
    <w:rsid w:val="008A7BFB"/>
    <w:rsid w:val="008B058C"/>
    <w:rsid w:val="008B08A2"/>
    <w:rsid w:val="008B0989"/>
    <w:rsid w:val="008B0C86"/>
    <w:rsid w:val="008B0DBB"/>
    <w:rsid w:val="008B0FD1"/>
    <w:rsid w:val="008B1233"/>
    <w:rsid w:val="008B1326"/>
    <w:rsid w:val="008B1377"/>
    <w:rsid w:val="008B1712"/>
    <w:rsid w:val="008B17E1"/>
    <w:rsid w:val="008B1D19"/>
    <w:rsid w:val="008B2216"/>
    <w:rsid w:val="008B2671"/>
    <w:rsid w:val="008B2E68"/>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628"/>
    <w:rsid w:val="008B680C"/>
    <w:rsid w:val="008B6927"/>
    <w:rsid w:val="008B7099"/>
    <w:rsid w:val="008B724E"/>
    <w:rsid w:val="008B769A"/>
    <w:rsid w:val="008B7C92"/>
    <w:rsid w:val="008C0534"/>
    <w:rsid w:val="008C060E"/>
    <w:rsid w:val="008C06D9"/>
    <w:rsid w:val="008C0A3A"/>
    <w:rsid w:val="008C0AEF"/>
    <w:rsid w:val="008C0C19"/>
    <w:rsid w:val="008C131E"/>
    <w:rsid w:val="008C16CF"/>
    <w:rsid w:val="008C17C9"/>
    <w:rsid w:val="008C1907"/>
    <w:rsid w:val="008C190F"/>
    <w:rsid w:val="008C1965"/>
    <w:rsid w:val="008C1AD2"/>
    <w:rsid w:val="008C1FF2"/>
    <w:rsid w:val="008C22FC"/>
    <w:rsid w:val="008C2915"/>
    <w:rsid w:val="008C2E3B"/>
    <w:rsid w:val="008C3196"/>
    <w:rsid w:val="008C326B"/>
    <w:rsid w:val="008C3A4F"/>
    <w:rsid w:val="008C3D5D"/>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6F9"/>
    <w:rsid w:val="008C6BFA"/>
    <w:rsid w:val="008C6C0A"/>
    <w:rsid w:val="008C6C4C"/>
    <w:rsid w:val="008C70B8"/>
    <w:rsid w:val="008C73BC"/>
    <w:rsid w:val="008C76C9"/>
    <w:rsid w:val="008C7B96"/>
    <w:rsid w:val="008C7C1F"/>
    <w:rsid w:val="008C7E11"/>
    <w:rsid w:val="008C7F33"/>
    <w:rsid w:val="008D0520"/>
    <w:rsid w:val="008D0A59"/>
    <w:rsid w:val="008D0B62"/>
    <w:rsid w:val="008D1233"/>
    <w:rsid w:val="008D165E"/>
    <w:rsid w:val="008D17C7"/>
    <w:rsid w:val="008D1E4E"/>
    <w:rsid w:val="008D1F36"/>
    <w:rsid w:val="008D20A9"/>
    <w:rsid w:val="008D2114"/>
    <w:rsid w:val="008D24DF"/>
    <w:rsid w:val="008D267F"/>
    <w:rsid w:val="008D26DF"/>
    <w:rsid w:val="008D2824"/>
    <w:rsid w:val="008D2A6F"/>
    <w:rsid w:val="008D2CC4"/>
    <w:rsid w:val="008D2EA2"/>
    <w:rsid w:val="008D37DC"/>
    <w:rsid w:val="008D3AF6"/>
    <w:rsid w:val="008D43FE"/>
    <w:rsid w:val="008D480B"/>
    <w:rsid w:val="008D4A5D"/>
    <w:rsid w:val="008D4BB1"/>
    <w:rsid w:val="008D4C61"/>
    <w:rsid w:val="008D4CDD"/>
    <w:rsid w:val="008D4D1C"/>
    <w:rsid w:val="008D4D37"/>
    <w:rsid w:val="008D517E"/>
    <w:rsid w:val="008D51E7"/>
    <w:rsid w:val="008D6386"/>
    <w:rsid w:val="008D69E4"/>
    <w:rsid w:val="008D6C51"/>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9E0"/>
    <w:rsid w:val="008E3D2F"/>
    <w:rsid w:val="008E3FA2"/>
    <w:rsid w:val="008E44E9"/>
    <w:rsid w:val="008E4A7D"/>
    <w:rsid w:val="008E5513"/>
    <w:rsid w:val="008E56E4"/>
    <w:rsid w:val="008E5772"/>
    <w:rsid w:val="008E577A"/>
    <w:rsid w:val="008E59B8"/>
    <w:rsid w:val="008E5B98"/>
    <w:rsid w:val="008E5F5C"/>
    <w:rsid w:val="008E6345"/>
    <w:rsid w:val="008E6380"/>
    <w:rsid w:val="008E6C03"/>
    <w:rsid w:val="008E6DA2"/>
    <w:rsid w:val="008F0085"/>
    <w:rsid w:val="008F025A"/>
    <w:rsid w:val="008F0657"/>
    <w:rsid w:val="008F0A56"/>
    <w:rsid w:val="008F0E14"/>
    <w:rsid w:val="008F0EF0"/>
    <w:rsid w:val="008F13E6"/>
    <w:rsid w:val="008F1E94"/>
    <w:rsid w:val="008F20C5"/>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CD0"/>
    <w:rsid w:val="008F4ED7"/>
    <w:rsid w:val="008F5201"/>
    <w:rsid w:val="008F553B"/>
    <w:rsid w:val="008F58F5"/>
    <w:rsid w:val="008F59AF"/>
    <w:rsid w:val="008F5E17"/>
    <w:rsid w:val="008F5F4B"/>
    <w:rsid w:val="008F61B2"/>
    <w:rsid w:val="008F622B"/>
    <w:rsid w:val="008F6612"/>
    <w:rsid w:val="008F6A23"/>
    <w:rsid w:val="008F6BE2"/>
    <w:rsid w:val="008F6D7B"/>
    <w:rsid w:val="008F6D97"/>
    <w:rsid w:val="008F6F60"/>
    <w:rsid w:val="008F7227"/>
    <w:rsid w:val="008F7C6B"/>
    <w:rsid w:val="009004F6"/>
    <w:rsid w:val="0090060C"/>
    <w:rsid w:val="00900B08"/>
    <w:rsid w:val="00900E88"/>
    <w:rsid w:val="00900F11"/>
    <w:rsid w:val="00900FCE"/>
    <w:rsid w:val="009011AD"/>
    <w:rsid w:val="009012A2"/>
    <w:rsid w:val="009014A2"/>
    <w:rsid w:val="009014A6"/>
    <w:rsid w:val="00901AA5"/>
    <w:rsid w:val="009023FB"/>
    <w:rsid w:val="009024A7"/>
    <w:rsid w:val="00902719"/>
    <w:rsid w:val="00902845"/>
    <w:rsid w:val="00902B92"/>
    <w:rsid w:val="00902B99"/>
    <w:rsid w:val="00902BFD"/>
    <w:rsid w:val="00902F51"/>
    <w:rsid w:val="009030EB"/>
    <w:rsid w:val="00903237"/>
    <w:rsid w:val="00903364"/>
    <w:rsid w:val="0090373D"/>
    <w:rsid w:val="00903846"/>
    <w:rsid w:val="0090389C"/>
    <w:rsid w:val="00903978"/>
    <w:rsid w:val="00904015"/>
    <w:rsid w:val="0090404A"/>
    <w:rsid w:val="00904099"/>
    <w:rsid w:val="0090455B"/>
    <w:rsid w:val="00904A96"/>
    <w:rsid w:val="00904B18"/>
    <w:rsid w:val="00904B6B"/>
    <w:rsid w:val="00904B71"/>
    <w:rsid w:val="0090570D"/>
    <w:rsid w:val="0090588B"/>
    <w:rsid w:val="00905EBB"/>
    <w:rsid w:val="00905EE4"/>
    <w:rsid w:val="00905FA2"/>
    <w:rsid w:val="0090663C"/>
    <w:rsid w:val="00906CF5"/>
    <w:rsid w:val="009073BA"/>
    <w:rsid w:val="009075B4"/>
    <w:rsid w:val="00907918"/>
    <w:rsid w:val="00907B13"/>
    <w:rsid w:val="00907BE7"/>
    <w:rsid w:val="00907C76"/>
    <w:rsid w:val="00910016"/>
    <w:rsid w:val="009100B6"/>
    <w:rsid w:val="00910437"/>
    <w:rsid w:val="00910722"/>
    <w:rsid w:val="00910BCA"/>
    <w:rsid w:val="00911054"/>
    <w:rsid w:val="009110D7"/>
    <w:rsid w:val="00911377"/>
    <w:rsid w:val="00911952"/>
    <w:rsid w:val="009123A2"/>
    <w:rsid w:val="0091278E"/>
    <w:rsid w:val="00912C77"/>
    <w:rsid w:val="0091357D"/>
    <w:rsid w:val="009135AA"/>
    <w:rsid w:val="00913665"/>
    <w:rsid w:val="009139AB"/>
    <w:rsid w:val="00913BC5"/>
    <w:rsid w:val="00913C37"/>
    <w:rsid w:val="009141BA"/>
    <w:rsid w:val="009145B8"/>
    <w:rsid w:val="0091479E"/>
    <w:rsid w:val="0091483E"/>
    <w:rsid w:val="00914B50"/>
    <w:rsid w:val="00914B82"/>
    <w:rsid w:val="00914F87"/>
    <w:rsid w:val="00915032"/>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1B12"/>
    <w:rsid w:val="00921B73"/>
    <w:rsid w:val="00921BD9"/>
    <w:rsid w:val="00921C82"/>
    <w:rsid w:val="00921E74"/>
    <w:rsid w:val="00921F53"/>
    <w:rsid w:val="00922275"/>
    <w:rsid w:val="0092277F"/>
    <w:rsid w:val="00922784"/>
    <w:rsid w:val="00922798"/>
    <w:rsid w:val="00922935"/>
    <w:rsid w:val="00922EC4"/>
    <w:rsid w:val="00922FDC"/>
    <w:rsid w:val="00923178"/>
    <w:rsid w:val="00923543"/>
    <w:rsid w:val="009235AF"/>
    <w:rsid w:val="009237E1"/>
    <w:rsid w:val="00923E50"/>
    <w:rsid w:val="00923F61"/>
    <w:rsid w:val="00924116"/>
    <w:rsid w:val="009241D5"/>
    <w:rsid w:val="0092421E"/>
    <w:rsid w:val="00924B71"/>
    <w:rsid w:val="00924D34"/>
    <w:rsid w:val="00925235"/>
    <w:rsid w:val="0092525F"/>
    <w:rsid w:val="009255AA"/>
    <w:rsid w:val="00925634"/>
    <w:rsid w:val="009257A0"/>
    <w:rsid w:val="0092592B"/>
    <w:rsid w:val="00925AF4"/>
    <w:rsid w:val="00925B3D"/>
    <w:rsid w:val="00926156"/>
    <w:rsid w:val="00926164"/>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A65"/>
    <w:rsid w:val="00931D41"/>
    <w:rsid w:val="00931EF0"/>
    <w:rsid w:val="0093200A"/>
    <w:rsid w:val="00932278"/>
    <w:rsid w:val="0093234E"/>
    <w:rsid w:val="009325A6"/>
    <w:rsid w:val="009326C1"/>
    <w:rsid w:val="009329C1"/>
    <w:rsid w:val="00932D17"/>
    <w:rsid w:val="00932D35"/>
    <w:rsid w:val="00932D7F"/>
    <w:rsid w:val="009330DB"/>
    <w:rsid w:val="00933187"/>
    <w:rsid w:val="009332F9"/>
    <w:rsid w:val="00933308"/>
    <w:rsid w:val="00933BEC"/>
    <w:rsid w:val="00933E40"/>
    <w:rsid w:val="00933E74"/>
    <w:rsid w:val="009342FF"/>
    <w:rsid w:val="009343C1"/>
    <w:rsid w:val="00934476"/>
    <w:rsid w:val="009345A0"/>
    <w:rsid w:val="00934767"/>
    <w:rsid w:val="0093481C"/>
    <w:rsid w:val="00934A84"/>
    <w:rsid w:val="00934C89"/>
    <w:rsid w:val="00935310"/>
    <w:rsid w:val="0093570B"/>
    <w:rsid w:val="009359C4"/>
    <w:rsid w:val="009359D0"/>
    <w:rsid w:val="00936274"/>
    <w:rsid w:val="00936297"/>
    <w:rsid w:val="009366B9"/>
    <w:rsid w:val="009366ED"/>
    <w:rsid w:val="00936EBB"/>
    <w:rsid w:val="00936F03"/>
    <w:rsid w:val="00936F61"/>
    <w:rsid w:val="0093715D"/>
    <w:rsid w:val="00937848"/>
    <w:rsid w:val="009378AD"/>
    <w:rsid w:val="009379AB"/>
    <w:rsid w:val="00937B4C"/>
    <w:rsid w:val="00937EAC"/>
    <w:rsid w:val="00940137"/>
    <w:rsid w:val="0094014D"/>
    <w:rsid w:val="00940869"/>
    <w:rsid w:val="00940B3B"/>
    <w:rsid w:val="00940EC9"/>
    <w:rsid w:val="00940EE4"/>
    <w:rsid w:val="0094154B"/>
    <w:rsid w:val="009417ED"/>
    <w:rsid w:val="009418DE"/>
    <w:rsid w:val="00941BBB"/>
    <w:rsid w:val="00942120"/>
    <w:rsid w:val="009424A2"/>
    <w:rsid w:val="009424CB"/>
    <w:rsid w:val="0094250E"/>
    <w:rsid w:val="0094314E"/>
    <w:rsid w:val="00943784"/>
    <w:rsid w:val="0094395F"/>
    <w:rsid w:val="00943C4D"/>
    <w:rsid w:val="0094419A"/>
    <w:rsid w:val="009441F5"/>
    <w:rsid w:val="009443B4"/>
    <w:rsid w:val="00944529"/>
    <w:rsid w:val="00944657"/>
    <w:rsid w:val="009449F3"/>
    <w:rsid w:val="00944B8D"/>
    <w:rsid w:val="00944CAB"/>
    <w:rsid w:val="009452E9"/>
    <w:rsid w:val="009455BD"/>
    <w:rsid w:val="009457B0"/>
    <w:rsid w:val="00945C51"/>
    <w:rsid w:val="00945F5E"/>
    <w:rsid w:val="009461CD"/>
    <w:rsid w:val="0094636E"/>
    <w:rsid w:val="0094661F"/>
    <w:rsid w:val="00946A84"/>
    <w:rsid w:val="00947531"/>
    <w:rsid w:val="00947A4D"/>
    <w:rsid w:val="00947EDA"/>
    <w:rsid w:val="0095045A"/>
    <w:rsid w:val="00950A7F"/>
    <w:rsid w:val="00951D3C"/>
    <w:rsid w:val="00951E36"/>
    <w:rsid w:val="0095206F"/>
    <w:rsid w:val="009521FB"/>
    <w:rsid w:val="0095266A"/>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E44"/>
    <w:rsid w:val="00954ED6"/>
    <w:rsid w:val="00955698"/>
    <w:rsid w:val="00955AD7"/>
    <w:rsid w:val="00955BA7"/>
    <w:rsid w:val="00955BBB"/>
    <w:rsid w:val="00955E6F"/>
    <w:rsid w:val="00955EB7"/>
    <w:rsid w:val="00955F88"/>
    <w:rsid w:val="009560D6"/>
    <w:rsid w:val="00956473"/>
    <w:rsid w:val="00956BB0"/>
    <w:rsid w:val="00956FB3"/>
    <w:rsid w:val="0095711F"/>
    <w:rsid w:val="00957271"/>
    <w:rsid w:val="00957607"/>
    <w:rsid w:val="00957723"/>
    <w:rsid w:val="009578D0"/>
    <w:rsid w:val="00957B12"/>
    <w:rsid w:val="00957E1A"/>
    <w:rsid w:val="00957ECC"/>
    <w:rsid w:val="00960124"/>
    <w:rsid w:val="009603E2"/>
    <w:rsid w:val="0096065F"/>
    <w:rsid w:val="009607F7"/>
    <w:rsid w:val="009609BB"/>
    <w:rsid w:val="00960F8B"/>
    <w:rsid w:val="00961292"/>
    <w:rsid w:val="00961359"/>
    <w:rsid w:val="00961399"/>
    <w:rsid w:val="00961516"/>
    <w:rsid w:val="0096157D"/>
    <w:rsid w:val="009615CD"/>
    <w:rsid w:val="00961A97"/>
    <w:rsid w:val="00961CA7"/>
    <w:rsid w:val="009621B6"/>
    <w:rsid w:val="00962311"/>
    <w:rsid w:val="009623AB"/>
    <w:rsid w:val="009625A5"/>
    <w:rsid w:val="009628A8"/>
    <w:rsid w:val="0096291F"/>
    <w:rsid w:val="00962C93"/>
    <w:rsid w:val="00962F1A"/>
    <w:rsid w:val="0096312E"/>
    <w:rsid w:val="00963457"/>
    <w:rsid w:val="0096348F"/>
    <w:rsid w:val="0096350C"/>
    <w:rsid w:val="00963CA1"/>
    <w:rsid w:val="00963D05"/>
    <w:rsid w:val="00964235"/>
    <w:rsid w:val="009642A6"/>
    <w:rsid w:val="00964470"/>
    <w:rsid w:val="0096452F"/>
    <w:rsid w:val="00964548"/>
    <w:rsid w:val="009649E4"/>
    <w:rsid w:val="00964E4C"/>
    <w:rsid w:val="0096512F"/>
    <w:rsid w:val="009652F3"/>
    <w:rsid w:val="0096532F"/>
    <w:rsid w:val="00965562"/>
    <w:rsid w:val="00965C51"/>
    <w:rsid w:val="00965C8E"/>
    <w:rsid w:val="009664B0"/>
    <w:rsid w:val="009664F5"/>
    <w:rsid w:val="00966A79"/>
    <w:rsid w:val="00966B86"/>
    <w:rsid w:val="009671B5"/>
    <w:rsid w:val="00967284"/>
    <w:rsid w:val="00967753"/>
    <w:rsid w:val="00967D86"/>
    <w:rsid w:val="00967F76"/>
    <w:rsid w:val="00970003"/>
    <w:rsid w:val="009707ED"/>
    <w:rsid w:val="00970C6B"/>
    <w:rsid w:val="00970C6C"/>
    <w:rsid w:val="0097121F"/>
    <w:rsid w:val="00971AEF"/>
    <w:rsid w:val="00971C6C"/>
    <w:rsid w:val="00971DA8"/>
    <w:rsid w:val="00971E10"/>
    <w:rsid w:val="00971E90"/>
    <w:rsid w:val="00972318"/>
    <w:rsid w:val="0097270C"/>
    <w:rsid w:val="0097271E"/>
    <w:rsid w:val="00973142"/>
    <w:rsid w:val="00973402"/>
    <w:rsid w:val="00973B5A"/>
    <w:rsid w:val="009741DE"/>
    <w:rsid w:val="009747B9"/>
    <w:rsid w:val="00974B07"/>
    <w:rsid w:val="00974B5D"/>
    <w:rsid w:val="00974D41"/>
    <w:rsid w:val="00974D69"/>
    <w:rsid w:val="00974FAA"/>
    <w:rsid w:val="00975165"/>
    <w:rsid w:val="0097524F"/>
    <w:rsid w:val="009752D8"/>
    <w:rsid w:val="0097565C"/>
    <w:rsid w:val="009759CE"/>
    <w:rsid w:val="009759D4"/>
    <w:rsid w:val="00975F2C"/>
    <w:rsid w:val="00975F62"/>
    <w:rsid w:val="00976239"/>
    <w:rsid w:val="0097637B"/>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AA4"/>
    <w:rsid w:val="00985BAD"/>
    <w:rsid w:val="00985CDB"/>
    <w:rsid w:val="0098617A"/>
    <w:rsid w:val="00986461"/>
    <w:rsid w:val="009865F0"/>
    <w:rsid w:val="009866BB"/>
    <w:rsid w:val="00986DA8"/>
    <w:rsid w:val="00986DF5"/>
    <w:rsid w:val="009873C1"/>
    <w:rsid w:val="0098772B"/>
    <w:rsid w:val="009879A7"/>
    <w:rsid w:val="00987C8C"/>
    <w:rsid w:val="00987CD6"/>
    <w:rsid w:val="00987DCB"/>
    <w:rsid w:val="00987DDB"/>
    <w:rsid w:val="00987FEA"/>
    <w:rsid w:val="00990CB3"/>
    <w:rsid w:val="009913C9"/>
    <w:rsid w:val="00991448"/>
    <w:rsid w:val="00991450"/>
    <w:rsid w:val="00991598"/>
    <w:rsid w:val="009915E3"/>
    <w:rsid w:val="009917D3"/>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548B"/>
    <w:rsid w:val="0099558B"/>
    <w:rsid w:val="00995663"/>
    <w:rsid w:val="00995BF2"/>
    <w:rsid w:val="00995C6C"/>
    <w:rsid w:val="0099633D"/>
    <w:rsid w:val="00996464"/>
    <w:rsid w:val="00996530"/>
    <w:rsid w:val="00996589"/>
    <w:rsid w:val="009965F4"/>
    <w:rsid w:val="009966BB"/>
    <w:rsid w:val="00996714"/>
    <w:rsid w:val="009967B7"/>
    <w:rsid w:val="0099681A"/>
    <w:rsid w:val="00996999"/>
    <w:rsid w:val="00996B09"/>
    <w:rsid w:val="00996CF9"/>
    <w:rsid w:val="009972A9"/>
    <w:rsid w:val="009976FC"/>
    <w:rsid w:val="0099771E"/>
    <w:rsid w:val="009979FA"/>
    <w:rsid w:val="00997B43"/>
    <w:rsid w:val="00997B73"/>
    <w:rsid w:val="00997FFE"/>
    <w:rsid w:val="009A048E"/>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313C"/>
    <w:rsid w:val="009A32DE"/>
    <w:rsid w:val="009A383B"/>
    <w:rsid w:val="009A3B11"/>
    <w:rsid w:val="009A3D2C"/>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2E3"/>
    <w:rsid w:val="009A6456"/>
    <w:rsid w:val="009A6681"/>
    <w:rsid w:val="009A6774"/>
    <w:rsid w:val="009A6B51"/>
    <w:rsid w:val="009A6DE0"/>
    <w:rsid w:val="009A703E"/>
    <w:rsid w:val="009A72D0"/>
    <w:rsid w:val="009A768A"/>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A2C"/>
    <w:rsid w:val="009B1E0C"/>
    <w:rsid w:val="009B1E82"/>
    <w:rsid w:val="009B1EFB"/>
    <w:rsid w:val="009B27A5"/>
    <w:rsid w:val="009B27BF"/>
    <w:rsid w:val="009B28CA"/>
    <w:rsid w:val="009B2CB7"/>
    <w:rsid w:val="009B2DE3"/>
    <w:rsid w:val="009B3042"/>
    <w:rsid w:val="009B3082"/>
    <w:rsid w:val="009B31FF"/>
    <w:rsid w:val="009B32A2"/>
    <w:rsid w:val="009B3347"/>
    <w:rsid w:val="009B3682"/>
    <w:rsid w:val="009B3806"/>
    <w:rsid w:val="009B3891"/>
    <w:rsid w:val="009B395F"/>
    <w:rsid w:val="009B3AB6"/>
    <w:rsid w:val="009B3E32"/>
    <w:rsid w:val="009B3F0B"/>
    <w:rsid w:val="009B3FDE"/>
    <w:rsid w:val="009B4169"/>
    <w:rsid w:val="009B43E1"/>
    <w:rsid w:val="009B4435"/>
    <w:rsid w:val="009B46B9"/>
    <w:rsid w:val="009B4738"/>
    <w:rsid w:val="009B4803"/>
    <w:rsid w:val="009B4821"/>
    <w:rsid w:val="009B4A58"/>
    <w:rsid w:val="009B4B51"/>
    <w:rsid w:val="009B4D0E"/>
    <w:rsid w:val="009B4D2F"/>
    <w:rsid w:val="009B4FD4"/>
    <w:rsid w:val="009B5B41"/>
    <w:rsid w:val="009B5B54"/>
    <w:rsid w:val="009B5DB5"/>
    <w:rsid w:val="009B5F21"/>
    <w:rsid w:val="009B6066"/>
    <w:rsid w:val="009B62CC"/>
    <w:rsid w:val="009B68DF"/>
    <w:rsid w:val="009B6A50"/>
    <w:rsid w:val="009B6A76"/>
    <w:rsid w:val="009B6BBC"/>
    <w:rsid w:val="009B7127"/>
    <w:rsid w:val="009B75A7"/>
    <w:rsid w:val="009B78A1"/>
    <w:rsid w:val="009B7AB8"/>
    <w:rsid w:val="009C044C"/>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C9C"/>
    <w:rsid w:val="009C3DA5"/>
    <w:rsid w:val="009C4038"/>
    <w:rsid w:val="009C482F"/>
    <w:rsid w:val="009C4A5C"/>
    <w:rsid w:val="009C4B48"/>
    <w:rsid w:val="009C5250"/>
    <w:rsid w:val="009C536E"/>
    <w:rsid w:val="009C573B"/>
    <w:rsid w:val="009C595F"/>
    <w:rsid w:val="009C5F7B"/>
    <w:rsid w:val="009C6664"/>
    <w:rsid w:val="009C7A0C"/>
    <w:rsid w:val="009C7B35"/>
    <w:rsid w:val="009D03AB"/>
    <w:rsid w:val="009D03BF"/>
    <w:rsid w:val="009D0481"/>
    <w:rsid w:val="009D07D6"/>
    <w:rsid w:val="009D0A23"/>
    <w:rsid w:val="009D0B1E"/>
    <w:rsid w:val="009D0B6E"/>
    <w:rsid w:val="009D0C77"/>
    <w:rsid w:val="009D11DD"/>
    <w:rsid w:val="009D14C8"/>
    <w:rsid w:val="009D170C"/>
    <w:rsid w:val="009D18D8"/>
    <w:rsid w:val="009D1950"/>
    <w:rsid w:val="009D197F"/>
    <w:rsid w:val="009D1B34"/>
    <w:rsid w:val="009D1BAE"/>
    <w:rsid w:val="009D1C43"/>
    <w:rsid w:val="009D1E6D"/>
    <w:rsid w:val="009D222D"/>
    <w:rsid w:val="009D23C9"/>
    <w:rsid w:val="009D249C"/>
    <w:rsid w:val="009D2822"/>
    <w:rsid w:val="009D293A"/>
    <w:rsid w:val="009D29EF"/>
    <w:rsid w:val="009D2BFD"/>
    <w:rsid w:val="009D2E92"/>
    <w:rsid w:val="009D2F8F"/>
    <w:rsid w:val="009D3359"/>
    <w:rsid w:val="009D3672"/>
    <w:rsid w:val="009D3B49"/>
    <w:rsid w:val="009D3C00"/>
    <w:rsid w:val="009D3E49"/>
    <w:rsid w:val="009D3E7F"/>
    <w:rsid w:val="009D42C4"/>
    <w:rsid w:val="009D4550"/>
    <w:rsid w:val="009D461D"/>
    <w:rsid w:val="009D48E6"/>
    <w:rsid w:val="009D4CD9"/>
    <w:rsid w:val="009D5106"/>
    <w:rsid w:val="009D5251"/>
    <w:rsid w:val="009D5564"/>
    <w:rsid w:val="009D59E6"/>
    <w:rsid w:val="009D5A52"/>
    <w:rsid w:val="009D5D62"/>
    <w:rsid w:val="009D5EEF"/>
    <w:rsid w:val="009D5F35"/>
    <w:rsid w:val="009D6565"/>
    <w:rsid w:val="009D65B5"/>
    <w:rsid w:val="009D6E2E"/>
    <w:rsid w:val="009D6F58"/>
    <w:rsid w:val="009D7128"/>
    <w:rsid w:val="009D76FC"/>
    <w:rsid w:val="009D77BF"/>
    <w:rsid w:val="009D7985"/>
    <w:rsid w:val="009D7BA0"/>
    <w:rsid w:val="009D7CD7"/>
    <w:rsid w:val="009E0280"/>
    <w:rsid w:val="009E0449"/>
    <w:rsid w:val="009E057B"/>
    <w:rsid w:val="009E07D3"/>
    <w:rsid w:val="009E0A52"/>
    <w:rsid w:val="009E0CA0"/>
    <w:rsid w:val="009E0D9E"/>
    <w:rsid w:val="009E0F4E"/>
    <w:rsid w:val="009E10B5"/>
    <w:rsid w:val="009E130A"/>
    <w:rsid w:val="009E138A"/>
    <w:rsid w:val="009E1F70"/>
    <w:rsid w:val="009E2F56"/>
    <w:rsid w:val="009E3019"/>
    <w:rsid w:val="009E306F"/>
    <w:rsid w:val="009E320D"/>
    <w:rsid w:val="009E3507"/>
    <w:rsid w:val="009E3947"/>
    <w:rsid w:val="009E3C60"/>
    <w:rsid w:val="009E3E09"/>
    <w:rsid w:val="009E3EA9"/>
    <w:rsid w:val="009E4012"/>
    <w:rsid w:val="009E4338"/>
    <w:rsid w:val="009E45AD"/>
    <w:rsid w:val="009E4601"/>
    <w:rsid w:val="009E49D8"/>
    <w:rsid w:val="009E4A80"/>
    <w:rsid w:val="009E4D7C"/>
    <w:rsid w:val="009E52B7"/>
    <w:rsid w:val="009E53AB"/>
    <w:rsid w:val="009E5419"/>
    <w:rsid w:val="009E56B1"/>
    <w:rsid w:val="009E640D"/>
    <w:rsid w:val="009E66FF"/>
    <w:rsid w:val="009E6736"/>
    <w:rsid w:val="009E6804"/>
    <w:rsid w:val="009E69C8"/>
    <w:rsid w:val="009E70CA"/>
    <w:rsid w:val="009E74F1"/>
    <w:rsid w:val="009E76D8"/>
    <w:rsid w:val="009E793B"/>
    <w:rsid w:val="009E7B14"/>
    <w:rsid w:val="009E7E7E"/>
    <w:rsid w:val="009F01D0"/>
    <w:rsid w:val="009F0203"/>
    <w:rsid w:val="009F0A98"/>
    <w:rsid w:val="009F0B4F"/>
    <w:rsid w:val="009F11AC"/>
    <w:rsid w:val="009F13CC"/>
    <w:rsid w:val="009F1464"/>
    <w:rsid w:val="009F1465"/>
    <w:rsid w:val="009F1771"/>
    <w:rsid w:val="009F1786"/>
    <w:rsid w:val="009F1CD7"/>
    <w:rsid w:val="009F226B"/>
    <w:rsid w:val="009F25C3"/>
    <w:rsid w:val="009F297A"/>
    <w:rsid w:val="009F29D4"/>
    <w:rsid w:val="009F2A7B"/>
    <w:rsid w:val="009F2AAD"/>
    <w:rsid w:val="009F32E9"/>
    <w:rsid w:val="009F3937"/>
    <w:rsid w:val="009F3A7D"/>
    <w:rsid w:val="009F3F1D"/>
    <w:rsid w:val="009F43FE"/>
    <w:rsid w:val="009F46F1"/>
    <w:rsid w:val="009F4898"/>
    <w:rsid w:val="009F4B9F"/>
    <w:rsid w:val="009F4D2B"/>
    <w:rsid w:val="009F4F24"/>
    <w:rsid w:val="009F5091"/>
    <w:rsid w:val="009F51F7"/>
    <w:rsid w:val="009F5286"/>
    <w:rsid w:val="009F558C"/>
    <w:rsid w:val="009F5740"/>
    <w:rsid w:val="009F59C7"/>
    <w:rsid w:val="009F5A3C"/>
    <w:rsid w:val="009F5E80"/>
    <w:rsid w:val="009F6323"/>
    <w:rsid w:val="009F6658"/>
    <w:rsid w:val="009F674B"/>
    <w:rsid w:val="009F68B7"/>
    <w:rsid w:val="009F6BB4"/>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245D"/>
    <w:rsid w:val="00A02646"/>
    <w:rsid w:val="00A02708"/>
    <w:rsid w:val="00A027CB"/>
    <w:rsid w:val="00A02B68"/>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5DA9"/>
    <w:rsid w:val="00A062DD"/>
    <w:rsid w:val="00A0637C"/>
    <w:rsid w:val="00A06396"/>
    <w:rsid w:val="00A0643B"/>
    <w:rsid w:val="00A066C4"/>
    <w:rsid w:val="00A0692F"/>
    <w:rsid w:val="00A06DDC"/>
    <w:rsid w:val="00A06E3F"/>
    <w:rsid w:val="00A0716B"/>
    <w:rsid w:val="00A0736B"/>
    <w:rsid w:val="00A0768B"/>
    <w:rsid w:val="00A07C9D"/>
    <w:rsid w:val="00A1005F"/>
    <w:rsid w:val="00A100B1"/>
    <w:rsid w:val="00A101DE"/>
    <w:rsid w:val="00A1051A"/>
    <w:rsid w:val="00A1068E"/>
    <w:rsid w:val="00A10C5A"/>
    <w:rsid w:val="00A10C84"/>
    <w:rsid w:val="00A10EE6"/>
    <w:rsid w:val="00A11693"/>
    <w:rsid w:val="00A12016"/>
    <w:rsid w:val="00A1219F"/>
    <w:rsid w:val="00A1237B"/>
    <w:rsid w:val="00A127C8"/>
    <w:rsid w:val="00A1293F"/>
    <w:rsid w:val="00A12CAD"/>
    <w:rsid w:val="00A12D1F"/>
    <w:rsid w:val="00A12F5E"/>
    <w:rsid w:val="00A12F9B"/>
    <w:rsid w:val="00A130EA"/>
    <w:rsid w:val="00A130F0"/>
    <w:rsid w:val="00A1328B"/>
    <w:rsid w:val="00A137A9"/>
    <w:rsid w:val="00A1388B"/>
    <w:rsid w:val="00A13DA2"/>
    <w:rsid w:val="00A14090"/>
    <w:rsid w:val="00A14149"/>
    <w:rsid w:val="00A14506"/>
    <w:rsid w:val="00A14735"/>
    <w:rsid w:val="00A1484E"/>
    <w:rsid w:val="00A14896"/>
    <w:rsid w:val="00A14AB8"/>
    <w:rsid w:val="00A14AC3"/>
    <w:rsid w:val="00A14BEC"/>
    <w:rsid w:val="00A14E17"/>
    <w:rsid w:val="00A14E21"/>
    <w:rsid w:val="00A153D8"/>
    <w:rsid w:val="00A15673"/>
    <w:rsid w:val="00A15B76"/>
    <w:rsid w:val="00A15BDC"/>
    <w:rsid w:val="00A15EB8"/>
    <w:rsid w:val="00A163B1"/>
    <w:rsid w:val="00A1686A"/>
    <w:rsid w:val="00A16ACC"/>
    <w:rsid w:val="00A16E83"/>
    <w:rsid w:val="00A17543"/>
    <w:rsid w:val="00A1755C"/>
    <w:rsid w:val="00A175DA"/>
    <w:rsid w:val="00A177A3"/>
    <w:rsid w:val="00A177F0"/>
    <w:rsid w:val="00A17AB3"/>
    <w:rsid w:val="00A17AE9"/>
    <w:rsid w:val="00A20070"/>
    <w:rsid w:val="00A204EA"/>
    <w:rsid w:val="00A20540"/>
    <w:rsid w:val="00A205A8"/>
    <w:rsid w:val="00A205B1"/>
    <w:rsid w:val="00A208BA"/>
    <w:rsid w:val="00A209FE"/>
    <w:rsid w:val="00A21556"/>
    <w:rsid w:val="00A21EE2"/>
    <w:rsid w:val="00A22135"/>
    <w:rsid w:val="00A2226C"/>
    <w:rsid w:val="00A22308"/>
    <w:rsid w:val="00A22623"/>
    <w:rsid w:val="00A2268E"/>
    <w:rsid w:val="00A22878"/>
    <w:rsid w:val="00A22AC5"/>
    <w:rsid w:val="00A22B4E"/>
    <w:rsid w:val="00A23007"/>
    <w:rsid w:val="00A23D3E"/>
    <w:rsid w:val="00A23DD8"/>
    <w:rsid w:val="00A24334"/>
    <w:rsid w:val="00A248BA"/>
    <w:rsid w:val="00A24E42"/>
    <w:rsid w:val="00A2580F"/>
    <w:rsid w:val="00A25913"/>
    <w:rsid w:val="00A259D5"/>
    <w:rsid w:val="00A25A8C"/>
    <w:rsid w:val="00A26086"/>
    <w:rsid w:val="00A2648B"/>
    <w:rsid w:val="00A26B5B"/>
    <w:rsid w:val="00A26F58"/>
    <w:rsid w:val="00A27996"/>
    <w:rsid w:val="00A27BC8"/>
    <w:rsid w:val="00A27C23"/>
    <w:rsid w:val="00A27C9C"/>
    <w:rsid w:val="00A27E0E"/>
    <w:rsid w:val="00A30044"/>
    <w:rsid w:val="00A302E5"/>
    <w:rsid w:val="00A30810"/>
    <w:rsid w:val="00A30876"/>
    <w:rsid w:val="00A308E1"/>
    <w:rsid w:val="00A311D7"/>
    <w:rsid w:val="00A312B0"/>
    <w:rsid w:val="00A3179F"/>
    <w:rsid w:val="00A31BC9"/>
    <w:rsid w:val="00A31D23"/>
    <w:rsid w:val="00A31F72"/>
    <w:rsid w:val="00A32001"/>
    <w:rsid w:val="00A323FA"/>
    <w:rsid w:val="00A324DD"/>
    <w:rsid w:val="00A326AC"/>
    <w:rsid w:val="00A32997"/>
    <w:rsid w:val="00A329F6"/>
    <w:rsid w:val="00A33080"/>
    <w:rsid w:val="00A33464"/>
    <w:rsid w:val="00A337AD"/>
    <w:rsid w:val="00A33893"/>
    <w:rsid w:val="00A33B25"/>
    <w:rsid w:val="00A344C7"/>
    <w:rsid w:val="00A345A4"/>
    <w:rsid w:val="00A348DD"/>
    <w:rsid w:val="00A348E4"/>
    <w:rsid w:val="00A34FBF"/>
    <w:rsid w:val="00A355F5"/>
    <w:rsid w:val="00A3598A"/>
    <w:rsid w:val="00A35995"/>
    <w:rsid w:val="00A35A97"/>
    <w:rsid w:val="00A360D2"/>
    <w:rsid w:val="00A361B7"/>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7E"/>
    <w:rsid w:val="00A40DA2"/>
    <w:rsid w:val="00A40EB5"/>
    <w:rsid w:val="00A41379"/>
    <w:rsid w:val="00A414FE"/>
    <w:rsid w:val="00A416BB"/>
    <w:rsid w:val="00A4183A"/>
    <w:rsid w:val="00A41A34"/>
    <w:rsid w:val="00A41C81"/>
    <w:rsid w:val="00A42019"/>
    <w:rsid w:val="00A42296"/>
    <w:rsid w:val="00A42BE9"/>
    <w:rsid w:val="00A42C63"/>
    <w:rsid w:val="00A42F7F"/>
    <w:rsid w:val="00A42F8B"/>
    <w:rsid w:val="00A43650"/>
    <w:rsid w:val="00A436DF"/>
    <w:rsid w:val="00A43739"/>
    <w:rsid w:val="00A43AAD"/>
    <w:rsid w:val="00A43E53"/>
    <w:rsid w:val="00A43F4C"/>
    <w:rsid w:val="00A44291"/>
    <w:rsid w:val="00A44397"/>
    <w:rsid w:val="00A44B7D"/>
    <w:rsid w:val="00A44D40"/>
    <w:rsid w:val="00A44DD8"/>
    <w:rsid w:val="00A44F0D"/>
    <w:rsid w:val="00A451D6"/>
    <w:rsid w:val="00A455A3"/>
    <w:rsid w:val="00A45901"/>
    <w:rsid w:val="00A459D2"/>
    <w:rsid w:val="00A45ADE"/>
    <w:rsid w:val="00A45D83"/>
    <w:rsid w:val="00A46001"/>
    <w:rsid w:val="00A4603F"/>
    <w:rsid w:val="00A460D5"/>
    <w:rsid w:val="00A46233"/>
    <w:rsid w:val="00A4641A"/>
    <w:rsid w:val="00A46C87"/>
    <w:rsid w:val="00A46E21"/>
    <w:rsid w:val="00A46E2A"/>
    <w:rsid w:val="00A46F3F"/>
    <w:rsid w:val="00A472A1"/>
    <w:rsid w:val="00A47358"/>
    <w:rsid w:val="00A474CF"/>
    <w:rsid w:val="00A479D6"/>
    <w:rsid w:val="00A47C0C"/>
    <w:rsid w:val="00A47D93"/>
    <w:rsid w:val="00A5019E"/>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43"/>
    <w:rsid w:val="00A54523"/>
    <w:rsid w:val="00A5529A"/>
    <w:rsid w:val="00A554D1"/>
    <w:rsid w:val="00A55518"/>
    <w:rsid w:val="00A56189"/>
    <w:rsid w:val="00A56368"/>
    <w:rsid w:val="00A56598"/>
    <w:rsid w:val="00A56B00"/>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E45"/>
    <w:rsid w:val="00A64195"/>
    <w:rsid w:val="00A647E0"/>
    <w:rsid w:val="00A649F1"/>
    <w:rsid w:val="00A6566E"/>
    <w:rsid w:val="00A65A56"/>
    <w:rsid w:val="00A65C49"/>
    <w:rsid w:val="00A65CFE"/>
    <w:rsid w:val="00A6626C"/>
    <w:rsid w:val="00A662E5"/>
    <w:rsid w:val="00A66435"/>
    <w:rsid w:val="00A66529"/>
    <w:rsid w:val="00A66566"/>
    <w:rsid w:val="00A66588"/>
    <w:rsid w:val="00A6758E"/>
    <w:rsid w:val="00A67741"/>
    <w:rsid w:val="00A678E2"/>
    <w:rsid w:val="00A67B42"/>
    <w:rsid w:val="00A67B51"/>
    <w:rsid w:val="00A67F63"/>
    <w:rsid w:val="00A700A6"/>
    <w:rsid w:val="00A70514"/>
    <w:rsid w:val="00A7072F"/>
    <w:rsid w:val="00A709F8"/>
    <w:rsid w:val="00A7103A"/>
    <w:rsid w:val="00A715AB"/>
    <w:rsid w:val="00A716E0"/>
    <w:rsid w:val="00A719A0"/>
    <w:rsid w:val="00A7217B"/>
    <w:rsid w:val="00A723A4"/>
    <w:rsid w:val="00A72408"/>
    <w:rsid w:val="00A725D4"/>
    <w:rsid w:val="00A730C0"/>
    <w:rsid w:val="00A73102"/>
    <w:rsid w:val="00A7322E"/>
    <w:rsid w:val="00A73298"/>
    <w:rsid w:val="00A73ABB"/>
    <w:rsid w:val="00A73B43"/>
    <w:rsid w:val="00A73DFE"/>
    <w:rsid w:val="00A74533"/>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80018"/>
    <w:rsid w:val="00A80258"/>
    <w:rsid w:val="00A81207"/>
    <w:rsid w:val="00A81919"/>
    <w:rsid w:val="00A81927"/>
    <w:rsid w:val="00A81ED2"/>
    <w:rsid w:val="00A81F2F"/>
    <w:rsid w:val="00A81FEE"/>
    <w:rsid w:val="00A8207B"/>
    <w:rsid w:val="00A822E7"/>
    <w:rsid w:val="00A8232D"/>
    <w:rsid w:val="00A823DB"/>
    <w:rsid w:val="00A825E1"/>
    <w:rsid w:val="00A82643"/>
    <w:rsid w:val="00A832CD"/>
    <w:rsid w:val="00A833B3"/>
    <w:rsid w:val="00A8341D"/>
    <w:rsid w:val="00A835C8"/>
    <w:rsid w:val="00A83854"/>
    <w:rsid w:val="00A83A26"/>
    <w:rsid w:val="00A83EE5"/>
    <w:rsid w:val="00A84804"/>
    <w:rsid w:val="00A85238"/>
    <w:rsid w:val="00A8539E"/>
    <w:rsid w:val="00A853F4"/>
    <w:rsid w:val="00A8545C"/>
    <w:rsid w:val="00A855AF"/>
    <w:rsid w:val="00A85970"/>
    <w:rsid w:val="00A859CA"/>
    <w:rsid w:val="00A85C4F"/>
    <w:rsid w:val="00A86202"/>
    <w:rsid w:val="00A86231"/>
    <w:rsid w:val="00A867A4"/>
    <w:rsid w:val="00A86A1D"/>
    <w:rsid w:val="00A86D4D"/>
    <w:rsid w:val="00A87146"/>
    <w:rsid w:val="00A8735D"/>
    <w:rsid w:val="00A874D2"/>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6D1"/>
    <w:rsid w:val="00A91966"/>
    <w:rsid w:val="00A91B41"/>
    <w:rsid w:val="00A91C77"/>
    <w:rsid w:val="00A9214F"/>
    <w:rsid w:val="00A923F7"/>
    <w:rsid w:val="00A928B9"/>
    <w:rsid w:val="00A928D3"/>
    <w:rsid w:val="00A92A96"/>
    <w:rsid w:val="00A92D5F"/>
    <w:rsid w:val="00A9341E"/>
    <w:rsid w:val="00A935BA"/>
    <w:rsid w:val="00A938EA"/>
    <w:rsid w:val="00A9398D"/>
    <w:rsid w:val="00A93AE4"/>
    <w:rsid w:val="00A93F94"/>
    <w:rsid w:val="00A943A2"/>
    <w:rsid w:val="00A944CA"/>
    <w:rsid w:val="00A946E1"/>
    <w:rsid w:val="00A94E0B"/>
    <w:rsid w:val="00A94E16"/>
    <w:rsid w:val="00A94E2E"/>
    <w:rsid w:val="00A94FE6"/>
    <w:rsid w:val="00A95264"/>
    <w:rsid w:val="00A9529C"/>
    <w:rsid w:val="00A95C11"/>
    <w:rsid w:val="00A96401"/>
    <w:rsid w:val="00A96621"/>
    <w:rsid w:val="00A96681"/>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EC"/>
    <w:rsid w:val="00AA0D44"/>
    <w:rsid w:val="00AA11B0"/>
    <w:rsid w:val="00AA1490"/>
    <w:rsid w:val="00AA153A"/>
    <w:rsid w:val="00AA1633"/>
    <w:rsid w:val="00AA186A"/>
    <w:rsid w:val="00AA1E85"/>
    <w:rsid w:val="00AA2050"/>
    <w:rsid w:val="00AA225E"/>
    <w:rsid w:val="00AA2390"/>
    <w:rsid w:val="00AA2631"/>
    <w:rsid w:val="00AA2BEB"/>
    <w:rsid w:val="00AA2C13"/>
    <w:rsid w:val="00AA2F69"/>
    <w:rsid w:val="00AA3278"/>
    <w:rsid w:val="00AA3554"/>
    <w:rsid w:val="00AA362D"/>
    <w:rsid w:val="00AA3689"/>
    <w:rsid w:val="00AA3E7C"/>
    <w:rsid w:val="00AA44B5"/>
    <w:rsid w:val="00AA45EA"/>
    <w:rsid w:val="00AA4613"/>
    <w:rsid w:val="00AA476F"/>
    <w:rsid w:val="00AA55E6"/>
    <w:rsid w:val="00AA5680"/>
    <w:rsid w:val="00AA56C5"/>
    <w:rsid w:val="00AA5746"/>
    <w:rsid w:val="00AA5E05"/>
    <w:rsid w:val="00AA5F34"/>
    <w:rsid w:val="00AA6364"/>
    <w:rsid w:val="00AA6433"/>
    <w:rsid w:val="00AA666E"/>
    <w:rsid w:val="00AA6698"/>
    <w:rsid w:val="00AA66D3"/>
    <w:rsid w:val="00AA678B"/>
    <w:rsid w:val="00AA6CA9"/>
    <w:rsid w:val="00AA6D90"/>
    <w:rsid w:val="00AA741F"/>
    <w:rsid w:val="00AA75A3"/>
    <w:rsid w:val="00AA768E"/>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9E"/>
    <w:rsid w:val="00AB163F"/>
    <w:rsid w:val="00AB1CDA"/>
    <w:rsid w:val="00AB1D3E"/>
    <w:rsid w:val="00AB2447"/>
    <w:rsid w:val="00AB257A"/>
    <w:rsid w:val="00AB2E49"/>
    <w:rsid w:val="00AB3060"/>
    <w:rsid w:val="00AB34B9"/>
    <w:rsid w:val="00AB3635"/>
    <w:rsid w:val="00AB3665"/>
    <w:rsid w:val="00AB3B72"/>
    <w:rsid w:val="00AB3E94"/>
    <w:rsid w:val="00AB3FCC"/>
    <w:rsid w:val="00AB42C0"/>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931"/>
    <w:rsid w:val="00AB6BF2"/>
    <w:rsid w:val="00AB6E9D"/>
    <w:rsid w:val="00AB76FC"/>
    <w:rsid w:val="00AB77BE"/>
    <w:rsid w:val="00AB7CA2"/>
    <w:rsid w:val="00AB7E60"/>
    <w:rsid w:val="00AB7E8E"/>
    <w:rsid w:val="00AB7E90"/>
    <w:rsid w:val="00AC017A"/>
    <w:rsid w:val="00AC0541"/>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BB5"/>
    <w:rsid w:val="00AC2DF3"/>
    <w:rsid w:val="00AC371C"/>
    <w:rsid w:val="00AC39CF"/>
    <w:rsid w:val="00AC3A7C"/>
    <w:rsid w:val="00AC3D4B"/>
    <w:rsid w:val="00AC42F6"/>
    <w:rsid w:val="00AC43E5"/>
    <w:rsid w:val="00AC44DE"/>
    <w:rsid w:val="00AC516C"/>
    <w:rsid w:val="00AC561D"/>
    <w:rsid w:val="00AC5F74"/>
    <w:rsid w:val="00AC65A9"/>
    <w:rsid w:val="00AC67B8"/>
    <w:rsid w:val="00AC6E4B"/>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1538"/>
    <w:rsid w:val="00AD167F"/>
    <w:rsid w:val="00AD17DB"/>
    <w:rsid w:val="00AD1933"/>
    <w:rsid w:val="00AD194F"/>
    <w:rsid w:val="00AD19FA"/>
    <w:rsid w:val="00AD1B8E"/>
    <w:rsid w:val="00AD1D7F"/>
    <w:rsid w:val="00AD1E7E"/>
    <w:rsid w:val="00AD2053"/>
    <w:rsid w:val="00AD2081"/>
    <w:rsid w:val="00AD212F"/>
    <w:rsid w:val="00AD2232"/>
    <w:rsid w:val="00AD24CE"/>
    <w:rsid w:val="00AD24E2"/>
    <w:rsid w:val="00AD2537"/>
    <w:rsid w:val="00AD2D99"/>
    <w:rsid w:val="00AD34D9"/>
    <w:rsid w:val="00AD376B"/>
    <w:rsid w:val="00AD386F"/>
    <w:rsid w:val="00AD387D"/>
    <w:rsid w:val="00AD45A9"/>
    <w:rsid w:val="00AD489C"/>
    <w:rsid w:val="00AD4A4E"/>
    <w:rsid w:val="00AD4ACA"/>
    <w:rsid w:val="00AD4C8F"/>
    <w:rsid w:val="00AD4E56"/>
    <w:rsid w:val="00AD4EE3"/>
    <w:rsid w:val="00AD5377"/>
    <w:rsid w:val="00AD56B0"/>
    <w:rsid w:val="00AD5BD7"/>
    <w:rsid w:val="00AD6067"/>
    <w:rsid w:val="00AD6171"/>
    <w:rsid w:val="00AD626B"/>
    <w:rsid w:val="00AD6348"/>
    <w:rsid w:val="00AD6690"/>
    <w:rsid w:val="00AD6CB6"/>
    <w:rsid w:val="00AD6CF1"/>
    <w:rsid w:val="00AD6E47"/>
    <w:rsid w:val="00AD6ECC"/>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CCA"/>
    <w:rsid w:val="00AE2FCC"/>
    <w:rsid w:val="00AE3462"/>
    <w:rsid w:val="00AE373A"/>
    <w:rsid w:val="00AE414D"/>
    <w:rsid w:val="00AE429A"/>
    <w:rsid w:val="00AE436E"/>
    <w:rsid w:val="00AE4396"/>
    <w:rsid w:val="00AE43D0"/>
    <w:rsid w:val="00AE4B2F"/>
    <w:rsid w:val="00AE530E"/>
    <w:rsid w:val="00AE5452"/>
    <w:rsid w:val="00AE550D"/>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10B3"/>
    <w:rsid w:val="00AF111C"/>
    <w:rsid w:val="00AF116D"/>
    <w:rsid w:val="00AF1403"/>
    <w:rsid w:val="00AF1422"/>
    <w:rsid w:val="00AF14BE"/>
    <w:rsid w:val="00AF15FD"/>
    <w:rsid w:val="00AF17BE"/>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5CE"/>
    <w:rsid w:val="00AF4AD7"/>
    <w:rsid w:val="00AF4E60"/>
    <w:rsid w:val="00AF4FFC"/>
    <w:rsid w:val="00AF505E"/>
    <w:rsid w:val="00AF5437"/>
    <w:rsid w:val="00AF5756"/>
    <w:rsid w:val="00AF5960"/>
    <w:rsid w:val="00AF597F"/>
    <w:rsid w:val="00AF5A64"/>
    <w:rsid w:val="00AF60AB"/>
    <w:rsid w:val="00AF6653"/>
    <w:rsid w:val="00AF6847"/>
    <w:rsid w:val="00AF6AD6"/>
    <w:rsid w:val="00AF6CB7"/>
    <w:rsid w:val="00AF6D10"/>
    <w:rsid w:val="00AF6ECA"/>
    <w:rsid w:val="00AF711E"/>
    <w:rsid w:val="00AF744A"/>
    <w:rsid w:val="00AF7B0E"/>
    <w:rsid w:val="00AF7B34"/>
    <w:rsid w:val="00AF7B35"/>
    <w:rsid w:val="00AF7C2B"/>
    <w:rsid w:val="00B000CA"/>
    <w:rsid w:val="00B002A4"/>
    <w:rsid w:val="00B00665"/>
    <w:rsid w:val="00B01073"/>
    <w:rsid w:val="00B010D7"/>
    <w:rsid w:val="00B01C2F"/>
    <w:rsid w:val="00B01EAC"/>
    <w:rsid w:val="00B01F1C"/>
    <w:rsid w:val="00B0204B"/>
    <w:rsid w:val="00B02144"/>
    <w:rsid w:val="00B02411"/>
    <w:rsid w:val="00B0250B"/>
    <w:rsid w:val="00B025B3"/>
    <w:rsid w:val="00B027F9"/>
    <w:rsid w:val="00B02803"/>
    <w:rsid w:val="00B029FB"/>
    <w:rsid w:val="00B02A56"/>
    <w:rsid w:val="00B02D53"/>
    <w:rsid w:val="00B0364F"/>
    <w:rsid w:val="00B038D3"/>
    <w:rsid w:val="00B03D27"/>
    <w:rsid w:val="00B03DFD"/>
    <w:rsid w:val="00B03E7C"/>
    <w:rsid w:val="00B03EEC"/>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FF6"/>
    <w:rsid w:val="00B06068"/>
    <w:rsid w:val="00B060F1"/>
    <w:rsid w:val="00B061D3"/>
    <w:rsid w:val="00B06ACF"/>
    <w:rsid w:val="00B06D23"/>
    <w:rsid w:val="00B075EE"/>
    <w:rsid w:val="00B07A62"/>
    <w:rsid w:val="00B07AA0"/>
    <w:rsid w:val="00B07AB5"/>
    <w:rsid w:val="00B07B36"/>
    <w:rsid w:val="00B07F2E"/>
    <w:rsid w:val="00B1016F"/>
    <w:rsid w:val="00B10210"/>
    <w:rsid w:val="00B107B6"/>
    <w:rsid w:val="00B107FA"/>
    <w:rsid w:val="00B109D6"/>
    <w:rsid w:val="00B10B88"/>
    <w:rsid w:val="00B10C40"/>
    <w:rsid w:val="00B10E5B"/>
    <w:rsid w:val="00B110FF"/>
    <w:rsid w:val="00B111BB"/>
    <w:rsid w:val="00B1128C"/>
    <w:rsid w:val="00B11290"/>
    <w:rsid w:val="00B113D3"/>
    <w:rsid w:val="00B118DE"/>
    <w:rsid w:val="00B11EAC"/>
    <w:rsid w:val="00B11EF3"/>
    <w:rsid w:val="00B12524"/>
    <w:rsid w:val="00B12AE6"/>
    <w:rsid w:val="00B12B08"/>
    <w:rsid w:val="00B12C3F"/>
    <w:rsid w:val="00B12CE6"/>
    <w:rsid w:val="00B12D85"/>
    <w:rsid w:val="00B12DF3"/>
    <w:rsid w:val="00B12E33"/>
    <w:rsid w:val="00B12E9C"/>
    <w:rsid w:val="00B136DB"/>
    <w:rsid w:val="00B13A62"/>
    <w:rsid w:val="00B13CCF"/>
    <w:rsid w:val="00B13EC4"/>
    <w:rsid w:val="00B14018"/>
    <w:rsid w:val="00B1411A"/>
    <w:rsid w:val="00B1427E"/>
    <w:rsid w:val="00B14519"/>
    <w:rsid w:val="00B149CE"/>
    <w:rsid w:val="00B1513E"/>
    <w:rsid w:val="00B151A3"/>
    <w:rsid w:val="00B15509"/>
    <w:rsid w:val="00B155A9"/>
    <w:rsid w:val="00B1592E"/>
    <w:rsid w:val="00B15AE9"/>
    <w:rsid w:val="00B16164"/>
    <w:rsid w:val="00B161BC"/>
    <w:rsid w:val="00B165F8"/>
    <w:rsid w:val="00B1663A"/>
    <w:rsid w:val="00B167A3"/>
    <w:rsid w:val="00B167B7"/>
    <w:rsid w:val="00B1688F"/>
    <w:rsid w:val="00B16BBE"/>
    <w:rsid w:val="00B172BA"/>
    <w:rsid w:val="00B17545"/>
    <w:rsid w:val="00B178B8"/>
    <w:rsid w:val="00B179E6"/>
    <w:rsid w:val="00B17B44"/>
    <w:rsid w:val="00B17C3B"/>
    <w:rsid w:val="00B2015C"/>
    <w:rsid w:val="00B202A6"/>
    <w:rsid w:val="00B20696"/>
    <w:rsid w:val="00B20D7E"/>
    <w:rsid w:val="00B20F73"/>
    <w:rsid w:val="00B214E6"/>
    <w:rsid w:val="00B21714"/>
    <w:rsid w:val="00B21A92"/>
    <w:rsid w:val="00B22076"/>
    <w:rsid w:val="00B222C9"/>
    <w:rsid w:val="00B225A2"/>
    <w:rsid w:val="00B226F1"/>
    <w:rsid w:val="00B22A6B"/>
    <w:rsid w:val="00B22EBD"/>
    <w:rsid w:val="00B2338D"/>
    <w:rsid w:val="00B233F9"/>
    <w:rsid w:val="00B235D6"/>
    <w:rsid w:val="00B236A4"/>
    <w:rsid w:val="00B236A6"/>
    <w:rsid w:val="00B23874"/>
    <w:rsid w:val="00B238C0"/>
    <w:rsid w:val="00B23D6C"/>
    <w:rsid w:val="00B24054"/>
    <w:rsid w:val="00B242D9"/>
    <w:rsid w:val="00B2436A"/>
    <w:rsid w:val="00B24412"/>
    <w:rsid w:val="00B244D6"/>
    <w:rsid w:val="00B248A1"/>
    <w:rsid w:val="00B249E0"/>
    <w:rsid w:val="00B24BA7"/>
    <w:rsid w:val="00B24D5A"/>
    <w:rsid w:val="00B25223"/>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2CD"/>
    <w:rsid w:val="00B40358"/>
    <w:rsid w:val="00B4067C"/>
    <w:rsid w:val="00B40CAB"/>
    <w:rsid w:val="00B40E0A"/>
    <w:rsid w:val="00B40EAE"/>
    <w:rsid w:val="00B40EB7"/>
    <w:rsid w:val="00B40FF4"/>
    <w:rsid w:val="00B41146"/>
    <w:rsid w:val="00B41269"/>
    <w:rsid w:val="00B417A6"/>
    <w:rsid w:val="00B419E4"/>
    <w:rsid w:val="00B41E5B"/>
    <w:rsid w:val="00B41E8C"/>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5CD"/>
    <w:rsid w:val="00B44716"/>
    <w:rsid w:val="00B45271"/>
    <w:rsid w:val="00B45297"/>
    <w:rsid w:val="00B457F8"/>
    <w:rsid w:val="00B459C1"/>
    <w:rsid w:val="00B45F14"/>
    <w:rsid w:val="00B4601A"/>
    <w:rsid w:val="00B462AB"/>
    <w:rsid w:val="00B46B8B"/>
    <w:rsid w:val="00B46DDF"/>
    <w:rsid w:val="00B46E17"/>
    <w:rsid w:val="00B46F49"/>
    <w:rsid w:val="00B4710E"/>
    <w:rsid w:val="00B47302"/>
    <w:rsid w:val="00B475B3"/>
    <w:rsid w:val="00B476FE"/>
    <w:rsid w:val="00B50149"/>
    <w:rsid w:val="00B501E8"/>
    <w:rsid w:val="00B50493"/>
    <w:rsid w:val="00B50613"/>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38EF"/>
    <w:rsid w:val="00B53CF1"/>
    <w:rsid w:val="00B53E88"/>
    <w:rsid w:val="00B540C4"/>
    <w:rsid w:val="00B54632"/>
    <w:rsid w:val="00B54772"/>
    <w:rsid w:val="00B5493F"/>
    <w:rsid w:val="00B54AB4"/>
    <w:rsid w:val="00B54EA7"/>
    <w:rsid w:val="00B5500C"/>
    <w:rsid w:val="00B55244"/>
    <w:rsid w:val="00B553FB"/>
    <w:rsid w:val="00B55553"/>
    <w:rsid w:val="00B55632"/>
    <w:rsid w:val="00B5565E"/>
    <w:rsid w:val="00B5579C"/>
    <w:rsid w:val="00B55836"/>
    <w:rsid w:val="00B55B14"/>
    <w:rsid w:val="00B56334"/>
    <w:rsid w:val="00B56349"/>
    <w:rsid w:val="00B5637A"/>
    <w:rsid w:val="00B56774"/>
    <w:rsid w:val="00B56A76"/>
    <w:rsid w:val="00B57166"/>
    <w:rsid w:val="00B57445"/>
    <w:rsid w:val="00B5769B"/>
    <w:rsid w:val="00B577CF"/>
    <w:rsid w:val="00B57923"/>
    <w:rsid w:val="00B57C2E"/>
    <w:rsid w:val="00B57C57"/>
    <w:rsid w:val="00B57F74"/>
    <w:rsid w:val="00B57F91"/>
    <w:rsid w:val="00B603EA"/>
    <w:rsid w:val="00B60858"/>
    <w:rsid w:val="00B608F0"/>
    <w:rsid w:val="00B60BC4"/>
    <w:rsid w:val="00B60BCC"/>
    <w:rsid w:val="00B6103E"/>
    <w:rsid w:val="00B61B97"/>
    <w:rsid w:val="00B61FFE"/>
    <w:rsid w:val="00B621D0"/>
    <w:rsid w:val="00B62311"/>
    <w:rsid w:val="00B62313"/>
    <w:rsid w:val="00B62525"/>
    <w:rsid w:val="00B627E9"/>
    <w:rsid w:val="00B628AB"/>
    <w:rsid w:val="00B62F4F"/>
    <w:rsid w:val="00B632AB"/>
    <w:rsid w:val="00B63682"/>
    <w:rsid w:val="00B63ABC"/>
    <w:rsid w:val="00B646F8"/>
    <w:rsid w:val="00B648E5"/>
    <w:rsid w:val="00B64C0A"/>
    <w:rsid w:val="00B64EA4"/>
    <w:rsid w:val="00B65109"/>
    <w:rsid w:val="00B65545"/>
    <w:rsid w:val="00B656A8"/>
    <w:rsid w:val="00B65804"/>
    <w:rsid w:val="00B6615D"/>
    <w:rsid w:val="00B666D5"/>
    <w:rsid w:val="00B669C0"/>
    <w:rsid w:val="00B66A2F"/>
    <w:rsid w:val="00B66B6B"/>
    <w:rsid w:val="00B66FEA"/>
    <w:rsid w:val="00B67242"/>
    <w:rsid w:val="00B672BB"/>
    <w:rsid w:val="00B677E1"/>
    <w:rsid w:val="00B701ED"/>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C49"/>
    <w:rsid w:val="00B72F9D"/>
    <w:rsid w:val="00B731EB"/>
    <w:rsid w:val="00B73D2C"/>
    <w:rsid w:val="00B74114"/>
    <w:rsid w:val="00B7414E"/>
    <w:rsid w:val="00B74BAB"/>
    <w:rsid w:val="00B74D09"/>
    <w:rsid w:val="00B74DFE"/>
    <w:rsid w:val="00B751E3"/>
    <w:rsid w:val="00B75208"/>
    <w:rsid w:val="00B75512"/>
    <w:rsid w:val="00B75577"/>
    <w:rsid w:val="00B75977"/>
    <w:rsid w:val="00B75CAD"/>
    <w:rsid w:val="00B75DF3"/>
    <w:rsid w:val="00B75E02"/>
    <w:rsid w:val="00B76127"/>
    <w:rsid w:val="00B761E0"/>
    <w:rsid w:val="00B76410"/>
    <w:rsid w:val="00B76EA0"/>
    <w:rsid w:val="00B7709D"/>
    <w:rsid w:val="00B7715C"/>
    <w:rsid w:val="00B772B9"/>
    <w:rsid w:val="00B772CD"/>
    <w:rsid w:val="00B775EA"/>
    <w:rsid w:val="00B77D55"/>
    <w:rsid w:val="00B77DCE"/>
    <w:rsid w:val="00B77E24"/>
    <w:rsid w:val="00B77E92"/>
    <w:rsid w:val="00B77F06"/>
    <w:rsid w:val="00B80299"/>
    <w:rsid w:val="00B802CF"/>
    <w:rsid w:val="00B80322"/>
    <w:rsid w:val="00B807F0"/>
    <w:rsid w:val="00B80917"/>
    <w:rsid w:val="00B8099D"/>
    <w:rsid w:val="00B80B02"/>
    <w:rsid w:val="00B80F74"/>
    <w:rsid w:val="00B8134E"/>
    <w:rsid w:val="00B8137D"/>
    <w:rsid w:val="00B81452"/>
    <w:rsid w:val="00B818E9"/>
    <w:rsid w:val="00B82074"/>
    <w:rsid w:val="00B82316"/>
    <w:rsid w:val="00B82878"/>
    <w:rsid w:val="00B82A5E"/>
    <w:rsid w:val="00B83334"/>
    <w:rsid w:val="00B8358C"/>
    <w:rsid w:val="00B835F7"/>
    <w:rsid w:val="00B83728"/>
    <w:rsid w:val="00B83956"/>
    <w:rsid w:val="00B83E57"/>
    <w:rsid w:val="00B841F4"/>
    <w:rsid w:val="00B845FF"/>
    <w:rsid w:val="00B849DE"/>
    <w:rsid w:val="00B84C90"/>
    <w:rsid w:val="00B84E56"/>
    <w:rsid w:val="00B84F2D"/>
    <w:rsid w:val="00B85107"/>
    <w:rsid w:val="00B85156"/>
    <w:rsid w:val="00B85554"/>
    <w:rsid w:val="00B855F1"/>
    <w:rsid w:val="00B857C5"/>
    <w:rsid w:val="00B85821"/>
    <w:rsid w:val="00B85F68"/>
    <w:rsid w:val="00B85FD4"/>
    <w:rsid w:val="00B86861"/>
    <w:rsid w:val="00B86CBF"/>
    <w:rsid w:val="00B86D3D"/>
    <w:rsid w:val="00B86EC5"/>
    <w:rsid w:val="00B86F92"/>
    <w:rsid w:val="00B86FCC"/>
    <w:rsid w:val="00B87194"/>
    <w:rsid w:val="00B87697"/>
    <w:rsid w:val="00B878C3"/>
    <w:rsid w:val="00B87CAB"/>
    <w:rsid w:val="00B87FDE"/>
    <w:rsid w:val="00B90090"/>
    <w:rsid w:val="00B9019C"/>
    <w:rsid w:val="00B902AF"/>
    <w:rsid w:val="00B90522"/>
    <w:rsid w:val="00B91014"/>
    <w:rsid w:val="00B9101E"/>
    <w:rsid w:val="00B911E3"/>
    <w:rsid w:val="00B914F7"/>
    <w:rsid w:val="00B917E4"/>
    <w:rsid w:val="00B918E1"/>
    <w:rsid w:val="00B91BD9"/>
    <w:rsid w:val="00B91E6D"/>
    <w:rsid w:val="00B9200F"/>
    <w:rsid w:val="00B92369"/>
    <w:rsid w:val="00B9277F"/>
    <w:rsid w:val="00B928FE"/>
    <w:rsid w:val="00B92B2E"/>
    <w:rsid w:val="00B92B34"/>
    <w:rsid w:val="00B93035"/>
    <w:rsid w:val="00B93292"/>
    <w:rsid w:val="00B93583"/>
    <w:rsid w:val="00B93832"/>
    <w:rsid w:val="00B93AC8"/>
    <w:rsid w:val="00B93B30"/>
    <w:rsid w:val="00B93D3E"/>
    <w:rsid w:val="00B93DF1"/>
    <w:rsid w:val="00B93EF3"/>
    <w:rsid w:val="00B9431C"/>
    <w:rsid w:val="00B948A6"/>
    <w:rsid w:val="00B94C91"/>
    <w:rsid w:val="00B94D6F"/>
    <w:rsid w:val="00B94E8D"/>
    <w:rsid w:val="00B94EEB"/>
    <w:rsid w:val="00B9517D"/>
    <w:rsid w:val="00B95191"/>
    <w:rsid w:val="00B95549"/>
    <w:rsid w:val="00B9573A"/>
    <w:rsid w:val="00B95984"/>
    <w:rsid w:val="00B95A3E"/>
    <w:rsid w:val="00B95DD2"/>
    <w:rsid w:val="00B95FFA"/>
    <w:rsid w:val="00B9685E"/>
    <w:rsid w:val="00B97215"/>
    <w:rsid w:val="00B97E67"/>
    <w:rsid w:val="00BA0474"/>
    <w:rsid w:val="00BA04A8"/>
    <w:rsid w:val="00BA075B"/>
    <w:rsid w:val="00BA0959"/>
    <w:rsid w:val="00BA09E7"/>
    <w:rsid w:val="00BA0D77"/>
    <w:rsid w:val="00BA0D79"/>
    <w:rsid w:val="00BA0F45"/>
    <w:rsid w:val="00BA110D"/>
    <w:rsid w:val="00BA13A4"/>
    <w:rsid w:val="00BA1551"/>
    <w:rsid w:val="00BA1707"/>
    <w:rsid w:val="00BA1812"/>
    <w:rsid w:val="00BA191E"/>
    <w:rsid w:val="00BA1962"/>
    <w:rsid w:val="00BA1BF6"/>
    <w:rsid w:val="00BA21DC"/>
    <w:rsid w:val="00BA24D2"/>
    <w:rsid w:val="00BA285E"/>
    <w:rsid w:val="00BA29F7"/>
    <w:rsid w:val="00BA2DFC"/>
    <w:rsid w:val="00BA2F1D"/>
    <w:rsid w:val="00BA310A"/>
    <w:rsid w:val="00BA344E"/>
    <w:rsid w:val="00BA34D1"/>
    <w:rsid w:val="00BA34EA"/>
    <w:rsid w:val="00BA3654"/>
    <w:rsid w:val="00BA3B11"/>
    <w:rsid w:val="00BA3C11"/>
    <w:rsid w:val="00BA3D11"/>
    <w:rsid w:val="00BA3F7E"/>
    <w:rsid w:val="00BA400A"/>
    <w:rsid w:val="00BA408B"/>
    <w:rsid w:val="00BA4146"/>
    <w:rsid w:val="00BA447B"/>
    <w:rsid w:val="00BA449D"/>
    <w:rsid w:val="00BA4825"/>
    <w:rsid w:val="00BA489F"/>
    <w:rsid w:val="00BA4DD6"/>
    <w:rsid w:val="00BA510D"/>
    <w:rsid w:val="00BA529C"/>
    <w:rsid w:val="00BA5B34"/>
    <w:rsid w:val="00BA62B3"/>
    <w:rsid w:val="00BA63BB"/>
    <w:rsid w:val="00BA6721"/>
    <w:rsid w:val="00BA68A9"/>
    <w:rsid w:val="00BA6AA7"/>
    <w:rsid w:val="00BA6CA4"/>
    <w:rsid w:val="00BA709A"/>
    <w:rsid w:val="00BA74F5"/>
    <w:rsid w:val="00BA74FC"/>
    <w:rsid w:val="00BA776A"/>
    <w:rsid w:val="00BA7C23"/>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DCE"/>
    <w:rsid w:val="00BB33FF"/>
    <w:rsid w:val="00BB3DCD"/>
    <w:rsid w:val="00BB3E3D"/>
    <w:rsid w:val="00BB4324"/>
    <w:rsid w:val="00BB44DA"/>
    <w:rsid w:val="00BB4920"/>
    <w:rsid w:val="00BB494E"/>
    <w:rsid w:val="00BB4968"/>
    <w:rsid w:val="00BB4A5C"/>
    <w:rsid w:val="00BB4B6D"/>
    <w:rsid w:val="00BB4BEC"/>
    <w:rsid w:val="00BB4C76"/>
    <w:rsid w:val="00BB4E1B"/>
    <w:rsid w:val="00BB5562"/>
    <w:rsid w:val="00BB57BD"/>
    <w:rsid w:val="00BB58AA"/>
    <w:rsid w:val="00BB5F30"/>
    <w:rsid w:val="00BB621C"/>
    <w:rsid w:val="00BB6304"/>
    <w:rsid w:val="00BB6633"/>
    <w:rsid w:val="00BB6AB4"/>
    <w:rsid w:val="00BB764E"/>
    <w:rsid w:val="00BB77C3"/>
    <w:rsid w:val="00BB7999"/>
    <w:rsid w:val="00BB7A73"/>
    <w:rsid w:val="00BC0137"/>
    <w:rsid w:val="00BC0273"/>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08F"/>
    <w:rsid w:val="00BC31E1"/>
    <w:rsid w:val="00BC34C3"/>
    <w:rsid w:val="00BC37C8"/>
    <w:rsid w:val="00BC3821"/>
    <w:rsid w:val="00BC3A1B"/>
    <w:rsid w:val="00BC3FFE"/>
    <w:rsid w:val="00BC40FD"/>
    <w:rsid w:val="00BC4521"/>
    <w:rsid w:val="00BC4761"/>
    <w:rsid w:val="00BC485F"/>
    <w:rsid w:val="00BC48B5"/>
    <w:rsid w:val="00BC490C"/>
    <w:rsid w:val="00BC4CC2"/>
    <w:rsid w:val="00BC4DFC"/>
    <w:rsid w:val="00BC57C6"/>
    <w:rsid w:val="00BC5B21"/>
    <w:rsid w:val="00BC5D1E"/>
    <w:rsid w:val="00BC6168"/>
    <w:rsid w:val="00BC6470"/>
    <w:rsid w:val="00BC694F"/>
    <w:rsid w:val="00BC6D9D"/>
    <w:rsid w:val="00BC7FEF"/>
    <w:rsid w:val="00BD03B0"/>
    <w:rsid w:val="00BD04B4"/>
    <w:rsid w:val="00BD0797"/>
    <w:rsid w:val="00BD0875"/>
    <w:rsid w:val="00BD0EDF"/>
    <w:rsid w:val="00BD1268"/>
    <w:rsid w:val="00BD1361"/>
    <w:rsid w:val="00BD1A79"/>
    <w:rsid w:val="00BD1DEB"/>
    <w:rsid w:val="00BD2378"/>
    <w:rsid w:val="00BD2380"/>
    <w:rsid w:val="00BD243A"/>
    <w:rsid w:val="00BD2795"/>
    <w:rsid w:val="00BD2896"/>
    <w:rsid w:val="00BD2B39"/>
    <w:rsid w:val="00BD30D1"/>
    <w:rsid w:val="00BD32E8"/>
    <w:rsid w:val="00BD3567"/>
    <w:rsid w:val="00BD3736"/>
    <w:rsid w:val="00BD3A2C"/>
    <w:rsid w:val="00BD3AB2"/>
    <w:rsid w:val="00BD3F0D"/>
    <w:rsid w:val="00BD429F"/>
    <w:rsid w:val="00BD4410"/>
    <w:rsid w:val="00BD46EA"/>
    <w:rsid w:val="00BD4BB0"/>
    <w:rsid w:val="00BD4C1E"/>
    <w:rsid w:val="00BD4D80"/>
    <w:rsid w:val="00BD4F01"/>
    <w:rsid w:val="00BD51D0"/>
    <w:rsid w:val="00BD5736"/>
    <w:rsid w:val="00BD61A2"/>
    <w:rsid w:val="00BD6263"/>
    <w:rsid w:val="00BD6365"/>
    <w:rsid w:val="00BD69B6"/>
    <w:rsid w:val="00BD69ED"/>
    <w:rsid w:val="00BD6FED"/>
    <w:rsid w:val="00BD7352"/>
    <w:rsid w:val="00BD7B62"/>
    <w:rsid w:val="00BD7D61"/>
    <w:rsid w:val="00BD7E86"/>
    <w:rsid w:val="00BE01B0"/>
    <w:rsid w:val="00BE0318"/>
    <w:rsid w:val="00BE05D4"/>
    <w:rsid w:val="00BE0C0B"/>
    <w:rsid w:val="00BE0D3E"/>
    <w:rsid w:val="00BE0E64"/>
    <w:rsid w:val="00BE0E8C"/>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200"/>
    <w:rsid w:val="00BE33F9"/>
    <w:rsid w:val="00BE340E"/>
    <w:rsid w:val="00BE3612"/>
    <w:rsid w:val="00BE382A"/>
    <w:rsid w:val="00BE3EBC"/>
    <w:rsid w:val="00BE40E1"/>
    <w:rsid w:val="00BE4252"/>
    <w:rsid w:val="00BE449D"/>
    <w:rsid w:val="00BE4535"/>
    <w:rsid w:val="00BE4FA6"/>
    <w:rsid w:val="00BE506F"/>
    <w:rsid w:val="00BE5299"/>
    <w:rsid w:val="00BE52AE"/>
    <w:rsid w:val="00BE5696"/>
    <w:rsid w:val="00BE58E9"/>
    <w:rsid w:val="00BE619C"/>
    <w:rsid w:val="00BE627C"/>
    <w:rsid w:val="00BE6305"/>
    <w:rsid w:val="00BE66C5"/>
    <w:rsid w:val="00BE6A94"/>
    <w:rsid w:val="00BE6B8E"/>
    <w:rsid w:val="00BE6C0F"/>
    <w:rsid w:val="00BE7316"/>
    <w:rsid w:val="00BE783B"/>
    <w:rsid w:val="00BF01ED"/>
    <w:rsid w:val="00BF036A"/>
    <w:rsid w:val="00BF03E0"/>
    <w:rsid w:val="00BF046B"/>
    <w:rsid w:val="00BF0742"/>
    <w:rsid w:val="00BF130C"/>
    <w:rsid w:val="00BF1470"/>
    <w:rsid w:val="00BF1682"/>
    <w:rsid w:val="00BF1B5E"/>
    <w:rsid w:val="00BF245F"/>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C6B"/>
    <w:rsid w:val="00BF5D76"/>
    <w:rsid w:val="00BF61BB"/>
    <w:rsid w:val="00BF61C1"/>
    <w:rsid w:val="00BF65F1"/>
    <w:rsid w:val="00BF68F8"/>
    <w:rsid w:val="00BF6958"/>
    <w:rsid w:val="00BF6A3E"/>
    <w:rsid w:val="00BF6ACD"/>
    <w:rsid w:val="00BF6F14"/>
    <w:rsid w:val="00BF7166"/>
    <w:rsid w:val="00BF7474"/>
    <w:rsid w:val="00BF789F"/>
    <w:rsid w:val="00BF7C96"/>
    <w:rsid w:val="00C00242"/>
    <w:rsid w:val="00C00308"/>
    <w:rsid w:val="00C004AD"/>
    <w:rsid w:val="00C0050D"/>
    <w:rsid w:val="00C00620"/>
    <w:rsid w:val="00C0120B"/>
    <w:rsid w:val="00C014E7"/>
    <w:rsid w:val="00C015F0"/>
    <w:rsid w:val="00C01B4B"/>
    <w:rsid w:val="00C01CCA"/>
    <w:rsid w:val="00C01F31"/>
    <w:rsid w:val="00C0236B"/>
    <w:rsid w:val="00C027A9"/>
    <w:rsid w:val="00C028AF"/>
    <w:rsid w:val="00C0296B"/>
    <w:rsid w:val="00C03118"/>
    <w:rsid w:val="00C03171"/>
    <w:rsid w:val="00C03BF5"/>
    <w:rsid w:val="00C03D64"/>
    <w:rsid w:val="00C04884"/>
    <w:rsid w:val="00C05120"/>
    <w:rsid w:val="00C05668"/>
    <w:rsid w:val="00C05886"/>
    <w:rsid w:val="00C05AA1"/>
    <w:rsid w:val="00C05F33"/>
    <w:rsid w:val="00C0624A"/>
    <w:rsid w:val="00C063B6"/>
    <w:rsid w:val="00C0679F"/>
    <w:rsid w:val="00C06C43"/>
    <w:rsid w:val="00C06CF6"/>
    <w:rsid w:val="00C0727B"/>
    <w:rsid w:val="00C0787E"/>
    <w:rsid w:val="00C07B21"/>
    <w:rsid w:val="00C102B9"/>
    <w:rsid w:val="00C10706"/>
    <w:rsid w:val="00C108E9"/>
    <w:rsid w:val="00C10911"/>
    <w:rsid w:val="00C10B73"/>
    <w:rsid w:val="00C10D4B"/>
    <w:rsid w:val="00C1204F"/>
    <w:rsid w:val="00C12224"/>
    <w:rsid w:val="00C12331"/>
    <w:rsid w:val="00C12540"/>
    <w:rsid w:val="00C12677"/>
    <w:rsid w:val="00C12897"/>
    <w:rsid w:val="00C12912"/>
    <w:rsid w:val="00C12A14"/>
    <w:rsid w:val="00C12ECA"/>
    <w:rsid w:val="00C13111"/>
    <w:rsid w:val="00C13214"/>
    <w:rsid w:val="00C13802"/>
    <w:rsid w:val="00C13C38"/>
    <w:rsid w:val="00C13FF1"/>
    <w:rsid w:val="00C1470C"/>
    <w:rsid w:val="00C14721"/>
    <w:rsid w:val="00C14C34"/>
    <w:rsid w:val="00C14D31"/>
    <w:rsid w:val="00C14EA3"/>
    <w:rsid w:val="00C14EE7"/>
    <w:rsid w:val="00C151A9"/>
    <w:rsid w:val="00C1527D"/>
    <w:rsid w:val="00C156C8"/>
    <w:rsid w:val="00C15804"/>
    <w:rsid w:val="00C15933"/>
    <w:rsid w:val="00C159F6"/>
    <w:rsid w:val="00C15C3A"/>
    <w:rsid w:val="00C15CDE"/>
    <w:rsid w:val="00C15DE2"/>
    <w:rsid w:val="00C15E47"/>
    <w:rsid w:val="00C15EB6"/>
    <w:rsid w:val="00C15FB3"/>
    <w:rsid w:val="00C16243"/>
    <w:rsid w:val="00C164A0"/>
    <w:rsid w:val="00C165D3"/>
    <w:rsid w:val="00C16786"/>
    <w:rsid w:val="00C1682D"/>
    <w:rsid w:val="00C168B2"/>
    <w:rsid w:val="00C169E8"/>
    <w:rsid w:val="00C16B87"/>
    <w:rsid w:val="00C16C63"/>
    <w:rsid w:val="00C175AA"/>
    <w:rsid w:val="00C20384"/>
    <w:rsid w:val="00C20A76"/>
    <w:rsid w:val="00C20B22"/>
    <w:rsid w:val="00C20BC7"/>
    <w:rsid w:val="00C20EFD"/>
    <w:rsid w:val="00C21003"/>
    <w:rsid w:val="00C210D9"/>
    <w:rsid w:val="00C211A0"/>
    <w:rsid w:val="00C21628"/>
    <w:rsid w:val="00C21BDD"/>
    <w:rsid w:val="00C21E28"/>
    <w:rsid w:val="00C221FD"/>
    <w:rsid w:val="00C22266"/>
    <w:rsid w:val="00C22552"/>
    <w:rsid w:val="00C225D3"/>
    <w:rsid w:val="00C2271D"/>
    <w:rsid w:val="00C2283F"/>
    <w:rsid w:val="00C229C0"/>
    <w:rsid w:val="00C22E9B"/>
    <w:rsid w:val="00C230F3"/>
    <w:rsid w:val="00C234BB"/>
    <w:rsid w:val="00C23541"/>
    <w:rsid w:val="00C236C2"/>
    <w:rsid w:val="00C2418E"/>
    <w:rsid w:val="00C24537"/>
    <w:rsid w:val="00C245F4"/>
    <w:rsid w:val="00C24808"/>
    <w:rsid w:val="00C24AA2"/>
    <w:rsid w:val="00C24B24"/>
    <w:rsid w:val="00C25178"/>
    <w:rsid w:val="00C25355"/>
    <w:rsid w:val="00C25ADC"/>
    <w:rsid w:val="00C26668"/>
    <w:rsid w:val="00C26921"/>
    <w:rsid w:val="00C26AC1"/>
    <w:rsid w:val="00C26AF8"/>
    <w:rsid w:val="00C26E0F"/>
    <w:rsid w:val="00C26EE2"/>
    <w:rsid w:val="00C26FD3"/>
    <w:rsid w:val="00C2730B"/>
    <w:rsid w:val="00C27565"/>
    <w:rsid w:val="00C277A7"/>
    <w:rsid w:val="00C27C12"/>
    <w:rsid w:val="00C27EA5"/>
    <w:rsid w:val="00C27F2C"/>
    <w:rsid w:val="00C30395"/>
    <w:rsid w:val="00C304AB"/>
    <w:rsid w:val="00C30654"/>
    <w:rsid w:val="00C3088D"/>
    <w:rsid w:val="00C308F9"/>
    <w:rsid w:val="00C30AE7"/>
    <w:rsid w:val="00C3109E"/>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4069"/>
    <w:rsid w:val="00C34378"/>
    <w:rsid w:val="00C34458"/>
    <w:rsid w:val="00C34D34"/>
    <w:rsid w:val="00C34D93"/>
    <w:rsid w:val="00C3564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607"/>
    <w:rsid w:val="00C417C6"/>
    <w:rsid w:val="00C41CAA"/>
    <w:rsid w:val="00C42004"/>
    <w:rsid w:val="00C4229B"/>
    <w:rsid w:val="00C422C7"/>
    <w:rsid w:val="00C42A81"/>
    <w:rsid w:val="00C42F05"/>
    <w:rsid w:val="00C432B5"/>
    <w:rsid w:val="00C4349A"/>
    <w:rsid w:val="00C4382E"/>
    <w:rsid w:val="00C43845"/>
    <w:rsid w:val="00C43D59"/>
    <w:rsid w:val="00C43FAF"/>
    <w:rsid w:val="00C443BB"/>
    <w:rsid w:val="00C4454E"/>
    <w:rsid w:val="00C44C3C"/>
    <w:rsid w:val="00C44E34"/>
    <w:rsid w:val="00C44FE5"/>
    <w:rsid w:val="00C4532A"/>
    <w:rsid w:val="00C45719"/>
    <w:rsid w:val="00C45A36"/>
    <w:rsid w:val="00C45AA8"/>
    <w:rsid w:val="00C45DA4"/>
    <w:rsid w:val="00C46112"/>
    <w:rsid w:val="00C463D4"/>
    <w:rsid w:val="00C46594"/>
    <w:rsid w:val="00C46669"/>
    <w:rsid w:val="00C4688D"/>
    <w:rsid w:val="00C46976"/>
    <w:rsid w:val="00C46A86"/>
    <w:rsid w:val="00C46FD8"/>
    <w:rsid w:val="00C471F4"/>
    <w:rsid w:val="00C4763D"/>
    <w:rsid w:val="00C47998"/>
    <w:rsid w:val="00C47BB4"/>
    <w:rsid w:val="00C47F2A"/>
    <w:rsid w:val="00C5005F"/>
    <w:rsid w:val="00C50145"/>
    <w:rsid w:val="00C50462"/>
    <w:rsid w:val="00C50467"/>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A8C"/>
    <w:rsid w:val="00C52C27"/>
    <w:rsid w:val="00C52EA0"/>
    <w:rsid w:val="00C53299"/>
    <w:rsid w:val="00C5360E"/>
    <w:rsid w:val="00C54018"/>
    <w:rsid w:val="00C5477A"/>
    <w:rsid w:val="00C54793"/>
    <w:rsid w:val="00C54841"/>
    <w:rsid w:val="00C54E57"/>
    <w:rsid w:val="00C54EF6"/>
    <w:rsid w:val="00C5528D"/>
    <w:rsid w:val="00C55475"/>
    <w:rsid w:val="00C55817"/>
    <w:rsid w:val="00C55998"/>
    <w:rsid w:val="00C55BB4"/>
    <w:rsid w:val="00C55C03"/>
    <w:rsid w:val="00C561EB"/>
    <w:rsid w:val="00C56376"/>
    <w:rsid w:val="00C5656C"/>
    <w:rsid w:val="00C566E2"/>
    <w:rsid w:val="00C56A48"/>
    <w:rsid w:val="00C56DF8"/>
    <w:rsid w:val="00C56F91"/>
    <w:rsid w:val="00C57293"/>
    <w:rsid w:val="00C572B2"/>
    <w:rsid w:val="00C573A9"/>
    <w:rsid w:val="00C57414"/>
    <w:rsid w:val="00C57D9C"/>
    <w:rsid w:val="00C57E6D"/>
    <w:rsid w:val="00C600AC"/>
    <w:rsid w:val="00C60174"/>
    <w:rsid w:val="00C60426"/>
    <w:rsid w:val="00C60BF6"/>
    <w:rsid w:val="00C60DDD"/>
    <w:rsid w:val="00C611D1"/>
    <w:rsid w:val="00C613DF"/>
    <w:rsid w:val="00C614A9"/>
    <w:rsid w:val="00C61526"/>
    <w:rsid w:val="00C61AFE"/>
    <w:rsid w:val="00C61B0A"/>
    <w:rsid w:val="00C61D52"/>
    <w:rsid w:val="00C61D96"/>
    <w:rsid w:val="00C61E63"/>
    <w:rsid w:val="00C62032"/>
    <w:rsid w:val="00C62077"/>
    <w:rsid w:val="00C622A9"/>
    <w:rsid w:val="00C62320"/>
    <w:rsid w:val="00C6270C"/>
    <w:rsid w:val="00C62C3A"/>
    <w:rsid w:val="00C62FD7"/>
    <w:rsid w:val="00C630AA"/>
    <w:rsid w:val="00C63322"/>
    <w:rsid w:val="00C63399"/>
    <w:rsid w:val="00C6342B"/>
    <w:rsid w:val="00C6351D"/>
    <w:rsid w:val="00C638DB"/>
    <w:rsid w:val="00C63B28"/>
    <w:rsid w:val="00C64D2C"/>
    <w:rsid w:val="00C64D75"/>
    <w:rsid w:val="00C64D79"/>
    <w:rsid w:val="00C64F3E"/>
    <w:rsid w:val="00C65ABC"/>
    <w:rsid w:val="00C65AE3"/>
    <w:rsid w:val="00C65B2A"/>
    <w:rsid w:val="00C65E0E"/>
    <w:rsid w:val="00C65FC9"/>
    <w:rsid w:val="00C662A2"/>
    <w:rsid w:val="00C6689D"/>
    <w:rsid w:val="00C66BB0"/>
    <w:rsid w:val="00C66D32"/>
    <w:rsid w:val="00C66E66"/>
    <w:rsid w:val="00C670AD"/>
    <w:rsid w:val="00C674B6"/>
    <w:rsid w:val="00C677F4"/>
    <w:rsid w:val="00C67AC3"/>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5B"/>
    <w:rsid w:val="00C73C3E"/>
    <w:rsid w:val="00C73D1A"/>
    <w:rsid w:val="00C73ED2"/>
    <w:rsid w:val="00C74B05"/>
    <w:rsid w:val="00C74E38"/>
    <w:rsid w:val="00C74F66"/>
    <w:rsid w:val="00C74FD4"/>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8025C"/>
    <w:rsid w:val="00C802DF"/>
    <w:rsid w:val="00C802E1"/>
    <w:rsid w:val="00C8044F"/>
    <w:rsid w:val="00C80965"/>
    <w:rsid w:val="00C80ED3"/>
    <w:rsid w:val="00C81170"/>
    <w:rsid w:val="00C811B7"/>
    <w:rsid w:val="00C8146A"/>
    <w:rsid w:val="00C816F8"/>
    <w:rsid w:val="00C819A0"/>
    <w:rsid w:val="00C81A6F"/>
    <w:rsid w:val="00C81AD4"/>
    <w:rsid w:val="00C8223B"/>
    <w:rsid w:val="00C8244D"/>
    <w:rsid w:val="00C82501"/>
    <w:rsid w:val="00C82971"/>
    <w:rsid w:val="00C8304F"/>
    <w:rsid w:val="00C835B1"/>
    <w:rsid w:val="00C8387C"/>
    <w:rsid w:val="00C83E70"/>
    <w:rsid w:val="00C83EF4"/>
    <w:rsid w:val="00C83FE0"/>
    <w:rsid w:val="00C840A5"/>
    <w:rsid w:val="00C84461"/>
    <w:rsid w:val="00C84884"/>
    <w:rsid w:val="00C849D3"/>
    <w:rsid w:val="00C84A0E"/>
    <w:rsid w:val="00C84A89"/>
    <w:rsid w:val="00C84E4C"/>
    <w:rsid w:val="00C85960"/>
    <w:rsid w:val="00C85A30"/>
    <w:rsid w:val="00C85F4B"/>
    <w:rsid w:val="00C860A9"/>
    <w:rsid w:val="00C8634A"/>
    <w:rsid w:val="00C868DC"/>
    <w:rsid w:val="00C86C33"/>
    <w:rsid w:val="00C87473"/>
    <w:rsid w:val="00C87497"/>
    <w:rsid w:val="00C8775E"/>
    <w:rsid w:val="00C87D73"/>
    <w:rsid w:val="00C9005A"/>
    <w:rsid w:val="00C90481"/>
    <w:rsid w:val="00C906FE"/>
    <w:rsid w:val="00C90768"/>
    <w:rsid w:val="00C9085B"/>
    <w:rsid w:val="00C908A9"/>
    <w:rsid w:val="00C90B19"/>
    <w:rsid w:val="00C90B6F"/>
    <w:rsid w:val="00C90DBC"/>
    <w:rsid w:val="00C90DCD"/>
    <w:rsid w:val="00C91027"/>
    <w:rsid w:val="00C91109"/>
    <w:rsid w:val="00C91383"/>
    <w:rsid w:val="00C91845"/>
    <w:rsid w:val="00C91876"/>
    <w:rsid w:val="00C91A05"/>
    <w:rsid w:val="00C91A1F"/>
    <w:rsid w:val="00C92446"/>
    <w:rsid w:val="00C92614"/>
    <w:rsid w:val="00C92699"/>
    <w:rsid w:val="00C92B77"/>
    <w:rsid w:val="00C930DC"/>
    <w:rsid w:val="00C931D3"/>
    <w:rsid w:val="00C93329"/>
    <w:rsid w:val="00C93B58"/>
    <w:rsid w:val="00C93E9C"/>
    <w:rsid w:val="00C94191"/>
    <w:rsid w:val="00C9429A"/>
    <w:rsid w:val="00C94786"/>
    <w:rsid w:val="00C94849"/>
    <w:rsid w:val="00C94859"/>
    <w:rsid w:val="00C948F2"/>
    <w:rsid w:val="00C94ADA"/>
    <w:rsid w:val="00C94D55"/>
    <w:rsid w:val="00C9517A"/>
    <w:rsid w:val="00C9561D"/>
    <w:rsid w:val="00C9569F"/>
    <w:rsid w:val="00C95A49"/>
    <w:rsid w:val="00C95BA2"/>
    <w:rsid w:val="00C95C10"/>
    <w:rsid w:val="00C964DD"/>
    <w:rsid w:val="00C96729"/>
    <w:rsid w:val="00C96AA5"/>
    <w:rsid w:val="00C970FE"/>
    <w:rsid w:val="00C97182"/>
    <w:rsid w:val="00C97B4D"/>
    <w:rsid w:val="00C97CA6"/>
    <w:rsid w:val="00C97F5C"/>
    <w:rsid w:val="00CA009D"/>
    <w:rsid w:val="00CA030A"/>
    <w:rsid w:val="00CA0654"/>
    <w:rsid w:val="00CA0B4B"/>
    <w:rsid w:val="00CA0D3B"/>
    <w:rsid w:val="00CA0E59"/>
    <w:rsid w:val="00CA0E79"/>
    <w:rsid w:val="00CA107D"/>
    <w:rsid w:val="00CA13F6"/>
    <w:rsid w:val="00CA18AC"/>
    <w:rsid w:val="00CA18B4"/>
    <w:rsid w:val="00CA1990"/>
    <w:rsid w:val="00CA1FD6"/>
    <w:rsid w:val="00CA2768"/>
    <w:rsid w:val="00CA27A0"/>
    <w:rsid w:val="00CA2916"/>
    <w:rsid w:val="00CA2920"/>
    <w:rsid w:val="00CA2A78"/>
    <w:rsid w:val="00CA36E2"/>
    <w:rsid w:val="00CA40F2"/>
    <w:rsid w:val="00CA42AB"/>
    <w:rsid w:val="00CA44D7"/>
    <w:rsid w:val="00CA4541"/>
    <w:rsid w:val="00CA4BC0"/>
    <w:rsid w:val="00CA4F72"/>
    <w:rsid w:val="00CA5059"/>
    <w:rsid w:val="00CA54CA"/>
    <w:rsid w:val="00CA5619"/>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A74"/>
    <w:rsid w:val="00CB0BBE"/>
    <w:rsid w:val="00CB0BDB"/>
    <w:rsid w:val="00CB0FC5"/>
    <w:rsid w:val="00CB1062"/>
    <w:rsid w:val="00CB1088"/>
    <w:rsid w:val="00CB13D9"/>
    <w:rsid w:val="00CB1900"/>
    <w:rsid w:val="00CB197A"/>
    <w:rsid w:val="00CB1A13"/>
    <w:rsid w:val="00CB1CC1"/>
    <w:rsid w:val="00CB1EBF"/>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EA1"/>
    <w:rsid w:val="00CB603F"/>
    <w:rsid w:val="00CB6395"/>
    <w:rsid w:val="00CB63A9"/>
    <w:rsid w:val="00CB64B1"/>
    <w:rsid w:val="00CB67FF"/>
    <w:rsid w:val="00CB682A"/>
    <w:rsid w:val="00CB6ADB"/>
    <w:rsid w:val="00CB6D48"/>
    <w:rsid w:val="00CB6F21"/>
    <w:rsid w:val="00CB7240"/>
    <w:rsid w:val="00CB72B4"/>
    <w:rsid w:val="00CB755B"/>
    <w:rsid w:val="00CB7665"/>
    <w:rsid w:val="00CB7794"/>
    <w:rsid w:val="00CB78F9"/>
    <w:rsid w:val="00CB795A"/>
    <w:rsid w:val="00CB7AB7"/>
    <w:rsid w:val="00CB7AEE"/>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DB"/>
    <w:rsid w:val="00CC1F5A"/>
    <w:rsid w:val="00CC25CF"/>
    <w:rsid w:val="00CC2A41"/>
    <w:rsid w:val="00CC2AB0"/>
    <w:rsid w:val="00CC2C14"/>
    <w:rsid w:val="00CC30BB"/>
    <w:rsid w:val="00CC3105"/>
    <w:rsid w:val="00CC3525"/>
    <w:rsid w:val="00CC379F"/>
    <w:rsid w:val="00CC39E3"/>
    <w:rsid w:val="00CC3DD5"/>
    <w:rsid w:val="00CC40E7"/>
    <w:rsid w:val="00CC413A"/>
    <w:rsid w:val="00CC41A6"/>
    <w:rsid w:val="00CC423C"/>
    <w:rsid w:val="00CC4704"/>
    <w:rsid w:val="00CC4733"/>
    <w:rsid w:val="00CC494A"/>
    <w:rsid w:val="00CC4A22"/>
    <w:rsid w:val="00CC4B1F"/>
    <w:rsid w:val="00CC4C71"/>
    <w:rsid w:val="00CC4FD7"/>
    <w:rsid w:val="00CC56F3"/>
    <w:rsid w:val="00CC59BC"/>
    <w:rsid w:val="00CC5C2E"/>
    <w:rsid w:val="00CC5EF8"/>
    <w:rsid w:val="00CC5FB1"/>
    <w:rsid w:val="00CC6052"/>
    <w:rsid w:val="00CC6B83"/>
    <w:rsid w:val="00CC6BE4"/>
    <w:rsid w:val="00CC71C7"/>
    <w:rsid w:val="00CC760B"/>
    <w:rsid w:val="00CC7B49"/>
    <w:rsid w:val="00CD008C"/>
    <w:rsid w:val="00CD016C"/>
    <w:rsid w:val="00CD0200"/>
    <w:rsid w:val="00CD0389"/>
    <w:rsid w:val="00CD088F"/>
    <w:rsid w:val="00CD0E55"/>
    <w:rsid w:val="00CD0FF0"/>
    <w:rsid w:val="00CD12B3"/>
    <w:rsid w:val="00CD16AD"/>
    <w:rsid w:val="00CD1AA2"/>
    <w:rsid w:val="00CD1C5D"/>
    <w:rsid w:val="00CD228B"/>
    <w:rsid w:val="00CD275F"/>
    <w:rsid w:val="00CD279A"/>
    <w:rsid w:val="00CD32DA"/>
    <w:rsid w:val="00CD384F"/>
    <w:rsid w:val="00CD39A2"/>
    <w:rsid w:val="00CD3BD6"/>
    <w:rsid w:val="00CD4434"/>
    <w:rsid w:val="00CD47FD"/>
    <w:rsid w:val="00CD49BD"/>
    <w:rsid w:val="00CD4E24"/>
    <w:rsid w:val="00CD5348"/>
    <w:rsid w:val="00CD55BB"/>
    <w:rsid w:val="00CD5789"/>
    <w:rsid w:val="00CD5911"/>
    <w:rsid w:val="00CD5927"/>
    <w:rsid w:val="00CD5AE5"/>
    <w:rsid w:val="00CD5B3B"/>
    <w:rsid w:val="00CD5FC3"/>
    <w:rsid w:val="00CD64D8"/>
    <w:rsid w:val="00CD65D6"/>
    <w:rsid w:val="00CD6730"/>
    <w:rsid w:val="00CD7083"/>
    <w:rsid w:val="00CD7177"/>
    <w:rsid w:val="00CD79F3"/>
    <w:rsid w:val="00CE0362"/>
    <w:rsid w:val="00CE041A"/>
    <w:rsid w:val="00CE0CCD"/>
    <w:rsid w:val="00CE0EB1"/>
    <w:rsid w:val="00CE14CF"/>
    <w:rsid w:val="00CE1739"/>
    <w:rsid w:val="00CE1B38"/>
    <w:rsid w:val="00CE1DF8"/>
    <w:rsid w:val="00CE233E"/>
    <w:rsid w:val="00CE2549"/>
    <w:rsid w:val="00CE272B"/>
    <w:rsid w:val="00CE28E1"/>
    <w:rsid w:val="00CE29F9"/>
    <w:rsid w:val="00CE2B3C"/>
    <w:rsid w:val="00CE2DD9"/>
    <w:rsid w:val="00CE2E3E"/>
    <w:rsid w:val="00CE3024"/>
    <w:rsid w:val="00CE3145"/>
    <w:rsid w:val="00CE31F5"/>
    <w:rsid w:val="00CE395A"/>
    <w:rsid w:val="00CE3B73"/>
    <w:rsid w:val="00CE3E8B"/>
    <w:rsid w:val="00CE42D4"/>
    <w:rsid w:val="00CE436F"/>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65C"/>
    <w:rsid w:val="00CF08C6"/>
    <w:rsid w:val="00CF0A06"/>
    <w:rsid w:val="00CF0F37"/>
    <w:rsid w:val="00CF1764"/>
    <w:rsid w:val="00CF19D4"/>
    <w:rsid w:val="00CF1A7F"/>
    <w:rsid w:val="00CF1EAA"/>
    <w:rsid w:val="00CF1ECD"/>
    <w:rsid w:val="00CF1F4E"/>
    <w:rsid w:val="00CF1FAB"/>
    <w:rsid w:val="00CF21E2"/>
    <w:rsid w:val="00CF261B"/>
    <w:rsid w:val="00CF264D"/>
    <w:rsid w:val="00CF2684"/>
    <w:rsid w:val="00CF29A4"/>
    <w:rsid w:val="00CF2AC2"/>
    <w:rsid w:val="00CF2B2B"/>
    <w:rsid w:val="00CF2DBA"/>
    <w:rsid w:val="00CF2FAA"/>
    <w:rsid w:val="00CF3191"/>
    <w:rsid w:val="00CF31B4"/>
    <w:rsid w:val="00CF329F"/>
    <w:rsid w:val="00CF45E1"/>
    <w:rsid w:val="00CF4B06"/>
    <w:rsid w:val="00CF52C3"/>
    <w:rsid w:val="00CF5476"/>
    <w:rsid w:val="00CF59A9"/>
    <w:rsid w:val="00CF5A91"/>
    <w:rsid w:val="00CF5B97"/>
    <w:rsid w:val="00CF5EEB"/>
    <w:rsid w:val="00CF5F14"/>
    <w:rsid w:val="00CF64E5"/>
    <w:rsid w:val="00CF6C6E"/>
    <w:rsid w:val="00CF7496"/>
    <w:rsid w:val="00CF76C9"/>
    <w:rsid w:val="00CF773D"/>
    <w:rsid w:val="00CF79C0"/>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954"/>
    <w:rsid w:val="00D02A9C"/>
    <w:rsid w:val="00D0334A"/>
    <w:rsid w:val="00D037FB"/>
    <w:rsid w:val="00D039B6"/>
    <w:rsid w:val="00D03A04"/>
    <w:rsid w:val="00D03C2B"/>
    <w:rsid w:val="00D0434E"/>
    <w:rsid w:val="00D0452E"/>
    <w:rsid w:val="00D0468D"/>
    <w:rsid w:val="00D04891"/>
    <w:rsid w:val="00D04A9A"/>
    <w:rsid w:val="00D0515D"/>
    <w:rsid w:val="00D051A4"/>
    <w:rsid w:val="00D0529B"/>
    <w:rsid w:val="00D05746"/>
    <w:rsid w:val="00D057FD"/>
    <w:rsid w:val="00D05BB3"/>
    <w:rsid w:val="00D05DD9"/>
    <w:rsid w:val="00D05E19"/>
    <w:rsid w:val="00D05E71"/>
    <w:rsid w:val="00D05F13"/>
    <w:rsid w:val="00D05F1D"/>
    <w:rsid w:val="00D05F37"/>
    <w:rsid w:val="00D0614A"/>
    <w:rsid w:val="00D069F2"/>
    <w:rsid w:val="00D06D8E"/>
    <w:rsid w:val="00D072E3"/>
    <w:rsid w:val="00D10309"/>
    <w:rsid w:val="00D105C0"/>
    <w:rsid w:val="00D107F3"/>
    <w:rsid w:val="00D10C33"/>
    <w:rsid w:val="00D10CD0"/>
    <w:rsid w:val="00D11122"/>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AC9"/>
    <w:rsid w:val="00D13B98"/>
    <w:rsid w:val="00D13C3C"/>
    <w:rsid w:val="00D13F11"/>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E8B"/>
    <w:rsid w:val="00D17F4E"/>
    <w:rsid w:val="00D17F79"/>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FEF"/>
    <w:rsid w:val="00D251BC"/>
    <w:rsid w:val="00D2544E"/>
    <w:rsid w:val="00D25741"/>
    <w:rsid w:val="00D258E7"/>
    <w:rsid w:val="00D25903"/>
    <w:rsid w:val="00D25BDE"/>
    <w:rsid w:val="00D25CC9"/>
    <w:rsid w:val="00D26276"/>
    <w:rsid w:val="00D262E9"/>
    <w:rsid w:val="00D2646D"/>
    <w:rsid w:val="00D26530"/>
    <w:rsid w:val="00D26C57"/>
    <w:rsid w:val="00D273B9"/>
    <w:rsid w:val="00D273E4"/>
    <w:rsid w:val="00D27591"/>
    <w:rsid w:val="00D27847"/>
    <w:rsid w:val="00D27B1A"/>
    <w:rsid w:val="00D27BDD"/>
    <w:rsid w:val="00D27F57"/>
    <w:rsid w:val="00D306BC"/>
    <w:rsid w:val="00D31030"/>
    <w:rsid w:val="00D3137F"/>
    <w:rsid w:val="00D31652"/>
    <w:rsid w:val="00D31715"/>
    <w:rsid w:val="00D31AEC"/>
    <w:rsid w:val="00D32586"/>
    <w:rsid w:val="00D325E7"/>
    <w:rsid w:val="00D32774"/>
    <w:rsid w:val="00D3294E"/>
    <w:rsid w:val="00D32BC5"/>
    <w:rsid w:val="00D32EAE"/>
    <w:rsid w:val="00D32FBA"/>
    <w:rsid w:val="00D333D1"/>
    <w:rsid w:val="00D337E6"/>
    <w:rsid w:val="00D33906"/>
    <w:rsid w:val="00D33991"/>
    <w:rsid w:val="00D33C8B"/>
    <w:rsid w:val="00D33D00"/>
    <w:rsid w:val="00D34411"/>
    <w:rsid w:val="00D34DAA"/>
    <w:rsid w:val="00D3520F"/>
    <w:rsid w:val="00D354CE"/>
    <w:rsid w:val="00D3560B"/>
    <w:rsid w:val="00D356CB"/>
    <w:rsid w:val="00D357E4"/>
    <w:rsid w:val="00D35963"/>
    <w:rsid w:val="00D35B88"/>
    <w:rsid w:val="00D35BB6"/>
    <w:rsid w:val="00D35F58"/>
    <w:rsid w:val="00D369A9"/>
    <w:rsid w:val="00D369AC"/>
    <w:rsid w:val="00D36E31"/>
    <w:rsid w:val="00D36E8F"/>
    <w:rsid w:val="00D370D0"/>
    <w:rsid w:val="00D37654"/>
    <w:rsid w:val="00D379D8"/>
    <w:rsid w:val="00D37ADE"/>
    <w:rsid w:val="00D37EE6"/>
    <w:rsid w:val="00D4012F"/>
    <w:rsid w:val="00D40173"/>
    <w:rsid w:val="00D401E2"/>
    <w:rsid w:val="00D40448"/>
    <w:rsid w:val="00D409C2"/>
    <w:rsid w:val="00D40D94"/>
    <w:rsid w:val="00D410A5"/>
    <w:rsid w:val="00D4113D"/>
    <w:rsid w:val="00D41772"/>
    <w:rsid w:val="00D41845"/>
    <w:rsid w:val="00D41BB3"/>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A11"/>
    <w:rsid w:val="00D43CC3"/>
    <w:rsid w:val="00D43DAF"/>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A3E"/>
    <w:rsid w:val="00D47CD6"/>
    <w:rsid w:val="00D47FEB"/>
    <w:rsid w:val="00D500A9"/>
    <w:rsid w:val="00D50128"/>
    <w:rsid w:val="00D50350"/>
    <w:rsid w:val="00D50378"/>
    <w:rsid w:val="00D5053A"/>
    <w:rsid w:val="00D50CFC"/>
    <w:rsid w:val="00D50DE5"/>
    <w:rsid w:val="00D50EA9"/>
    <w:rsid w:val="00D510D7"/>
    <w:rsid w:val="00D51113"/>
    <w:rsid w:val="00D5125A"/>
    <w:rsid w:val="00D51564"/>
    <w:rsid w:val="00D51785"/>
    <w:rsid w:val="00D519CB"/>
    <w:rsid w:val="00D51AE7"/>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623F"/>
    <w:rsid w:val="00D562BC"/>
    <w:rsid w:val="00D56553"/>
    <w:rsid w:val="00D56569"/>
    <w:rsid w:val="00D56882"/>
    <w:rsid w:val="00D568A3"/>
    <w:rsid w:val="00D56A87"/>
    <w:rsid w:val="00D56C2D"/>
    <w:rsid w:val="00D57333"/>
    <w:rsid w:val="00D577C3"/>
    <w:rsid w:val="00D57824"/>
    <w:rsid w:val="00D57ABD"/>
    <w:rsid w:val="00D57BB4"/>
    <w:rsid w:val="00D57EC8"/>
    <w:rsid w:val="00D57FDA"/>
    <w:rsid w:val="00D60871"/>
    <w:rsid w:val="00D609A7"/>
    <w:rsid w:val="00D60B0A"/>
    <w:rsid w:val="00D6107F"/>
    <w:rsid w:val="00D61356"/>
    <w:rsid w:val="00D613BD"/>
    <w:rsid w:val="00D61848"/>
    <w:rsid w:val="00D61BFC"/>
    <w:rsid w:val="00D62017"/>
    <w:rsid w:val="00D62078"/>
    <w:rsid w:val="00D620B4"/>
    <w:rsid w:val="00D62361"/>
    <w:rsid w:val="00D6241B"/>
    <w:rsid w:val="00D627DC"/>
    <w:rsid w:val="00D63683"/>
    <w:rsid w:val="00D63B6B"/>
    <w:rsid w:val="00D63BB0"/>
    <w:rsid w:val="00D63D75"/>
    <w:rsid w:val="00D63DB5"/>
    <w:rsid w:val="00D63E6D"/>
    <w:rsid w:val="00D640DD"/>
    <w:rsid w:val="00D640EA"/>
    <w:rsid w:val="00D644AF"/>
    <w:rsid w:val="00D6459E"/>
    <w:rsid w:val="00D6472C"/>
    <w:rsid w:val="00D64C9E"/>
    <w:rsid w:val="00D64F69"/>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F6"/>
    <w:rsid w:val="00D701C7"/>
    <w:rsid w:val="00D708B4"/>
    <w:rsid w:val="00D70933"/>
    <w:rsid w:val="00D70CE1"/>
    <w:rsid w:val="00D70E0E"/>
    <w:rsid w:val="00D71CFF"/>
    <w:rsid w:val="00D7203C"/>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E62"/>
    <w:rsid w:val="00D77F80"/>
    <w:rsid w:val="00D80000"/>
    <w:rsid w:val="00D800E8"/>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A02"/>
    <w:rsid w:val="00D82A7F"/>
    <w:rsid w:val="00D82D1C"/>
    <w:rsid w:val="00D8307F"/>
    <w:rsid w:val="00D83197"/>
    <w:rsid w:val="00D83373"/>
    <w:rsid w:val="00D8367C"/>
    <w:rsid w:val="00D83858"/>
    <w:rsid w:val="00D83999"/>
    <w:rsid w:val="00D83B25"/>
    <w:rsid w:val="00D83B2E"/>
    <w:rsid w:val="00D84770"/>
    <w:rsid w:val="00D84A39"/>
    <w:rsid w:val="00D84DC4"/>
    <w:rsid w:val="00D85084"/>
    <w:rsid w:val="00D850C1"/>
    <w:rsid w:val="00D852F4"/>
    <w:rsid w:val="00D85CBE"/>
    <w:rsid w:val="00D861D8"/>
    <w:rsid w:val="00D862DB"/>
    <w:rsid w:val="00D862FE"/>
    <w:rsid w:val="00D8637D"/>
    <w:rsid w:val="00D8686B"/>
    <w:rsid w:val="00D870A5"/>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521D"/>
    <w:rsid w:val="00D953A6"/>
    <w:rsid w:val="00D953FA"/>
    <w:rsid w:val="00D95425"/>
    <w:rsid w:val="00D95436"/>
    <w:rsid w:val="00D958C3"/>
    <w:rsid w:val="00D95A4A"/>
    <w:rsid w:val="00D95A86"/>
    <w:rsid w:val="00D9645E"/>
    <w:rsid w:val="00D96BBD"/>
    <w:rsid w:val="00D96C24"/>
    <w:rsid w:val="00D96F5B"/>
    <w:rsid w:val="00D972B5"/>
    <w:rsid w:val="00D97DD4"/>
    <w:rsid w:val="00DA0411"/>
    <w:rsid w:val="00DA07AE"/>
    <w:rsid w:val="00DA08C5"/>
    <w:rsid w:val="00DA0ADD"/>
    <w:rsid w:val="00DA0D51"/>
    <w:rsid w:val="00DA0F36"/>
    <w:rsid w:val="00DA0F97"/>
    <w:rsid w:val="00DA1228"/>
    <w:rsid w:val="00DA1371"/>
    <w:rsid w:val="00DA156C"/>
    <w:rsid w:val="00DA1942"/>
    <w:rsid w:val="00DA1B18"/>
    <w:rsid w:val="00DA1CFB"/>
    <w:rsid w:val="00DA1E70"/>
    <w:rsid w:val="00DA22AC"/>
    <w:rsid w:val="00DA2432"/>
    <w:rsid w:val="00DA2D93"/>
    <w:rsid w:val="00DA2F22"/>
    <w:rsid w:val="00DA3445"/>
    <w:rsid w:val="00DA3793"/>
    <w:rsid w:val="00DA3B05"/>
    <w:rsid w:val="00DA3BD8"/>
    <w:rsid w:val="00DA3DF0"/>
    <w:rsid w:val="00DA3E56"/>
    <w:rsid w:val="00DA463A"/>
    <w:rsid w:val="00DA4A55"/>
    <w:rsid w:val="00DA4ED3"/>
    <w:rsid w:val="00DA5145"/>
    <w:rsid w:val="00DA5EBD"/>
    <w:rsid w:val="00DA5EF0"/>
    <w:rsid w:val="00DA5FFA"/>
    <w:rsid w:val="00DA6122"/>
    <w:rsid w:val="00DA61EA"/>
    <w:rsid w:val="00DA6310"/>
    <w:rsid w:val="00DA6396"/>
    <w:rsid w:val="00DA64D3"/>
    <w:rsid w:val="00DA6D4A"/>
    <w:rsid w:val="00DA70EA"/>
    <w:rsid w:val="00DA7735"/>
    <w:rsid w:val="00DA7841"/>
    <w:rsid w:val="00DA788E"/>
    <w:rsid w:val="00DA79A4"/>
    <w:rsid w:val="00DA7A69"/>
    <w:rsid w:val="00DA7BCD"/>
    <w:rsid w:val="00DB0052"/>
    <w:rsid w:val="00DB0426"/>
    <w:rsid w:val="00DB05D0"/>
    <w:rsid w:val="00DB0A68"/>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E5D"/>
    <w:rsid w:val="00DB2EED"/>
    <w:rsid w:val="00DB42E2"/>
    <w:rsid w:val="00DB466B"/>
    <w:rsid w:val="00DB466C"/>
    <w:rsid w:val="00DB48BE"/>
    <w:rsid w:val="00DB4980"/>
    <w:rsid w:val="00DB503F"/>
    <w:rsid w:val="00DB5106"/>
    <w:rsid w:val="00DB5572"/>
    <w:rsid w:val="00DB56EC"/>
    <w:rsid w:val="00DB58F5"/>
    <w:rsid w:val="00DB5BA2"/>
    <w:rsid w:val="00DB5D8E"/>
    <w:rsid w:val="00DB6369"/>
    <w:rsid w:val="00DB666E"/>
    <w:rsid w:val="00DB680E"/>
    <w:rsid w:val="00DB6A93"/>
    <w:rsid w:val="00DB71BA"/>
    <w:rsid w:val="00DB72AD"/>
    <w:rsid w:val="00DB736D"/>
    <w:rsid w:val="00DB73B1"/>
    <w:rsid w:val="00DB78FA"/>
    <w:rsid w:val="00DB7DE6"/>
    <w:rsid w:val="00DC05D7"/>
    <w:rsid w:val="00DC0B94"/>
    <w:rsid w:val="00DC0E75"/>
    <w:rsid w:val="00DC130A"/>
    <w:rsid w:val="00DC147B"/>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9DF"/>
    <w:rsid w:val="00DC5CAB"/>
    <w:rsid w:val="00DC5F4B"/>
    <w:rsid w:val="00DC6086"/>
    <w:rsid w:val="00DC61A7"/>
    <w:rsid w:val="00DC6411"/>
    <w:rsid w:val="00DC6717"/>
    <w:rsid w:val="00DC681B"/>
    <w:rsid w:val="00DC6E4F"/>
    <w:rsid w:val="00DC7239"/>
    <w:rsid w:val="00DC7250"/>
    <w:rsid w:val="00DC7386"/>
    <w:rsid w:val="00DC7BEC"/>
    <w:rsid w:val="00DC7D65"/>
    <w:rsid w:val="00DD0196"/>
    <w:rsid w:val="00DD01A1"/>
    <w:rsid w:val="00DD050F"/>
    <w:rsid w:val="00DD0742"/>
    <w:rsid w:val="00DD0753"/>
    <w:rsid w:val="00DD07F3"/>
    <w:rsid w:val="00DD088E"/>
    <w:rsid w:val="00DD0A66"/>
    <w:rsid w:val="00DD0BC8"/>
    <w:rsid w:val="00DD1144"/>
    <w:rsid w:val="00DD1293"/>
    <w:rsid w:val="00DD1B2E"/>
    <w:rsid w:val="00DD2100"/>
    <w:rsid w:val="00DD2268"/>
    <w:rsid w:val="00DD2476"/>
    <w:rsid w:val="00DD256D"/>
    <w:rsid w:val="00DD2721"/>
    <w:rsid w:val="00DD2B19"/>
    <w:rsid w:val="00DD2D65"/>
    <w:rsid w:val="00DD2D8D"/>
    <w:rsid w:val="00DD2DA9"/>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BC9"/>
    <w:rsid w:val="00DD5CC7"/>
    <w:rsid w:val="00DD5D3B"/>
    <w:rsid w:val="00DD6259"/>
    <w:rsid w:val="00DD667D"/>
    <w:rsid w:val="00DD68B0"/>
    <w:rsid w:val="00DD6A2E"/>
    <w:rsid w:val="00DD6F3B"/>
    <w:rsid w:val="00DD6FF4"/>
    <w:rsid w:val="00DD72D4"/>
    <w:rsid w:val="00DD7471"/>
    <w:rsid w:val="00DD74AA"/>
    <w:rsid w:val="00DD752B"/>
    <w:rsid w:val="00DD75AD"/>
    <w:rsid w:val="00DD76C8"/>
    <w:rsid w:val="00DD7918"/>
    <w:rsid w:val="00DE04AD"/>
    <w:rsid w:val="00DE094E"/>
    <w:rsid w:val="00DE0992"/>
    <w:rsid w:val="00DE09AB"/>
    <w:rsid w:val="00DE09F7"/>
    <w:rsid w:val="00DE0A3E"/>
    <w:rsid w:val="00DE0FF5"/>
    <w:rsid w:val="00DE111A"/>
    <w:rsid w:val="00DE12C4"/>
    <w:rsid w:val="00DE1350"/>
    <w:rsid w:val="00DE1BD5"/>
    <w:rsid w:val="00DE1EA8"/>
    <w:rsid w:val="00DE2DEF"/>
    <w:rsid w:val="00DE304E"/>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9D5"/>
    <w:rsid w:val="00DE7A02"/>
    <w:rsid w:val="00DF02F0"/>
    <w:rsid w:val="00DF05AB"/>
    <w:rsid w:val="00DF0743"/>
    <w:rsid w:val="00DF0F65"/>
    <w:rsid w:val="00DF11B7"/>
    <w:rsid w:val="00DF1431"/>
    <w:rsid w:val="00DF1643"/>
    <w:rsid w:val="00DF17DD"/>
    <w:rsid w:val="00DF20DE"/>
    <w:rsid w:val="00DF2590"/>
    <w:rsid w:val="00DF259B"/>
    <w:rsid w:val="00DF2634"/>
    <w:rsid w:val="00DF2694"/>
    <w:rsid w:val="00DF27BA"/>
    <w:rsid w:val="00DF2944"/>
    <w:rsid w:val="00DF294E"/>
    <w:rsid w:val="00DF2A67"/>
    <w:rsid w:val="00DF2FB6"/>
    <w:rsid w:val="00DF302D"/>
    <w:rsid w:val="00DF3121"/>
    <w:rsid w:val="00DF3422"/>
    <w:rsid w:val="00DF39F2"/>
    <w:rsid w:val="00DF3B85"/>
    <w:rsid w:val="00DF3DAD"/>
    <w:rsid w:val="00DF4750"/>
    <w:rsid w:val="00DF4A46"/>
    <w:rsid w:val="00DF4B82"/>
    <w:rsid w:val="00DF4FFB"/>
    <w:rsid w:val="00DF520C"/>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1C5"/>
    <w:rsid w:val="00E012FD"/>
    <w:rsid w:val="00E0149F"/>
    <w:rsid w:val="00E01A11"/>
    <w:rsid w:val="00E020CB"/>
    <w:rsid w:val="00E0228E"/>
    <w:rsid w:val="00E026FC"/>
    <w:rsid w:val="00E0278B"/>
    <w:rsid w:val="00E031F0"/>
    <w:rsid w:val="00E03238"/>
    <w:rsid w:val="00E033FA"/>
    <w:rsid w:val="00E03A33"/>
    <w:rsid w:val="00E03B2B"/>
    <w:rsid w:val="00E03B7C"/>
    <w:rsid w:val="00E03BA0"/>
    <w:rsid w:val="00E03BB2"/>
    <w:rsid w:val="00E03F80"/>
    <w:rsid w:val="00E042FE"/>
    <w:rsid w:val="00E04662"/>
    <w:rsid w:val="00E050DB"/>
    <w:rsid w:val="00E0526D"/>
    <w:rsid w:val="00E05360"/>
    <w:rsid w:val="00E05529"/>
    <w:rsid w:val="00E05BD5"/>
    <w:rsid w:val="00E05DCB"/>
    <w:rsid w:val="00E05F66"/>
    <w:rsid w:val="00E06065"/>
    <w:rsid w:val="00E0608C"/>
    <w:rsid w:val="00E06341"/>
    <w:rsid w:val="00E06503"/>
    <w:rsid w:val="00E065E3"/>
    <w:rsid w:val="00E06C16"/>
    <w:rsid w:val="00E06E4A"/>
    <w:rsid w:val="00E071E2"/>
    <w:rsid w:val="00E07283"/>
    <w:rsid w:val="00E07399"/>
    <w:rsid w:val="00E07BC0"/>
    <w:rsid w:val="00E07C36"/>
    <w:rsid w:val="00E07DED"/>
    <w:rsid w:val="00E103B7"/>
    <w:rsid w:val="00E104C1"/>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F5F"/>
    <w:rsid w:val="00E16214"/>
    <w:rsid w:val="00E16334"/>
    <w:rsid w:val="00E164A7"/>
    <w:rsid w:val="00E1672A"/>
    <w:rsid w:val="00E168F7"/>
    <w:rsid w:val="00E169E3"/>
    <w:rsid w:val="00E16B37"/>
    <w:rsid w:val="00E16EA1"/>
    <w:rsid w:val="00E179BC"/>
    <w:rsid w:val="00E20397"/>
    <w:rsid w:val="00E20BC6"/>
    <w:rsid w:val="00E20C20"/>
    <w:rsid w:val="00E20D9F"/>
    <w:rsid w:val="00E212A4"/>
    <w:rsid w:val="00E21464"/>
    <w:rsid w:val="00E21AD2"/>
    <w:rsid w:val="00E21E20"/>
    <w:rsid w:val="00E21E29"/>
    <w:rsid w:val="00E221B2"/>
    <w:rsid w:val="00E22545"/>
    <w:rsid w:val="00E22B64"/>
    <w:rsid w:val="00E22BA2"/>
    <w:rsid w:val="00E22F28"/>
    <w:rsid w:val="00E23190"/>
    <w:rsid w:val="00E23480"/>
    <w:rsid w:val="00E23921"/>
    <w:rsid w:val="00E23CA6"/>
    <w:rsid w:val="00E23D42"/>
    <w:rsid w:val="00E23E70"/>
    <w:rsid w:val="00E24050"/>
    <w:rsid w:val="00E241AA"/>
    <w:rsid w:val="00E2426A"/>
    <w:rsid w:val="00E2436E"/>
    <w:rsid w:val="00E2443E"/>
    <w:rsid w:val="00E24445"/>
    <w:rsid w:val="00E24A58"/>
    <w:rsid w:val="00E24A79"/>
    <w:rsid w:val="00E24C32"/>
    <w:rsid w:val="00E24F0D"/>
    <w:rsid w:val="00E25124"/>
    <w:rsid w:val="00E25190"/>
    <w:rsid w:val="00E255BA"/>
    <w:rsid w:val="00E256D4"/>
    <w:rsid w:val="00E25712"/>
    <w:rsid w:val="00E25842"/>
    <w:rsid w:val="00E25935"/>
    <w:rsid w:val="00E25DE5"/>
    <w:rsid w:val="00E25FAE"/>
    <w:rsid w:val="00E2734A"/>
    <w:rsid w:val="00E2783D"/>
    <w:rsid w:val="00E27D3C"/>
    <w:rsid w:val="00E3073B"/>
    <w:rsid w:val="00E30792"/>
    <w:rsid w:val="00E30C21"/>
    <w:rsid w:val="00E30CCF"/>
    <w:rsid w:val="00E30D1D"/>
    <w:rsid w:val="00E30E97"/>
    <w:rsid w:val="00E30F2D"/>
    <w:rsid w:val="00E313C0"/>
    <w:rsid w:val="00E31461"/>
    <w:rsid w:val="00E31733"/>
    <w:rsid w:val="00E317CA"/>
    <w:rsid w:val="00E31DAF"/>
    <w:rsid w:val="00E31EB3"/>
    <w:rsid w:val="00E3213D"/>
    <w:rsid w:val="00E32556"/>
    <w:rsid w:val="00E3275F"/>
    <w:rsid w:val="00E328B2"/>
    <w:rsid w:val="00E3292C"/>
    <w:rsid w:val="00E329B4"/>
    <w:rsid w:val="00E32A4A"/>
    <w:rsid w:val="00E32E70"/>
    <w:rsid w:val="00E32F06"/>
    <w:rsid w:val="00E33344"/>
    <w:rsid w:val="00E3382A"/>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B5A"/>
    <w:rsid w:val="00E35BDF"/>
    <w:rsid w:val="00E35D28"/>
    <w:rsid w:val="00E36261"/>
    <w:rsid w:val="00E3647E"/>
    <w:rsid w:val="00E3681D"/>
    <w:rsid w:val="00E36849"/>
    <w:rsid w:val="00E36B33"/>
    <w:rsid w:val="00E36B67"/>
    <w:rsid w:val="00E37475"/>
    <w:rsid w:val="00E37564"/>
    <w:rsid w:val="00E37598"/>
    <w:rsid w:val="00E379F6"/>
    <w:rsid w:val="00E37BE7"/>
    <w:rsid w:val="00E37DE9"/>
    <w:rsid w:val="00E400EF"/>
    <w:rsid w:val="00E40258"/>
    <w:rsid w:val="00E407AB"/>
    <w:rsid w:val="00E40887"/>
    <w:rsid w:val="00E40B10"/>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3093"/>
    <w:rsid w:val="00E436EC"/>
    <w:rsid w:val="00E43928"/>
    <w:rsid w:val="00E439F2"/>
    <w:rsid w:val="00E43CA0"/>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A5"/>
    <w:rsid w:val="00E51110"/>
    <w:rsid w:val="00E511CC"/>
    <w:rsid w:val="00E51479"/>
    <w:rsid w:val="00E51497"/>
    <w:rsid w:val="00E515FC"/>
    <w:rsid w:val="00E516E5"/>
    <w:rsid w:val="00E517A8"/>
    <w:rsid w:val="00E51B9D"/>
    <w:rsid w:val="00E51C83"/>
    <w:rsid w:val="00E51D4B"/>
    <w:rsid w:val="00E51FDE"/>
    <w:rsid w:val="00E52162"/>
    <w:rsid w:val="00E5232E"/>
    <w:rsid w:val="00E5235C"/>
    <w:rsid w:val="00E5276E"/>
    <w:rsid w:val="00E5284F"/>
    <w:rsid w:val="00E531EE"/>
    <w:rsid w:val="00E53332"/>
    <w:rsid w:val="00E534DD"/>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4C2"/>
    <w:rsid w:val="00E57BB9"/>
    <w:rsid w:val="00E57E12"/>
    <w:rsid w:val="00E6023C"/>
    <w:rsid w:val="00E60C64"/>
    <w:rsid w:val="00E60D59"/>
    <w:rsid w:val="00E60D8F"/>
    <w:rsid w:val="00E60DF3"/>
    <w:rsid w:val="00E61376"/>
    <w:rsid w:val="00E613DE"/>
    <w:rsid w:val="00E61514"/>
    <w:rsid w:val="00E6191E"/>
    <w:rsid w:val="00E61BA8"/>
    <w:rsid w:val="00E61C56"/>
    <w:rsid w:val="00E61CCF"/>
    <w:rsid w:val="00E62192"/>
    <w:rsid w:val="00E62419"/>
    <w:rsid w:val="00E62AE4"/>
    <w:rsid w:val="00E63501"/>
    <w:rsid w:val="00E637BE"/>
    <w:rsid w:val="00E639E6"/>
    <w:rsid w:val="00E63A6B"/>
    <w:rsid w:val="00E64400"/>
    <w:rsid w:val="00E64576"/>
    <w:rsid w:val="00E647BE"/>
    <w:rsid w:val="00E64A8B"/>
    <w:rsid w:val="00E64BE7"/>
    <w:rsid w:val="00E64DB1"/>
    <w:rsid w:val="00E64EDC"/>
    <w:rsid w:val="00E65315"/>
    <w:rsid w:val="00E65B6F"/>
    <w:rsid w:val="00E65CD8"/>
    <w:rsid w:val="00E65F0D"/>
    <w:rsid w:val="00E6613D"/>
    <w:rsid w:val="00E6690C"/>
    <w:rsid w:val="00E66B4F"/>
    <w:rsid w:val="00E66CBF"/>
    <w:rsid w:val="00E66F4F"/>
    <w:rsid w:val="00E6749D"/>
    <w:rsid w:val="00E675B2"/>
    <w:rsid w:val="00E678BB"/>
    <w:rsid w:val="00E67D5A"/>
    <w:rsid w:val="00E70045"/>
    <w:rsid w:val="00E70357"/>
    <w:rsid w:val="00E707D6"/>
    <w:rsid w:val="00E70B03"/>
    <w:rsid w:val="00E70BCE"/>
    <w:rsid w:val="00E7106B"/>
    <w:rsid w:val="00E714C6"/>
    <w:rsid w:val="00E714D3"/>
    <w:rsid w:val="00E71720"/>
    <w:rsid w:val="00E721D3"/>
    <w:rsid w:val="00E7253E"/>
    <w:rsid w:val="00E72740"/>
    <w:rsid w:val="00E72A0A"/>
    <w:rsid w:val="00E72A37"/>
    <w:rsid w:val="00E72F09"/>
    <w:rsid w:val="00E72FA2"/>
    <w:rsid w:val="00E739F5"/>
    <w:rsid w:val="00E73C4D"/>
    <w:rsid w:val="00E73D5E"/>
    <w:rsid w:val="00E73DA1"/>
    <w:rsid w:val="00E73E23"/>
    <w:rsid w:val="00E7419C"/>
    <w:rsid w:val="00E742F6"/>
    <w:rsid w:val="00E7460A"/>
    <w:rsid w:val="00E747FD"/>
    <w:rsid w:val="00E748DB"/>
    <w:rsid w:val="00E749EC"/>
    <w:rsid w:val="00E74AB0"/>
    <w:rsid w:val="00E74E4C"/>
    <w:rsid w:val="00E74E78"/>
    <w:rsid w:val="00E753A1"/>
    <w:rsid w:val="00E759AC"/>
    <w:rsid w:val="00E75AB8"/>
    <w:rsid w:val="00E75D93"/>
    <w:rsid w:val="00E75F18"/>
    <w:rsid w:val="00E76A37"/>
    <w:rsid w:val="00E76A62"/>
    <w:rsid w:val="00E76AD3"/>
    <w:rsid w:val="00E77977"/>
    <w:rsid w:val="00E779E5"/>
    <w:rsid w:val="00E803D6"/>
    <w:rsid w:val="00E80427"/>
    <w:rsid w:val="00E8051A"/>
    <w:rsid w:val="00E80605"/>
    <w:rsid w:val="00E8071F"/>
    <w:rsid w:val="00E807F8"/>
    <w:rsid w:val="00E8088A"/>
    <w:rsid w:val="00E80AAE"/>
    <w:rsid w:val="00E80B8F"/>
    <w:rsid w:val="00E80E61"/>
    <w:rsid w:val="00E80F94"/>
    <w:rsid w:val="00E812CE"/>
    <w:rsid w:val="00E814CA"/>
    <w:rsid w:val="00E81B10"/>
    <w:rsid w:val="00E81C22"/>
    <w:rsid w:val="00E81CFD"/>
    <w:rsid w:val="00E81EC3"/>
    <w:rsid w:val="00E81F1E"/>
    <w:rsid w:val="00E82119"/>
    <w:rsid w:val="00E822C0"/>
    <w:rsid w:val="00E82380"/>
    <w:rsid w:val="00E82AD3"/>
    <w:rsid w:val="00E82F06"/>
    <w:rsid w:val="00E82F40"/>
    <w:rsid w:val="00E8346F"/>
    <w:rsid w:val="00E83805"/>
    <w:rsid w:val="00E838B4"/>
    <w:rsid w:val="00E83940"/>
    <w:rsid w:val="00E83A71"/>
    <w:rsid w:val="00E83D9A"/>
    <w:rsid w:val="00E83DA1"/>
    <w:rsid w:val="00E83FD4"/>
    <w:rsid w:val="00E83FFC"/>
    <w:rsid w:val="00E8484B"/>
    <w:rsid w:val="00E853EA"/>
    <w:rsid w:val="00E854B6"/>
    <w:rsid w:val="00E85860"/>
    <w:rsid w:val="00E858FB"/>
    <w:rsid w:val="00E85EEA"/>
    <w:rsid w:val="00E86AC1"/>
    <w:rsid w:val="00E86B19"/>
    <w:rsid w:val="00E87005"/>
    <w:rsid w:val="00E87189"/>
    <w:rsid w:val="00E87478"/>
    <w:rsid w:val="00E87AA4"/>
    <w:rsid w:val="00E87B63"/>
    <w:rsid w:val="00E906F5"/>
    <w:rsid w:val="00E9090C"/>
    <w:rsid w:val="00E90959"/>
    <w:rsid w:val="00E909FF"/>
    <w:rsid w:val="00E90B27"/>
    <w:rsid w:val="00E90D10"/>
    <w:rsid w:val="00E90D36"/>
    <w:rsid w:val="00E90E4A"/>
    <w:rsid w:val="00E915FC"/>
    <w:rsid w:val="00E9169B"/>
    <w:rsid w:val="00E91BDF"/>
    <w:rsid w:val="00E91C80"/>
    <w:rsid w:val="00E91CFC"/>
    <w:rsid w:val="00E91D62"/>
    <w:rsid w:val="00E92032"/>
    <w:rsid w:val="00E920CB"/>
    <w:rsid w:val="00E92605"/>
    <w:rsid w:val="00E929C0"/>
    <w:rsid w:val="00E929D3"/>
    <w:rsid w:val="00E92D9E"/>
    <w:rsid w:val="00E9317B"/>
    <w:rsid w:val="00E937CA"/>
    <w:rsid w:val="00E93D2D"/>
    <w:rsid w:val="00E93D97"/>
    <w:rsid w:val="00E93DA7"/>
    <w:rsid w:val="00E945B8"/>
    <w:rsid w:val="00E946D9"/>
    <w:rsid w:val="00E94B8F"/>
    <w:rsid w:val="00E94E42"/>
    <w:rsid w:val="00E95032"/>
    <w:rsid w:val="00E95491"/>
    <w:rsid w:val="00E95AB6"/>
    <w:rsid w:val="00E95E4D"/>
    <w:rsid w:val="00E96196"/>
    <w:rsid w:val="00E9660F"/>
    <w:rsid w:val="00E966F3"/>
    <w:rsid w:val="00E971C4"/>
    <w:rsid w:val="00E971ED"/>
    <w:rsid w:val="00E9733E"/>
    <w:rsid w:val="00E973A8"/>
    <w:rsid w:val="00E97775"/>
    <w:rsid w:val="00E97C04"/>
    <w:rsid w:val="00E97C2D"/>
    <w:rsid w:val="00E97DAB"/>
    <w:rsid w:val="00EA03BD"/>
    <w:rsid w:val="00EA05D9"/>
    <w:rsid w:val="00EA0633"/>
    <w:rsid w:val="00EA0759"/>
    <w:rsid w:val="00EA0B4D"/>
    <w:rsid w:val="00EA0FB9"/>
    <w:rsid w:val="00EA1088"/>
    <w:rsid w:val="00EA18C1"/>
    <w:rsid w:val="00EA19AE"/>
    <w:rsid w:val="00EA2818"/>
    <w:rsid w:val="00EA293E"/>
    <w:rsid w:val="00EA296F"/>
    <w:rsid w:val="00EA2BEA"/>
    <w:rsid w:val="00EA2C32"/>
    <w:rsid w:val="00EA2C62"/>
    <w:rsid w:val="00EA2D4B"/>
    <w:rsid w:val="00EA3176"/>
    <w:rsid w:val="00EA33F2"/>
    <w:rsid w:val="00EA3514"/>
    <w:rsid w:val="00EA3612"/>
    <w:rsid w:val="00EA3A64"/>
    <w:rsid w:val="00EA3BAC"/>
    <w:rsid w:val="00EA3CB2"/>
    <w:rsid w:val="00EA3F0C"/>
    <w:rsid w:val="00EA408E"/>
    <w:rsid w:val="00EA4145"/>
    <w:rsid w:val="00EA4203"/>
    <w:rsid w:val="00EA4238"/>
    <w:rsid w:val="00EA4495"/>
    <w:rsid w:val="00EA493C"/>
    <w:rsid w:val="00EA4B57"/>
    <w:rsid w:val="00EA4EB2"/>
    <w:rsid w:val="00EA4F1D"/>
    <w:rsid w:val="00EA5257"/>
    <w:rsid w:val="00EA5275"/>
    <w:rsid w:val="00EA5A6F"/>
    <w:rsid w:val="00EA5D61"/>
    <w:rsid w:val="00EA5D9B"/>
    <w:rsid w:val="00EA658D"/>
    <w:rsid w:val="00EA660A"/>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888"/>
    <w:rsid w:val="00EB2D8B"/>
    <w:rsid w:val="00EB2DCB"/>
    <w:rsid w:val="00EB2F92"/>
    <w:rsid w:val="00EB336E"/>
    <w:rsid w:val="00EB3480"/>
    <w:rsid w:val="00EB37B8"/>
    <w:rsid w:val="00EB37C9"/>
    <w:rsid w:val="00EB4731"/>
    <w:rsid w:val="00EB49C2"/>
    <w:rsid w:val="00EB4B25"/>
    <w:rsid w:val="00EB4FD8"/>
    <w:rsid w:val="00EB55B7"/>
    <w:rsid w:val="00EB5984"/>
    <w:rsid w:val="00EB599D"/>
    <w:rsid w:val="00EB5DDC"/>
    <w:rsid w:val="00EB5F3F"/>
    <w:rsid w:val="00EB6172"/>
    <w:rsid w:val="00EB62FC"/>
    <w:rsid w:val="00EB6728"/>
    <w:rsid w:val="00EB6784"/>
    <w:rsid w:val="00EB69DE"/>
    <w:rsid w:val="00EB6F0A"/>
    <w:rsid w:val="00EB6F57"/>
    <w:rsid w:val="00EB710E"/>
    <w:rsid w:val="00EB727C"/>
    <w:rsid w:val="00EB758C"/>
    <w:rsid w:val="00EB7679"/>
    <w:rsid w:val="00EC0019"/>
    <w:rsid w:val="00EC02A9"/>
    <w:rsid w:val="00EC02D0"/>
    <w:rsid w:val="00EC04CE"/>
    <w:rsid w:val="00EC09F1"/>
    <w:rsid w:val="00EC0EEB"/>
    <w:rsid w:val="00EC162C"/>
    <w:rsid w:val="00EC1780"/>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B"/>
    <w:rsid w:val="00EC41F1"/>
    <w:rsid w:val="00EC42C8"/>
    <w:rsid w:val="00EC4441"/>
    <w:rsid w:val="00EC44C3"/>
    <w:rsid w:val="00EC4EF8"/>
    <w:rsid w:val="00EC501A"/>
    <w:rsid w:val="00EC56B0"/>
    <w:rsid w:val="00EC572F"/>
    <w:rsid w:val="00EC59D5"/>
    <w:rsid w:val="00EC5F07"/>
    <w:rsid w:val="00EC5F3F"/>
    <w:rsid w:val="00EC651C"/>
    <w:rsid w:val="00EC6531"/>
    <w:rsid w:val="00EC6552"/>
    <w:rsid w:val="00EC6924"/>
    <w:rsid w:val="00EC6A03"/>
    <w:rsid w:val="00EC6D52"/>
    <w:rsid w:val="00EC6F93"/>
    <w:rsid w:val="00EC775F"/>
    <w:rsid w:val="00EC7A02"/>
    <w:rsid w:val="00EC7B3E"/>
    <w:rsid w:val="00EC7D74"/>
    <w:rsid w:val="00ED01B2"/>
    <w:rsid w:val="00ED0701"/>
    <w:rsid w:val="00ED0A42"/>
    <w:rsid w:val="00ED0EB1"/>
    <w:rsid w:val="00ED159A"/>
    <w:rsid w:val="00ED168D"/>
    <w:rsid w:val="00ED16BF"/>
    <w:rsid w:val="00ED1935"/>
    <w:rsid w:val="00ED1B47"/>
    <w:rsid w:val="00ED22BB"/>
    <w:rsid w:val="00ED23B3"/>
    <w:rsid w:val="00ED269A"/>
    <w:rsid w:val="00ED2E25"/>
    <w:rsid w:val="00ED2E34"/>
    <w:rsid w:val="00ED2EA8"/>
    <w:rsid w:val="00ED34A7"/>
    <w:rsid w:val="00ED38C5"/>
    <w:rsid w:val="00ED3A02"/>
    <w:rsid w:val="00ED3C4D"/>
    <w:rsid w:val="00ED3E7D"/>
    <w:rsid w:val="00ED3EF2"/>
    <w:rsid w:val="00ED4084"/>
    <w:rsid w:val="00ED430D"/>
    <w:rsid w:val="00ED452A"/>
    <w:rsid w:val="00ED482D"/>
    <w:rsid w:val="00ED4B74"/>
    <w:rsid w:val="00ED4DA7"/>
    <w:rsid w:val="00ED50FB"/>
    <w:rsid w:val="00ED526C"/>
    <w:rsid w:val="00ED54A6"/>
    <w:rsid w:val="00ED5500"/>
    <w:rsid w:val="00ED5788"/>
    <w:rsid w:val="00ED59B2"/>
    <w:rsid w:val="00ED5A95"/>
    <w:rsid w:val="00ED5D59"/>
    <w:rsid w:val="00ED5D99"/>
    <w:rsid w:val="00ED63C7"/>
    <w:rsid w:val="00ED64BF"/>
    <w:rsid w:val="00ED64D2"/>
    <w:rsid w:val="00ED660F"/>
    <w:rsid w:val="00ED6B7B"/>
    <w:rsid w:val="00ED70E8"/>
    <w:rsid w:val="00ED72A8"/>
    <w:rsid w:val="00ED7788"/>
    <w:rsid w:val="00ED7BC2"/>
    <w:rsid w:val="00EE03A1"/>
    <w:rsid w:val="00EE0483"/>
    <w:rsid w:val="00EE0649"/>
    <w:rsid w:val="00EE06AB"/>
    <w:rsid w:val="00EE0ED6"/>
    <w:rsid w:val="00EE1029"/>
    <w:rsid w:val="00EE10DC"/>
    <w:rsid w:val="00EE1171"/>
    <w:rsid w:val="00EE13A1"/>
    <w:rsid w:val="00EE1705"/>
    <w:rsid w:val="00EE198B"/>
    <w:rsid w:val="00EE1C2B"/>
    <w:rsid w:val="00EE1D7C"/>
    <w:rsid w:val="00EE212B"/>
    <w:rsid w:val="00EE240E"/>
    <w:rsid w:val="00EE283C"/>
    <w:rsid w:val="00EE285A"/>
    <w:rsid w:val="00EE2CDA"/>
    <w:rsid w:val="00EE2D82"/>
    <w:rsid w:val="00EE3147"/>
    <w:rsid w:val="00EE32D9"/>
    <w:rsid w:val="00EE3305"/>
    <w:rsid w:val="00EE357B"/>
    <w:rsid w:val="00EE36B2"/>
    <w:rsid w:val="00EE36DD"/>
    <w:rsid w:val="00EE3CCE"/>
    <w:rsid w:val="00EE3D5E"/>
    <w:rsid w:val="00EE3EFE"/>
    <w:rsid w:val="00EE3F25"/>
    <w:rsid w:val="00EE4471"/>
    <w:rsid w:val="00EE4522"/>
    <w:rsid w:val="00EE45A2"/>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409"/>
    <w:rsid w:val="00EE757A"/>
    <w:rsid w:val="00EE7604"/>
    <w:rsid w:val="00EE76F6"/>
    <w:rsid w:val="00EE7702"/>
    <w:rsid w:val="00EE7878"/>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E10"/>
    <w:rsid w:val="00EF2EF2"/>
    <w:rsid w:val="00EF382B"/>
    <w:rsid w:val="00EF397E"/>
    <w:rsid w:val="00EF3FD2"/>
    <w:rsid w:val="00EF4306"/>
    <w:rsid w:val="00EF4385"/>
    <w:rsid w:val="00EF458C"/>
    <w:rsid w:val="00EF4611"/>
    <w:rsid w:val="00EF472D"/>
    <w:rsid w:val="00EF4D7B"/>
    <w:rsid w:val="00EF53C3"/>
    <w:rsid w:val="00EF53C9"/>
    <w:rsid w:val="00EF57E8"/>
    <w:rsid w:val="00EF5AE1"/>
    <w:rsid w:val="00EF5C61"/>
    <w:rsid w:val="00EF5C66"/>
    <w:rsid w:val="00EF5DD1"/>
    <w:rsid w:val="00EF62DC"/>
    <w:rsid w:val="00EF6A6E"/>
    <w:rsid w:val="00EF7096"/>
    <w:rsid w:val="00EF74AD"/>
    <w:rsid w:val="00EF74BA"/>
    <w:rsid w:val="00EF7AED"/>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219"/>
    <w:rsid w:val="00F02441"/>
    <w:rsid w:val="00F02480"/>
    <w:rsid w:val="00F025EF"/>
    <w:rsid w:val="00F02963"/>
    <w:rsid w:val="00F03089"/>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F82"/>
    <w:rsid w:val="00F060DE"/>
    <w:rsid w:val="00F06569"/>
    <w:rsid w:val="00F06692"/>
    <w:rsid w:val="00F06A85"/>
    <w:rsid w:val="00F078F1"/>
    <w:rsid w:val="00F0790A"/>
    <w:rsid w:val="00F07CF4"/>
    <w:rsid w:val="00F10094"/>
    <w:rsid w:val="00F104D9"/>
    <w:rsid w:val="00F10596"/>
    <w:rsid w:val="00F10B03"/>
    <w:rsid w:val="00F10EA5"/>
    <w:rsid w:val="00F1113B"/>
    <w:rsid w:val="00F11324"/>
    <w:rsid w:val="00F11654"/>
    <w:rsid w:val="00F1169D"/>
    <w:rsid w:val="00F11B9B"/>
    <w:rsid w:val="00F12098"/>
    <w:rsid w:val="00F12391"/>
    <w:rsid w:val="00F123EB"/>
    <w:rsid w:val="00F12452"/>
    <w:rsid w:val="00F12B13"/>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55"/>
    <w:rsid w:val="00F14390"/>
    <w:rsid w:val="00F152B5"/>
    <w:rsid w:val="00F1543C"/>
    <w:rsid w:val="00F157BF"/>
    <w:rsid w:val="00F158B5"/>
    <w:rsid w:val="00F15F58"/>
    <w:rsid w:val="00F15FA1"/>
    <w:rsid w:val="00F16383"/>
    <w:rsid w:val="00F166BB"/>
    <w:rsid w:val="00F1681D"/>
    <w:rsid w:val="00F16E35"/>
    <w:rsid w:val="00F16F11"/>
    <w:rsid w:val="00F17404"/>
    <w:rsid w:val="00F17A72"/>
    <w:rsid w:val="00F17DAE"/>
    <w:rsid w:val="00F17FD7"/>
    <w:rsid w:val="00F200B7"/>
    <w:rsid w:val="00F20115"/>
    <w:rsid w:val="00F202A5"/>
    <w:rsid w:val="00F20304"/>
    <w:rsid w:val="00F20410"/>
    <w:rsid w:val="00F2083B"/>
    <w:rsid w:val="00F20B7A"/>
    <w:rsid w:val="00F2170F"/>
    <w:rsid w:val="00F21839"/>
    <w:rsid w:val="00F21DAF"/>
    <w:rsid w:val="00F21E9D"/>
    <w:rsid w:val="00F21FB4"/>
    <w:rsid w:val="00F2249C"/>
    <w:rsid w:val="00F225EE"/>
    <w:rsid w:val="00F2276D"/>
    <w:rsid w:val="00F22A52"/>
    <w:rsid w:val="00F22A90"/>
    <w:rsid w:val="00F22B64"/>
    <w:rsid w:val="00F22D5F"/>
    <w:rsid w:val="00F22DE1"/>
    <w:rsid w:val="00F23485"/>
    <w:rsid w:val="00F2376A"/>
    <w:rsid w:val="00F239CE"/>
    <w:rsid w:val="00F2445D"/>
    <w:rsid w:val="00F24609"/>
    <w:rsid w:val="00F24A1D"/>
    <w:rsid w:val="00F24A70"/>
    <w:rsid w:val="00F24D5A"/>
    <w:rsid w:val="00F24E57"/>
    <w:rsid w:val="00F254CD"/>
    <w:rsid w:val="00F25585"/>
    <w:rsid w:val="00F25756"/>
    <w:rsid w:val="00F257A7"/>
    <w:rsid w:val="00F25AF2"/>
    <w:rsid w:val="00F25C5A"/>
    <w:rsid w:val="00F25E4F"/>
    <w:rsid w:val="00F260AC"/>
    <w:rsid w:val="00F2644A"/>
    <w:rsid w:val="00F2672E"/>
    <w:rsid w:val="00F2698C"/>
    <w:rsid w:val="00F26BF8"/>
    <w:rsid w:val="00F27578"/>
    <w:rsid w:val="00F3008C"/>
    <w:rsid w:val="00F30321"/>
    <w:rsid w:val="00F3033F"/>
    <w:rsid w:val="00F309AE"/>
    <w:rsid w:val="00F3115F"/>
    <w:rsid w:val="00F31639"/>
    <w:rsid w:val="00F3277B"/>
    <w:rsid w:val="00F329D0"/>
    <w:rsid w:val="00F32A17"/>
    <w:rsid w:val="00F32A4A"/>
    <w:rsid w:val="00F32B57"/>
    <w:rsid w:val="00F32B7F"/>
    <w:rsid w:val="00F32BE7"/>
    <w:rsid w:val="00F32EF9"/>
    <w:rsid w:val="00F32F58"/>
    <w:rsid w:val="00F3377D"/>
    <w:rsid w:val="00F337B0"/>
    <w:rsid w:val="00F337DA"/>
    <w:rsid w:val="00F339FB"/>
    <w:rsid w:val="00F33B76"/>
    <w:rsid w:val="00F33ED2"/>
    <w:rsid w:val="00F3434A"/>
    <w:rsid w:val="00F3435D"/>
    <w:rsid w:val="00F3437E"/>
    <w:rsid w:val="00F3446A"/>
    <w:rsid w:val="00F34604"/>
    <w:rsid w:val="00F3470B"/>
    <w:rsid w:val="00F347DD"/>
    <w:rsid w:val="00F34A05"/>
    <w:rsid w:val="00F34B1E"/>
    <w:rsid w:val="00F34D51"/>
    <w:rsid w:val="00F34E9F"/>
    <w:rsid w:val="00F34EE4"/>
    <w:rsid w:val="00F35024"/>
    <w:rsid w:val="00F350CA"/>
    <w:rsid w:val="00F3521E"/>
    <w:rsid w:val="00F35501"/>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561"/>
    <w:rsid w:val="00F437BB"/>
    <w:rsid w:val="00F4392B"/>
    <w:rsid w:val="00F44684"/>
    <w:rsid w:val="00F44787"/>
    <w:rsid w:val="00F447B9"/>
    <w:rsid w:val="00F44845"/>
    <w:rsid w:val="00F44AC6"/>
    <w:rsid w:val="00F44BD1"/>
    <w:rsid w:val="00F44DA1"/>
    <w:rsid w:val="00F451A9"/>
    <w:rsid w:val="00F459C9"/>
    <w:rsid w:val="00F459FA"/>
    <w:rsid w:val="00F45B9E"/>
    <w:rsid w:val="00F45E6D"/>
    <w:rsid w:val="00F4648C"/>
    <w:rsid w:val="00F46AE8"/>
    <w:rsid w:val="00F46F43"/>
    <w:rsid w:val="00F46F9B"/>
    <w:rsid w:val="00F470E1"/>
    <w:rsid w:val="00F47192"/>
    <w:rsid w:val="00F4746A"/>
    <w:rsid w:val="00F47F0E"/>
    <w:rsid w:val="00F47F71"/>
    <w:rsid w:val="00F50615"/>
    <w:rsid w:val="00F50ACE"/>
    <w:rsid w:val="00F50B1A"/>
    <w:rsid w:val="00F50C36"/>
    <w:rsid w:val="00F50C6B"/>
    <w:rsid w:val="00F50E50"/>
    <w:rsid w:val="00F50E98"/>
    <w:rsid w:val="00F513E3"/>
    <w:rsid w:val="00F51BFB"/>
    <w:rsid w:val="00F51D2A"/>
    <w:rsid w:val="00F52133"/>
    <w:rsid w:val="00F52948"/>
    <w:rsid w:val="00F52BD0"/>
    <w:rsid w:val="00F52D1E"/>
    <w:rsid w:val="00F53465"/>
    <w:rsid w:val="00F53674"/>
    <w:rsid w:val="00F5369A"/>
    <w:rsid w:val="00F538DB"/>
    <w:rsid w:val="00F539E6"/>
    <w:rsid w:val="00F53B4C"/>
    <w:rsid w:val="00F53CE9"/>
    <w:rsid w:val="00F542AE"/>
    <w:rsid w:val="00F545A8"/>
    <w:rsid w:val="00F54628"/>
    <w:rsid w:val="00F54CA8"/>
    <w:rsid w:val="00F54D85"/>
    <w:rsid w:val="00F54EC5"/>
    <w:rsid w:val="00F55021"/>
    <w:rsid w:val="00F5504A"/>
    <w:rsid w:val="00F5524B"/>
    <w:rsid w:val="00F552B6"/>
    <w:rsid w:val="00F55977"/>
    <w:rsid w:val="00F559AE"/>
    <w:rsid w:val="00F55CC1"/>
    <w:rsid w:val="00F560C9"/>
    <w:rsid w:val="00F56152"/>
    <w:rsid w:val="00F5615A"/>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40BC"/>
    <w:rsid w:val="00F6470B"/>
    <w:rsid w:val="00F649DF"/>
    <w:rsid w:val="00F64B56"/>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C05"/>
    <w:rsid w:val="00F6727E"/>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1C7"/>
    <w:rsid w:val="00F717F6"/>
    <w:rsid w:val="00F7192B"/>
    <w:rsid w:val="00F71D0D"/>
    <w:rsid w:val="00F71E78"/>
    <w:rsid w:val="00F71F25"/>
    <w:rsid w:val="00F7221C"/>
    <w:rsid w:val="00F72342"/>
    <w:rsid w:val="00F72951"/>
    <w:rsid w:val="00F72B18"/>
    <w:rsid w:val="00F72C1B"/>
    <w:rsid w:val="00F72D3B"/>
    <w:rsid w:val="00F72F88"/>
    <w:rsid w:val="00F7307A"/>
    <w:rsid w:val="00F730E4"/>
    <w:rsid w:val="00F7332C"/>
    <w:rsid w:val="00F735F8"/>
    <w:rsid w:val="00F73674"/>
    <w:rsid w:val="00F739EB"/>
    <w:rsid w:val="00F73C7F"/>
    <w:rsid w:val="00F741A6"/>
    <w:rsid w:val="00F7431A"/>
    <w:rsid w:val="00F74325"/>
    <w:rsid w:val="00F750EA"/>
    <w:rsid w:val="00F75117"/>
    <w:rsid w:val="00F752AF"/>
    <w:rsid w:val="00F759A9"/>
    <w:rsid w:val="00F75A10"/>
    <w:rsid w:val="00F75D78"/>
    <w:rsid w:val="00F75F21"/>
    <w:rsid w:val="00F75FF1"/>
    <w:rsid w:val="00F762C4"/>
    <w:rsid w:val="00F76885"/>
    <w:rsid w:val="00F7691B"/>
    <w:rsid w:val="00F76AB6"/>
    <w:rsid w:val="00F76C76"/>
    <w:rsid w:val="00F76E5C"/>
    <w:rsid w:val="00F7714E"/>
    <w:rsid w:val="00F7727F"/>
    <w:rsid w:val="00F77792"/>
    <w:rsid w:val="00F7787E"/>
    <w:rsid w:val="00F77AE6"/>
    <w:rsid w:val="00F77C80"/>
    <w:rsid w:val="00F77D8F"/>
    <w:rsid w:val="00F77EA5"/>
    <w:rsid w:val="00F77EB8"/>
    <w:rsid w:val="00F80FAA"/>
    <w:rsid w:val="00F814D8"/>
    <w:rsid w:val="00F81918"/>
    <w:rsid w:val="00F81B85"/>
    <w:rsid w:val="00F81D85"/>
    <w:rsid w:val="00F82390"/>
    <w:rsid w:val="00F8264F"/>
    <w:rsid w:val="00F82774"/>
    <w:rsid w:val="00F82D8A"/>
    <w:rsid w:val="00F83006"/>
    <w:rsid w:val="00F830BE"/>
    <w:rsid w:val="00F83249"/>
    <w:rsid w:val="00F8344D"/>
    <w:rsid w:val="00F834C0"/>
    <w:rsid w:val="00F83647"/>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7F3"/>
    <w:rsid w:val="00F8792A"/>
    <w:rsid w:val="00F879CB"/>
    <w:rsid w:val="00F87D6C"/>
    <w:rsid w:val="00F87F2C"/>
    <w:rsid w:val="00F90045"/>
    <w:rsid w:val="00F9028C"/>
    <w:rsid w:val="00F903E9"/>
    <w:rsid w:val="00F9057A"/>
    <w:rsid w:val="00F9062C"/>
    <w:rsid w:val="00F908CD"/>
    <w:rsid w:val="00F9098D"/>
    <w:rsid w:val="00F909E7"/>
    <w:rsid w:val="00F90C3F"/>
    <w:rsid w:val="00F90D5F"/>
    <w:rsid w:val="00F910E8"/>
    <w:rsid w:val="00F914C8"/>
    <w:rsid w:val="00F915CF"/>
    <w:rsid w:val="00F91939"/>
    <w:rsid w:val="00F91988"/>
    <w:rsid w:val="00F91BBB"/>
    <w:rsid w:val="00F91F68"/>
    <w:rsid w:val="00F92248"/>
    <w:rsid w:val="00F922EA"/>
    <w:rsid w:val="00F923E8"/>
    <w:rsid w:val="00F92583"/>
    <w:rsid w:val="00F92747"/>
    <w:rsid w:val="00F92CA4"/>
    <w:rsid w:val="00F93091"/>
    <w:rsid w:val="00F93094"/>
    <w:rsid w:val="00F93416"/>
    <w:rsid w:val="00F93462"/>
    <w:rsid w:val="00F936D6"/>
    <w:rsid w:val="00F93775"/>
    <w:rsid w:val="00F938B9"/>
    <w:rsid w:val="00F93961"/>
    <w:rsid w:val="00F93BA3"/>
    <w:rsid w:val="00F93D2A"/>
    <w:rsid w:val="00F9428E"/>
    <w:rsid w:val="00F94374"/>
    <w:rsid w:val="00F94454"/>
    <w:rsid w:val="00F944BC"/>
    <w:rsid w:val="00F94C6B"/>
    <w:rsid w:val="00F94EFF"/>
    <w:rsid w:val="00F954A6"/>
    <w:rsid w:val="00F95659"/>
    <w:rsid w:val="00F95B34"/>
    <w:rsid w:val="00F95D95"/>
    <w:rsid w:val="00F95EAE"/>
    <w:rsid w:val="00F961A0"/>
    <w:rsid w:val="00F967EF"/>
    <w:rsid w:val="00F969F8"/>
    <w:rsid w:val="00F96EAD"/>
    <w:rsid w:val="00F975C4"/>
    <w:rsid w:val="00F977EF"/>
    <w:rsid w:val="00F97E22"/>
    <w:rsid w:val="00FA004C"/>
    <w:rsid w:val="00FA00B2"/>
    <w:rsid w:val="00FA0422"/>
    <w:rsid w:val="00FA054F"/>
    <w:rsid w:val="00FA0588"/>
    <w:rsid w:val="00FA0CA3"/>
    <w:rsid w:val="00FA0DA4"/>
    <w:rsid w:val="00FA0DFA"/>
    <w:rsid w:val="00FA0E7D"/>
    <w:rsid w:val="00FA0F5E"/>
    <w:rsid w:val="00FA0F89"/>
    <w:rsid w:val="00FA10E3"/>
    <w:rsid w:val="00FA1435"/>
    <w:rsid w:val="00FA167F"/>
    <w:rsid w:val="00FA16A4"/>
    <w:rsid w:val="00FA181D"/>
    <w:rsid w:val="00FA1AE7"/>
    <w:rsid w:val="00FA1BDC"/>
    <w:rsid w:val="00FA1C17"/>
    <w:rsid w:val="00FA21E6"/>
    <w:rsid w:val="00FA2439"/>
    <w:rsid w:val="00FA2EC7"/>
    <w:rsid w:val="00FA2F84"/>
    <w:rsid w:val="00FA31F3"/>
    <w:rsid w:val="00FA33CD"/>
    <w:rsid w:val="00FA3799"/>
    <w:rsid w:val="00FA3A31"/>
    <w:rsid w:val="00FA3B2E"/>
    <w:rsid w:val="00FA3B69"/>
    <w:rsid w:val="00FA3EFF"/>
    <w:rsid w:val="00FA43A1"/>
    <w:rsid w:val="00FA4A51"/>
    <w:rsid w:val="00FA4BD8"/>
    <w:rsid w:val="00FA4C8F"/>
    <w:rsid w:val="00FA4CF6"/>
    <w:rsid w:val="00FA4E0D"/>
    <w:rsid w:val="00FA4FA9"/>
    <w:rsid w:val="00FA4FF9"/>
    <w:rsid w:val="00FA5316"/>
    <w:rsid w:val="00FA550B"/>
    <w:rsid w:val="00FA585A"/>
    <w:rsid w:val="00FA59E4"/>
    <w:rsid w:val="00FA5BD1"/>
    <w:rsid w:val="00FA5EAE"/>
    <w:rsid w:val="00FA5F30"/>
    <w:rsid w:val="00FA5F76"/>
    <w:rsid w:val="00FA60CF"/>
    <w:rsid w:val="00FA6738"/>
    <w:rsid w:val="00FA67EE"/>
    <w:rsid w:val="00FA6931"/>
    <w:rsid w:val="00FA6A53"/>
    <w:rsid w:val="00FA6B1E"/>
    <w:rsid w:val="00FA6F2B"/>
    <w:rsid w:val="00FA7027"/>
    <w:rsid w:val="00FA70AD"/>
    <w:rsid w:val="00FA7494"/>
    <w:rsid w:val="00FA77C1"/>
    <w:rsid w:val="00FA7B88"/>
    <w:rsid w:val="00FA7BFE"/>
    <w:rsid w:val="00FB03AE"/>
    <w:rsid w:val="00FB043F"/>
    <w:rsid w:val="00FB0AAC"/>
    <w:rsid w:val="00FB0AD7"/>
    <w:rsid w:val="00FB0DE2"/>
    <w:rsid w:val="00FB0EA3"/>
    <w:rsid w:val="00FB0EB8"/>
    <w:rsid w:val="00FB13F7"/>
    <w:rsid w:val="00FB1447"/>
    <w:rsid w:val="00FB1C4E"/>
    <w:rsid w:val="00FB1DB6"/>
    <w:rsid w:val="00FB1FF7"/>
    <w:rsid w:val="00FB241E"/>
    <w:rsid w:val="00FB25B8"/>
    <w:rsid w:val="00FB2702"/>
    <w:rsid w:val="00FB28D8"/>
    <w:rsid w:val="00FB2B20"/>
    <w:rsid w:val="00FB2D5B"/>
    <w:rsid w:val="00FB2DDE"/>
    <w:rsid w:val="00FB2F59"/>
    <w:rsid w:val="00FB31DF"/>
    <w:rsid w:val="00FB32EA"/>
    <w:rsid w:val="00FB339E"/>
    <w:rsid w:val="00FB3949"/>
    <w:rsid w:val="00FB3969"/>
    <w:rsid w:val="00FB39C4"/>
    <w:rsid w:val="00FB3DAB"/>
    <w:rsid w:val="00FB459D"/>
    <w:rsid w:val="00FB45D1"/>
    <w:rsid w:val="00FB45E1"/>
    <w:rsid w:val="00FB4637"/>
    <w:rsid w:val="00FB46F1"/>
    <w:rsid w:val="00FB483F"/>
    <w:rsid w:val="00FB4A09"/>
    <w:rsid w:val="00FB4B71"/>
    <w:rsid w:val="00FB4D57"/>
    <w:rsid w:val="00FB4EFF"/>
    <w:rsid w:val="00FB541C"/>
    <w:rsid w:val="00FB5431"/>
    <w:rsid w:val="00FB5547"/>
    <w:rsid w:val="00FB5B49"/>
    <w:rsid w:val="00FB6027"/>
    <w:rsid w:val="00FB64C6"/>
    <w:rsid w:val="00FB6FB6"/>
    <w:rsid w:val="00FB7166"/>
    <w:rsid w:val="00FB74E9"/>
    <w:rsid w:val="00FB7A79"/>
    <w:rsid w:val="00FB7B71"/>
    <w:rsid w:val="00FB7DB4"/>
    <w:rsid w:val="00FB7F81"/>
    <w:rsid w:val="00FC006E"/>
    <w:rsid w:val="00FC0946"/>
    <w:rsid w:val="00FC0AC4"/>
    <w:rsid w:val="00FC0C50"/>
    <w:rsid w:val="00FC0EC3"/>
    <w:rsid w:val="00FC12EA"/>
    <w:rsid w:val="00FC21B3"/>
    <w:rsid w:val="00FC23CA"/>
    <w:rsid w:val="00FC2749"/>
    <w:rsid w:val="00FC27B0"/>
    <w:rsid w:val="00FC28EB"/>
    <w:rsid w:val="00FC2973"/>
    <w:rsid w:val="00FC2D00"/>
    <w:rsid w:val="00FC2D21"/>
    <w:rsid w:val="00FC2DBD"/>
    <w:rsid w:val="00FC3A47"/>
    <w:rsid w:val="00FC3A68"/>
    <w:rsid w:val="00FC4334"/>
    <w:rsid w:val="00FC4577"/>
    <w:rsid w:val="00FC4953"/>
    <w:rsid w:val="00FC4B7A"/>
    <w:rsid w:val="00FC4E77"/>
    <w:rsid w:val="00FC4FE4"/>
    <w:rsid w:val="00FC5059"/>
    <w:rsid w:val="00FC548B"/>
    <w:rsid w:val="00FC55D3"/>
    <w:rsid w:val="00FC567B"/>
    <w:rsid w:val="00FC594D"/>
    <w:rsid w:val="00FC5EAC"/>
    <w:rsid w:val="00FC5EF4"/>
    <w:rsid w:val="00FC5F1D"/>
    <w:rsid w:val="00FC5FE8"/>
    <w:rsid w:val="00FC6B7C"/>
    <w:rsid w:val="00FC6F56"/>
    <w:rsid w:val="00FC71F2"/>
    <w:rsid w:val="00FC73A0"/>
    <w:rsid w:val="00FC74F2"/>
    <w:rsid w:val="00FC7886"/>
    <w:rsid w:val="00FC799B"/>
    <w:rsid w:val="00FD0130"/>
    <w:rsid w:val="00FD09DF"/>
    <w:rsid w:val="00FD0D39"/>
    <w:rsid w:val="00FD0F26"/>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532"/>
    <w:rsid w:val="00FD3825"/>
    <w:rsid w:val="00FD3C4C"/>
    <w:rsid w:val="00FD3F3A"/>
    <w:rsid w:val="00FD4915"/>
    <w:rsid w:val="00FD4D32"/>
    <w:rsid w:val="00FD4FBE"/>
    <w:rsid w:val="00FD5700"/>
    <w:rsid w:val="00FD572D"/>
    <w:rsid w:val="00FD5863"/>
    <w:rsid w:val="00FD60A0"/>
    <w:rsid w:val="00FD633F"/>
    <w:rsid w:val="00FD6746"/>
    <w:rsid w:val="00FD6C4A"/>
    <w:rsid w:val="00FD6CAB"/>
    <w:rsid w:val="00FD7292"/>
    <w:rsid w:val="00FD77D1"/>
    <w:rsid w:val="00FD7889"/>
    <w:rsid w:val="00FD7A63"/>
    <w:rsid w:val="00FD7B32"/>
    <w:rsid w:val="00FD7FEC"/>
    <w:rsid w:val="00FE024B"/>
    <w:rsid w:val="00FE06FD"/>
    <w:rsid w:val="00FE0EFF"/>
    <w:rsid w:val="00FE188D"/>
    <w:rsid w:val="00FE1D94"/>
    <w:rsid w:val="00FE1EE8"/>
    <w:rsid w:val="00FE213B"/>
    <w:rsid w:val="00FE221E"/>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AD2"/>
    <w:rsid w:val="00FE617E"/>
    <w:rsid w:val="00FE61A5"/>
    <w:rsid w:val="00FE65AC"/>
    <w:rsid w:val="00FE6996"/>
    <w:rsid w:val="00FE6D8D"/>
    <w:rsid w:val="00FE716A"/>
    <w:rsid w:val="00FE7224"/>
    <w:rsid w:val="00FE7349"/>
    <w:rsid w:val="00FE78EB"/>
    <w:rsid w:val="00FE7A8B"/>
    <w:rsid w:val="00FE7F8F"/>
    <w:rsid w:val="00FF01C8"/>
    <w:rsid w:val="00FF0364"/>
    <w:rsid w:val="00FF0CF4"/>
    <w:rsid w:val="00FF1631"/>
    <w:rsid w:val="00FF1E2C"/>
    <w:rsid w:val="00FF2159"/>
    <w:rsid w:val="00FF2294"/>
    <w:rsid w:val="00FF2A22"/>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B82"/>
    <w:rsid w:val="00FF6D69"/>
    <w:rsid w:val="00FF70EB"/>
    <w:rsid w:val="00FF75A9"/>
    <w:rsid w:val="00FF784B"/>
    <w:rsid w:val="00FF78DC"/>
    <w:rsid w:val="00FF7906"/>
    <w:rsid w:val="00FF7AA1"/>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4E1B418"/>
  <w15:docId w15:val="{39F61DCB-4DB6-42BF-84FF-A40B95E0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D43"/>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spacing w:after="120"/>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D7034"/>
    <w:pPr>
      <w:shd w:val="clear" w:color="auto" w:fill="6E8356" w:themeFill="accent2" w:themeFillShade="BF"/>
      <w:spacing w:before="120"/>
      <w:jc w:val="center"/>
      <w:outlineLvl w:val="1"/>
    </w:pPr>
    <w:rPr>
      <w:b/>
      <w:color w:val="000000" w:themeColor="text1"/>
      <w:sz w:val="28"/>
      <w:szCs w:val="28"/>
    </w:rPr>
  </w:style>
  <w:style w:type="paragraph" w:styleId="Heading3">
    <w:name w:val="heading 3"/>
    <w:basedOn w:val="Normal"/>
    <w:next w:val="Normal"/>
    <w:link w:val="Heading3Char"/>
    <w:autoRedefine/>
    <w:qFormat/>
    <w:rsid w:val="00D00ACD"/>
    <w:pPr>
      <w:keepNext/>
      <w:numPr>
        <w:numId w:val="7"/>
      </w:numPr>
      <w:shd w:val="clear" w:color="auto" w:fill="C0CDB2" w:themeFill="accent1" w:themeFillTint="66"/>
      <w:spacing w:before="60" w:after="60"/>
      <w:outlineLvl w:val="2"/>
    </w:pPr>
    <w:rPr>
      <w:rFonts w:cs="Arial"/>
      <w:b/>
      <w:sz w:val="24"/>
      <w:szCs w:val="24"/>
    </w:rPr>
  </w:style>
  <w:style w:type="paragraph" w:styleId="Heading4">
    <w:name w:val="heading 4"/>
    <w:basedOn w:val="Normal"/>
    <w:next w:val="Normal"/>
    <w:link w:val="Heading4Char"/>
    <w:autoRedefine/>
    <w:qFormat/>
    <w:locked/>
    <w:rsid w:val="00D76355"/>
    <w:pPr>
      <w:outlineLvl w:val="3"/>
    </w:pPr>
    <w:rPr>
      <w:rFonts w:cstheme="minorHAnsi"/>
      <w:u w:val="single"/>
      <w:lang w:eastAsia="en-US"/>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after="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D7034"/>
    <w:rPr>
      <w:rFonts w:asciiTheme="minorHAnsi" w:hAnsiTheme="minorHAnsi" w:cs="Arial"/>
      <w:b/>
      <w:color w:val="000000" w:themeColor="text1"/>
      <w:sz w:val="28"/>
      <w:szCs w:val="28"/>
      <w:shd w:val="clear" w:color="auto" w:fill="6E8356" w:themeFill="accent2" w:themeFillShade="BF"/>
      <w:lang w:eastAsia="en-US"/>
    </w:rPr>
  </w:style>
  <w:style w:type="character" w:customStyle="1" w:styleId="Heading3Char">
    <w:name w:val="Heading 3 Char"/>
    <w:link w:val="Heading3"/>
    <w:locked/>
    <w:rsid w:val="00D00ACD"/>
    <w:rPr>
      <w:rFonts w:asciiTheme="minorHAnsi" w:hAnsiTheme="minorHAnsi" w:cs="Arial"/>
      <w:b/>
      <w:sz w:val="24"/>
      <w:szCs w:val="24"/>
      <w:shd w:val="clear" w:color="auto" w:fill="C0CDB2" w:themeFill="accent1" w:themeFillTint="66"/>
    </w:rPr>
  </w:style>
  <w:style w:type="character" w:customStyle="1" w:styleId="Heading4Char">
    <w:name w:val="Heading 4 Char"/>
    <w:link w:val="Heading4"/>
    <w:locked/>
    <w:rsid w:val="00D76355"/>
    <w:rPr>
      <w:rFonts w:asciiTheme="minorHAnsi" w:hAnsiTheme="minorHAnsi" w:cstheme="minorHAnsi"/>
      <w:sz w:val="22"/>
      <w:u w:val="single"/>
      <w:lang w:eastAsia="en-US"/>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E5AD2"/>
    <w:rPr>
      <w:b/>
      <w:bCs/>
    </w:rPr>
  </w:style>
  <w:style w:type="paragraph" w:styleId="EndnoteText">
    <w:name w:val="endnote text"/>
    <w:basedOn w:val="Normal"/>
    <w:link w:val="EndnoteTextChar"/>
    <w:rsid w:val="00FC5FE8"/>
    <w:pPr>
      <w:tabs>
        <w:tab w:val="left" w:pos="340"/>
      </w:tabs>
      <w:spacing w:after="120"/>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after="120"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spacing w:after="120"/>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spacing w:after="120"/>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495739"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9D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A8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A8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A8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A8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3B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3BC" w:themeFill="accent2" w:themeFillTint="7F"/>
      </w:tcPr>
    </w:tblStylePr>
  </w:style>
  <w:style w:type="paragraph" w:styleId="PlainText">
    <w:name w:val="Plain Text"/>
    <w:basedOn w:val="Normal"/>
    <w:link w:val="PlainTextChar"/>
    <w:uiPriority w:val="99"/>
    <w:semiHidden/>
    <w:unhideWhenUsed/>
    <w:locked/>
    <w:rsid w:val="00BE0E8C"/>
    <w:rPr>
      <w:rFonts w:ascii="Arial" w:eastAsiaTheme="minorHAnsi" w:hAnsi="Arial" w:cs="Consolas"/>
      <w:sz w:val="18"/>
      <w:szCs w:val="21"/>
      <w:lang w:eastAsia="en-US"/>
    </w:rPr>
  </w:style>
  <w:style w:type="character" w:customStyle="1" w:styleId="PlainTextChar">
    <w:name w:val="Plain Text Char"/>
    <w:basedOn w:val="DefaultParagraphFont"/>
    <w:link w:val="PlainText"/>
    <w:uiPriority w:val="99"/>
    <w:semiHidden/>
    <w:rsid w:val="00BE0E8C"/>
    <w:rPr>
      <w:rFonts w:ascii="Arial" w:eastAsiaTheme="minorHAnsi" w:hAnsi="Arial" w:cs="Consolas"/>
      <w:sz w:val="18"/>
      <w:szCs w:val="21"/>
      <w:lang w:eastAsia="en-US"/>
    </w:rPr>
  </w:style>
  <w:style w:type="character" w:customStyle="1" w:styleId="authors-list-item">
    <w:name w:val="authors-list-item"/>
    <w:basedOn w:val="DefaultParagraphFont"/>
    <w:rsid w:val="004645CD"/>
  </w:style>
  <w:style w:type="character" w:customStyle="1" w:styleId="author-sup-separator">
    <w:name w:val="author-sup-separator"/>
    <w:basedOn w:val="DefaultParagraphFont"/>
    <w:rsid w:val="004645CD"/>
  </w:style>
  <w:style w:type="character" w:customStyle="1" w:styleId="comma">
    <w:name w:val="comma"/>
    <w:basedOn w:val="DefaultParagraphFont"/>
    <w:rsid w:val="004645CD"/>
  </w:style>
  <w:style w:type="character" w:customStyle="1" w:styleId="period">
    <w:name w:val="period"/>
    <w:basedOn w:val="DefaultParagraphFont"/>
    <w:rsid w:val="004645CD"/>
  </w:style>
  <w:style w:type="character" w:customStyle="1" w:styleId="cit">
    <w:name w:val="cit"/>
    <w:basedOn w:val="DefaultParagraphFont"/>
    <w:rsid w:val="004645CD"/>
  </w:style>
  <w:style w:type="character" w:customStyle="1" w:styleId="citation-doi">
    <w:name w:val="citation-doi"/>
    <w:basedOn w:val="DefaultParagraphFont"/>
    <w:rsid w:val="004645CD"/>
  </w:style>
  <w:style w:type="character" w:customStyle="1" w:styleId="docsum-authors">
    <w:name w:val="docsum-authors"/>
    <w:basedOn w:val="DefaultParagraphFont"/>
    <w:rsid w:val="004645CD"/>
  </w:style>
  <w:style w:type="character" w:customStyle="1" w:styleId="docsum-journal-citation">
    <w:name w:val="docsum-journal-citation"/>
    <w:basedOn w:val="DefaultParagraphFont"/>
    <w:rsid w:val="004645CD"/>
  </w:style>
  <w:style w:type="character" w:customStyle="1" w:styleId="citation-part">
    <w:name w:val="citation-part"/>
    <w:basedOn w:val="DefaultParagraphFont"/>
    <w:rsid w:val="004645CD"/>
  </w:style>
  <w:style w:type="character" w:customStyle="1" w:styleId="docsum-pmid">
    <w:name w:val="docsum-pmid"/>
    <w:basedOn w:val="DefaultParagraphFont"/>
    <w:rsid w:val="00464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320">
      <w:bodyDiv w:val="1"/>
      <w:marLeft w:val="0"/>
      <w:marRight w:val="0"/>
      <w:marTop w:val="0"/>
      <w:marBottom w:val="0"/>
      <w:divBdr>
        <w:top w:val="none" w:sz="0" w:space="0" w:color="auto"/>
        <w:left w:val="none" w:sz="0" w:space="0" w:color="auto"/>
        <w:bottom w:val="none" w:sz="0" w:space="0" w:color="auto"/>
        <w:right w:val="none" w:sz="0" w:space="0" w:color="auto"/>
      </w:divBdr>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660229217">
      <w:bodyDiv w:val="1"/>
      <w:marLeft w:val="0"/>
      <w:marRight w:val="0"/>
      <w:marTop w:val="0"/>
      <w:marBottom w:val="0"/>
      <w:divBdr>
        <w:top w:val="none" w:sz="0" w:space="0" w:color="auto"/>
        <w:left w:val="none" w:sz="0" w:space="0" w:color="auto"/>
        <w:bottom w:val="none" w:sz="0" w:space="0" w:color="auto"/>
        <w:right w:val="none" w:sz="0" w:space="0" w:color="auto"/>
      </w:divBdr>
    </w:div>
    <w:div w:id="1782413415">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34819919">
      <w:bodyDiv w:val="1"/>
      <w:marLeft w:val="0"/>
      <w:marRight w:val="0"/>
      <w:marTop w:val="0"/>
      <w:marBottom w:val="0"/>
      <w:divBdr>
        <w:top w:val="none" w:sz="0" w:space="0" w:color="auto"/>
        <w:left w:val="none" w:sz="0" w:space="0" w:color="auto"/>
        <w:bottom w:val="none" w:sz="0" w:space="0" w:color="auto"/>
        <w:right w:val="none" w:sz="0" w:space="0" w:color="auto"/>
      </w:divBdr>
      <w:divsChild>
        <w:div w:id="1833522568">
          <w:marLeft w:val="274"/>
          <w:marRight w:val="0"/>
          <w:marTop w:val="0"/>
          <w:marBottom w:val="0"/>
          <w:divBdr>
            <w:top w:val="none" w:sz="0" w:space="0" w:color="auto"/>
            <w:left w:val="none" w:sz="0" w:space="0" w:color="auto"/>
            <w:bottom w:val="none" w:sz="0" w:space="0" w:color="auto"/>
            <w:right w:val="none" w:sz="0" w:space="0" w:color="auto"/>
          </w:divBdr>
        </w:div>
      </w:divsChild>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alth.act.gov.au/about-our-health-system/population-health/winter-wellbeing-and-flu/flu-act" TargetMode="External"/><Relationship Id="rId18" Type="http://schemas.openxmlformats.org/officeDocument/2006/relationships/hyperlink" Target="https://www2.health.vic.gov.au/about/publications/researchandreports/seasonal-influenza-reports-2018"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flu@health.gov.au" TargetMode="External"/><Relationship Id="rId17" Type="http://schemas.openxmlformats.org/officeDocument/2006/relationships/hyperlink" Target="http://www.dhhs.tas.gov.au/publichealth/communicable_diseases_prevention_unit"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sahealth.sa.gov.au/wps/wcm/connect/public+content/sa+health+internet/about+us/health+statistics/surveillance+of+notifiable+condi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flureport"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health.qld.gov.au/clinical-practice/guidelines-procedures/diseases-infection/surveillance/reports/flu"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2.health.wa.gov.au/Articles/F_I/Infectious-disease-data/Virus-WAt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ealth.nsw.gov.au/Infectious/Influenza/Pages/reports.aspx"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health.gov.au/nndssdata" TargetMode="External"/><Relationship Id="rId13" Type="http://schemas.openxmlformats.org/officeDocument/2006/relationships/hyperlink" Target="https://onlinelibrary.wiley.com/doi/full/10.5694/mja14.00106" TargetMode="External"/><Relationship Id="rId3" Type="http://schemas.openxmlformats.org/officeDocument/2006/relationships/hyperlink" Target="https://aspren.dmac.adelaide.edu.au/" TargetMode="External"/><Relationship Id="rId7" Type="http://schemas.openxmlformats.org/officeDocument/2006/relationships/hyperlink" Target="http://www.health.gov.au/nndssdata" TargetMode="External"/><Relationship Id="rId12" Type="http://schemas.openxmlformats.org/officeDocument/2006/relationships/hyperlink" Target="http://www.influenzacentre.org/surveillance_samplesreceived.htm" TargetMode="External"/><Relationship Id="rId2" Type="http://schemas.openxmlformats.org/officeDocument/2006/relationships/hyperlink" Target="https://info.flutracking.net/" TargetMode="External"/><Relationship Id="rId16" Type="http://schemas.openxmlformats.org/officeDocument/2006/relationships/hyperlink" Target="https://www.eurosurveillance.org/content/10.2807/1560-7917.ES.2017.22.43.17-00707" TargetMode="External"/><Relationship Id="rId1" Type="http://schemas.openxmlformats.org/officeDocument/2006/relationships/hyperlink" Target="https://info.flutracking.net" TargetMode="External"/><Relationship Id="rId6" Type="http://schemas.openxmlformats.org/officeDocument/2006/relationships/hyperlink" Target="http://www.vidrl.org.au/surveillance/influenza-surveillance/" TargetMode="External"/><Relationship Id="rId11" Type="http://schemas.openxmlformats.org/officeDocument/2006/relationships/hyperlink" Target="http://www.influenzacentre.org/surveillance_samplesreceived.htm" TargetMode="External"/><Relationship Id="rId5" Type="http://schemas.openxmlformats.org/officeDocument/2006/relationships/hyperlink" Target="http://www.vidrl.org.au/surveillance/influenza-surveillance/" TargetMode="External"/><Relationship Id="rId15" Type="http://schemas.openxmlformats.org/officeDocument/2006/relationships/hyperlink" Target="https://www.sciencedirect.com/science/article/pii/S0264410X16307630?via%3Dihub" TargetMode="External"/><Relationship Id="rId10" Type="http://schemas.openxmlformats.org/officeDocument/2006/relationships/hyperlink" Target="https://monashhealth.org/services/monash-infectious-diseases/research/influenza-research/flucan-influenza-surveillance-2/" TargetMode="External"/><Relationship Id="rId4" Type="http://schemas.openxmlformats.org/officeDocument/2006/relationships/hyperlink" Target="https://aspren.dmac.adelaide.edu.au/" TargetMode="External"/><Relationship Id="rId9" Type="http://schemas.openxmlformats.org/officeDocument/2006/relationships/hyperlink" Target="https://monashhealth.org/services/monash-infectious-diseases/research/influenza-research/flucan-influenza-surveillance-2/" TargetMode="External"/><Relationship Id="rId14" Type="http://schemas.openxmlformats.org/officeDocument/2006/relationships/hyperlink" Target="https://www.cambridge.org/core/journals/epidemiology-and-infection/article/pooled-influenza-vaccine-effectiveness-estimates-for-australia-20122014/5FDC2D885A8AF020C952F47395AE09B8"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69676D"/>
      </a:dk2>
      <a:lt2>
        <a:srgbClr val="C9C2D1"/>
      </a:lt2>
      <a:accent1>
        <a:srgbClr val="62754C"/>
      </a:accent1>
      <a:accent2>
        <a:srgbClr val="93A87A"/>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FBE94BFE-318B-4E61-AF5C-907B68ED6A15}">
  <ds:schemaRefs>
    <ds:schemaRef ds:uri="http://schemas.openxmlformats.org/officeDocument/2006/bibliography"/>
  </ds:schemaRefs>
</ds:datastoreItem>
</file>

<file path=customXml/itemProps2.xml><?xml version="1.0" encoding="utf-8"?>
<ds:datastoreItem xmlns:ds="http://schemas.openxmlformats.org/officeDocument/2006/customXml" ds:itemID="{AD4A90B2-1649-41CB-B9B1-22BD541CD194}"/>
</file>

<file path=customXml/itemProps3.xml><?xml version="1.0" encoding="utf-8"?>
<ds:datastoreItem xmlns:ds="http://schemas.openxmlformats.org/officeDocument/2006/customXml" ds:itemID="{4C367FBF-B068-46C8-8765-1A321D28C353}"/>
</file>

<file path=customXml/itemProps4.xml><?xml version="1.0" encoding="utf-8"?>
<ds:datastoreItem xmlns:ds="http://schemas.openxmlformats.org/officeDocument/2006/customXml" ds:itemID="{04AEBA03-A77D-4B2C-920A-A5A61FE2E330}"/>
</file>

<file path=docProps/app.xml><?xml version="1.0" encoding="utf-8"?>
<Properties xmlns="http://schemas.openxmlformats.org/officeDocument/2006/extended-properties" xmlns:vt="http://schemas.openxmlformats.org/officeDocument/2006/docPropsVTypes">
  <Template>Normal.dotm</Template>
  <TotalTime>3</TotalTime>
  <Pages>5</Pages>
  <Words>2092</Words>
  <Characters>14263</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Australian Influenza Surveillance Report Season Summary</vt:lpstr>
    </vt:vector>
  </TitlesOfParts>
  <Company>Health</Company>
  <LinksUpToDate>false</LinksUpToDate>
  <CharactersWithSpaces>16323</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Influenza Surveillance Report Season Summary</dc:title>
  <dc:subject>OHP Surveillance Report Template</dc:subject>
  <dc:creator>Australian Government Department of Health and Aged Care</dc:creator>
  <cp:keywords>Communicable diseases, Influenza (flu)</cp:keywords>
  <cp:lastModifiedBy>MORRISON, Lisa</cp:lastModifiedBy>
  <cp:revision>3</cp:revision>
  <cp:lastPrinted>2020-08-19T02:04:00Z</cp:lastPrinted>
  <dcterms:created xsi:type="dcterms:W3CDTF">2022-09-26T06:39:00Z</dcterms:created>
  <dcterms:modified xsi:type="dcterms:W3CDTF">2022-09-26T06:41:00Z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