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88FEA" w14:textId="77777777" w:rsidR="00B254A9" w:rsidRPr="006F7CB1" w:rsidRDefault="00B254A9" w:rsidP="006F7CB1">
      <w:pPr>
        <w:pStyle w:val="Title"/>
      </w:pPr>
      <w:bookmarkStart w:id="0" w:name="OLE_LINK1"/>
      <w:bookmarkStart w:id="1" w:name="OLE_LINK2"/>
      <w:bookmarkStart w:id="2" w:name="OLE_LINK3"/>
      <w:bookmarkStart w:id="3" w:name="OLE_LINK4"/>
      <w:bookmarkStart w:id="4" w:name="OLE_LINK6"/>
      <w:bookmarkStart w:id="5" w:name="OLE_LINK9"/>
      <w:bookmarkStart w:id="6" w:name="OLE_LINK8"/>
      <w:r w:rsidRPr="006F7CB1">
        <w:t>National Communicable Diseases Surveillance Report</w:t>
      </w:r>
    </w:p>
    <w:p w14:paraId="6F25C8A4" w14:textId="282AB1CC" w:rsidR="00807835" w:rsidRPr="006F7CB1" w:rsidRDefault="00807835" w:rsidP="006F7CB1">
      <w:pPr>
        <w:pStyle w:val="Title"/>
      </w:pPr>
      <w:r w:rsidRPr="006F7CB1">
        <w:t xml:space="preserve">Fortnight </w:t>
      </w:r>
      <w:r w:rsidR="00A924A7" w:rsidRPr="006F7CB1">
        <w:t>1</w:t>
      </w:r>
      <w:r w:rsidR="00B2582F" w:rsidRPr="006F7CB1">
        <w:t>8</w:t>
      </w:r>
      <w:r w:rsidR="00F816D5" w:rsidRPr="006F7CB1">
        <w:t>,</w:t>
      </w:r>
      <w:r w:rsidR="003D48B5" w:rsidRPr="006F7CB1">
        <w:t xml:space="preserve"> </w:t>
      </w:r>
      <w:r w:rsidR="00924FC7" w:rsidRPr="006F7CB1">
        <w:t>202</w:t>
      </w:r>
      <w:r w:rsidR="000E4F1F" w:rsidRPr="006F7CB1">
        <w:t>2</w:t>
      </w:r>
      <w:r w:rsidR="00031B33" w:rsidRPr="006F7CB1">
        <w:t xml:space="preserve"> </w:t>
      </w:r>
      <w:r w:rsidR="006F7CB1" w:rsidRPr="006F7CB1">
        <w:t>–</w:t>
      </w:r>
      <w:r w:rsidR="006F7CB1">
        <w:t xml:space="preserve"> </w:t>
      </w:r>
      <w:r w:rsidRPr="006F7CB1">
        <w:t>Summary Notes</w:t>
      </w:r>
      <w:r w:rsidR="00EB26EC" w:rsidRPr="006F7CB1">
        <w:t xml:space="preserve"> for Selected Diseases</w:t>
      </w:r>
    </w:p>
    <w:p w14:paraId="178F241B" w14:textId="13072C8E" w:rsidR="00807835" w:rsidRPr="006F7CB1" w:rsidRDefault="00B2582F" w:rsidP="006F7CB1">
      <w:pPr>
        <w:pStyle w:val="Title"/>
      </w:pPr>
      <w:r w:rsidRPr="006F7CB1">
        <w:t>22</w:t>
      </w:r>
      <w:r w:rsidR="00433EB5" w:rsidRPr="006F7CB1">
        <w:t xml:space="preserve"> </w:t>
      </w:r>
      <w:r w:rsidR="004A1FB1" w:rsidRPr="006F7CB1">
        <w:t>August</w:t>
      </w:r>
      <w:r w:rsidR="00433EB5" w:rsidRPr="006F7CB1">
        <w:t xml:space="preserve"> </w:t>
      </w:r>
      <w:r w:rsidR="00082C5E" w:rsidRPr="006F7CB1">
        <w:t>202</w:t>
      </w:r>
      <w:r w:rsidR="000E4F1F" w:rsidRPr="006F7CB1">
        <w:t>2</w:t>
      </w:r>
      <w:r w:rsidR="0082527C" w:rsidRPr="006F7CB1">
        <w:t xml:space="preserve"> </w:t>
      </w:r>
      <w:r w:rsidR="00CA37B4" w:rsidRPr="006F7CB1">
        <w:t xml:space="preserve">to </w:t>
      </w:r>
      <w:r w:rsidRPr="006F7CB1">
        <w:t>04 September</w:t>
      </w:r>
      <w:r w:rsidR="00924FC7" w:rsidRPr="006F7CB1">
        <w:t xml:space="preserve"> 202</w:t>
      </w:r>
      <w:r w:rsidR="00082C5E" w:rsidRPr="006F7CB1">
        <w:t>2</w:t>
      </w:r>
    </w:p>
    <w:bookmarkEnd w:id="0"/>
    <w:bookmarkEnd w:id="1"/>
    <w:bookmarkEnd w:id="2"/>
    <w:p w14:paraId="6968E245" w14:textId="77777777" w:rsidR="00064B2A" w:rsidRPr="006F7CB1" w:rsidRDefault="00064B2A" w:rsidP="006F7CB1">
      <w:pPr>
        <w:pStyle w:val="Heading1"/>
      </w:pPr>
      <w:r w:rsidRPr="00064B2A">
        <w:t>Infectious and congenital syphilis</w:t>
      </w:r>
    </w:p>
    <w:p w14:paraId="217E2921" w14:textId="06955BE8" w:rsidR="00251640" w:rsidRPr="006F7CB1" w:rsidRDefault="00251640" w:rsidP="006F7CB1">
      <w:r w:rsidRPr="006F7CB1">
        <w:t>Increases in infectious syphilis notifications are attributed to an on-going outbreak occurring in Aboriginal and Torres Strait Islander people residing in northern and central Australia, continued increases among men who have sex with men (MSM) in urban areas, and increases in women (Aboriginal and Torres Strait Islander and non-Indigenous) predominately residing in urban areas of Australia.</w:t>
      </w:r>
    </w:p>
    <w:p w14:paraId="0D85AB71" w14:textId="728517DC" w:rsidR="00251640" w:rsidRPr="006F7CB1" w:rsidRDefault="00251640" w:rsidP="006F7CB1">
      <w:pPr>
        <w:pStyle w:val="Heading2"/>
      </w:pPr>
      <w:r w:rsidRPr="006F7CB1">
        <w:t>Syphilis response</w:t>
      </w:r>
    </w:p>
    <w:p w14:paraId="5C0EBE3A" w14:textId="5AB5B36A" w:rsidR="00251640" w:rsidRPr="006F7CB1" w:rsidRDefault="00251640" w:rsidP="006F7CB1">
      <w:r w:rsidRPr="006F7CB1">
        <w:t xml:space="preserve">On 23 March 2021, the Australian Health Protection Principal Committee (AHPPC) endorsed the </w:t>
      </w:r>
      <w:hyperlink r:id="rId8" w:history="1">
        <w:r w:rsidR="00576615" w:rsidRPr="00576615">
          <w:rPr>
            <w:rStyle w:val="Hyperlink"/>
            <w:rFonts w:asciiTheme="minorHAnsi" w:hAnsiTheme="minorHAnsi" w:cstheme="minorHAnsi"/>
            <w:i/>
            <w:iCs/>
          </w:rPr>
          <w:t>National strategic approach for responding to rising rates of syphilis in Australia</w:t>
        </w:r>
      </w:hyperlink>
      <w:r w:rsidR="00576615" w:rsidRPr="00576615">
        <w:rPr>
          <w:i/>
          <w:iCs/>
        </w:rPr>
        <w:t xml:space="preserve"> </w:t>
      </w:r>
      <w:r w:rsidRPr="00251640">
        <w:rPr>
          <w:i/>
          <w:iCs/>
        </w:rPr>
        <w:t xml:space="preserve">2021 </w:t>
      </w:r>
      <w:r w:rsidRPr="006F7CB1">
        <w:t xml:space="preserve">(Strategic Approach) prepared through the Communicable Diseases Network Australia (CDNA) and BBV STI Standing Committee (BBVSS). The Strategic Approach builds on and intersects with existing national activities related to syphilis and provides specific focus for efforts towards rising rates of syphilis and adverse outcomes in Australia. </w:t>
      </w:r>
    </w:p>
    <w:p w14:paraId="14E9F7AF" w14:textId="77777777" w:rsidR="00251640" w:rsidRPr="006F7CB1" w:rsidRDefault="00251640" w:rsidP="006F7CB1">
      <w:r w:rsidRPr="006F7CB1">
        <w:t xml:space="preserve">The CDNA and BBVSS are, in collaboration, developing priority public health actions, including those related to workforce and community engagement, to ensure progress is made towards reducing the incidence of syphilis and elimination of congenital syphilis in Australia. </w:t>
      </w:r>
    </w:p>
    <w:p w14:paraId="30F89AAE" w14:textId="323262ED" w:rsidR="00251640" w:rsidRPr="006F7CB1" w:rsidRDefault="00251640" w:rsidP="006F7CB1">
      <w:r w:rsidRPr="006F7CB1">
        <w:t xml:space="preserve">For further information on national activities related to syphilis refer to the Department’s website </w:t>
      </w:r>
      <w:hyperlink r:id="rId9" w:history="1">
        <w:r w:rsidRPr="00251640">
          <w:rPr>
            <w:rStyle w:val="Hyperlink"/>
            <w:rFonts w:asciiTheme="minorHAnsi" w:hAnsiTheme="minorHAnsi" w:cstheme="minorHAnsi"/>
          </w:rPr>
          <w:t>https://www1.health.gov.au/internet/main/publishing.nsf/Content/ohp-syphilis.htm</w:t>
        </w:r>
      </w:hyperlink>
    </w:p>
    <w:p w14:paraId="15978A89" w14:textId="3EF40360" w:rsidR="00C37A92" w:rsidRPr="006F7CB1" w:rsidRDefault="00C37A92" w:rsidP="006F7CB1">
      <w:pPr>
        <w:pStyle w:val="Heading3"/>
      </w:pPr>
      <w:r w:rsidRPr="006F7CB1">
        <w:t xml:space="preserve">Interpretative </w:t>
      </w:r>
      <w:r w:rsidR="009870BD">
        <w:t>n</w:t>
      </w:r>
      <w:r w:rsidRPr="006F7CB1">
        <w:t>otes</w:t>
      </w:r>
    </w:p>
    <w:bookmarkEnd w:id="3"/>
    <w:bookmarkEnd w:id="4"/>
    <w:bookmarkEnd w:id="5"/>
    <w:bookmarkEnd w:id="6"/>
    <w:p w14:paraId="71AA7033" w14:textId="77777777" w:rsidR="00017515" w:rsidRPr="006F7CB1" w:rsidRDefault="00017515" w:rsidP="006F7CB1">
      <w:pPr>
        <w:pStyle w:val="FootnoteText"/>
      </w:pPr>
      <w:r w:rsidRPr="006F7CB1">
        <w:t xml:space="preserve">Selected diseases are chosen each fortnight based on either exceeding two standard deviations from the 90 day and/or </w:t>
      </w:r>
      <w:proofErr w:type="gramStart"/>
      <w:r w:rsidRPr="006F7CB1">
        <w:t>365 day</w:t>
      </w:r>
      <w:proofErr w:type="gramEnd"/>
      <w:r w:rsidRPr="006F7CB1">
        <w:t xml:space="preserve"> five year rolling mean or other disease issues of significance identified during the reporting period.  All diseases reported are analysed by notification receive date.  Data are extracted each Monday of a CDNA week.</w:t>
      </w:r>
    </w:p>
    <w:p w14:paraId="329F4AD7" w14:textId="77777777" w:rsidR="00017515" w:rsidRPr="006F7CB1" w:rsidRDefault="00017515" w:rsidP="006F7CB1">
      <w:pPr>
        <w:pStyle w:val="FootnoteText"/>
      </w:pPr>
      <w:r w:rsidRPr="006F7CB1">
        <w:t>Totals comprise data from all States and Territories.  Cumulative figures are subject to retrospective revision so there may be discrepancies between the number of new notifications and the increment in the cumulative figure from the previous period.</w:t>
      </w:r>
    </w:p>
    <w:p w14:paraId="2406ECC1" w14:textId="50B1940C" w:rsidR="00017515" w:rsidRPr="006F7CB1" w:rsidRDefault="00017515" w:rsidP="006F7CB1">
      <w:pPr>
        <w:pStyle w:val="FootnoteText"/>
      </w:pPr>
      <w:r w:rsidRPr="006F7CB1">
        <w:t>1The past quarter (90 day) surveillance period includes the date range (</w:t>
      </w:r>
      <w:r w:rsidR="001840B6" w:rsidRPr="006F7CB1">
        <w:t>07</w:t>
      </w:r>
      <w:r w:rsidR="0081611F" w:rsidRPr="006F7CB1">
        <w:t>/</w:t>
      </w:r>
      <w:r w:rsidR="006553DE" w:rsidRPr="006F7CB1">
        <w:t>0</w:t>
      </w:r>
      <w:r w:rsidR="001840B6" w:rsidRPr="006F7CB1">
        <w:t>6</w:t>
      </w:r>
      <w:r w:rsidR="0081611F" w:rsidRPr="006F7CB1">
        <w:t>/20</w:t>
      </w:r>
      <w:r w:rsidR="007F67BA" w:rsidRPr="006F7CB1">
        <w:t>2</w:t>
      </w:r>
      <w:r w:rsidR="006553DE" w:rsidRPr="006F7CB1">
        <w:t>2</w:t>
      </w:r>
      <w:r w:rsidR="0081611F" w:rsidRPr="006F7CB1">
        <w:t xml:space="preserve"> to</w:t>
      </w:r>
      <w:r w:rsidR="005F4765" w:rsidRPr="006F7CB1">
        <w:t xml:space="preserve"> </w:t>
      </w:r>
      <w:r w:rsidR="001840B6" w:rsidRPr="006F7CB1">
        <w:t>04</w:t>
      </w:r>
      <w:r w:rsidR="00270632" w:rsidRPr="006F7CB1">
        <w:t>/</w:t>
      </w:r>
      <w:r w:rsidR="00082C5E" w:rsidRPr="006F7CB1">
        <w:t>0</w:t>
      </w:r>
      <w:r w:rsidR="001840B6" w:rsidRPr="006F7CB1">
        <w:t>9</w:t>
      </w:r>
      <w:r w:rsidR="009C1059" w:rsidRPr="006F7CB1">
        <w:t>/202</w:t>
      </w:r>
      <w:r w:rsidR="00082C5E" w:rsidRPr="006F7CB1">
        <w:t>2</w:t>
      </w:r>
      <w:r w:rsidR="00777AAA" w:rsidRPr="006F7CB1">
        <w:t>).</w:t>
      </w:r>
    </w:p>
    <w:p w14:paraId="38B56901" w14:textId="67957926" w:rsidR="00017515" w:rsidRPr="006F7CB1" w:rsidRDefault="00017515" w:rsidP="006F7CB1">
      <w:pPr>
        <w:pStyle w:val="FootnoteText"/>
      </w:pPr>
      <w:r w:rsidRPr="006F7CB1">
        <w:t xml:space="preserve">2The quarterly (90 day) five year rolling mean is the average </w:t>
      </w:r>
      <w:r w:rsidR="00D26EE8" w:rsidRPr="006F7CB1">
        <w:t>of</w:t>
      </w:r>
      <w:r w:rsidR="00CA37B4" w:rsidRPr="006F7CB1">
        <w:t xml:space="preserve"> 5 intervals of 90 days up to</w:t>
      </w:r>
      <w:r w:rsidR="003603F7" w:rsidRPr="006F7CB1">
        <w:t xml:space="preserve"> </w:t>
      </w:r>
      <w:r w:rsidR="001840B6" w:rsidRPr="006F7CB1">
        <w:t>04</w:t>
      </w:r>
      <w:r w:rsidR="00270632" w:rsidRPr="006F7CB1">
        <w:t>/</w:t>
      </w:r>
      <w:r w:rsidR="00082C5E" w:rsidRPr="006F7CB1">
        <w:t>0</w:t>
      </w:r>
      <w:r w:rsidR="001840B6" w:rsidRPr="006F7CB1">
        <w:t>9</w:t>
      </w:r>
      <w:r w:rsidR="00735187" w:rsidRPr="006F7CB1">
        <w:t>/202</w:t>
      </w:r>
      <w:r w:rsidR="00082C5E" w:rsidRPr="006F7CB1">
        <w:t>2</w:t>
      </w:r>
      <w:r w:rsidRPr="006F7CB1">
        <w:t xml:space="preserve">.  The ratio is the notification activity in the past quarter (90 days) compared with the </w:t>
      </w:r>
      <w:proofErr w:type="gramStart"/>
      <w:r w:rsidRPr="006F7CB1">
        <w:t>five year</w:t>
      </w:r>
      <w:proofErr w:type="gramEnd"/>
      <w:r w:rsidRPr="006F7CB1">
        <w:t xml:space="preserve"> rolling mean for the same period.</w:t>
      </w:r>
    </w:p>
    <w:p w14:paraId="228A0A61" w14:textId="123EDE75" w:rsidR="00017515" w:rsidRPr="006F7CB1" w:rsidRDefault="00017515" w:rsidP="006F7CB1">
      <w:pPr>
        <w:pStyle w:val="FootnoteText"/>
      </w:pPr>
      <w:r w:rsidRPr="006F7CB1">
        <w:t xml:space="preserve">3The past year (365 day) surveillance period includes the date range </w:t>
      </w:r>
      <w:r w:rsidR="002C38A0" w:rsidRPr="006F7CB1">
        <w:t>(</w:t>
      </w:r>
      <w:r w:rsidR="001840B6" w:rsidRPr="006F7CB1">
        <w:t>05</w:t>
      </w:r>
      <w:r w:rsidR="00421F52" w:rsidRPr="006F7CB1">
        <w:t>/</w:t>
      </w:r>
      <w:r w:rsidR="00082C5E" w:rsidRPr="006F7CB1">
        <w:t>0</w:t>
      </w:r>
      <w:r w:rsidR="001840B6" w:rsidRPr="006F7CB1">
        <w:t>9</w:t>
      </w:r>
      <w:r w:rsidR="00421F52" w:rsidRPr="006F7CB1">
        <w:t>/</w:t>
      </w:r>
      <w:r w:rsidR="009C1059" w:rsidRPr="006F7CB1">
        <w:t>202</w:t>
      </w:r>
      <w:r w:rsidR="00082C5E" w:rsidRPr="006F7CB1">
        <w:t>1</w:t>
      </w:r>
      <w:r w:rsidR="00493076" w:rsidRPr="006F7CB1">
        <w:t xml:space="preserve"> to</w:t>
      </w:r>
      <w:r w:rsidR="00EA74EE" w:rsidRPr="006F7CB1">
        <w:t xml:space="preserve"> </w:t>
      </w:r>
      <w:r w:rsidR="001840B6" w:rsidRPr="006F7CB1">
        <w:t>04</w:t>
      </w:r>
      <w:r w:rsidR="00270632" w:rsidRPr="006F7CB1">
        <w:t>/</w:t>
      </w:r>
      <w:r w:rsidR="00082C5E" w:rsidRPr="006F7CB1">
        <w:t>0</w:t>
      </w:r>
      <w:r w:rsidR="001840B6" w:rsidRPr="006F7CB1">
        <w:t>9</w:t>
      </w:r>
      <w:r w:rsidR="009C1059" w:rsidRPr="006F7CB1">
        <w:t>/202</w:t>
      </w:r>
      <w:r w:rsidR="00082C5E" w:rsidRPr="006F7CB1">
        <w:t>2</w:t>
      </w:r>
      <w:r w:rsidR="002C38A0" w:rsidRPr="006F7CB1">
        <w:t>).</w:t>
      </w:r>
    </w:p>
    <w:p w14:paraId="24BCFBDD" w14:textId="7B454F30" w:rsidR="00017515" w:rsidRPr="006F7CB1" w:rsidRDefault="00017515" w:rsidP="006F7CB1">
      <w:pPr>
        <w:pStyle w:val="FootnoteText"/>
      </w:pPr>
      <w:r w:rsidRPr="006F7CB1">
        <w:t>4The yearly (365 day) five year rolling mean is the average o</w:t>
      </w:r>
      <w:r w:rsidR="007F67BA" w:rsidRPr="006F7CB1">
        <w:t xml:space="preserve">f </w:t>
      </w:r>
      <w:r w:rsidR="00CA37B4" w:rsidRPr="006F7CB1">
        <w:t xml:space="preserve">5 intervals of 365 days up to </w:t>
      </w:r>
      <w:r w:rsidR="001840B6" w:rsidRPr="006F7CB1">
        <w:t>04</w:t>
      </w:r>
      <w:r w:rsidR="00FB7FEB" w:rsidRPr="006F7CB1">
        <w:t>/</w:t>
      </w:r>
      <w:r w:rsidR="00082C5E" w:rsidRPr="006F7CB1">
        <w:t>0</w:t>
      </w:r>
      <w:r w:rsidR="001840B6" w:rsidRPr="006F7CB1">
        <w:t>9</w:t>
      </w:r>
      <w:r w:rsidR="0071646F" w:rsidRPr="006F7CB1">
        <w:t>/</w:t>
      </w:r>
      <w:r w:rsidR="00735187" w:rsidRPr="006F7CB1">
        <w:t>202</w:t>
      </w:r>
      <w:r w:rsidR="00082C5E" w:rsidRPr="006F7CB1">
        <w:t>2</w:t>
      </w:r>
      <w:r w:rsidR="002C38A0" w:rsidRPr="006F7CB1">
        <w:t>.</w:t>
      </w:r>
      <w:r w:rsidR="00777AAA" w:rsidRPr="006F7CB1">
        <w:t xml:space="preserve"> </w:t>
      </w:r>
      <w:r w:rsidRPr="006F7CB1">
        <w:t xml:space="preserve">The ratio is the notification activity in the past year (365 days) compared with the </w:t>
      </w:r>
      <w:proofErr w:type="gramStart"/>
      <w:r w:rsidRPr="006F7CB1">
        <w:t>five year</w:t>
      </w:r>
      <w:proofErr w:type="gramEnd"/>
      <w:r w:rsidRPr="006F7CB1">
        <w:t xml:space="preserve"> rolling mean for the same period.</w:t>
      </w:r>
    </w:p>
    <w:p w14:paraId="011711D9" w14:textId="77777777" w:rsidR="00745E0F" w:rsidRPr="006F7CB1" w:rsidRDefault="00017515" w:rsidP="006F7CB1">
      <w:pPr>
        <w:pStyle w:val="FootnoteText"/>
      </w:pPr>
      <w:r w:rsidRPr="006F7CB1">
        <w:t xml:space="preserve">The </w:t>
      </w:r>
      <w:proofErr w:type="gramStart"/>
      <w:r w:rsidRPr="006F7CB1">
        <w:t>five year</w:t>
      </w:r>
      <w:proofErr w:type="gramEnd"/>
      <w:r w:rsidRPr="006F7CB1">
        <w:t xml:space="preserve"> rolling mean and the ratio of notifications compared with the five year rolling mean should be interpreted with caution.  Changes in surveillance practice, diagnostic techniques and reporting may contribute to increases or decreases in the total notifications received over a </w:t>
      </w:r>
      <w:proofErr w:type="gramStart"/>
      <w:r w:rsidRPr="006F7CB1">
        <w:t>five year</w:t>
      </w:r>
      <w:proofErr w:type="gramEnd"/>
      <w:r w:rsidRPr="006F7CB1">
        <w:t xml:space="preserve"> period. Ratios are to be taken as a crude measure of current disease activity and may reflect changes in reporting rather than changes in disease activity. </w:t>
      </w:r>
    </w:p>
    <w:sectPr w:rsidR="00745E0F" w:rsidRPr="006F7CB1" w:rsidSect="00B02E68">
      <w:pgSz w:w="11906" w:h="16838"/>
      <w:pgMar w:top="851" w:right="1134"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769142" w14:textId="77777777" w:rsidR="00686F54" w:rsidRDefault="00686F54">
      <w:r>
        <w:separator/>
      </w:r>
    </w:p>
  </w:endnote>
  <w:endnote w:type="continuationSeparator" w:id="0">
    <w:p w14:paraId="03EAB2F0" w14:textId="77777777" w:rsidR="00686F54" w:rsidRDefault="00686F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146D06" w14:textId="77777777" w:rsidR="00686F54" w:rsidRDefault="00686F54">
      <w:r>
        <w:separator/>
      </w:r>
    </w:p>
  </w:footnote>
  <w:footnote w:type="continuationSeparator" w:id="0">
    <w:p w14:paraId="08E91142" w14:textId="77777777" w:rsidR="00686F54" w:rsidRDefault="00686F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79C2E1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958419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520531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2B8C0D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D481C9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8EB4B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18A80E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AF2D1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3AA9548"/>
    <w:lvl w:ilvl="0">
      <w:start w:val="1"/>
      <w:numFmt w:val="decimal"/>
      <w:lvlText w:val="%1."/>
      <w:lvlJc w:val="left"/>
      <w:pPr>
        <w:tabs>
          <w:tab w:val="num" w:pos="360"/>
        </w:tabs>
        <w:ind w:left="360" w:hanging="360"/>
      </w:pPr>
    </w:lvl>
  </w:abstractNum>
  <w:abstractNum w:abstractNumId="9" w15:restartNumberingAfterBreak="0">
    <w:nsid w:val="384436F4"/>
    <w:multiLevelType w:val="hybridMultilevel"/>
    <w:tmpl w:val="5426870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 w15:restartNumberingAfterBreak="0">
    <w:nsid w:val="5D9448DD"/>
    <w:multiLevelType w:val="hybridMultilevel"/>
    <w:tmpl w:val="1FAE998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6B2E1552"/>
    <w:multiLevelType w:val="hybridMultilevel"/>
    <w:tmpl w:val="214A98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787B5B0B"/>
    <w:multiLevelType w:val="hybridMultilevel"/>
    <w:tmpl w:val="8B0231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9"/>
  </w:num>
  <w:num w:numId="3">
    <w:abstractNumId w:val="12"/>
  </w:num>
  <w:num w:numId="4">
    <w:abstractNumId w:val="12"/>
  </w:num>
  <w:num w:numId="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778"/>
    <w:rsid w:val="000005E0"/>
    <w:rsid w:val="00002D01"/>
    <w:rsid w:val="00007611"/>
    <w:rsid w:val="0001253C"/>
    <w:rsid w:val="0001262E"/>
    <w:rsid w:val="00012E7E"/>
    <w:rsid w:val="00015D80"/>
    <w:rsid w:val="00017515"/>
    <w:rsid w:val="00020E2E"/>
    <w:rsid w:val="00022AC9"/>
    <w:rsid w:val="00023382"/>
    <w:rsid w:val="00027876"/>
    <w:rsid w:val="00031B33"/>
    <w:rsid w:val="00037E7F"/>
    <w:rsid w:val="00037FDE"/>
    <w:rsid w:val="00040729"/>
    <w:rsid w:val="00040F92"/>
    <w:rsid w:val="00041D5F"/>
    <w:rsid w:val="0004244C"/>
    <w:rsid w:val="00050AD8"/>
    <w:rsid w:val="000512A4"/>
    <w:rsid w:val="000562A5"/>
    <w:rsid w:val="00057E93"/>
    <w:rsid w:val="00061E17"/>
    <w:rsid w:val="00063B8A"/>
    <w:rsid w:val="00064B2A"/>
    <w:rsid w:val="00064DE0"/>
    <w:rsid w:val="00066394"/>
    <w:rsid w:val="00066A4F"/>
    <w:rsid w:val="00066AFD"/>
    <w:rsid w:val="000706AB"/>
    <w:rsid w:val="000715D8"/>
    <w:rsid w:val="0007286A"/>
    <w:rsid w:val="00072F3E"/>
    <w:rsid w:val="00074B8B"/>
    <w:rsid w:val="00075127"/>
    <w:rsid w:val="000754CB"/>
    <w:rsid w:val="00077925"/>
    <w:rsid w:val="00082C5E"/>
    <w:rsid w:val="00083A67"/>
    <w:rsid w:val="00085B3F"/>
    <w:rsid w:val="00086423"/>
    <w:rsid w:val="0009169A"/>
    <w:rsid w:val="000922AC"/>
    <w:rsid w:val="000935CB"/>
    <w:rsid w:val="0009642A"/>
    <w:rsid w:val="000A0DDD"/>
    <w:rsid w:val="000A1778"/>
    <w:rsid w:val="000A2996"/>
    <w:rsid w:val="000A35D3"/>
    <w:rsid w:val="000A3E15"/>
    <w:rsid w:val="000A4129"/>
    <w:rsid w:val="000A4792"/>
    <w:rsid w:val="000A74F3"/>
    <w:rsid w:val="000B13AA"/>
    <w:rsid w:val="000B242B"/>
    <w:rsid w:val="000B2684"/>
    <w:rsid w:val="000B4118"/>
    <w:rsid w:val="000B5114"/>
    <w:rsid w:val="000B78DF"/>
    <w:rsid w:val="000C3A3D"/>
    <w:rsid w:val="000C6F62"/>
    <w:rsid w:val="000D02C2"/>
    <w:rsid w:val="000D10FF"/>
    <w:rsid w:val="000D1A59"/>
    <w:rsid w:val="000D1F2F"/>
    <w:rsid w:val="000E3FB9"/>
    <w:rsid w:val="000E4F1F"/>
    <w:rsid w:val="000E4FCE"/>
    <w:rsid w:val="000E73F8"/>
    <w:rsid w:val="000F1E6B"/>
    <w:rsid w:val="000F76A9"/>
    <w:rsid w:val="0010056B"/>
    <w:rsid w:val="00100A7F"/>
    <w:rsid w:val="00100CFD"/>
    <w:rsid w:val="00101130"/>
    <w:rsid w:val="00102685"/>
    <w:rsid w:val="001034CA"/>
    <w:rsid w:val="00106778"/>
    <w:rsid w:val="00106847"/>
    <w:rsid w:val="001121C9"/>
    <w:rsid w:val="001213C7"/>
    <w:rsid w:val="00121C30"/>
    <w:rsid w:val="00122C8D"/>
    <w:rsid w:val="00123483"/>
    <w:rsid w:val="00124FA0"/>
    <w:rsid w:val="001268E3"/>
    <w:rsid w:val="00126931"/>
    <w:rsid w:val="00127835"/>
    <w:rsid w:val="0013224D"/>
    <w:rsid w:val="001323EF"/>
    <w:rsid w:val="00132C27"/>
    <w:rsid w:val="00140CE6"/>
    <w:rsid w:val="00142B07"/>
    <w:rsid w:val="0014656A"/>
    <w:rsid w:val="00147C64"/>
    <w:rsid w:val="00152296"/>
    <w:rsid w:val="00152D38"/>
    <w:rsid w:val="0015388B"/>
    <w:rsid w:val="00154FBD"/>
    <w:rsid w:val="00157616"/>
    <w:rsid w:val="001618F9"/>
    <w:rsid w:val="00163974"/>
    <w:rsid w:val="00166513"/>
    <w:rsid w:val="00172F5F"/>
    <w:rsid w:val="00174CE5"/>
    <w:rsid w:val="00183113"/>
    <w:rsid w:val="00183CC0"/>
    <w:rsid w:val="001840B6"/>
    <w:rsid w:val="00184DD4"/>
    <w:rsid w:val="00186A18"/>
    <w:rsid w:val="0019079E"/>
    <w:rsid w:val="00191BE2"/>
    <w:rsid w:val="00193A6E"/>
    <w:rsid w:val="00194C41"/>
    <w:rsid w:val="00195063"/>
    <w:rsid w:val="001954BF"/>
    <w:rsid w:val="00195EFB"/>
    <w:rsid w:val="00196A32"/>
    <w:rsid w:val="001A3170"/>
    <w:rsid w:val="001A3B36"/>
    <w:rsid w:val="001A5C18"/>
    <w:rsid w:val="001A5E68"/>
    <w:rsid w:val="001B0B90"/>
    <w:rsid w:val="001B18FC"/>
    <w:rsid w:val="001B331A"/>
    <w:rsid w:val="001B3452"/>
    <w:rsid w:val="001B45B1"/>
    <w:rsid w:val="001B5C72"/>
    <w:rsid w:val="001C0D47"/>
    <w:rsid w:val="001C3D75"/>
    <w:rsid w:val="001C4E13"/>
    <w:rsid w:val="001C63A1"/>
    <w:rsid w:val="001C7346"/>
    <w:rsid w:val="001D283C"/>
    <w:rsid w:val="001D38E6"/>
    <w:rsid w:val="001D4099"/>
    <w:rsid w:val="001D4825"/>
    <w:rsid w:val="001D7A32"/>
    <w:rsid w:val="001D7C9C"/>
    <w:rsid w:val="001D7F91"/>
    <w:rsid w:val="001E07B1"/>
    <w:rsid w:val="001E1D1E"/>
    <w:rsid w:val="001E24EF"/>
    <w:rsid w:val="001E4036"/>
    <w:rsid w:val="001E515F"/>
    <w:rsid w:val="001E6164"/>
    <w:rsid w:val="001F0691"/>
    <w:rsid w:val="00203220"/>
    <w:rsid w:val="00204C7A"/>
    <w:rsid w:val="00204F4B"/>
    <w:rsid w:val="00207329"/>
    <w:rsid w:val="002159B5"/>
    <w:rsid w:val="00215D13"/>
    <w:rsid w:val="0021612C"/>
    <w:rsid w:val="0021676B"/>
    <w:rsid w:val="002206B7"/>
    <w:rsid w:val="002240BA"/>
    <w:rsid w:val="00227733"/>
    <w:rsid w:val="00232EC7"/>
    <w:rsid w:val="00236944"/>
    <w:rsid w:val="00236E28"/>
    <w:rsid w:val="0023776D"/>
    <w:rsid w:val="00237FE1"/>
    <w:rsid w:val="00240420"/>
    <w:rsid w:val="00240CBE"/>
    <w:rsid w:val="0024186E"/>
    <w:rsid w:val="002436A4"/>
    <w:rsid w:val="002466DD"/>
    <w:rsid w:val="00250D84"/>
    <w:rsid w:val="002514B9"/>
    <w:rsid w:val="00251640"/>
    <w:rsid w:val="00260CF4"/>
    <w:rsid w:val="00261D30"/>
    <w:rsid w:val="00264CF3"/>
    <w:rsid w:val="00265611"/>
    <w:rsid w:val="0026597C"/>
    <w:rsid w:val="002676EE"/>
    <w:rsid w:val="00270632"/>
    <w:rsid w:val="00273731"/>
    <w:rsid w:val="00273F82"/>
    <w:rsid w:val="0027570B"/>
    <w:rsid w:val="002820A8"/>
    <w:rsid w:val="00282B57"/>
    <w:rsid w:val="00282B6A"/>
    <w:rsid w:val="002843DB"/>
    <w:rsid w:val="0029005D"/>
    <w:rsid w:val="002901B4"/>
    <w:rsid w:val="00290EAA"/>
    <w:rsid w:val="00291824"/>
    <w:rsid w:val="002925D3"/>
    <w:rsid w:val="002A39F5"/>
    <w:rsid w:val="002A3A96"/>
    <w:rsid w:val="002A6C14"/>
    <w:rsid w:val="002B1A44"/>
    <w:rsid w:val="002B2264"/>
    <w:rsid w:val="002B2390"/>
    <w:rsid w:val="002B4F9D"/>
    <w:rsid w:val="002B66DB"/>
    <w:rsid w:val="002B6E8A"/>
    <w:rsid w:val="002B7391"/>
    <w:rsid w:val="002C16E9"/>
    <w:rsid w:val="002C1D60"/>
    <w:rsid w:val="002C1EDC"/>
    <w:rsid w:val="002C38A0"/>
    <w:rsid w:val="002C59F2"/>
    <w:rsid w:val="002C7F07"/>
    <w:rsid w:val="002D0BB9"/>
    <w:rsid w:val="002D0D6F"/>
    <w:rsid w:val="002D44D4"/>
    <w:rsid w:val="002D5CC2"/>
    <w:rsid w:val="002D7C2F"/>
    <w:rsid w:val="002E1413"/>
    <w:rsid w:val="002E4545"/>
    <w:rsid w:val="002E56CD"/>
    <w:rsid w:val="002F29B1"/>
    <w:rsid w:val="002F63E9"/>
    <w:rsid w:val="002F75DE"/>
    <w:rsid w:val="00302BA3"/>
    <w:rsid w:val="00305AD3"/>
    <w:rsid w:val="00305C89"/>
    <w:rsid w:val="003066A2"/>
    <w:rsid w:val="00315C99"/>
    <w:rsid w:val="00315E5B"/>
    <w:rsid w:val="00324E86"/>
    <w:rsid w:val="00332BCB"/>
    <w:rsid w:val="00334D95"/>
    <w:rsid w:val="003378E8"/>
    <w:rsid w:val="003378FA"/>
    <w:rsid w:val="00337FDA"/>
    <w:rsid w:val="0034028F"/>
    <w:rsid w:val="0035085A"/>
    <w:rsid w:val="00352484"/>
    <w:rsid w:val="003527C0"/>
    <w:rsid w:val="0035593E"/>
    <w:rsid w:val="0036000B"/>
    <w:rsid w:val="003603F7"/>
    <w:rsid w:val="003615A9"/>
    <w:rsid w:val="003618DE"/>
    <w:rsid w:val="00362CD7"/>
    <w:rsid w:val="00363047"/>
    <w:rsid w:val="0036597F"/>
    <w:rsid w:val="00365E51"/>
    <w:rsid w:val="0037239E"/>
    <w:rsid w:val="00372840"/>
    <w:rsid w:val="00374A3B"/>
    <w:rsid w:val="0037522E"/>
    <w:rsid w:val="003766ED"/>
    <w:rsid w:val="003769B9"/>
    <w:rsid w:val="003810F4"/>
    <w:rsid w:val="00383610"/>
    <w:rsid w:val="003847B0"/>
    <w:rsid w:val="00386AC9"/>
    <w:rsid w:val="00387DB7"/>
    <w:rsid w:val="00391513"/>
    <w:rsid w:val="0039245E"/>
    <w:rsid w:val="00392720"/>
    <w:rsid w:val="003941CF"/>
    <w:rsid w:val="003960D1"/>
    <w:rsid w:val="00396F6A"/>
    <w:rsid w:val="003A21B8"/>
    <w:rsid w:val="003A43E8"/>
    <w:rsid w:val="003B1C6A"/>
    <w:rsid w:val="003B2D58"/>
    <w:rsid w:val="003B44B3"/>
    <w:rsid w:val="003B5E01"/>
    <w:rsid w:val="003B72D4"/>
    <w:rsid w:val="003C1E32"/>
    <w:rsid w:val="003C4E02"/>
    <w:rsid w:val="003C5673"/>
    <w:rsid w:val="003C5B5C"/>
    <w:rsid w:val="003C7E8E"/>
    <w:rsid w:val="003D09D9"/>
    <w:rsid w:val="003D0F73"/>
    <w:rsid w:val="003D1E4E"/>
    <w:rsid w:val="003D48B5"/>
    <w:rsid w:val="003D566F"/>
    <w:rsid w:val="003E0059"/>
    <w:rsid w:val="003E0DF1"/>
    <w:rsid w:val="003E17CD"/>
    <w:rsid w:val="003E18C4"/>
    <w:rsid w:val="003E2102"/>
    <w:rsid w:val="003E2389"/>
    <w:rsid w:val="003E239D"/>
    <w:rsid w:val="003E3854"/>
    <w:rsid w:val="003E38AB"/>
    <w:rsid w:val="003E753E"/>
    <w:rsid w:val="003F59E8"/>
    <w:rsid w:val="003F6848"/>
    <w:rsid w:val="003F7666"/>
    <w:rsid w:val="0040078C"/>
    <w:rsid w:val="00400DC9"/>
    <w:rsid w:val="00401EDC"/>
    <w:rsid w:val="00403952"/>
    <w:rsid w:val="00406364"/>
    <w:rsid w:val="004074DD"/>
    <w:rsid w:val="00410585"/>
    <w:rsid w:val="0041071F"/>
    <w:rsid w:val="0041470E"/>
    <w:rsid w:val="004148B0"/>
    <w:rsid w:val="00416A58"/>
    <w:rsid w:val="00420ADE"/>
    <w:rsid w:val="00421B4D"/>
    <w:rsid w:val="00421F52"/>
    <w:rsid w:val="00426AA7"/>
    <w:rsid w:val="00426DDE"/>
    <w:rsid w:val="004322F7"/>
    <w:rsid w:val="00432D85"/>
    <w:rsid w:val="00433EB5"/>
    <w:rsid w:val="0043779B"/>
    <w:rsid w:val="00441BDF"/>
    <w:rsid w:val="00441C9D"/>
    <w:rsid w:val="004424A1"/>
    <w:rsid w:val="004424BE"/>
    <w:rsid w:val="00442C9C"/>
    <w:rsid w:val="00443302"/>
    <w:rsid w:val="004441E9"/>
    <w:rsid w:val="00444390"/>
    <w:rsid w:val="0045170F"/>
    <w:rsid w:val="00454B72"/>
    <w:rsid w:val="00455EF7"/>
    <w:rsid w:val="00457383"/>
    <w:rsid w:val="00460D1F"/>
    <w:rsid w:val="0046214E"/>
    <w:rsid w:val="00463B62"/>
    <w:rsid w:val="0046422A"/>
    <w:rsid w:val="004663FC"/>
    <w:rsid w:val="00466443"/>
    <w:rsid w:val="00470B49"/>
    <w:rsid w:val="00471DC6"/>
    <w:rsid w:val="00472BAC"/>
    <w:rsid w:val="004760C9"/>
    <w:rsid w:val="004764CC"/>
    <w:rsid w:val="00480071"/>
    <w:rsid w:val="0048073F"/>
    <w:rsid w:val="00485F6A"/>
    <w:rsid w:val="004875BE"/>
    <w:rsid w:val="00490BA6"/>
    <w:rsid w:val="00493076"/>
    <w:rsid w:val="004934EB"/>
    <w:rsid w:val="00494E10"/>
    <w:rsid w:val="004964BB"/>
    <w:rsid w:val="00496F49"/>
    <w:rsid w:val="004A077E"/>
    <w:rsid w:val="004A0D78"/>
    <w:rsid w:val="004A1FB1"/>
    <w:rsid w:val="004A22C6"/>
    <w:rsid w:val="004A2C90"/>
    <w:rsid w:val="004A3721"/>
    <w:rsid w:val="004A3B31"/>
    <w:rsid w:val="004A449C"/>
    <w:rsid w:val="004A5237"/>
    <w:rsid w:val="004A6FFB"/>
    <w:rsid w:val="004A7C16"/>
    <w:rsid w:val="004B06EF"/>
    <w:rsid w:val="004B1FFD"/>
    <w:rsid w:val="004B2088"/>
    <w:rsid w:val="004B2DDB"/>
    <w:rsid w:val="004B3CE6"/>
    <w:rsid w:val="004B66FF"/>
    <w:rsid w:val="004C0A22"/>
    <w:rsid w:val="004C3776"/>
    <w:rsid w:val="004C4535"/>
    <w:rsid w:val="004C5E9D"/>
    <w:rsid w:val="004C71C9"/>
    <w:rsid w:val="004D0CB9"/>
    <w:rsid w:val="004D0CF0"/>
    <w:rsid w:val="004D1D1F"/>
    <w:rsid w:val="004D5B1B"/>
    <w:rsid w:val="004D7031"/>
    <w:rsid w:val="004E0021"/>
    <w:rsid w:val="004E1BB0"/>
    <w:rsid w:val="004E2761"/>
    <w:rsid w:val="004E29DE"/>
    <w:rsid w:val="004E5CFC"/>
    <w:rsid w:val="004E6CE1"/>
    <w:rsid w:val="004F1147"/>
    <w:rsid w:val="004F1E6E"/>
    <w:rsid w:val="004F2F27"/>
    <w:rsid w:val="004F3E51"/>
    <w:rsid w:val="004F43BA"/>
    <w:rsid w:val="004F541E"/>
    <w:rsid w:val="004F6307"/>
    <w:rsid w:val="004F7C28"/>
    <w:rsid w:val="00502A78"/>
    <w:rsid w:val="00503D6A"/>
    <w:rsid w:val="005065B6"/>
    <w:rsid w:val="00510127"/>
    <w:rsid w:val="00510C32"/>
    <w:rsid w:val="00512F60"/>
    <w:rsid w:val="00515DE3"/>
    <w:rsid w:val="00522EBD"/>
    <w:rsid w:val="005254A9"/>
    <w:rsid w:val="00533E50"/>
    <w:rsid w:val="0053460C"/>
    <w:rsid w:val="00540E47"/>
    <w:rsid w:val="005427DF"/>
    <w:rsid w:val="00543AFE"/>
    <w:rsid w:val="005444BF"/>
    <w:rsid w:val="00546EFB"/>
    <w:rsid w:val="0055588B"/>
    <w:rsid w:val="005563B2"/>
    <w:rsid w:val="005635CB"/>
    <w:rsid w:val="00564A91"/>
    <w:rsid w:val="00567DDF"/>
    <w:rsid w:val="0057251B"/>
    <w:rsid w:val="0057335B"/>
    <w:rsid w:val="00574245"/>
    <w:rsid w:val="00574A3D"/>
    <w:rsid w:val="00576615"/>
    <w:rsid w:val="005778FD"/>
    <w:rsid w:val="0058103F"/>
    <w:rsid w:val="00581932"/>
    <w:rsid w:val="00581DBA"/>
    <w:rsid w:val="00582555"/>
    <w:rsid w:val="00582F5F"/>
    <w:rsid w:val="00583EBC"/>
    <w:rsid w:val="00584A97"/>
    <w:rsid w:val="00585A08"/>
    <w:rsid w:val="00587B9D"/>
    <w:rsid w:val="0059042E"/>
    <w:rsid w:val="005909A3"/>
    <w:rsid w:val="00590DD3"/>
    <w:rsid w:val="00590FBC"/>
    <w:rsid w:val="00592E83"/>
    <w:rsid w:val="0059592D"/>
    <w:rsid w:val="00597911"/>
    <w:rsid w:val="00597C3F"/>
    <w:rsid w:val="005A0642"/>
    <w:rsid w:val="005A0E1F"/>
    <w:rsid w:val="005A37EB"/>
    <w:rsid w:val="005A6798"/>
    <w:rsid w:val="005B00B2"/>
    <w:rsid w:val="005B1F2C"/>
    <w:rsid w:val="005B38CF"/>
    <w:rsid w:val="005B38F1"/>
    <w:rsid w:val="005B3DE5"/>
    <w:rsid w:val="005B44D0"/>
    <w:rsid w:val="005B7BD4"/>
    <w:rsid w:val="005C1BF2"/>
    <w:rsid w:val="005D6661"/>
    <w:rsid w:val="005E3C64"/>
    <w:rsid w:val="005E3D7B"/>
    <w:rsid w:val="005E4D5F"/>
    <w:rsid w:val="005E6C33"/>
    <w:rsid w:val="005E7A22"/>
    <w:rsid w:val="005E7F58"/>
    <w:rsid w:val="005F378B"/>
    <w:rsid w:val="005F444E"/>
    <w:rsid w:val="005F4765"/>
    <w:rsid w:val="005F4EF3"/>
    <w:rsid w:val="005F5850"/>
    <w:rsid w:val="005F613A"/>
    <w:rsid w:val="005F78E1"/>
    <w:rsid w:val="005F7B47"/>
    <w:rsid w:val="00601A64"/>
    <w:rsid w:val="00603444"/>
    <w:rsid w:val="00606CF1"/>
    <w:rsid w:val="00607974"/>
    <w:rsid w:val="006102DF"/>
    <w:rsid w:val="00611373"/>
    <w:rsid w:val="00620D23"/>
    <w:rsid w:val="0062395B"/>
    <w:rsid w:val="00630066"/>
    <w:rsid w:val="00631439"/>
    <w:rsid w:val="00632389"/>
    <w:rsid w:val="00635EB2"/>
    <w:rsid w:val="00643185"/>
    <w:rsid w:val="00643DD1"/>
    <w:rsid w:val="00646952"/>
    <w:rsid w:val="0065121A"/>
    <w:rsid w:val="00654DD6"/>
    <w:rsid w:val="006553DE"/>
    <w:rsid w:val="00656E29"/>
    <w:rsid w:val="00660EB5"/>
    <w:rsid w:val="00664D78"/>
    <w:rsid w:val="00677F7F"/>
    <w:rsid w:val="00680228"/>
    <w:rsid w:val="00680B71"/>
    <w:rsid w:val="00681C6D"/>
    <w:rsid w:val="006837B2"/>
    <w:rsid w:val="00684BDF"/>
    <w:rsid w:val="00686F54"/>
    <w:rsid w:val="006919AF"/>
    <w:rsid w:val="00692EF0"/>
    <w:rsid w:val="006933DD"/>
    <w:rsid w:val="006944A0"/>
    <w:rsid w:val="00695F80"/>
    <w:rsid w:val="006973B8"/>
    <w:rsid w:val="006A1BA4"/>
    <w:rsid w:val="006A43C0"/>
    <w:rsid w:val="006A55BF"/>
    <w:rsid w:val="006B0616"/>
    <w:rsid w:val="006B2F27"/>
    <w:rsid w:val="006B33BB"/>
    <w:rsid w:val="006B6E8B"/>
    <w:rsid w:val="006C1B88"/>
    <w:rsid w:val="006C3779"/>
    <w:rsid w:val="006C3C13"/>
    <w:rsid w:val="006C4270"/>
    <w:rsid w:val="006C50F0"/>
    <w:rsid w:val="006C6336"/>
    <w:rsid w:val="006C6ED7"/>
    <w:rsid w:val="006C7B7B"/>
    <w:rsid w:val="006D2309"/>
    <w:rsid w:val="006D2CC9"/>
    <w:rsid w:val="006D3A5E"/>
    <w:rsid w:val="006D5B4A"/>
    <w:rsid w:val="006D7853"/>
    <w:rsid w:val="006D785A"/>
    <w:rsid w:val="006D7B15"/>
    <w:rsid w:val="006D7E9D"/>
    <w:rsid w:val="006D7F30"/>
    <w:rsid w:val="006E2DF9"/>
    <w:rsid w:val="006E66AE"/>
    <w:rsid w:val="006E6F66"/>
    <w:rsid w:val="006F12A5"/>
    <w:rsid w:val="006F1DF3"/>
    <w:rsid w:val="006F2039"/>
    <w:rsid w:val="006F2D0A"/>
    <w:rsid w:val="006F67D4"/>
    <w:rsid w:val="006F7CB1"/>
    <w:rsid w:val="00700311"/>
    <w:rsid w:val="00700888"/>
    <w:rsid w:val="007012DA"/>
    <w:rsid w:val="0070654B"/>
    <w:rsid w:val="00706994"/>
    <w:rsid w:val="00706BF5"/>
    <w:rsid w:val="0071003B"/>
    <w:rsid w:val="00712473"/>
    <w:rsid w:val="00713EE4"/>
    <w:rsid w:val="00714B8A"/>
    <w:rsid w:val="00715B4D"/>
    <w:rsid w:val="00715E03"/>
    <w:rsid w:val="0071646F"/>
    <w:rsid w:val="00716D68"/>
    <w:rsid w:val="00722134"/>
    <w:rsid w:val="007234C7"/>
    <w:rsid w:val="00724838"/>
    <w:rsid w:val="007314F8"/>
    <w:rsid w:val="0073298E"/>
    <w:rsid w:val="00735187"/>
    <w:rsid w:val="00741F32"/>
    <w:rsid w:val="00742060"/>
    <w:rsid w:val="007429F2"/>
    <w:rsid w:val="00742A0A"/>
    <w:rsid w:val="0074541B"/>
    <w:rsid w:val="00745D49"/>
    <w:rsid w:val="00745E0F"/>
    <w:rsid w:val="007472F0"/>
    <w:rsid w:val="00753E72"/>
    <w:rsid w:val="00754429"/>
    <w:rsid w:val="00754945"/>
    <w:rsid w:val="00756694"/>
    <w:rsid w:val="00756E65"/>
    <w:rsid w:val="00761A12"/>
    <w:rsid w:val="00763502"/>
    <w:rsid w:val="00763FAE"/>
    <w:rsid w:val="007675A2"/>
    <w:rsid w:val="00771AF9"/>
    <w:rsid w:val="00772C3A"/>
    <w:rsid w:val="00774CAF"/>
    <w:rsid w:val="0077529C"/>
    <w:rsid w:val="00777AAA"/>
    <w:rsid w:val="00780699"/>
    <w:rsid w:val="00782BA7"/>
    <w:rsid w:val="00783F34"/>
    <w:rsid w:val="00783F36"/>
    <w:rsid w:val="00785F75"/>
    <w:rsid w:val="0079001A"/>
    <w:rsid w:val="00791194"/>
    <w:rsid w:val="00791AE5"/>
    <w:rsid w:val="00795992"/>
    <w:rsid w:val="00795C2D"/>
    <w:rsid w:val="00796825"/>
    <w:rsid w:val="00796B89"/>
    <w:rsid w:val="007A0433"/>
    <w:rsid w:val="007A0883"/>
    <w:rsid w:val="007A1A0E"/>
    <w:rsid w:val="007A1FC2"/>
    <w:rsid w:val="007A252B"/>
    <w:rsid w:val="007A26B2"/>
    <w:rsid w:val="007B360A"/>
    <w:rsid w:val="007B4E86"/>
    <w:rsid w:val="007C14EF"/>
    <w:rsid w:val="007C1C15"/>
    <w:rsid w:val="007C3608"/>
    <w:rsid w:val="007C3845"/>
    <w:rsid w:val="007C51F9"/>
    <w:rsid w:val="007D2F35"/>
    <w:rsid w:val="007D37E4"/>
    <w:rsid w:val="007D5A85"/>
    <w:rsid w:val="007D5EAA"/>
    <w:rsid w:val="007D6760"/>
    <w:rsid w:val="007E0CF5"/>
    <w:rsid w:val="007E3E12"/>
    <w:rsid w:val="007E5120"/>
    <w:rsid w:val="007E7232"/>
    <w:rsid w:val="007E7AE0"/>
    <w:rsid w:val="007F0A43"/>
    <w:rsid w:val="007F32C9"/>
    <w:rsid w:val="007F38FC"/>
    <w:rsid w:val="007F52A3"/>
    <w:rsid w:val="007F67BA"/>
    <w:rsid w:val="007F6ECF"/>
    <w:rsid w:val="007F766E"/>
    <w:rsid w:val="007F79AB"/>
    <w:rsid w:val="008015D0"/>
    <w:rsid w:val="00807835"/>
    <w:rsid w:val="00815FEE"/>
    <w:rsid w:val="0081611F"/>
    <w:rsid w:val="00816247"/>
    <w:rsid w:val="00821297"/>
    <w:rsid w:val="008226FE"/>
    <w:rsid w:val="0082527C"/>
    <w:rsid w:val="00826072"/>
    <w:rsid w:val="00833116"/>
    <w:rsid w:val="00833D9A"/>
    <w:rsid w:val="008342F1"/>
    <w:rsid w:val="008350AA"/>
    <w:rsid w:val="00836154"/>
    <w:rsid w:val="00852A19"/>
    <w:rsid w:val="00852E77"/>
    <w:rsid w:val="00853E82"/>
    <w:rsid w:val="0085487C"/>
    <w:rsid w:val="008574F9"/>
    <w:rsid w:val="00857758"/>
    <w:rsid w:val="008579AA"/>
    <w:rsid w:val="00862047"/>
    <w:rsid w:val="008622E3"/>
    <w:rsid w:val="0086641F"/>
    <w:rsid w:val="00867F20"/>
    <w:rsid w:val="008729EA"/>
    <w:rsid w:val="008743B7"/>
    <w:rsid w:val="0088321F"/>
    <w:rsid w:val="00884883"/>
    <w:rsid w:val="0088606F"/>
    <w:rsid w:val="00890EC4"/>
    <w:rsid w:val="00891E45"/>
    <w:rsid w:val="0089228E"/>
    <w:rsid w:val="00895BAC"/>
    <w:rsid w:val="008A10A2"/>
    <w:rsid w:val="008A12E6"/>
    <w:rsid w:val="008A34BC"/>
    <w:rsid w:val="008A68C9"/>
    <w:rsid w:val="008A7ECD"/>
    <w:rsid w:val="008B3FD9"/>
    <w:rsid w:val="008B65D2"/>
    <w:rsid w:val="008B7903"/>
    <w:rsid w:val="008B7A1F"/>
    <w:rsid w:val="008C0FA0"/>
    <w:rsid w:val="008C168A"/>
    <w:rsid w:val="008C3B79"/>
    <w:rsid w:val="008C79C0"/>
    <w:rsid w:val="008D13B6"/>
    <w:rsid w:val="008D1F02"/>
    <w:rsid w:val="008D22D4"/>
    <w:rsid w:val="008D3318"/>
    <w:rsid w:val="008D58F0"/>
    <w:rsid w:val="008E01AD"/>
    <w:rsid w:val="008E06CB"/>
    <w:rsid w:val="008E2928"/>
    <w:rsid w:val="008E3198"/>
    <w:rsid w:val="008E5B70"/>
    <w:rsid w:val="008E643E"/>
    <w:rsid w:val="008E6DED"/>
    <w:rsid w:val="008F29D3"/>
    <w:rsid w:val="00900AFF"/>
    <w:rsid w:val="00900CB2"/>
    <w:rsid w:val="0090471B"/>
    <w:rsid w:val="00905A94"/>
    <w:rsid w:val="00906FA0"/>
    <w:rsid w:val="00907260"/>
    <w:rsid w:val="00907D83"/>
    <w:rsid w:val="00913EBD"/>
    <w:rsid w:val="009170FA"/>
    <w:rsid w:val="0091743F"/>
    <w:rsid w:val="009219C4"/>
    <w:rsid w:val="00924FC7"/>
    <w:rsid w:val="00925447"/>
    <w:rsid w:val="00930679"/>
    <w:rsid w:val="00933A55"/>
    <w:rsid w:val="0093634F"/>
    <w:rsid w:val="00936CF9"/>
    <w:rsid w:val="0094291B"/>
    <w:rsid w:val="00946061"/>
    <w:rsid w:val="00946D8F"/>
    <w:rsid w:val="0094749A"/>
    <w:rsid w:val="00951262"/>
    <w:rsid w:val="009554BD"/>
    <w:rsid w:val="0095709C"/>
    <w:rsid w:val="00963C4A"/>
    <w:rsid w:val="0096546F"/>
    <w:rsid w:val="00966C0A"/>
    <w:rsid w:val="009671A3"/>
    <w:rsid w:val="0096775D"/>
    <w:rsid w:val="0097287E"/>
    <w:rsid w:val="00972ED0"/>
    <w:rsid w:val="00974076"/>
    <w:rsid w:val="009763CE"/>
    <w:rsid w:val="00977475"/>
    <w:rsid w:val="00984647"/>
    <w:rsid w:val="00984D18"/>
    <w:rsid w:val="0098517C"/>
    <w:rsid w:val="009858D7"/>
    <w:rsid w:val="009870BD"/>
    <w:rsid w:val="00990C06"/>
    <w:rsid w:val="00993F67"/>
    <w:rsid w:val="009960BA"/>
    <w:rsid w:val="0099710A"/>
    <w:rsid w:val="00997479"/>
    <w:rsid w:val="009A1FE7"/>
    <w:rsid w:val="009A42E7"/>
    <w:rsid w:val="009A68FA"/>
    <w:rsid w:val="009A6979"/>
    <w:rsid w:val="009B089E"/>
    <w:rsid w:val="009B0CA0"/>
    <w:rsid w:val="009B205C"/>
    <w:rsid w:val="009B3943"/>
    <w:rsid w:val="009B7439"/>
    <w:rsid w:val="009C1059"/>
    <w:rsid w:val="009C4A7B"/>
    <w:rsid w:val="009D244B"/>
    <w:rsid w:val="009D3574"/>
    <w:rsid w:val="009D424B"/>
    <w:rsid w:val="009D53E9"/>
    <w:rsid w:val="009D573C"/>
    <w:rsid w:val="009E0DFD"/>
    <w:rsid w:val="009E3047"/>
    <w:rsid w:val="009E596D"/>
    <w:rsid w:val="009E772E"/>
    <w:rsid w:val="009F0030"/>
    <w:rsid w:val="009F06CF"/>
    <w:rsid w:val="009F228B"/>
    <w:rsid w:val="009F25A7"/>
    <w:rsid w:val="009F28E4"/>
    <w:rsid w:val="009F2EBF"/>
    <w:rsid w:val="009F5BA3"/>
    <w:rsid w:val="009F60E7"/>
    <w:rsid w:val="009F74FF"/>
    <w:rsid w:val="00A002A3"/>
    <w:rsid w:val="00A01580"/>
    <w:rsid w:val="00A0248C"/>
    <w:rsid w:val="00A044A2"/>
    <w:rsid w:val="00A07217"/>
    <w:rsid w:val="00A07EE7"/>
    <w:rsid w:val="00A14541"/>
    <w:rsid w:val="00A16AA6"/>
    <w:rsid w:val="00A24E83"/>
    <w:rsid w:val="00A25580"/>
    <w:rsid w:val="00A27CA8"/>
    <w:rsid w:val="00A30D49"/>
    <w:rsid w:val="00A320C3"/>
    <w:rsid w:val="00A3272D"/>
    <w:rsid w:val="00A32BC3"/>
    <w:rsid w:val="00A33390"/>
    <w:rsid w:val="00A37375"/>
    <w:rsid w:val="00A42093"/>
    <w:rsid w:val="00A440C6"/>
    <w:rsid w:val="00A464FC"/>
    <w:rsid w:val="00A47FB4"/>
    <w:rsid w:val="00A55701"/>
    <w:rsid w:val="00A5576A"/>
    <w:rsid w:val="00A559A1"/>
    <w:rsid w:val="00A56593"/>
    <w:rsid w:val="00A642E5"/>
    <w:rsid w:val="00A71045"/>
    <w:rsid w:val="00A714BF"/>
    <w:rsid w:val="00A71E1B"/>
    <w:rsid w:val="00A71E24"/>
    <w:rsid w:val="00A77C50"/>
    <w:rsid w:val="00A82D80"/>
    <w:rsid w:val="00A8363A"/>
    <w:rsid w:val="00A83D2C"/>
    <w:rsid w:val="00A85400"/>
    <w:rsid w:val="00A85BE0"/>
    <w:rsid w:val="00A8747E"/>
    <w:rsid w:val="00A87E54"/>
    <w:rsid w:val="00A924A7"/>
    <w:rsid w:val="00A9666B"/>
    <w:rsid w:val="00A97D06"/>
    <w:rsid w:val="00AA038F"/>
    <w:rsid w:val="00AA03D2"/>
    <w:rsid w:val="00AA146C"/>
    <w:rsid w:val="00AA1C56"/>
    <w:rsid w:val="00AA31CD"/>
    <w:rsid w:val="00AA51D4"/>
    <w:rsid w:val="00AA6BF4"/>
    <w:rsid w:val="00AB10F2"/>
    <w:rsid w:val="00AB1B4D"/>
    <w:rsid w:val="00AB282A"/>
    <w:rsid w:val="00AB41B7"/>
    <w:rsid w:val="00AB7948"/>
    <w:rsid w:val="00AC2C65"/>
    <w:rsid w:val="00AC45F1"/>
    <w:rsid w:val="00AC7504"/>
    <w:rsid w:val="00AD2659"/>
    <w:rsid w:val="00AD4E44"/>
    <w:rsid w:val="00AD72B9"/>
    <w:rsid w:val="00AF06FE"/>
    <w:rsid w:val="00AF0884"/>
    <w:rsid w:val="00AF16AB"/>
    <w:rsid w:val="00AF38F9"/>
    <w:rsid w:val="00AF4609"/>
    <w:rsid w:val="00AF5BF5"/>
    <w:rsid w:val="00AF7900"/>
    <w:rsid w:val="00B02E68"/>
    <w:rsid w:val="00B06389"/>
    <w:rsid w:val="00B0707D"/>
    <w:rsid w:val="00B0788D"/>
    <w:rsid w:val="00B12477"/>
    <w:rsid w:val="00B127DF"/>
    <w:rsid w:val="00B15C86"/>
    <w:rsid w:val="00B15FBE"/>
    <w:rsid w:val="00B22EC9"/>
    <w:rsid w:val="00B22FF9"/>
    <w:rsid w:val="00B254A9"/>
    <w:rsid w:val="00B2582F"/>
    <w:rsid w:val="00B25B89"/>
    <w:rsid w:val="00B25EC8"/>
    <w:rsid w:val="00B264A9"/>
    <w:rsid w:val="00B30CF2"/>
    <w:rsid w:val="00B3281A"/>
    <w:rsid w:val="00B343CD"/>
    <w:rsid w:val="00B354F9"/>
    <w:rsid w:val="00B36320"/>
    <w:rsid w:val="00B4091F"/>
    <w:rsid w:val="00B533B1"/>
    <w:rsid w:val="00B536A6"/>
    <w:rsid w:val="00B56DFE"/>
    <w:rsid w:val="00B57ED4"/>
    <w:rsid w:val="00B6318A"/>
    <w:rsid w:val="00B63613"/>
    <w:rsid w:val="00B64002"/>
    <w:rsid w:val="00B66681"/>
    <w:rsid w:val="00B7402C"/>
    <w:rsid w:val="00B8146C"/>
    <w:rsid w:val="00B8542C"/>
    <w:rsid w:val="00B8569F"/>
    <w:rsid w:val="00B85791"/>
    <w:rsid w:val="00B86F11"/>
    <w:rsid w:val="00B92768"/>
    <w:rsid w:val="00B92A11"/>
    <w:rsid w:val="00B94A0D"/>
    <w:rsid w:val="00B951A4"/>
    <w:rsid w:val="00BA0D3F"/>
    <w:rsid w:val="00BA1080"/>
    <w:rsid w:val="00BA2AFF"/>
    <w:rsid w:val="00BA5CA0"/>
    <w:rsid w:val="00BA6834"/>
    <w:rsid w:val="00BA6B7A"/>
    <w:rsid w:val="00BA7109"/>
    <w:rsid w:val="00BA7B7E"/>
    <w:rsid w:val="00BB2BE1"/>
    <w:rsid w:val="00BB4E97"/>
    <w:rsid w:val="00BB5C10"/>
    <w:rsid w:val="00BC1817"/>
    <w:rsid w:val="00BC2F57"/>
    <w:rsid w:val="00BC51DC"/>
    <w:rsid w:val="00BC6617"/>
    <w:rsid w:val="00BD157C"/>
    <w:rsid w:val="00BD4E41"/>
    <w:rsid w:val="00BD78F5"/>
    <w:rsid w:val="00BE3A40"/>
    <w:rsid w:val="00BE6D9E"/>
    <w:rsid w:val="00BF1760"/>
    <w:rsid w:val="00BF2BC6"/>
    <w:rsid w:val="00BF3076"/>
    <w:rsid w:val="00BF6100"/>
    <w:rsid w:val="00BF7752"/>
    <w:rsid w:val="00C0248B"/>
    <w:rsid w:val="00C03319"/>
    <w:rsid w:val="00C0491F"/>
    <w:rsid w:val="00C05A7D"/>
    <w:rsid w:val="00C1031B"/>
    <w:rsid w:val="00C10E28"/>
    <w:rsid w:val="00C13CA9"/>
    <w:rsid w:val="00C20334"/>
    <w:rsid w:val="00C22CF7"/>
    <w:rsid w:val="00C22E2E"/>
    <w:rsid w:val="00C239A8"/>
    <w:rsid w:val="00C23A30"/>
    <w:rsid w:val="00C2431E"/>
    <w:rsid w:val="00C2514E"/>
    <w:rsid w:val="00C25201"/>
    <w:rsid w:val="00C31B52"/>
    <w:rsid w:val="00C34F54"/>
    <w:rsid w:val="00C354D2"/>
    <w:rsid w:val="00C37502"/>
    <w:rsid w:val="00C37A92"/>
    <w:rsid w:val="00C449B8"/>
    <w:rsid w:val="00C44BDB"/>
    <w:rsid w:val="00C46388"/>
    <w:rsid w:val="00C5031E"/>
    <w:rsid w:val="00C50B42"/>
    <w:rsid w:val="00C50E9B"/>
    <w:rsid w:val="00C513BD"/>
    <w:rsid w:val="00C54813"/>
    <w:rsid w:val="00C6700B"/>
    <w:rsid w:val="00C74A5A"/>
    <w:rsid w:val="00C75C5E"/>
    <w:rsid w:val="00C764E5"/>
    <w:rsid w:val="00C76B80"/>
    <w:rsid w:val="00C81133"/>
    <w:rsid w:val="00C8118E"/>
    <w:rsid w:val="00C81FD7"/>
    <w:rsid w:val="00C872E8"/>
    <w:rsid w:val="00C90959"/>
    <w:rsid w:val="00C92096"/>
    <w:rsid w:val="00C943E6"/>
    <w:rsid w:val="00C94804"/>
    <w:rsid w:val="00C9490F"/>
    <w:rsid w:val="00C95D46"/>
    <w:rsid w:val="00C96BE0"/>
    <w:rsid w:val="00CA0FCF"/>
    <w:rsid w:val="00CA1F4D"/>
    <w:rsid w:val="00CA37B4"/>
    <w:rsid w:val="00CA6AEF"/>
    <w:rsid w:val="00CB48F6"/>
    <w:rsid w:val="00CC0423"/>
    <w:rsid w:val="00CC2F7C"/>
    <w:rsid w:val="00CC589A"/>
    <w:rsid w:val="00CC5BBC"/>
    <w:rsid w:val="00CD0C8A"/>
    <w:rsid w:val="00CD1CE0"/>
    <w:rsid w:val="00CD5BEE"/>
    <w:rsid w:val="00CD63DC"/>
    <w:rsid w:val="00CE0235"/>
    <w:rsid w:val="00CE1FA5"/>
    <w:rsid w:val="00CE49D8"/>
    <w:rsid w:val="00CF059B"/>
    <w:rsid w:val="00CF4999"/>
    <w:rsid w:val="00CF4DE3"/>
    <w:rsid w:val="00CF6AA5"/>
    <w:rsid w:val="00CF6E2B"/>
    <w:rsid w:val="00D02BA4"/>
    <w:rsid w:val="00D04C77"/>
    <w:rsid w:val="00D05EE2"/>
    <w:rsid w:val="00D06430"/>
    <w:rsid w:val="00D1131C"/>
    <w:rsid w:val="00D13B01"/>
    <w:rsid w:val="00D1421B"/>
    <w:rsid w:val="00D1518E"/>
    <w:rsid w:val="00D16E64"/>
    <w:rsid w:val="00D177D2"/>
    <w:rsid w:val="00D20ED7"/>
    <w:rsid w:val="00D22FC6"/>
    <w:rsid w:val="00D25405"/>
    <w:rsid w:val="00D2667B"/>
    <w:rsid w:val="00D26EE8"/>
    <w:rsid w:val="00D27D05"/>
    <w:rsid w:val="00D30930"/>
    <w:rsid w:val="00D30F57"/>
    <w:rsid w:val="00D31B8E"/>
    <w:rsid w:val="00D34D39"/>
    <w:rsid w:val="00D374BF"/>
    <w:rsid w:val="00D40896"/>
    <w:rsid w:val="00D40E37"/>
    <w:rsid w:val="00D413CA"/>
    <w:rsid w:val="00D41548"/>
    <w:rsid w:val="00D4284B"/>
    <w:rsid w:val="00D445E0"/>
    <w:rsid w:val="00D44B06"/>
    <w:rsid w:val="00D47393"/>
    <w:rsid w:val="00D47C16"/>
    <w:rsid w:val="00D507CC"/>
    <w:rsid w:val="00D53FCF"/>
    <w:rsid w:val="00D574F3"/>
    <w:rsid w:val="00D61E9B"/>
    <w:rsid w:val="00D6281B"/>
    <w:rsid w:val="00D63469"/>
    <w:rsid w:val="00D67337"/>
    <w:rsid w:val="00D70B48"/>
    <w:rsid w:val="00D7354D"/>
    <w:rsid w:val="00D80D49"/>
    <w:rsid w:val="00D81E67"/>
    <w:rsid w:val="00D8508E"/>
    <w:rsid w:val="00D86F04"/>
    <w:rsid w:val="00D87132"/>
    <w:rsid w:val="00D874FF"/>
    <w:rsid w:val="00D91481"/>
    <w:rsid w:val="00D9350F"/>
    <w:rsid w:val="00D94752"/>
    <w:rsid w:val="00D94B80"/>
    <w:rsid w:val="00D96A60"/>
    <w:rsid w:val="00DA34FE"/>
    <w:rsid w:val="00DA531E"/>
    <w:rsid w:val="00DA7CC2"/>
    <w:rsid w:val="00DB02CA"/>
    <w:rsid w:val="00DB0DDF"/>
    <w:rsid w:val="00DB2130"/>
    <w:rsid w:val="00DB3256"/>
    <w:rsid w:val="00DB3309"/>
    <w:rsid w:val="00DB41BA"/>
    <w:rsid w:val="00DB4D70"/>
    <w:rsid w:val="00DB580F"/>
    <w:rsid w:val="00DB61E9"/>
    <w:rsid w:val="00DB7DBC"/>
    <w:rsid w:val="00DC1953"/>
    <w:rsid w:val="00DC3372"/>
    <w:rsid w:val="00DC5468"/>
    <w:rsid w:val="00DC73B9"/>
    <w:rsid w:val="00DD2E27"/>
    <w:rsid w:val="00DD4AFC"/>
    <w:rsid w:val="00DD4E3F"/>
    <w:rsid w:val="00DD4EF4"/>
    <w:rsid w:val="00DE11A4"/>
    <w:rsid w:val="00DE1B5E"/>
    <w:rsid w:val="00DE58A1"/>
    <w:rsid w:val="00DE5FA2"/>
    <w:rsid w:val="00DE7F24"/>
    <w:rsid w:val="00DF0228"/>
    <w:rsid w:val="00DF2042"/>
    <w:rsid w:val="00DF6159"/>
    <w:rsid w:val="00DF63BC"/>
    <w:rsid w:val="00E03C7E"/>
    <w:rsid w:val="00E0626B"/>
    <w:rsid w:val="00E10770"/>
    <w:rsid w:val="00E10AAC"/>
    <w:rsid w:val="00E1423A"/>
    <w:rsid w:val="00E14302"/>
    <w:rsid w:val="00E14ED1"/>
    <w:rsid w:val="00E15615"/>
    <w:rsid w:val="00E1794E"/>
    <w:rsid w:val="00E2145C"/>
    <w:rsid w:val="00E24741"/>
    <w:rsid w:val="00E27225"/>
    <w:rsid w:val="00E272F2"/>
    <w:rsid w:val="00E30D50"/>
    <w:rsid w:val="00E3303B"/>
    <w:rsid w:val="00E33473"/>
    <w:rsid w:val="00E37E15"/>
    <w:rsid w:val="00E423A5"/>
    <w:rsid w:val="00E42A68"/>
    <w:rsid w:val="00E4405A"/>
    <w:rsid w:val="00E44587"/>
    <w:rsid w:val="00E45001"/>
    <w:rsid w:val="00E45411"/>
    <w:rsid w:val="00E47669"/>
    <w:rsid w:val="00E50ED6"/>
    <w:rsid w:val="00E514D9"/>
    <w:rsid w:val="00E53BCB"/>
    <w:rsid w:val="00E556C4"/>
    <w:rsid w:val="00E56130"/>
    <w:rsid w:val="00E601DD"/>
    <w:rsid w:val="00E60A56"/>
    <w:rsid w:val="00E61EEF"/>
    <w:rsid w:val="00E61F0A"/>
    <w:rsid w:val="00E621D2"/>
    <w:rsid w:val="00E633DB"/>
    <w:rsid w:val="00E67D4A"/>
    <w:rsid w:val="00E713DD"/>
    <w:rsid w:val="00E71A60"/>
    <w:rsid w:val="00E72681"/>
    <w:rsid w:val="00E7368B"/>
    <w:rsid w:val="00E76B2D"/>
    <w:rsid w:val="00E802D5"/>
    <w:rsid w:val="00E8281E"/>
    <w:rsid w:val="00E84ECA"/>
    <w:rsid w:val="00E86DEE"/>
    <w:rsid w:val="00E871E1"/>
    <w:rsid w:val="00E87947"/>
    <w:rsid w:val="00E90C2D"/>
    <w:rsid w:val="00E911D1"/>
    <w:rsid w:val="00E92E39"/>
    <w:rsid w:val="00E96362"/>
    <w:rsid w:val="00EA59C9"/>
    <w:rsid w:val="00EA74EE"/>
    <w:rsid w:val="00EB26EC"/>
    <w:rsid w:val="00EB3651"/>
    <w:rsid w:val="00EB3957"/>
    <w:rsid w:val="00EB3F20"/>
    <w:rsid w:val="00EB6118"/>
    <w:rsid w:val="00EB7BC9"/>
    <w:rsid w:val="00EC1BBA"/>
    <w:rsid w:val="00ED2863"/>
    <w:rsid w:val="00EE2EB4"/>
    <w:rsid w:val="00EF1BE7"/>
    <w:rsid w:val="00EF2C25"/>
    <w:rsid w:val="00EF308C"/>
    <w:rsid w:val="00F04EEA"/>
    <w:rsid w:val="00F058D9"/>
    <w:rsid w:val="00F07280"/>
    <w:rsid w:val="00F1203A"/>
    <w:rsid w:val="00F130F3"/>
    <w:rsid w:val="00F17C30"/>
    <w:rsid w:val="00F204C8"/>
    <w:rsid w:val="00F20F23"/>
    <w:rsid w:val="00F2228E"/>
    <w:rsid w:val="00F24F90"/>
    <w:rsid w:val="00F3064C"/>
    <w:rsid w:val="00F368E6"/>
    <w:rsid w:val="00F44599"/>
    <w:rsid w:val="00F50E7A"/>
    <w:rsid w:val="00F527AE"/>
    <w:rsid w:val="00F52FA0"/>
    <w:rsid w:val="00F5634B"/>
    <w:rsid w:val="00F56CE5"/>
    <w:rsid w:val="00F57A70"/>
    <w:rsid w:val="00F600CA"/>
    <w:rsid w:val="00F60AF7"/>
    <w:rsid w:val="00F60E83"/>
    <w:rsid w:val="00F6432A"/>
    <w:rsid w:val="00F6572C"/>
    <w:rsid w:val="00F67698"/>
    <w:rsid w:val="00F70EF5"/>
    <w:rsid w:val="00F718BD"/>
    <w:rsid w:val="00F71DE5"/>
    <w:rsid w:val="00F73206"/>
    <w:rsid w:val="00F7551C"/>
    <w:rsid w:val="00F75F4B"/>
    <w:rsid w:val="00F76FA5"/>
    <w:rsid w:val="00F801F9"/>
    <w:rsid w:val="00F80625"/>
    <w:rsid w:val="00F816D5"/>
    <w:rsid w:val="00F82045"/>
    <w:rsid w:val="00F8245B"/>
    <w:rsid w:val="00F82BEC"/>
    <w:rsid w:val="00F93170"/>
    <w:rsid w:val="00F9420E"/>
    <w:rsid w:val="00F945F8"/>
    <w:rsid w:val="00FA024E"/>
    <w:rsid w:val="00FA0559"/>
    <w:rsid w:val="00FA1F08"/>
    <w:rsid w:val="00FA3FBB"/>
    <w:rsid w:val="00FA4C4B"/>
    <w:rsid w:val="00FA6A0C"/>
    <w:rsid w:val="00FB2532"/>
    <w:rsid w:val="00FB2781"/>
    <w:rsid w:val="00FB3405"/>
    <w:rsid w:val="00FB3484"/>
    <w:rsid w:val="00FB361E"/>
    <w:rsid w:val="00FB3645"/>
    <w:rsid w:val="00FB42F7"/>
    <w:rsid w:val="00FB4507"/>
    <w:rsid w:val="00FB5EC1"/>
    <w:rsid w:val="00FB64CD"/>
    <w:rsid w:val="00FB7FEB"/>
    <w:rsid w:val="00FC0772"/>
    <w:rsid w:val="00FC304E"/>
    <w:rsid w:val="00FC32FF"/>
    <w:rsid w:val="00FC4584"/>
    <w:rsid w:val="00FC6CD9"/>
    <w:rsid w:val="00FD0A83"/>
    <w:rsid w:val="00FD1917"/>
    <w:rsid w:val="00FD4675"/>
    <w:rsid w:val="00FD51A2"/>
    <w:rsid w:val="00FD5FE3"/>
    <w:rsid w:val="00FD7839"/>
    <w:rsid w:val="00FE060C"/>
    <w:rsid w:val="00FE1094"/>
    <w:rsid w:val="00FE42D9"/>
    <w:rsid w:val="00FE5C23"/>
    <w:rsid w:val="00FE65E5"/>
    <w:rsid w:val="00FF029A"/>
    <w:rsid w:val="00FF1467"/>
    <w:rsid w:val="00FF27AB"/>
    <w:rsid w:val="00FF2921"/>
    <w:rsid w:val="00FF3117"/>
    <w:rsid w:val="00FF37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610A71"/>
  <w15:docId w15:val="{FF77D157-7AD8-485D-AED4-7071916B5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F7CB1"/>
    <w:pPr>
      <w:spacing w:before="120" w:after="120"/>
    </w:pPr>
    <w:rPr>
      <w:rFonts w:ascii="Calibri" w:hAnsi="Calibri"/>
      <w:sz w:val="24"/>
      <w:szCs w:val="24"/>
    </w:rPr>
  </w:style>
  <w:style w:type="paragraph" w:styleId="Heading1">
    <w:name w:val="heading 1"/>
    <w:next w:val="Normal"/>
    <w:qFormat/>
    <w:rsid w:val="009870BD"/>
    <w:pPr>
      <w:keepNext/>
      <w:spacing w:before="120" w:after="120"/>
      <w:outlineLvl w:val="0"/>
    </w:pPr>
    <w:rPr>
      <w:rFonts w:ascii="Calibri" w:hAnsi="Calibri" w:cs="Arial"/>
      <w:b/>
      <w:bCs/>
      <w:color w:val="000000"/>
      <w:sz w:val="22"/>
      <w:szCs w:val="22"/>
    </w:rPr>
  </w:style>
  <w:style w:type="paragraph" w:styleId="Heading2">
    <w:name w:val="heading 2"/>
    <w:basedOn w:val="Heading1"/>
    <w:next w:val="Normal"/>
    <w:link w:val="Heading2Char"/>
    <w:unhideWhenUsed/>
    <w:qFormat/>
    <w:rsid w:val="009870BD"/>
    <w:pPr>
      <w:spacing w:before="240" w:after="60"/>
      <w:outlineLvl w:val="1"/>
    </w:pPr>
    <w:rPr>
      <w:rFonts w:eastAsiaTheme="majorEastAsia" w:cstheme="majorBidi"/>
      <w:b w:val="0"/>
      <w:bCs w:val="0"/>
      <w:iCs/>
      <w:color w:val="1F497D" w:themeColor="text2"/>
      <w:sz w:val="24"/>
      <w:szCs w:val="28"/>
    </w:rPr>
  </w:style>
  <w:style w:type="paragraph" w:styleId="Heading3">
    <w:name w:val="heading 3"/>
    <w:basedOn w:val="Heading2"/>
    <w:next w:val="Normal"/>
    <w:link w:val="Heading3Char"/>
    <w:unhideWhenUsed/>
    <w:qFormat/>
    <w:rsid w:val="009870BD"/>
    <w:pPr>
      <w:spacing w:before="120"/>
      <w:outlineLvl w:val="2"/>
    </w:pPr>
    <w:rPr>
      <w:b/>
      <w:bCs/>
      <w:color w:val="auto"/>
      <w:sz w:val="2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C9490F"/>
    <w:rPr>
      <w:rFonts w:ascii="Tahoma" w:hAnsi="Tahoma" w:cs="Tahoma"/>
      <w:sz w:val="16"/>
      <w:szCs w:val="16"/>
    </w:rPr>
  </w:style>
  <w:style w:type="character" w:styleId="Hyperlink">
    <w:name w:val="Hyperlink"/>
    <w:rsid w:val="007012DA"/>
    <w:rPr>
      <w:color w:val="0000FF"/>
      <w:u w:val="single"/>
    </w:rPr>
  </w:style>
  <w:style w:type="paragraph" w:styleId="Header">
    <w:name w:val="header"/>
    <w:basedOn w:val="Normal"/>
    <w:rsid w:val="00C513BD"/>
    <w:pPr>
      <w:tabs>
        <w:tab w:val="center" w:pos="4153"/>
        <w:tab w:val="right" w:pos="8306"/>
      </w:tabs>
    </w:pPr>
  </w:style>
  <w:style w:type="paragraph" w:styleId="Footer">
    <w:name w:val="footer"/>
    <w:basedOn w:val="Normal"/>
    <w:rsid w:val="00C513BD"/>
    <w:pPr>
      <w:tabs>
        <w:tab w:val="center" w:pos="4153"/>
        <w:tab w:val="right" w:pos="8306"/>
      </w:tabs>
    </w:pPr>
  </w:style>
  <w:style w:type="paragraph" w:customStyle="1" w:styleId="Char">
    <w:name w:val="Char"/>
    <w:basedOn w:val="Normal"/>
    <w:rsid w:val="00FF3117"/>
    <w:rPr>
      <w:rFonts w:ascii="Arial" w:hAnsi="Arial" w:cs="Arial"/>
      <w:sz w:val="22"/>
      <w:szCs w:val="22"/>
      <w:lang w:eastAsia="en-US"/>
    </w:rPr>
  </w:style>
  <w:style w:type="paragraph" w:styleId="Title">
    <w:name w:val="Title"/>
    <w:next w:val="Normal"/>
    <w:link w:val="TitleChar"/>
    <w:qFormat/>
    <w:rsid w:val="009870BD"/>
    <w:pPr>
      <w:contextualSpacing/>
      <w:jc w:val="center"/>
    </w:pPr>
    <w:rPr>
      <w:rFonts w:ascii="Calibri" w:eastAsiaTheme="majorEastAsia" w:hAnsi="Calibri" w:cstheme="majorBidi"/>
      <w:spacing w:val="-10"/>
      <w:kern w:val="28"/>
      <w:sz w:val="40"/>
      <w:szCs w:val="56"/>
    </w:rPr>
  </w:style>
  <w:style w:type="character" w:customStyle="1" w:styleId="Heading3Char">
    <w:name w:val="Heading 3 Char"/>
    <w:link w:val="Heading3"/>
    <w:rsid w:val="009870BD"/>
    <w:rPr>
      <w:rFonts w:ascii="Calibri" w:eastAsiaTheme="majorEastAsia" w:hAnsi="Calibri" w:cstheme="majorBidi"/>
      <w:b/>
      <w:bCs/>
      <w:iCs/>
      <w:sz w:val="22"/>
      <w:szCs w:val="26"/>
    </w:rPr>
  </w:style>
  <w:style w:type="paragraph" w:styleId="ListBullet">
    <w:name w:val="List Bullet"/>
    <w:basedOn w:val="Normal"/>
    <w:rsid w:val="0041470E"/>
    <w:pPr>
      <w:tabs>
        <w:tab w:val="num" w:pos="720"/>
      </w:tabs>
      <w:spacing w:after="60"/>
      <w:ind w:left="720" w:right="28" w:hanging="360"/>
    </w:pPr>
    <w:rPr>
      <w:rFonts w:cs="Arial"/>
      <w:sz w:val="22"/>
      <w:szCs w:val="22"/>
    </w:rPr>
  </w:style>
  <w:style w:type="character" w:customStyle="1" w:styleId="Heading2Char">
    <w:name w:val="Heading 2 Char"/>
    <w:basedOn w:val="DefaultParagraphFont"/>
    <w:link w:val="Heading2"/>
    <w:rsid w:val="009870BD"/>
    <w:rPr>
      <w:rFonts w:ascii="Calibri" w:eastAsiaTheme="majorEastAsia" w:hAnsi="Calibri" w:cstheme="majorBidi"/>
      <w:iCs/>
      <w:color w:val="1F497D" w:themeColor="text2"/>
      <w:sz w:val="24"/>
      <w:szCs w:val="28"/>
    </w:rPr>
  </w:style>
  <w:style w:type="paragraph" w:styleId="NormalWeb">
    <w:name w:val="Normal (Web)"/>
    <w:basedOn w:val="Normal"/>
    <w:uiPriority w:val="99"/>
    <w:unhideWhenUsed/>
    <w:rsid w:val="005B00B2"/>
    <w:pPr>
      <w:spacing w:before="100" w:beforeAutospacing="1" w:after="100" w:afterAutospacing="1"/>
    </w:pPr>
    <w:rPr>
      <w:rFonts w:eastAsia="Calibri"/>
    </w:rPr>
  </w:style>
  <w:style w:type="paragraph" w:styleId="ListParagraph">
    <w:name w:val="List Paragraph"/>
    <w:basedOn w:val="Normal"/>
    <w:uiPriority w:val="34"/>
    <w:qFormat/>
    <w:rsid w:val="001B45B1"/>
    <w:pPr>
      <w:ind w:left="720"/>
    </w:pPr>
    <w:rPr>
      <w:rFonts w:eastAsiaTheme="minorHAnsi"/>
      <w:sz w:val="22"/>
      <w:szCs w:val="22"/>
      <w:lang w:eastAsia="en-US"/>
    </w:rPr>
  </w:style>
  <w:style w:type="paragraph" w:customStyle="1" w:styleId="Default">
    <w:name w:val="Default"/>
    <w:basedOn w:val="Normal"/>
    <w:rsid w:val="006D7E9D"/>
    <w:pPr>
      <w:autoSpaceDE w:val="0"/>
      <w:autoSpaceDN w:val="0"/>
    </w:pPr>
    <w:rPr>
      <w:rFonts w:ascii="Arial" w:eastAsiaTheme="minorHAnsi" w:hAnsi="Arial" w:cs="Arial"/>
      <w:color w:val="000000"/>
    </w:rPr>
  </w:style>
  <w:style w:type="paragraph" w:styleId="PlainText">
    <w:name w:val="Plain Text"/>
    <w:basedOn w:val="Normal"/>
    <w:link w:val="PlainTextChar"/>
    <w:uiPriority w:val="99"/>
    <w:unhideWhenUsed/>
    <w:rsid w:val="00C2431E"/>
    <w:rPr>
      <w:rFonts w:eastAsiaTheme="minorHAnsi" w:cs="Calibri"/>
      <w:sz w:val="22"/>
      <w:szCs w:val="22"/>
      <w:lang w:eastAsia="en-US"/>
    </w:rPr>
  </w:style>
  <w:style w:type="character" w:customStyle="1" w:styleId="PlainTextChar">
    <w:name w:val="Plain Text Char"/>
    <w:basedOn w:val="DefaultParagraphFont"/>
    <w:link w:val="PlainText"/>
    <w:uiPriority w:val="99"/>
    <w:rsid w:val="00C2431E"/>
    <w:rPr>
      <w:rFonts w:ascii="Calibri" w:eastAsiaTheme="minorHAnsi" w:hAnsi="Calibri" w:cs="Calibri"/>
      <w:sz w:val="22"/>
      <w:szCs w:val="22"/>
      <w:lang w:eastAsia="en-US"/>
    </w:rPr>
  </w:style>
  <w:style w:type="character" w:styleId="Emphasis">
    <w:name w:val="Emphasis"/>
    <w:basedOn w:val="DefaultParagraphFont"/>
    <w:uiPriority w:val="20"/>
    <w:qFormat/>
    <w:rsid w:val="006A55BF"/>
    <w:rPr>
      <w:i/>
      <w:iCs/>
    </w:rPr>
  </w:style>
  <w:style w:type="character" w:styleId="UnresolvedMention">
    <w:name w:val="Unresolved Mention"/>
    <w:basedOn w:val="DefaultParagraphFont"/>
    <w:uiPriority w:val="99"/>
    <w:semiHidden/>
    <w:unhideWhenUsed/>
    <w:rsid w:val="00251640"/>
    <w:rPr>
      <w:color w:val="605E5C"/>
      <w:shd w:val="clear" w:color="auto" w:fill="E1DFDD"/>
    </w:rPr>
  </w:style>
  <w:style w:type="character" w:customStyle="1" w:styleId="TitleChar">
    <w:name w:val="Title Char"/>
    <w:basedOn w:val="DefaultParagraphFont"/>
    <w:link w:val="Title"/>
    <w:rsid w:val="009870BD"/>
    <w:rPr>
      <w:rFonts w:ascii="Calibri" w:eastAsiaTheme="majorEastAsia" w:hAnsi="Calibri" w:cstheme="majorBidi"/>
      <w:spacing w:val="-10"/>
      <w:kern w:val="28"/>
      <w:sz w:val="40"/>
      <w:szCs w:val="56"/>
    </w:rPr>
  </w:style>
  <w:style w:type="character" w:styleId="FootnoteReference">
    <w:name w:val="footnote reference"/>
    <w:basedOn w:val="DefaultParagraphFont"/>
    <w:unhideWhenUsed/>
    <w:rsid w:val="006F7CB1"/>
    <w:rPr>
      <w:vertAlign w:val="superscript"/>
    </w:rPr>
  </w:style>
  <w:style w:type="paragraph" w:styleId="FootnoteText">
    <w:name w:val="footnote text"/>
    <w:basedOn w:val="Normal"/>
    <w:link w:val="FootnoteTextChar"/>
    <w:unhideWhenUsed/>
    <w:rsid w:val="006F7CB1"/>
    <w:pPr>
      <w:spacing w:before="0"/>
    </w:pPr>
    <w:rPr>
      <w:sz w:val="20"/>
      <w:szCs w:val="20"/>
    </w:rPr>
  </w:style>
  <w:style w:type="character" w:customStyle="1" w:styleId="FootnoteTextChar">
    <w:name w:val="Footnote Text Char"/>
    <w:basedOn w:val="DefaultParagraphFont"/>
    <w:link w:val="FootnoteText"/>
    <w:rsid w:val="006F7CB1"/>
    <w:rPr>
      <w:rFonts w:ascii="Calibri" w:hAnsi="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98738">
      <w:bodyDiv w:val="1"/>
      <w:marLeft w:val="0"/>
      <w:marRight w:val="0"/>
      <w:marTop w:val="0"/>
      <w:marBottom w:val="0"/>
      <w:divBdr>
        <w:top w:val="none" w:sz="0" w:space="0" w:color="auto"/>
        <w:left w:val="none" w:sz="0" w:space="0" w:color="auto"/>
        <w:bottom w:val="none" w:sz="0" w:space="0" w:color="auto"/>
        <w:right w:val="none" w:sz="0" w:space="0" w:color="auto"/>
      </w:divBdr>
    </w:div>
    <w:div w:id="98062693">
      <w:bodyDiv w:val="1"/>
      <w:marLeft w:val="0"/>
      <w:marRight w:val="0"/>
      <w:marTop w:val="0"/>
      <w:marBottom w:val="0"/>
      <w:divBdr>
        <w:top w:val="none" w:sz="0" w:space="0" w:color="auto"/>
        <w:left w:val="none" w:sz="0" w:space="0" w:color="auto"/>
        <w:bottom w:val="none" w:sz="0" w:space="0" w:color="auto"/>
        <w:right w:val="none" w:sz="0" w:space="0" w:color="auto"/>
      </w:divBdr>
    </w:div>
    <w:div w:id="103115458">
      <w:bodyDiv w:val="1"/>
      <w:marLeft w:val="0"/>
      <w:marRight w:val="0"/>
      <w:marTop w:val="0"/>
      <w:marBottom w:val="0"/>
      <w:divBdr>
        <w:top w:val="none" w:sz="0" w:space="0" w:color="auto"/>
        <w:left w:val="none" w:sz="0" w:space="0" w:color="auto"/>
        <w:bottom w:val="none" w:sz="0" w:space="0" w:color="auto"/>
        <w:right w:val="none" w:sz="0" w:space="0" w:color="auto"/>
      </w:divBdr>
    </w:div>
    <w:div w:id="111293557">
      <w:bodyDiv w:val="1"/>
      <w:marLeft w:val="0"/>
      <w:marRight w:val="0"/>
      <w:marTop w:val="0"/>
      <w:marBottom w:val="0"/>
      <w:divBdr>
        <w:top w:val="none" w:sz="0" w:space="0" w:color="auto"/>
        <w:left w:val="none" w:sz="0" w:space="0" w:color="auto"/>
        <w:bottom w:val="none" w:sz="0" w:space="0" w:color="auto"/>
        <w:right w:val="none" w:sz="0" w:space="0" w:color="auto"/>
      </w:divBdr>
    </w:div>
    <w:div w:id="149253675">
      <w:bodyDiv w:val="1"/>
      <w:marLeft w:val="0"/>
      <w:marRight w:val="0"/>
      <w:marTop w:val="0"/>
      <w:marBottom w:val="0"/>
      <w:divBdr>
        <w:top w:val="none" w:sz="0" w:space="0" w:color="auto"/>
        <w:left w:val="none" w:sz="0" w:space="0" w:color="auto"/>
        <w:bottom w:val="none" w:sz="0" w:space="0" w:color="auto"/>
        <w:right w:val="none" w:sz="0" w:space="0" w:color="auto"/>
      </w:divBdr>
    </w:div>
    <w:div w:id="154688745">
      <w:bodyDiv w:val="1"/>
      <w:marLeft w:val="0"/>
      <w:marRight w:val="0"/>
      <w:marTop w:val="0"/>
      <w:marBottom w:val="0"/>
      <w:divBdr>
        <w:top w:val="none" w:sz="0" w:space="0" w:color="auto"/>
        <w:left w:val="none" w:sz="0" w:space="0" w:color="auto"/>
        <w:bottom w:val="none" w:sz="0" w:space="0" w:color="auto"/>
        <w:right w:val="none" w:sz="0" w:space="0" w:color="auto"/>
      </w:divBdr>
    </w:div>
    <w:div w:id="216163282">
      <w:bodyDiv w:val="1"/>
      <w:marLeft w:val="0"/>
      <w:marRight w:val="0"/>
      <w:marTop w:val="0"/>
      <w:marBottom w:val="0"/>
      <w:divBdr>
        <w:top w:val="none" w:sz="0" w:space="0" w:color="auto"/>
        <w:left w:val="none" w:sz="0" w:space="0" w:color="auto"/>
        <w:bottom w:val="none" w:sz="0" w:space="0" w:color="auto"/>
        <w:right w:val="none" w:sz="0" w:space="0" w:color="auto"/>
      </w:divBdr>
    </w:div>
    <w:div w:id="286738558">
      <w:bodyDiv w:val="1"/>
      <w:marLeft w:val="0"/>
      <w:marRight w:val="0"/>
      <w:marTop w:val="0"/>
      <w:marBottom w:val="0"/>
      <w:divBdr>
        <w:top w:val="none" w:sz="0" w:space="0" w:color="auto"/>
        <w:left w:val="none" w:sz="0" w:space="0" w:color="auto"/>
        <w:bottom w:val="none" w:sz="0" w:space="0" w:color="auto"/>
        <w:right w:val="none" w:sz="0" w:space="0" w:color="auto"/>
      </w:divBdr>
    </w:div>
    <w:div w:id="359360373">
      <w:bodyDiv w:val="1"/>
      <w:marLeft w:val="0"/>
      <w:marRight w:val="0"/>
      <w:marTop w:val="0"/>
      <w:marBottom w:val="0"/>
      <w:divBdr>
        <w:top w:val="none" w:sz="0" w:space="0" w:color="auto"/>
        <w:left w:val="none" w:sz="0" w:space="0" w:color="auto"/>
        <w:bottom w:val="none" w:sz="0" w:space="0" w:color="auto"/>
        <w:right w:val="none" w:sz="0" w:space="0" w:color="auto"/>
      </w:divBdr>
    </w:div>
    <w:div w:id="428888103">
      <w:bodyDiv w:val="1"/>
      <w:marLeft w:val="0"/>
      <w:marRight w:val="0"/>
      <w:marTop w:val="0"/>
      <w:marBottom w:val="0"/>
      <w:divBdr>
        <w:top w:val="none" w:sz="0" w:space="0" w:color="auto"/>
        <w:left w:val="none" w:sz="0" w:space="0" w:color="auto"/>
        <w:bottom w:val="none" w:sz="0" w:space="0" w:color="auto"/>
        <w:right w:val="none" w:sz="0" w:space="0" w:color="auto"/>
      </w:divBdr>
    </w:div>
    <w:div w:id="435291365">
      <w:bodyDiv w:val="1"/>
      <w:marLeft w:val="0"/>
      <w:marRight w:val="0"/>
      <w:marTop w:val="0"/>
      <w:marBottom w:val="0"/>
      <w:divBdr>
        <w:top w:val="none" w:sz="0" w:space="0" w:color="auto"/>
        <w:left w:val="none" w:sz="0" w:space="0" w:color="auto"/>
        <w:bottom w:val="none" w:sz="0" w:space="0" w:color="auto"/>
        <w:right w:val="none" w:sz="0" w:space="0" w:color="auto"/>
      </w:divBdr>
    </w:div>
    <w:div w:id="532617113">
      <w:bodyDiv w:val="1"/>
      <w:marLeft w:val="0"/>
      <w:marRight w:val="0"/>
      <w:marTop w:val="0"/>
      <w:marBottom w:val="0"/>
      <w:divBdr>
        <w:top w:val="none" w:sz="0" w:space="0" w:color="auto"/>
        <w:left w:val="none" w:sz="0" w:space="0" w:color="auto"/>
        <w:bottom w:val="none" w:sz="0" w:space="0" w:color="auto"/>
        <w:right w:val="none" w:sz="0" w:space="0" w:color="auto"/>
      </w:divBdr>
    </w:div>
    <w:div w:id="562330499">
      <w:bodyDiv w:val="1"/>
      <w:marLeft w:val="0"/>
      <w:marRight w:val="0"/>
      <w:marTop w:val="0"/>
      <w:marBottom w:val="0"/>
      <w:divBdr>
        <w:top w:val="none" w:sz="0" w:space="0" w:color="auto"/>
        <w:left w:val="none" w:sz="0" w:space="0" w:color="auto"/>
        <w:bottom w:val="none" w:sz="0" w:space="0" w:color="auto"/>
        <w:right w:val="none" w:sz="0" w:space="0" w:color="auto"/>
      </w:divBdr>
    </w:div>
    <w:div w:id="567963620">
      <w:bodyDiv w:val="1"/>
      <w:marLeft w:val="0"/>
      <w:marRight w:val="0"/>
      <w:marTop w:val="0"/>
      <w:marBottom w:val="0"/>
      <w:divBdr>
        <w:top w:val="none" w:sz="0" w:space="0" w:color="auto"/>
        <w:left w:val="none" w:sz="0" w:space="0" w:color="auto"/>
        <w:bottom w:val="none" w:sz="0" w:space="0" w:color="auto"/>
        <w:right w:val="none" w:sz="0" w:space="0" w:color="auto"/>
      </w:divBdr>
    </w:div>
    <w:div w:id="577403295">
      <w:bodyDiv w:val="1"/>
      <w:marLeft w:val="0"/>
      <w:marRight w:val="0"/>
      <w:marTop w:val="0"/>
      <w:marBottom w:val="0"/>
      <w:divBdr>
        <w:top w:val="none" w:sz="0" w:space="0" w:color="auto"/>
        <w:left w:val="none" w:sz="0" w:space="0" w:color="auto"/>
        <w:bottom w:val="none" w:sz="0" w:space="0" w:color="auto"/>
        <w:right w:val="none" w:sz="0" w:space="0" w:color="auto"/>
      </w:divBdr>
    </w:div>
    <w:div w:id="583999188">
      <w:bodyDiv w:val="1"/>
      <w:marLeft w:val="0"/>
      <w:marRight w:val="0"/>
      <w:marTop w:val="0"/>
      <w:marBottom w:val="0"/>
      <w:divBdr>
        <w:top w:val="none" w:sz="0" w:space="0" w:color="auto"/>
        <w:left w:val="none" w:sz="0" w:space="0" w:color="auto"/>
        <w:bottom w:val="none" w:sz="0" w:space="0" w:color="auto"/>
        <w:right w:val="none" w:sz="0" w:space="0" w:color="auto"/>
      </w:divBdr>
    </w:div>
    <w:div w:id="679892331">
      <w:bodyDiv w:val="1"/>
      <w:marLeft w:val="0"/>
      <w:marRight w:val="0"/>
      <w:marTop w:val="0"/>
      <w:marBottom w:val="0"/>
      <w:divBdr>
        <w:top w:val="none" w:sz="0" w:space="0" w:color="auto"/>
        <w:left w:val="none" w:sz="0" w:space="0" w:color="auto"/>
        <w:bottom w:val="none" w:sz="0" w:space="0" w:color="auto"/>
        <w:right w:val="none" w:sz="0" w:space="0" w:color="auto"/>
      </w:divBdr>
    </w:div>
    <w:div w:id="703798261">
      <w:bodyDiv w:val="1"/>
      <w:marLeft w:val="0"/>
      <w:marRight w:val="0"/>
      <w:marTop w:val="0"/>
      <w:marBottom w:val="0"/>
      <w:divBdr>
        <w:top w:val="none" w:sz="0" w:space="0" w:color="auto"/>
        <w:left w:val="none" w:sz="0" w:space="0" w:color="auto"/>
        <w:bottom w:val="none" w:sz="0" w:space="0" w:color="auto"/>
        <w:right w:val="none" w:sz="0" w:space="0" w:color="auto"/>
      </w:divBdr>
    </w:div>
    <w:div w:id="728960575">
      <w:bodyDiv w:val="1"/>
      <w:marLeft w:val="0"/>
      <w:marRight w:val="0"/>
      <w:marTop w:val="0"/>
      <w:marBottom w:val="0"/>
      <w:divBdr>
        <w:top w:val="none" w:sz="0" w:space="0" w:color="auto"/>
        <w:left w:val="none" w:sz="0" w:space="0" w:color="auto"/>
        <w:bottom w:val="none" w:sz="0" w:space="0" w:color="auto"/>
        <w:right w:val="none" w:sz="0" w:space="0" w:color="auto"/>
      </w:divBdr>
    </w:div>
    <w:div w:id="734813061">
      <w:bodyDiv w:val="1"/>
      <w:marLeft w:val="0"/>
      <w:marRight w:val="0"/>
      <w:marTop w:val="0"/>
      <w:marBottom w:val="0"/>
      <w:divBdr>
        <w:top w:val="none" w:sz="0" w:space="0" w:color="auto"/>
        <w:left w:val="none" w:sz="0" w:space="0" w:color="auto"/>
        <w:bottom w:val="none" w:sz="0" w:space="0" w:color="auto"/>
        <w:right w:val="none" w:sz="0" w:space="0" w:color="auto"/>
      </w:divBdr>
    </w:div>
    <w:div w:id="746224245">
      <w:bodyDiv w:val="1"/>
      <w:marLeft w:val="0"/>
      <w:marRight w:val="0"/>
      <w:marTop w:val="0"/>
      <w:marBottom w:val="0"/>
      <w:divBdr>
        <w:top w:val="none" w:sz="0" w:space="0" w:color="auto"/>
        <w:left w:val="none" w:sz="0" w:space="0" w:color="auto"/>
        <w:bottom w:val="none" w:sz="0" w:space="0" w:color="auto"/>
        <w:right w:val="none" w:sz="0" w:space="0" w:color="auto"/>
      </w:divBdr>
    </w:div>
    <w:div w:id="756293357">
      <w:bodyDiv w:val="1"/>
      <w:marLeft w:val="0"/>
      <w:marRight w:val="0"/>
      <w:marTop w:val="0"/>
      <w:marBottom w:val="0"/>
      <w:divBdr>
        <w:top w:val="none" w:sz="0" w:space="0" w:color="auto"/>
        <w:left w:val="none" w:sz="0" w:space="0" w:color="auto"/>
        <w:bottom w:val="none" w:sz="0" w:space="0" w:color="auto"/>
        <w:right w:val="none" w:sz="0" w:space="0" w:color="auto"/>
      </w:divBdr>
    </w:div>
    <w:div w:id="775640427">
      <w:bodyDiv w:val="1"/>
      <w:marLeft w:val="0"/>
      <w:marRight w:val="0"/>
      <w:marTop w:val="0"/>
      <w:marBottom w:val="0"/>
      <w:divBdr>
        <w:top w:val="none" w:sz="0" w:space="0" w:color="auto"/>
        <w:left w:val="none" w:sz="0" w:space="0" w:color="auto"/>
        <w:bottom w:val="none" w:sz="0" w:space="0" w:color="auto"/>
        <w:right w:val="none" w:sz="0" w:space="0" w:color="auto"/>
      </w:divBdr>
    </w:div>
    <w:div w:id="820274954">
      <w:bodyDiv w:val="1"/>
      <w:marLeft w:val="0"/>
      <w:marRight w:val="0"/>
      <w:marTop w:val="0"/>
      <w:marBottom w:val="0"/>
      <w:divBdr>
        <w:top w:val="none" w:sz="0" w:space="0" w:color="auto"/>
        <w:left w:val="none" w:sz="0" w:space="0" w:color="auto"/>
        <w:bottom w:val="none" w:sz="0" w:space="0" w:color="auto"/>
        <w:right w:val="none" w:sz="0" w:space="0" w:color="auto"/>
      </w:divBdr>
    </w:div>
    <w:div w:id="866677018">
      <w:bodyDiv w:val="1"/>
      <w:marLeft w:val="0"/>
      <w:marRight w:val="0"/>
      <w:marTop w:val="0"/>
      <w:marBottom w:val="0"/>
      <w:divBdr>
        <w:top w:val="none" w:sz="0" w:space="0" w:color="auto"/>
        <w:left w:val="none" w:sz="0" w:space="0" w:color="auto"/>
        <w:bottom w:val="none" w:sz="0" w:space="0" w:color="auto"/>
        <w:right w:val="none" w:sz="0" w:space="0" w:color="auto"/>
      </w:divBdr>
    </w:div>
    <w:div w:id="892546890">
      <w:bodyDiv w:val="1"/>
      <w:marLeft w:val="0"/>
      <w:marRight w:val="0"/>
      <w:marTop w:val="0"/>
      <w:marBottom w:val="0"/>
      <w:divBdr>
        <w:top w:val="none" w:sz="0" w:space="0" w:color="auto"/>
        <w:left w:val="none" w:sz="0" w:space="0" w:color="auto"/>
        <w:bottom w:val="none" w:sz="0" w:space="0" w:color="auto"/>
        <w:right w:val="none" w:sz="0" w:space="0" w:color="auto"/>
      </w:divBdr>
    </w:div>
    <w:div w:id="952597332">
      <w:bodyDiv w:val="1"/>
      <w:marLeft w:val="0"/>
      <w:marRight w:val="0"/>
      <w:marTop w:val="0"/>
      <w:marBottom w:val="0"/>
      <w:divBdr>
        <w:top w:val="none" w:sz="0" w:space="0" w:color="auto"/>
        <w:left w:val="none" w:sz="0" w:space="0" w:color="auto"/>
        <w:bottom w:val="none" w:sz="0" w:space="0" w:color="auto"/>
        <w:right w:val="none" w:sz="0" w:space="0" w:color="auto"/>
      </w:divBdr>
    </w:div>
    <w:div w:id="959649787">
      <w:bodyDiv w:val="1"/>
      <w:marLeft w:val="0"/>
      <w:marRight w:val="0"/>
      <w:marTop w:val="0"/>
      <w:marBottom w:val="0"/>
      <w:divBdr>
        <w:top w:val="none" w:sz="0" w:space="0" w:color="auto"/>
        <w:left w:val="none" w:sz="0" w:space="0" w:color="auto"/>
        <w:bottom w:val="none" w:sz="0" w:space="0" w:color="auto"/>
        <w:right w:val="none" w:sz="0" w:space="0" w:color="auto"/>
      </w:divBdr>
    </w:div>
    <w:div w:id="993679536">
      <w:bodyDiv w:val="1"/>
      <w:marLeft w:val="0"/>
      <w:marRight w:val="0"/>
      <w:marTop w:val="0"/>
      <w:marBottom w:val="0"/>
      <w:divBdr>
        <w:top w:val="none" w:sz="0" w:space="0" w:color="auto"/>
        <w:left w:val="none" w:sz="0" w:space="0" w:color="auto"/>
        <w:bottom w:val="none" w:sz="0" w:space="0" w:color="auto"/>
        <w:right w:val="none" w:sz="0" w:space="0" w:color="auto"/>
      </w:divBdr>
    </w:div>
    <w:div w:id="1021392236">
      <w:bodyDiv w:val="1"/>
      <w:marLeft w:val="0"/>
      <w:marRight w:val="0"/>
      <w:marTop w:val="0"/>
      <w:marBottom w:val="0"/>
      <w:divBdr>
        <w:top w:val="none" w:sz="0" w:space="0" w:color="auto"/>
        <w:left w:val="none" w:sz="0" w:space="0" w:color="auto"/>
        <w:bottom w:val="none" w:sz="0" w:space="0" w:color="auto"/>
        <w:right w:val="none" w:sz="0" w:space="0" w:color="auto"/>
      </w:divBdr>
    </w:div>
    <w:div w:id="1030453492">
      <w:bodyDiv w:val="1"/>
      <w:marLeft w:val="0"/>
      <w:marRight w:val="0"/>
      <w:marTop w:val="0"/>
      <w:marBottom w:val="0"/>
      <w:divBdr>
        <w:top w:val="none" w:sz="0" w:space="0" w:color="auto"/>
        <w:left w:val="none" w:sz="0" w:space="0" w:color="auto"/>
        <w:bottom w:val="none" w:sz="0" w:space="0" w:color="auto"/>
        <w:right w:val="none" w:sz="0" w:space="0" w:color="auto"/>
      </w:divBdr>
    </w:div>
    <w:div w:id="1032192188">
      <w:bodyDiv w:val="1"/>
      <w:marLeft w:val="0"/>
      <w:marRight w:val="0"/>
      <w:marTop w:val="0"/>
      <w:marBottom w:val="0"/>
      <w:divBdr>
        <w:top w:val="none" w:sz="0" w:space="0" w:color="auto"/>
        <w:left w:val="none" w:sz="0" w:space="0" w:color="auto"/>
        <w:bottom w:val="none" w:sz="0" w:space="0" w:color="auto"/>
        <w:right w:val="none" w:sz="0" w:space="0" w:color="auto"/>
      </w:divBdr>
    </w:div>
    <w:div w:id="1067144540">
      <w:bodyDiv w:val="1"/>
      <w:marLeft w:val="0"/>
      <w:marRight w:val="0"/>
      <w:marTop w:val="0"/>
      <w:marBottom w:val="0"/>
      <w:divBdr>
        <w:top w:val="none" w:sz="0" w:space="0" w:color="auto"/>
        <w:left w:val="none" w:sz="0" w:space="0" w:color="auto"/>
        <w:bottom w:val="none" w:sz="0" w:space="0" w:color="auto"/>
        <w:right w:val="none" w:sz="0" w:space="0" w:color="auto"/>
      </w:divBdr>
    </w:div>
    <w:div w:id="1071273980">
      <w:bodyDiv w:val="1"/>
      <w:marLeft w:val="0"/>
      <w:marRight w:val="0"/>
      <w:marTop w:val="0"/>
      <w:marBottom w:val="0"/>
      <w:divBdr>
        <w:top w:val="none" w:sz="0" w:space="0" w:color="auto"/>
        <w:left w:val="none" w:sz="0" w:space="0" w:color="auto"/>
        <w:bottom w:val="none" w:sz="0" w:space="0" w:color="auto"/>
        <w:right w:val="none" w:sz="0" w:space="0" w:color="auto"/>
      </w:divBdr>
    </w:div>
    <w:div w:id="1159493951">
      <w:bodyDiv w:val="1"/>
      <w:marLeft w:val="0"/>
      <w:marRight w:val="0"/>
      <w:marTop w:val="0"/>
      <w:marBottom w:val="0"/>
      <w:divBdr>
        <w:top w:val="none" w:sz="0" w:space="0" w:color="auto"/>
        <w:left w:val="none" w:sz="0" w:space="0" w:color="auto"/>
        <w:bottom w:val="none" w:sz="0" w:space="0" w:color="auto"/>
        <w:right w:val="none" w:sz="0" w:space="0" w:color="auto"/>
      </w:divBdr>
    </w:div>
    <w:div w:id="1166479486">
      <w:bodyDiv w:val="1"/>
      <w:marLeft w:val="0"/>
      <w:marRight w:val="0"/>
      <w:marTop w:val="0"/>
      <w:marBottom w:val="0"/>
      <w:divBdr>
        <w:top w:val="none" w:sz="0" w:space="0" w:color="auto"/>
        <w:left w:val="none" w:sz="0" w:space="0" w:color="auto"/>
        <w:bottom w:val="none" w:sz="0" w:space="0" w:color="auto"/>
        <w:right w:val="none" w:sz="0" w:space="0" w:color="auto"/>
      </w:divBdr>
    </w:div>
    <w:div w:id="1181624166">
      <w:bodyDiv w:val="1"/>
      <w:marLeft w:val="0"/>
      <w:marRight w:val="0"/>
      <w:marTop w:val="0"/>
      <w:marBottom w:val="0"/>
      <w:divBdr>
        <w:top w:val="none" w:sz="0" w:space="0" w:color="auto"/>
        <w:left w:val="none" w:sz="0" w:space="0" w:color="auto"/>
        <w:bottom w:val="none" w:sz="0" w:space="0" w:color="auto"/>
        <w:right w:val="none" w:sz="0" w:space="0" w:color="auto"/>
      </w:divBdr>
    </w:div>
    <w:div w:id="1206522552">
      <w:bodyDiv w:val="1"/>
      <w:marLeft w:val="0"/>
      <w:marRight w:val="0"/>
      <w:marTop w:val="0"/>
      <w:marBottom w:val="0"/>
      <w:divBdr>
        <w:top w:val="none" w:sz="0" w:space="0" w:color="auto"/>
        <w:left w:val="none" w:sz="0" w:space="0" w:color="auto"/>
        <w:bottom w:val="none" w:sz="0" w:space="0" w:color="auto"/>
        <w:right w:val="none" w:sz="0" w:space="0" w:color="auto"/>
      </w:divBdr>
    </w:div>
    <w:div w:id="1211574597">
      <w:bodyDiv w:val="1"/>
      <w:marLeft w:val="0"/>
      <w:marRight w:val="0"/>
      <w:marTop w:val="0"/>
      <w:marBottom w:val="0"/>
      <w:divBdr>
        <w:top w:val="none" w:sz="0" w:space="0" w:color="auto"/>
        <w:left w:val="none" w:sz="0" w:space="0" w:color="auto"/>
        <w:bottom w:val="none" w:sz="0" w:space="0" w:color="auto"/>
        <w:right w:val="none" w:sz="0" w:space="0" w:color="auto"/>
      </w:divBdr>
    </w:div>
    <w:div w:id="1222207702">
      <w:bodyDiv w:val="1"/>
      <w:marLeft w:val="0"/>
      <w:marRight w:val="0"/>
      <w:marTop w:val="0"/>
      <w:marBottom w:val="0"/>
      <w:divBdr>
        <w:top w:val="none" w:sz="0" w:space="0" w:color="auto"/>
        <w:left w:val="none" w:sz="0" w:space="0" w:color="auto"/>
        <w:bottom w:val="none" w:sz="0" w:space="0" w:color="auto"/>
        <w:right w:val="none" w:sz="0" w:space="0" w:color="auto"/>
      </w:divBdr>
    </w:div>
    <w:div w:id="1227423923">
      <w:bodyDiv w:val="1"/>
      <w:marLeft w:val="0"/>
      <w:marRight w:val="0"/>
      <w:marTop w:val="0"/>
      <w:marBottom w:val="0"/>
      <w:divBdr>
        <w:top w:val="none" w:sz="0" w:space="0" w:color="auto"/>
        <w:left w:val="none" w:sz="0" w:space="0" w:color="auto"/>
        <w:bottom w:val="none" w:sz="0" w:space="0" w:color="auto"/>
        <w:right w:val="none" w:sz="0" w:space="0" w:color="auto"/>
      </w:divBdr>
    </w:div>
    <w:div w:id="1237057836">
      <w:bodyDiv w:val="1"/>
      <w:marLeft w:val="0"/>
      <w:marRight w:val="0"/>
      <w:marTop w:val="0"/>
      <w:marBottom w:val="0"/>
      <w:divBdr>
        <w:top w:val="none" w:sz="0" w:space="0" w:color="auto"/>
        <w:left w:val="none" w:sz="0" w:space="0" w:color="auto"/>
        <w:bottom w:val="none" w:sz="0" w:space="0" w:color="auto"/>
        <w:right w:val="none" w:sz="0" w:space="0" w:color="auto"/>
      </w:divBdr>
    </w:div>
    <w:div w:id="1269464111">
      <w:bodyDiv w:val="1"/>
      <w:marLeft w:val="0"/>
      <w:marRight w:val="0"/>
      <w:marTop w:val="0"/>
      <w:marBottom w:val="0"/>
      <w:divBdr>
        <w:top w:val="none" w:sz="0" w:space="0" w:color="auto"/>
        <w:left w:val="none" w:sz="0" w:space="0" w:color="auto"/>
        <w:bottom w:val="none" w:sz="0" w:space="0" w:color="auto"/>
        <w:right w:val="none" w:sz="0" w:space="0" w:color="auto"/>
      </w:divBdr>
    </w:div>
    <w:div w:id="1291666320">
      <w:bodyDiv w:val="1"/>
      <w:marLeft w:val="0"/>
      <w:marRight w:val="0"/>
      <w:marTop w:val="0"/>
      <w:marBottom w:val="0"/>
      <w:divBdr>
        <w:top w:val="none" w:sz="0" w:space="0" w:color="auto"/>
        <w:left w:val="none" w:sz="0" w:space="0" w:color="auto"/>
        <w:bottom w:val="none" w:sz="0" w:space="0" w:color="auto"/>
        <w:right w:val="none" w:sz="0" w:space="0" w:color="auto"/>
      </w:divBdr>
    </w:div>
    <w:div w:id="1319841025">
      <w:bodyDiv w:val="1"/>
      <w:marLeft w:val="0"/>
      <w:marRight w:val="0"/>
      <w:marTop w:val="0"/>
      <w:marBottom w:val="0"/>
      <w:divBdr>
        <w:top w:val="none" w:sz="0" w:space="0" w:color="auto"/>
        <w:left w:val="none" w:sz="0" w:space="0" w:color="auto"/>
        <w:bottom w:val="none" w:sz="0" w:space="0" w:color="auto"/>
        <w:right w:val="none" w:sz="0" w:space="0" w:color="auto"/>
      </w:divBdr>
    </w:div>
    <w:div w:id="1359047932">
      <w:bodyDiv w:val="1"/>
      <w:marLeft w:val="0"/>
      <w:marRight w:val="0"/>
      <w:marTop w:val="0"/>
      <w:marBottom w:val="0"/>
      <w:divBdr>
        <w:top w:val="none" w:sz="0" w:space="0" w:color="auto"/>
        <w:left w:val="none" w:sz="0" w:space="0" w:color="auto"/>
        <w:bottom w:val="none" w:sz="0" w:space="0" w:color="auto"/>
        <w:right w:val="none" w:sz="0" w:space="0" w:color="auto"/>
      </w:divBdr>
    </w:div>
    <w:div w:id="1414594589">
      <w:bodyDiv w:val="1"/>
      <w:marLeft w:val="0"/>
      <w:marRight w:val="0"/>
      <w:marTop w:val="0"/>
      <w:marBottom w:val="0"/>
      <w:divBdr>
        <w:top w:val="none" w:sz="0" w:space="0" w:color="auto"/>
        <w:left w:val="none" w:sz="0" w:space="0" w:color="auto"/>
        <w:bottom w:val="none" w:sz="0" w:space="0" w:color="auto"/>
        <w:right w:val="none" w:sz="0" w:space="0" w:color="auto"/>
      </w:divBdr>
    </w:div>
    <w:div w:id="1415400734">
      <w:bodyDiv w:val="1"/>
      <w:marLeft w:val="0"/>
      <w:marRight w:val="0"/>
      <w:marTop w:val="0"/>
      <w:marBottom w:val="0"/>
      <w:divBdr>
        <w:top w:val="none" w:sz="0" w:space="0" w:color="auto"/>
        <w:left w:val="none" w:sz="0" w:space="0" w:color="auto"/>
        <w:bottom w:val="none" w:sz="0" w:space="0" w:color="auto"/>
        <w:right w:val="none" w:sz="0" w:space="0" w:color="auto"/>
      </w:divBdr>
    </w:div>
    <w:div w:id="1430200579">
      <w:bodyDiv w:val="1"/>
      <w:marLeft w:val="0"/>
      <w:marRight w:val="0"/>
      <w:marTop w:val="0"/>
      <w:marBottom w:val="0"/>
      <w:divBdr>
        <w:top w:val="none" w:sz="0" w:space="0" w:color="auto"/>
        <w:left w:val="none" w:sz="0" w:space="0" w:color="auto"/>
        <w:bottom w:val="none" w:sz="0" w:space="0" w:color="auto"/>
        <w:right w:val="none" w:sz="0" w:space="0" w:color="auto"/>
      </w:divBdr>
    </w:div>
    <w:div w:id="1518810414">
      <w:bodyDiv w:val="1"/>
      <w:marLeft w:val="0"/>
      <w:marRight w:val="0"/>
      <w:marTop w:val="0"/>
      <w:marBottom w:val="0"/>
      <w:divBdr>
        <w:top w:val="none" w:sz="0" w:space="0" w:color="auto"/>
        <w:left w:val="none" w:sz="0" w:space="0" w:color="auto"/>
        <w:bottom w:val="none" w:sz="0" w:space="0" w:color="auto"/>
        <w:right w:val="none" w:sz="0" w:space="0" w:color="auto"/>
      </w:divBdr>
    </w:div>
    <w:div w:id="1518929273">
      <w:bodyDiv w:val="1"/>
      <w:marLeft w:val="0"/>
      <w:marRight w:val="0"/>
      <w:marTop w:val="0"/>
      <w:marBottom w:val="0"/>
      <w:divBdr>
        <w:top w:val="none" w:sz="0" w:space="0" w:color="auto"/>
        <w:left w:val="none" w:sz="0" w:space="0" w:color="auto"/>
        <w:bottom w:val="none" w:sz="0" w:space="0" w:color="auto"/>
        <w:right w:val="none" w:sz="0" w:space="0" w:color="auto"/>
      </w:divBdr>
    </w:div>
    <w:div w:id="1528372668">
      <w:bodyDiv w:val="1"/>
      <w:marLeft w:val="0"/>
      <w:marRight w:val="0"/>
      <w:marTop w:val="0"/>
      <w:marBottom w:val="0"/>
      <w:divBdr>
        <w:top w:val="none" w:sz="0" w:space="0" w:color="auto"/>
        <w:left w:val="none" w:sz="0" w:space="0" w:color="auto"/>
        <w:bottom w:val="none" w:sz="0" w:space="0" w:color="auto"/>
        <w:right w:val="none" w:sz="0" w:space="0" w:color="auto"/>
      </w:divBdr>
    </w:div>
    <w:div w:id="1549880462">
      <w:bodyDiv w:val="1"/>
      <w:marLeft w:val="0"/>
      <w:marRight w:val="0"/>
      <w:marTop w:val="0"/>
      <w:marBottom w:val="0"/>
      <w:divBdr>
        <w:top w:val="none" w:sz="0" w:space="0" w:color="auto"/>
        <w:left w:val="none" w:sz="0" w:space="0" w:color="auto"/>
        <w:bottom w:val="none" w:sz="0" w:space="0" w:color="auto"/>
        <w:right w:val="none" w:sz="0" w:space="0" w:color="auto"/>
      </w:divBdr>
    </w:div>
    <w:div w:id="1558276127">
      <w:bodyDiv w:val="1"/>
      <w:marLeft w:val="0"/>
      <w:marRight w:val="0"/>
      <w:marTop w:val="0"/>
      <w:marBottom w:val="0"/>
      <w:divBdr>
        <w:top w:val="none" w:sz="0" w:space="0" w:color="auto"/>
        <w:left w:val="none" w:sz="0" w:space="0" w:color="auto"/>
        <w:bottom w:val="none" w:sz="0" w:space="0" w:color="auto"/>
        <w:right w:val="none" w:sz="0" w:space="0" w:color="auto"/>
      </w:divBdr>
    </w:div>
    <w:div w:id="1559627579">
      <w:bodyDiv w:val="1"/>
      <w:marLeft w:val="0"/>
      <w:marRight w:val="0"/>
      <w:marTop w:val="0"/>
      <w:marBottom w:val="0"/>
      <w:divBdr>
        <w:top w:val="none" w:sz="0" w:space="0" w:color="auto"/>
        <w:left w:val="none" w:sz="0" w:space="0" w:color="auto"/>
        <w:bottom w:val="none" w:sz="0" w:space="0" w:color="auto"/>
        <w:right w:val="none" w:sz="0" w:space="0" w:color="auto"/>
      </w:divBdr>
    </w:div>
    <w:div w:id="1578706303">
      <w:bodyDiv w:val="1"/>
      <w:marLeft w:val="0"/>
      <w:marRight w:val="0"/>
      <w:marTop w:val="0"/>
      <w:marBottom w:val="0"/>
      <w:divBdr>
        <w:top w:val="none" w:sz="0" w:space="0" w:color="auto"/>
        <w:left w:val="none" w:sz="0" w:space="0" w:color="auto"/>
        <w:bottom w:val="none" w:sz="0" w:space="0" w:color="auto"/>
        <w:right w:val="none" w:sz="0" w:space="0" w:color="auto"/>
      </w:divBdr>
    </w:div>
    <w:div w:id="1601058946">
      <w:bodyDiv w:val="1"/>
      <w:marLeft w:val="0"/>
      <w:marRight w:val="0"/>
      <w:marTop w:val="0"/>
      <w:marBottom w:val="0"/>
      <w:divBdr>
        <w:top w:val="none" w:sz="0" w:space="0" w:color="auto"/>
        <w:left w:val="none" w:sz="0" w:space="0" w:color="auto"/>
        <w:bottom w:val="none" w:sz="0" w:space="0" w:color="auto"/>
        <w:right w:val="none" w:sz="0" w:space="0" w:color="auto"/>
      </w:divBdr>
    </w:div>
    <w:div w:id="1682196696">
      <w:bodyDiv w:val="1"/>
      <w:marLeft w:val="0"/>
      <w:marRight w:val="0"/>
      <w:marTop w:val="0"/>
      <w:marBottom w:val="0"/>
      <w:divBdr>
        <w:top w:val="none" w:sz="0" w:space="0" w:color="auto"/>
        <w:left w:val="none" w:sz="0" w:space="0" w:color="auto"/>
        <w:bottom w:val="none" w:sz="0" w:space="0" w:color="auto"/>
        <w:right w:val="none" w:sz="0" w:space="0" w:color="auto"/>
      </w:divBdr>
    </w:div>
    <w:div w:id="1766030783">
      <w:bodyDiv w:val="1"/>
      <w:marLeft w:val="0"/>
      <w:marRight w:val="0"/>
      <w:marTop w:val="0"/>
      <w:marBottom w:val="0"/>
      <w:divBdr>
        <w:top w:val="none" w:sz="0" w:space="0" w:color="auto"/>
        <w:left w:val="none" w:sz="0" w:space="0" w:color="auto"/>
        <w:bottom w:val="none" w:sz="0" w:space="0" w:color="auto"/>
        <w:right w:val="none" w:sz="0" w:space="0" w:color="auto"/>
      </w:divBdr>
    </w:div>
    <w:div w:id="1785804502">
      <w:bodyDiv w:val="1"/>
      <w:marLeft w:val="0"/>
      <w:marRight w:val="0"/>
      <w:marTop w:val="0"/>
      <w:marBottom w:val="0"/>
      <w:divBdr>
        <w:top w:val="none" w:sz="0" w:space="0" w:color="auto"/>
        <w:left w:val="none" w:sz="0" w:space="0" w:color="auto"/>
        <w:bottom w:val="none" w:sz="0" w:space="0" w:color="auto"/>
        <w:right w:val="none" w:sz="0" w:space="0" w:color="auto"/>
      </w:divBdr>
    </w:div>
    <w:div w:id="1800033147">
      <w:bodyDiv w:val="1"/>
      <w:marLeft w:val="0"/>
      <w:marRight w:val="0"/>
      <w:marTop w:val="0"/>
      <w:marBottom w:val="0"/>
      <w:divBdr>
        <w:top w:val="none" w:sz="0" w:space="0" w:color="auto"/>
        <w:left w:val="none" w:sz="0" w:space="0" w:color="auto"/>
        <w:bottom w:val="none" w:sz="0" w:space="0" w:color="auto"/>
        <w:right w:val="none" w:sz="0" w:space="0" w:color="auto"/>
      </w:divBdr>
    </w:div>
    <w:div w:id="1811897506">
      <w:bodyDiv w:val="1"/>
      <w:marLeft w:val="0"/>
      <w:marRight w:val="0"/>
      <w:marTop w:val="0"/>
      <w:marBottom w:val="0"/>
      <w:divBdr>
        <w:top w:val="none" w:sz="0" w:space="0" w:color="auto"/>
        <w:left w:val="none" w:sz="0" w:space="0" w:color="auto"/>
        <w:bottom w:val="none" w:sz="0" w:space="0" w:color="auto"/>
        <w:right w:val="none" w:sz="0" w:space="0" w:color="auto"/>
      </w:divBdr>
    </w:div>
    <w:div w:id="1827017897">
      <w:bodyDiv w:val="1"/>
      <w:marLeft w:val="0"/>
      <w:marRight w:val="0"/>
      <w:marTop w:val="0"/>
      <w:marBottom w:val="0"/>
      <w:divBdr>
        <w:top w:val="none" w:sz="0" w:space="0" w:color="auto"/>
        <w:left w:val="none" w:sz="0" w:space="0" w:color="auto"/>
        <w:bottom w:val="none" w:sz="0" w:space="0" w:color="auto"/>
        <w:right w:val="none" w:sz="0" w:space="0" w:color="auto"/>
      </w:divBdr>
    </w:div>
    <w:div w:id="1856647887">
      <w:bodyDiv w:val="1"/>
      <w:marLeft w:val="0"/>
      <w:marRight w:val="0"/>
      <w:marTop w:val="0"/>
      <w:marBottom w:val="0"/>
      <w:divBdr>
        <w:top w:val="none" w:sz="0" w:space="0" w:color="auto"/>
        <w:left w:val="none" w:sz="0" w:space="0" w:color="auto"/>
        <w:bottom w:val="none" w:sz="0" w:space="0" w:color="auto"/>
        <w:right w:val="none" w:sz="0" w:space="0" w:color="auto"/>
      </w:divBdr>
    </w:div>
    <w:div w:id="1888640062">
      <w:bodyDiv w:val="1"/>
      <w:marLeft w:val="0"/>
      <w:marRight w:val="0"/>
      <w:marTop w:val="0"/>
      <w:marBottom w:val="0"/>
      <w:divBdr>
        <w:top w:val="none" w:sz="0" w:space="0" w:color="auto"/>
        <w:left w:val="none" w:sz="0" w:space="0" w:color="auto"/>
        <w:bottom w:val="none" w:sz="0" w:space="0" w:color="auto"/>
        <w:right w:val="none" w:sz="0" w:space="0" w:color="auto"/>
      </w:divBdr>
    </w:div>
    <w:div w:id="1907953347">
      <w:bodyDiv w:val="1"/>
      <w:marLeft w:val="0"/>
      <w:marRight w:val="0"/>
      <w:marTop w:val="0"/>
      <w:marBottom w:val="0"/>
      <w:divBdr>
        <w:top w:val="none" w:sz="0" w:space="0" w:color="auto"/>
        <w:left w:val="none" w:sz="0" w:space="0" w:color="auto"/>
        <w:bottom w:val="none" w:sz="0" w:space="0" w:color="auto"/>
        <w:right w:val="none" w:sz="0" w:space="0" w:color="auto"/>
      </w:divBdr>
    </w:div>
    <w:div w:id="1919510142">
      <w:bodyDiv w:val="1"/>
      <w:marLeft w:val="0"/>
      <w:marRight w:val="0"/>
      <w:marTop w:val="0"/>
      <w:marBottom w:val="0"/>
      <w:divBdr>
        <w:top w:val="none" w:sz="0" w:space="0" w:color="auto"/>
        <w:left w:val="none" w:sz="0" w:space="0" w:color="auto"/>
        <w:bottom w:val="none" w:sz="0" w:space="0" w:color="auto"/>
        <w:right w:val="none" w:sz="0" w:space="0" w:color="auto"/>
      </w:divBdr>
    </w:div>
    <w:div w:id="1921716156">
      <w:bodyDiv w:val="1"/>
      <w:marLeft w:val="0"/>
      <w:marRight w:val="0"/>
      <w:marTop w:val="0"/>
      <w:marBottom w:val="0"/>
      <w:divBdr>
        <w:top w:val="none" w:sz="0" w:space="0" w:color="auto"/>
        <w:left w:val="none" w:sz="0" w:space="0" w:color="auto"/>
        <w:bottom w:val="none" w:sz="0" w:space="0" w:color="auto"/>
        <w:right w:val="none" w:sz="0" w:space="0" w:color="auto"/>
      </w:divBdr>
    </w:div>
    <w:div w:id="1923030354">
      <w:bodyDiv w:val="1"/>
      <w:marLeft w:val="0"/>
      <w:marRight w:val="0"/>
      <w:marTop w:val="0"/>
      <w:marBottom w:val="0"/>
      <w:divBdr>
        <w:top w:val="none" w:sz="0" w:space="0" w:color="auto"/>
        <w:left w:val="none" w:sz="0" w:space="0" w:color="auto"/>
        <w:bottom w:val="none" w:sz="0" w:space="0" w:color="auto"/>
        <w:right w:val="none" w:sz="0" w:space="0" w:color="auto"/>
      </w:divBdr>
    </w:div>
    <w:div w:id="1928153683">
      <w:bodyDiv w:val="1"/>
      <w:marLeft w:val="0"/>
      <w:marRight w:val="0"/>
      <w:marTop w:val="0"/>
      <w:marBottom w:val="0"/>
      <w:divBdr>
        <w:top w:val="none" w:sz="0" w:space="0" w:color="auto"/>
        <w:left w:val="none" w:sz="0" w:space="0" w:color="auto"/>
        <w:bottom w:val="none" w:sz="0" w:space="0" w:color="auto"/>
        <w:right w:val="none" w:sz="0" w:space="0" w:color="auto"/>
      </w:divBdr>
    </w:div>
    <w:div w:id="1934122066">
      <w:bodyDiv w:val="1"/>
      <w:marLeft w:val="0"/>
      <w:marRight w:val="0"/>
      <w:marTop w:val="0"/>
      <w:marBottom w:val="0"/>
      <w:divBdr>
        <w:top w:val="none" w:sz="0" w:space="0" w:color="auto"/>
        <w:left w:val="none" w:sz="0" w:space="0" w:color="auto"/>
        <w:bottom w:val="none" w:sz="0" w:space="0" w:color="auto"/>
        <w:right w:val="none" w:sz="0" w:space="0" w:color="auto"/>
      </w:divBdr>
    </w:div>
    <w:div w:id="1951039209">
      <w:bodyDiv w:val="1"/>
      <w:marLeft w:val="0"/>
      <w:marRight w:val="0"/>
      <w:marTop w:val="0"/>
      <w:marBottom w:val="0"/>
      <w:divBdr>
        <w:top w:val="none" w:sz="0" w:space="0" w:color="auto"/>
        <w:left w:val="none" w:sz="0" w:space="0" w:color="auto"/>
        <w:bottom w:val="none" w:sz="0" w:space="0" w:color="auto"/>
        <w:right w:val="none" w:sz="0" w:space="0" w:color="auto"/>
      </w:divBdr>
    </w:div>
    <w:div w:id="1963729376">
      <w:bodyDiv w:val="1"/>
      <w:marLeft w:val="0"/>
      <w:marRight w:val="0"/>
      <w:marTop w:val="0"/>
      <w:marBottom w:val="0"/>
      <w:divBdr>
        <w:top w:val="none" w:sz="0" w:space="0" w:color="auto"/>
        <w:left w:val="none" w:sz="0" w:space="0" w:color="auto"/>
        <w:bottom w:val="none" w:sz="0" w:space="0" w:color="auto"/>
        <w:right w:val="none" w:sz="0" w:space="0" w:color="auto"/>
      </w:divBdr>
    </w:div>
    <w:div w:id="2018341969">
      <w:bodyDiv w:val="1"/>
      <w:marLeft w:val="0"/>
      <w:marRight w:val="0"/>
      <w:marTop w:val="0"/>
      <w:marBottom w:val="0"/>
      <w:divBdr>
        <w:top w:val="none" w:sz="0" w:space="0" w:color="auto"/>
        <w:left w:val="none" w:sz="0" w:space="0" w:color="auto"/>
        <w:bottom w:val="none" w:sz="0" w:space="0" w:color="auto"/>
        <w:right w:val="none" w:sz="0" w:space="0" w:color="auto"/>
      </w:divBdr>
    </w:div>
    <w:div w:id="2072073058">
      <w:bodyDiv w:val="1"/>
      <w:marLeft w:val="0"/>
      <w:marRight w:val="0"/>
      <w:marTop w:val="0"/>
      <w:marBottom w:val="0"/>
      <w:divBdr>
        <w:top w:val="none" w:sz="0" w:space="0" w:color="auto"/>
        <w:left w:val="none" w:sz="0" w:space="0" w:color="auto"/>
        <w:bottom w:val="none" w:sz="0" w:space="0" w:color="auto"/>
        <w:right w:val="none" w:sz="0" w:space="0" w:color="auto"/>
      </w:divBdr>
    </w:div>
    <w:div w:id="2117285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1.health.gov.au/internet/main/publishing.nsf/Content/ohp-syphilis.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1.health.gov.au/internet/main/publishing.nsf/Content/ohp-syphilis.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B2D0CA-EA40-4FDA-B4BA-6F70932584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484</Words>
  <Characters>3017</Characters>
  <Application>Microsoft Office Word</Application>
  <DocSecurity>0</DocSecurity>
  <Lines>52</Lines>
  <Paragraphs>24</Paragraphs>
  <ScaleCrop>false</ScaleCrop>
  <HeadingPairs>
    <vt:vector size="2" baseType="variant">
      <vt:variant>
        <vt:lpstr>Title</vt:lpstr>
      </vt:variant>
      <vt:variant>
        <vt:i4>1</vt:i4>
      </vt:variant>
    </vt:vector>
  </HeadingPairs>
  <TitlesOfParts>
    <vt:vector size="1" baseType="lpstr">
      <vt:lpstr>National Communicable Diseases Surveillance Report</vt:lpstr>
    </vt:vector>
  </TitlesOfParts>
  <Company/>
  <LinksUpToDate>false</LinksUpToDate>
  <CharactersWithSpaces>3477</CharactersWithSpaces>
  <SharedDoc>false</SharedDoc>
  <HLinks>
    <vt:vector size="6" baseType="variant">
      <vt:variant>
        <vt:i4>3211361</vt:i4>
      </vt:variant>
      <vt:variant>
        <vt:i4>0</vt:i4>
      </vt:variant>
      <vt:variant>
        <vt:i4>0</vt:i4>
      </vt:variant>
      <vt:variant>
        <vt:i4>5</vt:i4>
      </vt:variant>
      <vt:variant>
        <vt:lpwstr>http://www.health.gov.au/cdnareport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Communicable Diseases Surveillance Report 22 August 2022 to 04 September 2022</dc:title>
  <dc:subject>Communicable diseases; National Notifiable Diseases Surveillance System (NNDSS)</dc:subject>
  <dc:creator>Australian Government Department of Health and Aged Care</dc:creator>
  <cp:keywords>Communicable diseases; National Notifiable Diseases Surveillance System (NNDSS)</cp:keywords>
  <cp:lastModifiedBy>Australian Government Department of Health and Aged </cp:lastModifiedBy>
  <cp:revision>3</cp:revision>
  <cp:lastPrinted>2021-04-13T23:49:00Z</cp:lastPrinted>
  <dcterms:created xsi:type="dcterms:W3CDTF">2022-09-23T03:51:00Z</dcterms:created>
  <dcterms:modified xsi:type="dcterms:W3CDTF">2022-09-23T03:53:00Z</dcterms:modified>
</cp:coreProperties>
</file>