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106CA" w14:textId="77777777" w:rsidR="009B0478" w:rsidRDefault="009B0478" w:rsidP="009B0478">
      <w:pPr>
        <w:pStyle w:val="Subtitle"/>
        <w:rPr>
          <w:sz w:val="32"/>
          <w:szCs w:val="20"/>
        </w:rPr>
      </w:pPr>
      <w:r w:rsidRPr="00710227">
        <w:rPr>
          <w:b/>
          <w:iCs w:val="0"/>
          <w:spacing w:val="0"/>
          <w:kern w:val="28"/>
          <w:sz w:val="48"/>
          <w:szCs w:val="52"/>
        </w:rPr>
        <w:t>Outbreaks of Acute Respiratory I</w:t>
      </w:r>
      <w:r>
        <w:rPr>
          <w:b/>
          <w:iCs w:val="0"/>
          <w:spacing w:val="0"/>
          <w:kern w:val="28"/>
          <w:sz w:val="48"/>
          <w:szCs w:val="52"/>
        </w:rPr>
        <w:t>nfection</w:t>
      </w:r>
      <w:r w:rsidRPr="00710227">
        <w:rPr>
          <w:b/>
          <w:iCs w:val="0"/>
          <w:spacing w:val="0"/>
          <w:kern w:val="28"/>
          <w:sz w:val="48"/>
          <w:szCs w:val="52"/>
        </w:rPr>
        <w:t xml:space="preserve"> in Residential Care Facilities</w:t>
      </w:r>
      <w:r>
        <w:t xml:space="preserve"> </w:t>
      </w:r>
      <w:r w:rsidRPr="00C34705">
        <w:rPr>
          <w:sz w:val="32"/>
          <w:szCs w:val="20"/>
        </w:rPr>
        <w:t>Communicable Diseases Network Australia</w:t>
      </w:r>
    </w:p>
    <w:p w14:paraId="5A3E51CB" w14:textId="77777777" w:rsidR="009B0478" w:rsidRDefault="009B0478" w:rsidP="009B0478">
      <w:pPr>
        <w:pStyle w:val="Subtitle"/>
        <w:sectPr w:rsidR="009B0478" w:rsidSect="00CA79CF">
          <w:headerReference w:type="default" r:id="rId11"/>
          <w:headerReference w:type="first" r:id="rId12"/>
          <w:type w:val="continuous"/>
          <w:pgSz w:w="11906" w:h="16838"/>
          <w:pgMar w:top="1701" w:right="1418" w:bottom="1418" w:left="1418" w:header="709" w:footer="709" w:gutter="0"/>
          <w:cols w:space="708"/>
          <w:titlePg/>
          <w:docGrid w:linePitch="360"/>
        </w:sectPr>
      </w:pPr>
      <w:bookmarkStart w:id="0" w:name="_Hlk106182631"/>
      <w:r w:rsidRPr="00710227">
        <w:rPr>
          <w:sz w:val="32"/>
          <w:szCs w:val="20"/>
        </w:rPr>
        <w:t>National Guidelines for the Prevention, Control and Public Health Management of Outbreaks of Acute Respiratory I</w:t>
      </w:r>
      <w:r>
        <w:rPr>
          <w:sz w:val="32"/>
          <w:szCs w:val="20"/>
        </w:rPr>
        <w:t>nfection</w:t>
      </w:r>
      <w:r w:rsidRPr="00710227">
        <w:rPr>
          <w:sz w:val="32"/>
          <w:szCs w:val="20"/>
        </w:rPr>
        <w:t xml:space="preserve"> (including COVID-19 and Influenza) in </w:t>
      </w:r>
      <w:r w:rsidRPr="00B90293">
        <w:rPr>
          <w:sz w:val="32"/>
          <w:szCs w:val="32"/>
        </w:rPr>
        <w:t>Residential Care Facilities</w:t>
      </w:r>
      <w:bookmarkEnd w:id="0"/>
    </w:p>
    <w:p w14:paraId="1125B2CB" w14:textId="2B4FBC11" w:rsidR="00CA5DA6" w:rsidRPr="00CA5DA6" w:rsidRDefault="00CA5DA6" w:rsidP="00710227">
      <w:pPr>
        <w:spacing w:after="120"/>
        <w:rPr>
          <w:b/>
          <w:bCs/>
          <w:szCs w:val="22"/>
        </w:rPr>
      </w:pPr>
      <w:r w:rsidRPr="00CA5DA6">
        <w:rPr>
          <w:b/>
          <w:bCs/>
          <w:szCs w:val="22"/>
        </w:rPr>
        <w:lastRenderedPageBreak/>
        <w:t>Disclaimer</w:t>
      </w:r>
    </w:p>
    <w:p w14:paraId="2BE22A63" w14:textId="5CE70718" w:rsidR="00710227" w:rsidRPr="00710227" w:rsidRDefault="00710227" w:rsidP="00710227">
      <w:pPr>
        <w:spacing w:after="120"/>
        <w:rPr>
          <w:szCs w:val="22"/>
        </w:rPr>
      </w:pPr>
      <w:r w:rsidRPr="00710227">
        <w:rPr>
          <w:szCs w:val="22"/>
        </w:rPr>
        <w:t>The Communicable Diseases Network Australia (CDNA) has developed this guideline in consultation with jurisdictions and the aged care sector</w:t>
      </w:r>
      <w:r w:rsidRPr="0076754C">
        <w:rPr>
          <w:szCs w:val="22"/>
        </w:rPr>
        <w:t xml:space="preserve">. The </w:t>
      </w:r>
      <w:r w:rsidR="0076754C" w:rsidRPr="0076754C">
        <w:rPr>
          <w:szCs w:val="22"/>
        </w:rPr>
        <w:t>Australian Health Protection Principal Committee (</w:t>
      </w:r>
      <w:r w:rsidRPr="0076754C">
        <w:rPr>
          <w:szCs w:val="22"/>
        </w:rPr>
        <w:t>AHPPC</w:t>
      </w:r>
      <w:r w:rsidR="0076754C" w:rsidRPr="0076754C">
        <w:rPr>
          <w:szCs w:val="22"/>
        </w:rPr>
        <w:t>)</w:t>
      </w:r>
      <w:r w:rsidRPr="0076754C">
        <w:rPr>
          <w:szCs w:val="22"/>
        </w:rPr>
        <w:t xml:space="preserve"> has </w:t>
      </w:r>
      <w:r w:rsidR="00DE6820" w:rsidRPr="0076754C">
        <w:rPr>
          <w:szCs w:val="22"/>
        </w:rPr>
        <w:t>endorsed</w:t>
      </w:r>
      <w:r w:rsidRPr="0076754C">
        <w:rPr>
          <w:szCs w:val="22"/>
        </w:rPr>
        <w:t xml:space="preserve"> this guidance</w:t>
      </w:r>
      <w:r w:rsidR="00AB742A" w:rsidRPr="0076754C">
        <w:rPr>
          <w:szCs w:val="22"/>
        </w:rPr>
        <w:t xml:space="preserve"> </w:t>
      </w:r>
      <w:r w:rsidR="0076754C" w:rsidRPr="0076754C">
        <w:rPr>
          <w:szCs w:val="22"/>
        </w:rPr>
        <w:t>on 23 September 2022</w:t>
      </w:r>
      <w:r w:rsidRPr="0076754C">
        <w:rPr>
          <w:szCs w:val="22"/>
        </w:rPr>
        <w:t>.</w:t>
      </w:r>
      <w:r w:rsidRPr="00710227">
        <w:rPr>
          <w:szCs w:val="22"/>
        </w:rPr>
        <w:t xml:space="preserve"> Where guidance differs from state and territory policies, residential care facilities (RCF) should follow local state or territory requirements.</w:t>
      </w:r>
    </w:p>
    <w:p w14:paraId="1E80F58D" w14:textId="747FB941" w:rsidR="00710227" w:rsidRPr="00710227" w:rsidRDefault="00710227" w:rsidP="00710227">
      <w:pPr>
        <w:spacing w:after="120"/>
        <w:rPr>
          <w:szCs w:val="22"/>
        </w:rPr>
      </w:pPr>
      <w:r w:rsidRPr="00710227">
        <w:rPr>
          <w:szCs w:val="22"/>
        </w:rPr>
        <w:t xml:space="preserve">This update recognises the need for providers to move to a risk-based approach for the early identification of acute respiratory </w:t>
      </w:r>
      <w:r w:rsidR="00E31FE3">
        <w:rPr>
          <w:szCs w:val="22"/>
        </w:rPr>
        <w:t>infection</w:t>
      </w:r>
      <w:r w:rsidRPr="00710227">
        <w:rPr>
          <w:szCs w:val="22"/>
        </w:rPr>
        <w:t xml:space="preserve"> and management of outbreaks, supported by specific resources and tools provided by jurisdictions and guidance from their local public health unit. This guidance proposes to support RCFs to take a more proportionate approach in managing the risk of respiratory </w:t>
      </w:r>
      <w:r w:rsidR="00E31FE3">
        <w:rPr>
          <w:szCs w:val="22"/>
        </w:rPr>
        <w:t>infection</w:t>
      </w:r>
      <w:r w:rsidRPr="00710227">
        <w:rPr>
          <w:szCs w:val="22"/>
        </w:rPr>
        <w:t xml:space="preserve"> with consideration of resident’s wellbeing, recognising the detrimental effects on residents, of social isolation and inactivity.</w:t>
      </w:r>
    </w:p>
    <w:p w14:paraId="5458F70A" w14:textId="31FFC043" w:rsidR="00710227" w:rsidRPr="00710227" w:rsidRDefault="00710227" w:rsidP="00710227">
      <w:pPr>
        <w:spacing w:after="120"/>
        <w:rPr>
          <w:szCs w:val="22"/>
        </w:rPr>
      </w:pPr>
      <w:r w:rsidRPr="00710227">
        <w:rPr>
          <w:szCs w:val="22"/>
        </w:rPr>
        <w:t>This document captures the knowledge of experienced professionals and the sector. It provides guidance on good practice, based on evidence available at the time of completion. It is intended to provide nationally consistent risk and principles-based guidance</w:t>
      </w:r>
      <w:r w:rsidR="00FB1B6C">
        <w:rPr>
          <w:szCs w:val="22"/>
        </w:rPr>
        <w:t>.</w:t>
      </w:r>
    </w:p>
    <w:p w14:paraId="740A2C25" w14:textId="77777777" w:rsidR="00710227" w:rsidRPr="00710227" w:rsidRDefault="00710227" w:rsidP="00710227">
      <w:pPr>
        <w:spacing w:after="120"/>
        <w:rPr>
          <w:szCs w:val="22"/>
        </w:rPr>
      </w:pPr>
      <w:r w:rsidRPr="00710227">
        <w:rPr>
          <w:szCs w:val="22"/>
        </w:rPr>
        <w:t xml:space="preserve">This guideline incorporates information adapted from: </w:t>
      </w:r>
    </w:p>
    <w:p w14:paraId="454C8EC3" w14:textId="77777777" w:rsidR="00710227" w:rsidRPr="00710227" w:rsidRDefault="00710227" w:rsidP="00710227">
      <w:pPr>
        <w:pStyle w:val="ListBullet"/>
        <w:numPr>
          <w:ilvl w:val="0"/>
          <w:numId w:val="20"/>
        </w:numPr>
        <w:spacing w:after="120"/>
        <w:rPr>
          <w:sz w:val="22"/>
          <w:szCs w:val="22"/>
        </w:rPr>
      </w:pPr>
      <w:r w:rsidRPr="00710227">
        <w:rPr>
          <w:sz w:val="22"/>
          <w:szCs w:val="22"/>
        </w:rPr>
        <w:t xml:space="preserve">Australian state and territory guidelines for outbreak management in RCFs </w:t>
      </w:r>
    </w:p>
    <w:p w14:paraId="250DAA7B" w14:textId="3EBE64AE" w:rsidR="00710227" w:rsidRPr="00710227" w:rsidRDefault="00710227" w:rsidP="00710227">
      <w:pPr>
        <w:pStyle w:val="ListBullet"/>
        <w:numPr>
          <w:ilvl w:val="0"/>
          <w:numId w:val="20"/>
        </w:numPr>
        <w:spacing w:after="120"/>
        <w:rPr>
          <w:sz w:val="22"/>
          <w:szCs w:val="22"/>
        </w:rPr>
      </w:pPr>
      <w:r w:rsidRPr="00710227">
        <w:rPr>
          <w:sz w:val="22"/>
          <w:szCs w:val="22"/>
        </w:rPr>
        <w:t xml:space="preserve">documents and guidelines from the Australian Government </w:t>
      </w:r>
      <w:r w:rsidR="00AB742A">
        <w:rPr>
          <w:sz w:val="22"/>
          <w:szCs w:val="22"/>
        </w:rPr>
        <w:t>Department of Health and Aged Care</w:t>
      </w:r>
      <w:r w:rsidRPr="00710227">
        <w:rPr>
          <w:sz w:val="22"/>
          <w:szCs w:val="22"/>
        </w:rPr>
        <w:t xml:space="preserve"> (herein called the Commonwealth) and other Australian health agencies</w:t>
      </w:r>
    </w:p>
    <w:p w14:paraId="1851E9C8" w14:textId="77777777" w:rsidR="00710227" w:rsidRPr="00710227" w:rsidRDefault="00710227" w:rsidP="00710227">
      <w:pPr>
        <w:pStyle w:val="ListBullet"/>
        <w:numPr>
          <w:ilvl w:val="0"/>
          <w:numId w:val="20"/>
        </w:numPr>
        <w:spacing w:after="120"/>
        <w:rPr>
          <w:i/>
          <w:iCs/>
          <w:sz w:val="22"/>
          <w:szCs w:val="22"/>
        </w:rPr>
      </w:pPr>
      <w:r w:rsidRPr="00710227">
        <w:rPr>
          <w:sz w:val="22"/>
          <w:szCs w:val="22"/>
        </w:rPr>
        <w:t xml:space="preserve">international health authorities, including the World Health Organization, the </w:t>
      </w:r>
      <w:proofErr w:type="spellStart"/>
      <w:r w:rsidRPr="00710227">
        <w:rPr>
          <w:sz w:val="22"/>
          <w:szCs w:val="22"/>
        </w:rPr>
        <w:t>Centers</w:t>
      </w:r>
      <w:proofErr w:type="spellEnd"/>
      <w:r w:rsidRPr="00710227">
        <w:rPr>
          <w:sz w:val="22"/>
          <w:szCs w:val="22"/>
        </w:rPr>
        <w:t xml:space="preserve"> for Disease Control and Prevention (USA), and the Public Health Agency of Canada</w:t>
      </w:r>
      <w:r w:rsidRPr="00710227">
        <w:rPr>
          <w:i/>
          <w:iCs/>
          <w:sz w:val="22"/>
          <w:szCs w:val="22"/>
        </w:rPr>
        <w:t xml:space="preserve">. </w:t>
      </w:r>
    </w:p>
    <w:p w14:paraId="198260DF" w14:textId="405827A6" w:rsidR="00710227" w:rsidRPr="00710227" w:rsidRDefault="00766252" w:rsidP="00710227">
      <w:pPr>
        <w:spacing w:after="120"/>
        <w:rPr>
          <w:szCs w:val="22"/>
        </w:rPr>
      </w:pPr>
      <w:r>
        <w:rPr>
          <w:szCs w:val="22"/>
        </w:rPr>
        <w:t>CDNA acknowledges</w:t>
      </w:r>
      <w:r w:rsidR="00710227" w:rsidRPr="00710227">
        <w:rPr>
          <w:szCs w:val="22"/>
        </w:rPr>
        <w:t xml:space="preserve"> NSW Health, Tasmania Department of Health and ACT Health for the provision of their jurisdictional guidance to direct the development of this work. </w:t>
      </w:r>
    </w:p>
    <w:p w14:paraId="39CAFBDE" w14:textId="625246CF" w:rsidR="00710227" w:rsidRPr="00710227" w:rsidRDefault="00710227" w:rsidP="00710227">
      <w:pPr>
        <w:spacing w:after="120"/>
        <w:rPr>
          <w:szCs w:val="22"/>
        </w:rPr>
      </w:pPr>
      <w:r w:rsidRPr="00710227">
        <w:rPr>
          <w:szCs w:val="22"/>
        </w:rPr>
        <w:t xml:space="preserve">This guideline can assist the following groups in providing best practice information on preventing and managing Acute Respiratory </w:t>
      </w:r>
      <w:r w:rsidR="00E31FE3">
        <w:rPr>
          <w:szCs w:val="22"/>
        </w:rPr>
        <w:t>Infection</w:t>
      </w:r>
      <w:r w:rsidRPr="00710227">
        <w:rPr>
          <w:szCs w:val="22"/>
        </w:rPr>
        <w:t xml:space="preserve"> (ARI) outbreaks in RCF:</w:t>
      </w:r>
    </w:p>
    <w:p w14:paraId="3B2D379C" w14:textId="77777777" w:rsidR="00710227" w:rsidRPr="00710227" w:rsidRDefault="00710227" w:rsidP="00710227">
      <w:pPr>
        <w:pStyle w:val="ListBullet"/>
        <w:numPr>
          <w:ilvl w:val="0"/>
          <w:numId w:val="21"/>
        </w:numPr>
        <w:spacing w:after="120"/>
        <w:rPr>
          <w:sz w:val="22"/>
          <w:szCs w:val="22"/>
        </w:rPr>
      </w:pPr>
      <w:r w:rsidRPr="00710227">
        <w:rPr>
          <w:sz w:val="22"/>
          <w:szCs w:val="22"/>
        </w:rPr>
        <w:t xml:space="preserve">administrators of facilities </w:t>
      </w:r>
    </w:p>
    <w:p w14:paraId="50BB2BD8" w14:textId="77777777" w:rsidR="00710227" w:rsidRPr="00710227" w:rsidRDefault="00710227" w:rsidP="00710227">
      <w:pPr>
        <w:pStyle w:val="ListBullet"/>
        <w:numPr>
          <w:ilvl w:val="0"/>
          <w:numId w:val="21"/>
        </w:numPr>
        <w:spacing w:after="120"/>
        <w:rPr>
          <w:sz w:val="22"/>
          <w:szCs w:val="22"/>
        </w:rPr>
      </w:pPr>
      <w:r w:rsidRPr="00710227">
        <w:rPr>
          <w:sz w:val="22"/>
          <w:szCs w:val="22"/>
        </w:rPr>
        <w:t xml:space="preserve">staff of facilities </w:t>
      </w:r>
    </w:p>
    <w:p w14:paraId="378DE4F2" w14:textId="77777777" w:rsidR="00710227" w:rsidRPr="00710227" w:rsidRDefault="00710227" w:rsidP="00710227">
      <w:pPr>
        <w:pStyle w:val="ListBullet"/>
        <w:numPr>
          <w:ilvl w:val="0"/>
          <w:numId w:val="21"/>
        </w:numPr>
        <w:spacing w:after="120"/>
        <w:rPr>
          <w:sz w:val="22"/>
          <w:szCs w:val="22"/>
        </w:rPr>
      </w:pPr>
      <w:r w:rsidRPr="00710227">
        <w:rPr>
          <w:sz w:val="22"/>
          <w:szCs w:val="22"/>
        </w:rPr>
        <w:t>health and aged care workers</w:t>
      </w:r>
    </w:p>
    <w:p w14:paraId="5994EBD5" w14:textId="77777777" w:rsidR="00710227" w:rsidRPr="00710227" w:rsidRDefault="00710227" w:rsidP="00710227">
      <w:pPr>
        <w:pStyle w:val="ListBullet"/>
        <w:numPr>
          <w:ilvl w:val="0"/>
          <w:numId w:val="21"/>
        </w:numPr>
        <w:spacing w:after="120"/>
        <w:rPr>
          <w:sz w:val="22"/>
          <w:szCs w:val="22"/>
        </w:rPr>
      </w:pPr>
      <w:r w:rsidRPr="00710227">
        <w:rPr>
          <w:sz w:val="22"/>
          <w:szCs w:val="22"/>
        </w:rPr>
        <w:t>public health authorities.</w:t>
      </w:r>
    </w:p>
    <w:p w14:paraId="41283501" w14:textId="77777777" w:rsidR="00710227" w:rsidRPr="00710227" w:rsidRDefault="00710227" w:rsidP="00710227">
      <w:pPr>
        <w:spacing w:after="120"/>
        <w:rPr>
          <w:i/>
          <w:iCs/>
          <w:szCs w:val="22"/>
        </w:rPr>
      </w:pPr>
      <w:r w:rsidRPr="00710227">
        <w:rPr>
          <w:szCs w:val="22"/>
        </w:rPr>
        <w:t>Readers should not rely solely on the information contained within this guideline and should use clinical judgement and discretion while following these guidelines. The information within does not replace advice from other relevant sources including more detailed guidance from jurisdictions and/or advice from a health professional</w:t>
      </w:r>
      <w:r w:rsidRPr="00710227">
        <w:rPr>
          <w:i/>
          <w:iCs/>
          <w:szCs w:val="22"/>
        </w:rPr>
        <w:t xml:space="preserve">. </w:t>
      </w:r>
    </w:p>
    <w:p w14:paraId="3E862D0C" w14:textId="417E7E23" w:rsidR="00710227" w:rsidRPr="00710227" w:rsidRDefault="00710227" w:rsidP="00710227">
      <w:pPr>
        <w:spacing w:after="120"/>
        <w:rPr>
          <w:szCs w:val="22"/>
        </w:rPr>
      </w:pPr>
      <w:r w:rsidRPr="00710227">
        <w:rPr>
          <w:szCs w:val="22"/>
        </w:rPr>
        <w:t xml:space="preserve">RCFs should read these guidelines in conjunction with the </w:t>
      </w:r>
      <w:hyperlink r:id="rId13" w:history="1">
        <w:r w:rsidRPr="00710227">
          <w:rPr>
            <w:rStyle w:val="Hyperlink"/>
            <w:szCs w:val="22"/>
          </w:rPr>
          <w:t xml:space="preserve">Australian Guidelines for the Prevention and Control of Infection </w:t>
        </w:r>
        <w:r w:rsidR="00FB1B6C">
          <w:rPr>
            <w:rStyle w:val="Hyperlink"/>
            <w:szCs w:val="22"/>
          </w:rPr>
          <w:t>in</w:t>
        </w:r>
        <w:r w:rsidR="00FB1B6C" w:rsidRPr="00710227">
          <w:rPr>
            <w:rStyle w:val="Hyperlink"/>
            <w:szCs w:val="22"/>
          </w:rPr>
          <w:t xml:space="preserve"> </w:t>
        </w:r>
        <w:r w:rsidRPr="00710227">
          <w:rPr>
            <w:rStyle w:val="Hyperlink"/>
            <w:szCs w:val="22"/>
          </w:rPr>
          <w:t>Healthcare (2021)</w:t>
        </w:r>
      </w:hyperlink>
      <w:r w:rsidRPr="00710227">
        <w:rPr>
          <w:szCs w:val="22"/>
        </w:rPr>
        <w:t>. This guidance is not meant to be exhaustive but instead aims to supplement more detailed guidance available at a state, territory, and institutional level.</w:t>
      </w:r>
    </w:p>
    <w:p w14:paraId="3C7AFC5A" w14:textId="77777777" w:rsidR="00710227" w:rsidRDefault="00710227" w:rsidP="00710227">
      <w:pPr>
        <w:spacing w:after="120"/>
        <w:rPr>
          <w:i/>
          <w:iCs/>
        </w:rPr>
      </w:pPr>
      <w:r w:rsidRPr="00710227">
        <w:rPr>
          <w:szCs w:val="22"/>
        </w:rPr>
        <w:t>While every effort has been made to ensure the accuracy and completeness of the contents of the guideline at the time of publication, members of CDNA and AHPPC, and the Commonwealth do not warrant or represent that the information in the guideline is accurate, current, or complete. CDNA, AHPPC and the Commonwealth do not accept any legal liability or responsibility for any loss, damages, costs, or expenses incurred</w:t>
      </w:r>
      <w:r>
        <w:t xml:space="preserve"> </w:t>
      </w:r>
      <w:proofErr w:type="gramStart"/>
      <w:r>
        <w:t>by the use of</w:t>
      </w:r>
      <w:proofErr w:type="gramEnd"/>
      <w:r>
        <w:t>, reliance on, or interpretation of, the information in the guideline</w:t>
      </w:r>
      <w:r>
        <w:rPr>
          <w:i/>
          <w:iCs/>
        </w:rPr>
        <w:t>.</w:t>
      </w:r>
    </w:p>
    <w:p w14:paraId="7214C616" w14:textId="77777777" w:rsidR="0059420E" w:rsidRDefault="00710227">
      <w:pPr>
        <w:rPr>
          <w:lang w:val="en-US"/>
        </w:rPr>
      </w:pPr>
      <w:r>
        <w:rPr>
          <w:lang w:val="en-US"/>
        </w:rPr>
        <w:br w:type="page"/>
      </w:r>
    </w:p>
    <w:tbl>
      <w:tblPr>
        <w:tblStyle w:val="DepartmentofHealthtable"/>
        <w:tblpPr w:leftFromText="180" w:rightFromText="180" w:vertAnchor="text" w:horzAnchor="margin" w:tblpX="112" w:tblpY="73"/>
        <w:tblW w:w="4890" w:type="pct"/>
        <w:tblLook w:val="01E0" w:firstRow="1" w:lastRow="1" w:firstColumn="1" w:lastColumn="1" w:noHBand="0" w:noVBand="0"/>
        <w:tblCaption w:val="Revision History"/>
        <w:tblDescription w:val="Version 4.0, dated 15/03/21, Revision, Incorporation of lessons learned from outbreaks in 2020, Endorsed by CDNA&#10;"/>
      </w:tblPr>
      <w:tblGrid>
        <w:gridCol w:w="1133"/>
        <w:gridCol w:w="1276"/>
        <w:gridCol w:w="4962"/>
        <w:gridCol w:w="1499"/>
      </w:tblGrid>
      <w:tr w:rsidR="0059420E" w:rsidRPr="00B810A7" w14:paraId="1E3610CC" w14:textId="77777777" w:rsidTr="006D1C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pct"/>
          </w:tcPr>
          <w:p w14:paraId="0E39CB49" w14:textId="77777777" w:rsidR="0059420E" w:rsidRPr="004D2E28" w:rsidRDefault="0059420E" w:rsidP="006D1C6D">
            <w:pPr>
              <w:rPr>
                <w:rFonts w:eastAsiaTheme="majorEastAsia"/>
              </w:rPr>
            </w:pPr>
            <w:r w:rsidRPr="004D2E28">
              <w:rPr>
                <w:rFonts w:eastAsiaTheme="majorEastAsia"/>
              </w:rPr>
              <w:lastRenderedPageBreak/>
              <w:t>Revision history</w:t>
            </w:r>
          </w:p>
        </w:tc>
        <w:tc>
          <w:tcPr>
            <w:tcW w:w="719" w:type="pct"/>
          </w:tcPr>
          <w:p w14:paraId="5A386E29" w14:textId="77777777" w:rsidR="0059420E" w:rsidRPr="00B810A7" w:rsidRDefault="0059420E" w:rsidP="006D1C6D">
            <w:pPr>
              <w:spacing w:before="60" w:after="60"/>
              <w:cnfStyle w:val="100000000000" w:firstRow="1" w:lastRow="0" w:firstColumn="0" w:lastColumn="0" w:oddVBand="0" w:evenVBand="0" w:oddHBand="0" w:evenHBand="0" w:firstRowFirstColumn="0" w:firstRowLastColumn="0" w:lastRowFirstColumn="0" w:lastRowLastColumn="0"/>
              <w:rPr>
                <w:rStyle w:val="IntenseReference"/>
                <w:rFonts w:eastAsiaTheme="majorEastAsia" w:cs="Arial"/>
                <w:i w:val="0"/>
                <w:sz w:val="20"/>
                <w:szCs w:val="20"/>
              </w:rPr>
            </w:pPr>
          </w:p>
        </w:tc>
        <w:tc>
          <w:tcPr>
            <w:tcW w:w="2797" w:type="pct"/>
          </w:tcPr>
          <w:p w14:paraId="41E6EF0A" w14:textId="77777777" w:rsidR="0059420E" w:rsidRPr="00B810A7" w:rsidRDefault="0059420E" w:rsidP="006D1C6D">
            <w:pPr>
              <w:spacing w:before="60" w:after="60"/>
              <w:cnfStyle w:val="100000000000" w:firstRow="1" w:lastRow="0" w:firstColumn="0" w:lastColumn="0" w:oddVBand="0" w:evenVBand="0" w:oddHBand="0" w:evenHBand="0" w:firstRowFirstColumn="0" w:firstRowLastColumn="0" w:lastRowFirstColumn="0" w:lastRowLastColumn="0"/>
              <w:rPr>
                <w:rStyle w:val="IntenseReference"/>
                <w:rFonts w:eastAsiaTheme="majorEastAsia" w:cs="Arial"/>
                <w:i w:val="0"/>
                <w:sz w:val="20"/>
                <w:szCs w:val="20"/>
              </w:rPr>
            </w:pPr>
          </w:p>
        </w:tc>
        <w:tc>
          <w:tcPr>
            <w:tcW w:w="845" w:type="pct"/>
          </w:tcPr>
          <w:p w14:paraId="536D2BCC" w14:textId="77777777" w:rsidR="0059420E" w:rsidRPr="00B810A7" w:rsidRDefault="0059420E" w:rsidP="006D1C6D">
            <w:pPr>
              <w:spacing w:before="60" w:after="60"/>
              <w:cnfStyle w:val="100000000000" w:firstRow="1" w:lastRow="0" w:firstColumn="0" w:lastColumn="0" w:oddVBand="0" w:evenVBand="0" w:oddHBand="0" w:evenHBand="0" w:firstRowFirstColumn="0" w:firstRowLastColumn="0" w:lastRowFirstColumn="0" w:lastRowLastColumn="0"/>
              <w:rPr>
                <w:rStyle w:val="IntenseReference"/>
                <w:rFonts w:eastAsiaTheme="majorEastAsia" w:cs="Arial"/>
                <w:i w:val="0"/>
                <w:sz w:val="20"/>
                <w:szCs w:val="20"/>
              </w:rPr>
            </w:pPr>
          </w:p>
        </w:tc>
      </w:tr>
      <w:tr w:rsidR="0059420E" w:rsidRPr="00B810A7" w14:paraId="38C6AE6A" w14:textId="77777777" w:rsidTr="006D1C6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39" w:type="pct"/>
          </w:tcPr>
          <w:p w14:paraId="1B2F13DD" w14:textId="77777777" w:rsidR="0059420E" w:rsidRPr="00E20D7F" w:rsidRDefault="0059420E" w:rsidP="006D1C6D">
            <w:pPr>
              <w:rPr>
                <w:rFonts w:eastAsiaTheme="majorEastAsia"/>
              </w:rPr>
            </w:pPr>
            <w:r w:rsidRPr="00E20D7F">
              <w:rPr>
                <w:rFonts w:eastAsiaTheme="majorEastAsia"/>
              </w:rPr>
              <w:t>Version</w:t>
            </w:r>
          </w:p>
        </w:tc>
        <w:tc>
          <w:tcPr>
            <w:tcW w:w="719" w:type="pct"/>
          </w:tcPr>
          <w:p w14:paraId="7819D023" w14:textId="77777777" w:rsidR="0059420E" w:rsidRPr="00E20D7F" w:rsidRDefault="0059420E" w:rsidP="006D1C6D">
            <w:pPr>
              <w:cnfStyle w:val="000000100000" w:firstRow="0" w:lastRow="0" w:firstColumn="0" w:lastColumn="0" w:oddVBand="0" w:evenVBand="0" w:oddHBand="1" w:evenHBand="0" w:firstRowFirstColumn="0" w:firstRowLastColumn="0" w:lastRowFirstColumn="0" w:lastRowLastColumn="0"/>
              <w:rPr>
                <w:rFonts w:eastAsiaTheme="majorEastAsia"/>
              </w:rPr>
            </w:pPr>
            <w:r w:rsidRPr="00E20D7F">
              <w:rPr>
                <w:rFonts w:eastAsiaTheme="majorEastAsia"/>
              </w:rPr>
              <w:t>Date</w:t>
            </w:r>
          </w:p>
        </w:tc>
        <w:tc>
          <w:tcPr>
            <w:tcW w:w="2797" w:type="pct"/>
          </w:tcPr>
          <w:p w14:paraId="1152BA2A" w14:textId="77777777" w:rsidR="0059420E" w:rsidRPr="00E20D7F" w:rsidRDefault="0059420E" w:rsidP="006D1C6D">
            <w:pPr>
              <w:cnfStyle w:val="000000100000" w:firstRow="0" w:lastRow="0" w:firstColumn="0" w:lastColumn="0" w:oddVBand="0" w:evenVBand="0" w:oddHBand="1" w:evenHBand="0" w:firstRowFirstColumn="0" w:firstRowLastColumn="0" w:lastRowFirstColumn="0" w:lastRowLastColumn="0"/>
              <w:rPr>
                <w:rFonts w:eastAsiaTheme="majorEastAsia"/>
              </w:rPr>
            </w:pPr>
            <w:r w:rsidRPr="00E20D7F">
              <w:rPr>
                <w:rFonts w:eastAsiaTheme="majorEastAsia"/>
              </w:rPr>
              <w:t>Reason / Changes</w:t>
            </w:r>
          </w:p>
        </w:tc>
        <w:tc>
          <w:tcPr>
            <w:tcW w:w="845" w:type="pct"/>
          </w:tcPr>
          <w:p w14:paraId="2DBCA304" w14:textId="77777777" w:rsidR="0059420E" w:rsidRPr="00E20D7F" w:rsidRDefault="0059420E" w:rsidP="006D1C6D">
            <w:pPr>
              <w:cnfStyle w:val="000000100000" w:firstRow="0" w:lastRow="0" w:firstColumn="0" w:lastColumn="0" w:oddVBand="0" w:evenVBand="0" w:oddHBand="1" w:evenHBand="0" w:firstRowFirstColumn="0" w:firstRowLastColumn="0" w:lastRowFirstColumn="0" w:lastRowLastColumn="0"/>
              <w:rPr>
                <w:rFonts w:eastAsiaTheme="majorEastAsia"/>
              </w:rPr>
            </w:pPr>
            <w:r w:rsidRPr="00E20D7F">
              <w:rPr>
                <w:rFonts w:eastAsiaTheme="majorEastAsia"/>
              </w:rPr>
              <w:t>Endorsed by</w:t>
            </w:r>
          </w:p>
        </w:tc>
      </w:tr>
      <w:tr w:rsidR="0059420E" w:rsidRPr="00B810A7" w14:paraId="18D6847D" w14:textId="77777777" w:rsidTr="006D1C6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pct"/>
          </w:tcPr>
          <w:p w14:paraId="0178D863" w14:textId="77777777" w:rsidR="0059420E" w:rsidRPr="004D2E28" w:rsidRDefault="0059420E" w:rsidP="006D1C6D">
            <w:pPr>
              <w:rPr>
                <w:rFonts w:eastAsiaTheme="majorEastAsia"/>
              </w:rPr>
            </w:pPr>
            <w:r w:rsidRPr="004D2E28">
              <w:rPr>
                <w:rFonts w:eastAsiaTheme="majorEastAsia"/>
              </w:rPr>
              <w:t>1.0</w:t>
            </w:r>
          </w:p>
        </w:tc>
        <w:tc>
          <w:tcPr>
            <w:tcW w:w="719" w:type="pct"/>
          </w:tcPr>
          <w:p w14:paraId="1411F4B5" w14:textId="1A91EC06" w:rsidR="0059420E" w:rsidRPr="00B810A7" w:rsidRDefault="0059420E" w:rsidP="006D1C6D">
            <w:pPr>
              <w:spacing w:before="60" w:after="60"/>
              <w:cnfStyle w:val="010000000000" w:firstRow="0" w:lastRow="1" w:firstColumn="0" w:lastColumn="0" w:oddVBand="0" w:evenVBand="0" w:oddHBand="0" w:evenHBand="0" w:firstRowFirstColumn="0" w:firstRowLastColumn="0" w:lastRowFirstColumn="0" w:lastRowLastColumn="0"/>
              <w:rPr>
                <w:rFonts w:cs="Arial"/>
                <w:sz w:val="20"/>
                <w:szCs w:val="20"/>
              </w:rPr>
            </w:pPr>
            <w:r>
              <w:rPr>
                <w:rFonts w:cs="Arial"/>
                <w:sz w:val="20"/>
                <w:szCs w:val="20"/>
              </w:rPr>
              <w:t>2</w:t>
            </w:r>
            <w:r w:rsidRPr="00B810A7">
              <w:rPr>
                <w:rFonts w:cs="Arial"/>
                <w:sz w:val="20"/>
                <w:szCs w:val="20"/>
              </w:rPr>
              <w:t>3/0</w:t>
            </w:r>
            <w:r>
              <w:rPr>
                <w:rFonts w:cs="Arial"/>
                <w:sz w:val="20"/>
                <w:szCs w:val="20"/>
              </w:rPr>
              <w:t>9</w:t>
            </w:r>
            <w:r w:rsidRPr="00B810A7">
              <w:rPr>
                <w:rFonts w:cs="Arial"/>
                <w:sz w:val="20"/>
                <w:szCs w:val="20"/>
              </w:rPr>
              <w:t>/2</w:t>
            </w:r>
            <w:r>
              <w:rPr>
                <w:rFonts w:cs="Arial"/>
                <w:sz w:val="20"/>
                <w:szCs w:val="20"/>
              </w:rPr>
              <w:t>2</w:t>
            </w:r>
          </w:p>
        </w:tc>
        <w:tc>
          <w:tcPr>
            <w:tcW w:w="2797" w:type="pct"/>
          </w:tcPr>
          <w:p w14:paraId="0FE573B6" w14:textId="77777777" w:rsidR="0059420E" w:rsidRPr="00B810A7" w:rsidRDefault="0059420E" w:rsidP="006D1C6D">
            <w:pPr>
              <w:spacing w:before="60" w:after="60"/>
              <w:cnfStyle w:val="010000000000" w:firstRow="0" w:lastRow="1" w:firstColumn="0" w:lastColumn="0" w:oddVBand="0" w:evenVBand="0" w:oddHBand="0" w:evenHBand="0" w:firstRowFirstColumn="0" w:firstRowLastColumn="0" w:lastRowFirstColumn="0" w:lastRowLastColumn="0"/>
              <w:rPr>
                <w:rFonts w:cs="Arial"/>
                <w:sz w:val="20"/>
                <w:szCs w:val="20"/>
              </w:rPr>
            </w:pPr>
            <w:r w:rsidRPr="00B810A7">
              <w:rPr>
                <w:rFonts w:cs="Arial"/>
                <w:sz w:val="20"/>
                <w:szCs w:val="20"/>
              </w:rPr>
              <w:t>Initial Release</w:t>
            </w:r>
          </w:p>
        </w:tc>
        <w:tc>
          <w:tcPr>
            <w:tcW w:w="845" w:type="pct"/>
          </w:tcPr>
          <w:p w14:paraId="7094D5AF" w14:textId="31C3C053" w:rsidR="0059420E" w:rsidRPr="00B810A7" w:rsidRDefault="0059420E" w:rsidP="006D1C6D">
            <w:pPr>
              <w:spacing w:before="60" w:after="60"/>
              <w:cnfStyle w:val="010000000000" w:firstRow="0" w:lastRow="1" w:firstColumn="0" w:lastColumn="0" w:oddVBand="0" w:evenVBand="0" w:oddHBand="0" w:evenHBand="0" w:firstRowFirstColumn="0" w:firstRowLastColumn="0" w:lastRowFirstColumn="0" w:lastRowLastColumn="0"/>
              <w:rPr>
                <w:rFonts w:cs="Arial"/>
                <w:sz w:val="20"/>
                <w:szCs w:val="20"/>
              </w:rPr>
            </w:pPr>
            <w:r>
              <w:rPr>
                <w:rFonts w:cs="Arial"/>
                <w:sz w:val="20"/>
                <w:szCs w:val="20"/>
              </w:rPr>
              <w:t>AHPPC</w:t>
            </w:r>
          </w:p>
        </w:tc>
      </w:tr>
    </w:tbl>
    <w:p w14:paraId="795E949A" w14:textId="77777777" w:rsidR="0059420E" w:rsidRDefault="0059420E">
      <w:pPr>
        <w:rPr>
          <w:lang w:val="en-US"/>
        </w:rPr>
      </w:pPr>
    </w:p>
    <w:p w14:paraId="552FDE1D" w14:textId="22001CD3" w:rsidR="0059420E" w:rsidRDefault="0059420E">
      <w:pPr>
        <w:rPr>
          <w:lang w:val="en-US"/>
        </w:rPr>
      </w:pPr>
      <w:r>
        <w:rPr>
          <w:lang w:val="en-US"/>
        </w:rPr>
        <w:br w:type="page"/>
      </w:r>
    </w:p>
    <w:p w14:paraId="687A4B1D" w14:textId="14471540" w:rsidR="007D5162" w:rsidRDefault="0059420E">
      <w:pPr>
        <w:pStyle w:val="TOC1"/>
        <w:tabs>
          <w:tab w:val="right" w:leader="dot" w:pos="9060"/>
        </w:tabs>
        <w:rPr>
          <w:rFonts w:asciiTheme="minorHAnsi" w:eastAsiaTheme="minorEastAsia" w:hAnsiTheme="minorHAnsi" w:cstheme="minorBidi"/>
          <w:noProof/>
          <w:szCs w:val="22"/>
          <w:lang w:eastAsia="en-AU"/>
        </w:rPr>
      </w:pPr>
      <w:r>
        <w:rPr>
          <w:b/>
          <w:bCs/>
        </w:rPr>
        <w:lastRenderedPageBreak/>
        <w:fldChar w:fldCharType="begin"/>
      </w:r>
      <w:r>
        <w:rPr>
          <w:b/>
          <w:bCs/>
        </w:rPr>
        <w:instrText xml:space="preserve"> TOC  \* MERGEFORMAT </w:instrText>
      </w:r>
      <w:r>
        <w:rPr>
          <w:b/>
          <w:bCs/>
        </w:rPr>
        <w:fldChar w:fldCharType="separate"/>
      </w:r>
      <w:r w:rsidR="007D5162" w:rsidRPr="004D5C8B">
        <w:rPr>
          <w:noProof/>
        </w:rPr>
        <w:t>Purpose</w:t>
      </w:r>
      <w:r w:rsidR="007D5162">
        <w:rPr>
          <w:noProof/>
        </w:rPr>
        <w:tab/>
      </w:r>
      <w:r w:rsidR="007D5162">
        <w:rPr>
          <w:noProof/>
        </w:rPr>
        <w:fldChar w:fldCharType="begin"/>
      </w:r>
      <w:r w:rsidR="007D5162">
        <w:rPr>
          <w:noProof/>
        </w:rPr>
        <w:instrText xml:space="preserve"> PAGEREF _Toc115342378 \h </w:instrText>
      </w:r>
      <w:r w:rsidR="007D5162">
        <w:rPr>
          <w:noProof/>
        </w:rPr>
      </w:r>
      <w:r w:rsidR="007D5162">
        <w:rPr>
          <w:noProof/>
        </w:rPr>
        <w:fldChar w:fldCharType="separate"/>
      </w:r>
      <w:r w:rsidR="007D5162">
        <w:rPr>
          <w:noProof/>
        </w:rPr>
        <w:t>5</w:t>
      </w:r>
      <w:r w:rsidR="007D5162">
        <w:rPr>
          <w:noProof/>
        </w:rPr>
        <w:fldChar w:fldCharType="end"/>
      </w:r>
    </w:p>
    <w:p w14:paraId="36A08EF9" w14:textId="49F0A705" w:rsidR="007D5162" w:rsidRDefault="007D5162">
      <w:pPr>
        <w:pStyle w:val="TOC2"/>
        <w:tabs>
          <w:tab w:val="right" w:leader="dot" w:pos="9060"/>
        </w:tabs>
        <w:rPr>
          <w:rFonts w:asciiTheme="minorHAnsi" w:eastAsiaTheme="minorEastAsia" w:hAnsiTheme="minorHAnsi" w:cstheme="minorBidi"/>
          <w:noProof/>
          <w:szCs w:val="22"/>
          <w:lang w:eastAsia="en-AU"/>
        </w:rPr>
      </w:pPr>
      <w:r w:rsidRPr="004D5C8B">
        <w:rPr>
          <w:rFonts w:eastAsiaTheme="minorHAnsi"/>
          <w:noProof/>
        </w:rPr>
        <w:t>Overview</w:t>
      </w:r>
      <w:r>
        <w:rPr>
          <w:noProof/>
        </w:rPr>
        <w:tab/>
      </w:r>
      <w:r>
        <w:rPr>
          <w:noProof/>
        </w:rPr>
        <w:fldChar w:fldCharType="begin"/>
      </w:r>
      <w:r>
        <w:rPr>
          <w:noProof/>
        </w:rPr>
        <w:instrText xml:space="preserve"> PAGEREF _Toc115342379 \h </w:instrText>
      </w:r>
      <w:r>
        <w:rPr>
          <w:noProof/>
        </w:rPr>
      </w:r>
      <w:r>
        <w:rPr>
          <w:noProof/>
        </w:rPr>
        <w:fldChar w:fldCharType="separate"/>
      </w:r>
      <w:r>
        <w:rPr>
          <w:noProof/>
        </w:rPr>
        <w:t>6</w:t>
      </w:r>
      <w:r>
        <w:rPr>
          <w:noProof/>
        </w:rPr>
        <w:fldChar w:fldCharType="end"/>
      </w:r>
    </w:p>
    <w:p w14:paraId="4899AE77" w14:textId="3EB28736" w:rsidR="007D5162" w:rsidRDefault="007D5162">
      <w:pPr>
        <w:pStyle w:val="TOC1"/>
        <w:tabs>
          <w:tab w:val="right" w:leader="dot" w:pos="9060"/>
        </w:tabs>
        <w:rPr>
          <w:rFonts w:asciiTheme="minorHAnsi" w:eastAsiaTheme="minorEastAsia" w:hAnsiTheme="minorHAnsi" w:cstheme="minorBidi"/>
          <w:noProof/>
          <w:szCs w:val="22"/>
          <w:lang w:eastAsia="en-AU"/>
        </w:rPr>
      </w:pPr>
      <w:r w:rsidRPr="004D5C8B">
        <w:rPr>
          <w:noProof/>
          <w:lang w:val="en-US"/>
        </w:rPr>
        <w:t>Preparedness</w:t>
      </w:r>
      <w:r>
        <w:rPr>
          <w:noProof/>
        </w:rPr>
        <w:tab/>
      </w:r>
      <w:r>
        <w:rPr>
          <w:noProof/>
        </w:rPr>
        <w:fldChar w:fldCharType="begin"/>
      </w:r>
      <w:r>
        <w:rPr>
          <w:noProof/>
        </w:rPr>
        <w:instrText xml:space="preserve"> PAGEREF _Toc115342380 \h </w:instrText>
      </w:r>
      <w:r>
        <w:rPr>
          <w:noProof/>
        </w:rPr>
      </w:r>
      <w:r>
        <w:rPr>
          <w:noProof/>
        </w:rPr>
        <w:fldChar w:fldCharType="separate"/>
      </w:r>
      <w:r>
        <w:rPr>
          <w:noProof/>
        </w:rPr>
        <w:t>7</w:t>
      </w:r>
      <w:r>
        <w:rPr>
          <w:noProof/>
        </w:rPr>
        <w:fldChar w:fldCharType="end"/>
      </w:r>
    </w:p>
    <w:p w14:paraId="4AC6D40F" w14:textId="20ABACCA" w:rsidR="007D5162" w:rsidRDefault="007D5162">
      <w:pPr>
        <w:pStyle w:val="TOC1"/>
        <w:tabs>
          <w:tab w:val="right" w:leader="dot" w:pos="9060"/>
        </w:tabs>
        <w:rPr>
          <w:rFonts w:asciiTheme="minorHAnsi" w:eastAsiaTheme="minorEastAsia" w:hAnsiTheme="minorHAnsi" w:cstheme="minorBidi"/>
          <w:noProof/>
          <w:szCs w:val="22"/>
          <w:lang w:eastAsia="en-AU"/>
        </w:rPr>
      </w:pPr>
      <w:r w:rsidRPr="004D5C8B">
        <w:rPr>
          <w:noProof/>
          <w:lang w:val="en-US"/>
        </w:rPr>
        <w:t>Responding to new ARI symptoms in a resident</w:t>
      </w:r>
      <w:r>
        <w:rPr>
          <w:noProof/>
        </w:rPr>
        <w:tab/>
      </w:r>
      <w:r>
        <w:rPr>
          <w:noProof/>
        </w:rPr>
        <w:fldChar w:fldCharType="begin"/>
      </w:r>
      <w:r>
        <w:rPr>
          <w:noProof/>
        </w:rPr>
        <w:instrText xml:space="preserve"> PAGEREF _Toc115342381 \h </w:instrText>
      </w:r>
      <w:r>
        <w:rPr>
          <w:noProof/>
        </w:rPr>
      </w:r>
      <w:r>
        <w:rPr>
          <w:noProof/>
        </w:rPr>
        <w:fldChar w:fldCharType="separate"/>
      </w:r>
      <w:r>
        <w:rPr>
          <w:noProof/>
        </w:rPr>
        <w:t>7</w:t>
      </w:r>
      <w:r>
        <w:rPr>
          <w:noProof/>
        </w:rPr>
        <w:fldChar w:fldCharType="end"/>
      </w:r>
    </w:p>
    <w:p w14:paraId="48C23291" w14:textId="22445FF8" w:rsidR="007D5162" w:rsidRDefault="007D5162">
      <w:pPr>
        <w:pStyle w:val="TOC2"/>
        <w:tabs>
          <w:tab w:val="right" w:leader="dot" w:pos="9060"/>
        </w:tabs>
        <w:rPr>
          <w:rFonts w:asciiTheme="minorHAnsi" w:eastAsiaTheme="minorEastAsia" w:hAnsiTheme="minorHAnsi" w:cstheme="minorBidi"/>
          <w:noProof/>
          <w:szCs w:val="22"/>
          <w:lang w:eastAsia="en-AU"/>
        </w:rPr>
      </w:pPr>
      <w:r w:rsidRPr="004D5C8B">
        <w:rPr>
          <w:rFonts w:eastAsiaTheme="minorHAnsi"/>
          <w:noProof/>
        </w:rPr>
        <w:t>Initial actions – New ARI symptoms in a resident</w:t>
      </w:r>
      <w:r>
        <w:rPr>
          <w:noProof/>
        </w:rPr>
        <w:tab/>
      </w:r>
      <w:r>
        <w:rPr>
          <w:noProof/>
        </w:rPr>
        <w:fldChar w:fldCharType="begin"/>
      </w:r>
      <w:r>
        <w:rPr>
          <w:noProof/>
        </w:rPr>
        <w:instrText xml:space="preserve"> PAGEREF _Toc115342382 \h </w:instrText>
      </w:r>
      <w:r>
        <w:rPr>
          <w:noProof/>
        </w:rPr>
      </w:r>
      <w:r>
        <w:rPr>
          <w:noProof/>
        </w:rPr>
        <w:fldChar w:fldCharType="separate"/>
      </w:r>
      <w:r>
        <w:rPr>
          <w:noProof/>
        </w:rPr>
        <w:t>7</w:t>
      </w:r>
      <w:r>
        <w:rPr>
          <w:noProof/>
        </w:rPr>
        <w:fldChar w:fldCharType="end"/>
      </w:r>
    </w:p>
    <w:p w14:paraId="5D1ACCD3" w14:textId="652FA3A0" w:rsidR="007D5162" w:rsidRDefault="007D5162">
      <w:pPr>
        <w:pStyle w:val="TOC4"/>
        <w:tabs>
          <w:tab w:val="right" w:leader="dot" w:pos="9060"/>
        </w:tabs>
        <w:rPr>
          <w:rFonts w:asciiTheme="minorHAnsi" w:eastAsiaTheme="minorEastAsia" w:hAnsiTheme="minorHAnsi" w:cstheme="minorBidi"/>
          <w:noProof/>
          <w:szCs w:val="22"/>
          <w:lang w:eastAsia="en-AU"/>
        </w:rPr>
      </w:pPr>
      <w:r>
        <w:rPr>
          <w:noProof/>
        </w:rPr>
        <w:t>Figure 1. Overview of initial actions – New Acute Respiratory Infection (ARI) Symptoms</w:t>
      </w:r>
      <w:r>
        <w:rPr>
          <w:noProof/>
        </w:rPr>
        <w:tab/>
      </w:r>
      <w:r>
        <w:rPr>
          <w:noProof/>
        </w:rPr>
        <w:fldChar w:fldCharType="begin"/>
      </w:r>
      <w:r>
        <w:rPr>
          <w:noProof/>
        </w:rPr>
        <w:instrText xml:space="preserve"> PAGEREF _Toc115342383 \h </w:instrText>
      </w:r>
      <w:r>
        <w:rPr>
          <w:noProof/>
        </w:rPr>
      </w:r>
      <w:r>
        <w:rPr>
          <w:noProof/>
        </w:rPr>
        <w:fldChar w:fldCharType="separate"/>
      </w:r>
      <w:r>
        <w:rPr>
          <w:noProof/>
        </w:rPr>
        <w:t>8</w:t>
      </w:r>
      <w:r>
        <w:rPr>
          <w:noProof/>
        </w:rPr>
        <w:fldChar w:fldCharType="end"/>
      </w:r>
    </w:p>
    <w:p w14:paraId="6830A6EC" w14:textId="33333976" w:rsidR="007D5162" w:rsidRDefault="007D5162">
      <w:pPr>
        <w:pStyle w:val="TOC2"/>
        <w:tabs>
          <w:tab w:val="right" w:leader="dot" w:pos="9060"/>
        </w:tabs>
        <w:rPr>
          <w:rFonts w:asciiTheme="minorHAnsi" w:eastAsiaTheme="minorEastAsia" w:hAnsiTheme="minorHAnsi" w:cstheme="minorBidi"/>
          <w:noProof/>
          <w:szCs w:val="22"/>
          <w:lang w:eastAsia="en-AU"/>
        </w:rPr>
      </w:pPr>
      <w:r w:rsidRPr="004D5C8B">
        <w:rPr>
          <w:rFonts w:eastAsiaTheme="minorHAnsi"/>
          <w:noProof/>
        </w:rPr>
        <w:t>Step 1: Isolate and implement infection prevention and control (IPC) measures</w:t>
      </w:r>
      <w:r>
        <w:rPr>
          <w:noProof/>
        </w:rPr>
        <w:tab/>
      </w:r>
      <w:r>
        <w:rPr>
          <w:noProof/>
        </w:rPr>
        <w:fldChar w:fldCharType="begin"/>
      </w:r>
      <w:r>
        <w:rPr>
          <w:noProof/>
        </w:rPr>
        <w:instrText xml:space="preserve"> PAGEREF _Toc115342384 \h </w:instrText>
      </w:r>
      <w:r>
        <w:rPr>
          <w:noProof/>
        </w:rPr>
      </w:r>
      <w:r>
        <w:rPr>
          <w:noProof/>
        </w:rPr>
        <w:fldChar w:fldCharType="separate"/>
      </w:r>
      <w:r>
        <w:rPr>
          <w:noProof/>
        </w:rPr>
        <w:t>9</w:t>
      </w:r>
      <w:r>
        <w:rPr>
          <w:noProof/>
        </w:rPr>
        <w:fldChar w:fldCharType="end"/>
      </w:r>
    </w:p>
    <w:p w14:paraId="2D8097A2" w14:textId="45083719" w:rsidR="007D5162" w:rsidRDefault="007D5162">
      <w:pPr>
        <w:pStyle w:val="TOC2"/>
        <w:tabs>
          <w:tab w:val="right" w:leader="dot" w:pos="9060"/>
        </w:tabs>
        <w:rPr>
          <w:rFonts w:asciiTheme="minorHAnsi" w:eastAsiaTheme="minorEastAsia" w:hAnsiTheme="minorHAnsi" w:cstheme="minorBidi"/>
          <w:noProof/>
          <w:szCs w:val="22"/>
          <w:lang w:eastAsia="en-AU"/>
        </w:rPr>
      </w:pPr>
      <w:r w:rsidRPr="004D5C8B">
        <w:rPr>
          <w:rFonts w:eastAsiaTheme="minorHAnsi"/>
          <w:noProof/>
        </w:rPr>
        <w:t>Step 2: Test</w:t>
      </w:r>
      <w:r>
        <w:rPr>
          <w:noProof/>
        </w:rPr>
        <w:tab/>
      </w:r>
      <w:r>
        <w:rPr>
          <w:noProof/>
        </w:rPr>
        <w:fldChar w:fldCharType="begin"/>
      </w:r>
      <w:r>
        <w:rPr>
          <w:noProof/>
        </w:rPr>
        <w:instrText xml:space="preserve"> PAGEREF _Toc115342385 \h </w:instrText>
      </w:r>
      <w:r>
        <w:rPr>
          <w:noProof/>
        </w:rPr>
      </w:r>
      <w:r>
        <w:rPr>
          <w:noProof/>
        </w:rPr>
        <w:fldChar w:fldCharType="separate"/>
      </w:r>
      <w:r>
        <w:rPr>
          <w:noProof/>
        </w:rPr>
        <w:t>9</w:t>
      </w:r>
      <w:r>
        <w:rPr>
          <w:noProof/>
        </w:rPr>
        <w:fldChar w:fldCharType="end"/>
      </w:r>
    </w:p>
    <w:p w14:paraId="3945EAE8" w14:textId="37F5BEAA" w:rsidR="007D5162" w:rsidRDefault="007D5162">
      <w:pPr>
        <w:pStyle w:val="TOC2"/>
        <w:tabs>
          <w:tab w:val="right" w:leader="dot" w:pos="9060"/>
        </w:tabs>
        <w:rPr>
          <w:rFonts w:asciiTheme="minorHAnsi" w:eastAsiaTheme="minorEastAsia" w:hAnsiTheme="minorHAnsi" w:cstheme="minorBidi"/>
          <w:noProof/>
          <w:szCs w:val="22"/>
          <w:lang w:eastAsia="en-AU"/>
        </w:rPr>
      </w:pPr>
      <w:r w:rsidRPr="004D5C8B">
        <w:rPr>
          <w:rFonts w:eastAsiaTheme="minorHAnsi"/>
          <w:noProof/>
        </w:rPr>
        <w:t>Step 4: Case management</w:t>
      </w:r>
      <w:r>
        <w:rPr>
          <w:noProof/>
        </w:rPr>
        <w:tab/>
      </w:r>
      <w:r>
        <w:rPr>
          <w:noProof/>
        </w:rPr>
        <w:fldChar w:fldCharType="begin"/>
      </w:r>
      <w:r>
        <w:rPr>
          <w:noProof/>
        </w:rPr>
        <w:instrText xml:space="preserve"> PAGEREF _Toc115342386 \h </w:instrText>
      </w:r>
      <w:r>
        <w:rPr>
          <w:noProof/>
        </w:rPr>
      </w:r>
      <w:r>
        <w:rPr>
          <w:noProof/>
        </w:rPr>
        <w:fldChar w:fldCharType="separate"/>
      </w:r>
      <w:r>
        <w:rPr>
          <w:noProof/>
        </w:rPr>
        <w:t>10</w:t>
      </w:r>
      <w:r>
        <w:rPr>
          <w:noProof/>
        </w:rPr>
        <w:fldChar w:fldCharType="end"/>
      </w:r>
    </w:p>
    <w:p w14:paraId="4A51A3F1" w14:textId="36026576" w:rsidR="007D5162" w:rsidRDefault="007D5162">
      <w:pPr>
        <w:pStyle w:val="TOC4"/>
        <w:tabs>
          <w:tab w:val="right" w:leader="dot" w:pos="9060"/>
        </w:tabs>
        <w:rPr>
          <w:rFonts w:asciiTheme="minorHAnsi" w:eastAsiaTheme="minorEastAsia" w:hAnsiTheme="minorHAnsi" w:cstheme="minorBidi"/>
          <w:noProof/>
          <w:szCs w:val="22"/>
          <w:lang w:eastAsia="en-AU"/>
        </w:rPr>
      </w:pPr>
      <w:r>
        <w:rPr>
          <w:noProof/>
        </w:rPr>
        <w:t>Table 1 – Case and contact management for COVID-19, influenza, and other confirmed respiratory pathogens.</w:t>
      </w:r>
      <w:r>
        <w:rPr>
          <w:noProof/>
        </w:rPr>
        <w:tab/>
      </w:r>
      <w:r>
        <w:rPr>
          <w:noProof/>
        </w:rPr>
        <w:fldChar w:fldCharType="begin"/>
      </w:r>
      <w:r>
        <w:rPr>
          <w:noProof/>
        </w:rPr>
        <w:instrText xml:space="preserve"> PAGEREF _Toc115342387 \h </w:instrText>
      </w:r>
      <w:r>
        <w:rPr>
          <w:noProof/>
        </w:rPr>
      </w:r>
      <w:r>
        <w:rPr>
          <w:noProof/>
        </w:rPr>
        <w:fldChar w:fldCharType="separate"/>
      </w:r>
      <w:r>
        <w:rPr>
          <w:noProof/>
        </w:rPr>
        <w:t>12</w:t>
      </w:r>
      <w:r>
        <w:rPr>
          <w:noProof/>
        </w:rPr>
        <w:fldChar w:fldCharType="end"/>
      </w:r>
    </w:p>
    <w:p w14:paraId="390B3057" w14:textId="2B294C32" w:rsidR="007D5162" w:rsidRDefault="007D5162">
      <w:pPr>
        <w:pStyle w:val="TOC2"/>
        <w:tabs>
          <w:tab w:val="right" w:leader="dot" w:pos="9060"/>
        </w:tabs>
        <w:rPr>
          <w:rFonts w:asciiTheme="minorHAnsi" w:eastAsiaTheme="minorEastAsia" w:hAnsiTheme="minorHAnsi" w:cstheme="minorBidi"/>
          <w:noProof/>
          <w:szCs w:val="22"/>
          <w:lang w:eastAsia="en-AU"/>
        </w:rPr>
      </w:pPr>
      <w:r w:rsidRPr="004D5C8B">
        <w:rPr>
          <w:rFonts w:eastAsiaTheme="minorHAnsi"/>
          <w:noProof/>
        </w:rPr>
        <w:t>Step 5: Contact management</w:t>
      </w:r>
      <w:r>
        <w:rPr>
          <w:noProof/>
        </w:rPr>
        <w:tab/>
      </w:r>
      <w:r>
        <w:rPr>
          <w:noProof/>
        </w:rPr>
        <w:fldChar w:fldCharType="begin"/>
      </w:r>
      <w:r>
        <w:rPr>
          <w:noProof/>
        </w:rPr>
        <w:instrText xml:space="preserve"> PAGEREF _Toc115342388 \h </w:instrText>
      </w:r>
      <w:r>
        <w:rPr>
          <w:noProof/>
        </w:rPr>
      </w:r>
      <w:r>
        <w:rPr>
          <w:noProof/>
        </w:rPr>
        <w:fldChar w:fldCharType="separate"/>
      </w:r>
      <w:r>
        <w:rPr>
          <w:noProof/>
        </w:rPr>
        <w:t>13</w:t>
      </w:r>
      <w:r>
        <w:rPr>
          <w:noProof/>
        </w:rPr>
        <w:fldChar w:fldCharType="end"/>
      </w:r>
    </w:p>
    <w:p w14:paraId="7D4A40A2" w14:textId="677061E2" w:rsidR="007D5162" w:rsidRDefault="007D5162">
      <w:pPr>
        <w:pStyle w:val="TOC2"/>
        <w:tabs>
          <w:tab w:val="right" w:leader="dot" w:pos="9060"/>
        </w:tabs>
        <w:rPr>
          <w:rFonts w:asciiTheme="minorHAnsi" w:eastAsiaTheme="minorEastAsia" w:hAnsiTheme="minorHAnsi" w:cstheme="minorBidi"/>
          <w:noProof/>
          <w:szCs w:val="22"/>
          <w:lang w:eastAsia="en-AU"/>
        </w:rPr>
      </w:pPr>
      <w:r w:rsidRPr="004D5C8B">
        <w:rPr>
          <w:rFonts w:eastAsiaTheme="minorHAnsi"/>
          <w:noProof/>
        </w:rPr>
        <w:t>Step 6: Notification and reporting</w:t>
      </w:r>
      <w:r>
        <w:rPr>
          <w:noProof/>
        </w:rPr>
        <w:tab/>
      </w:r>
      <w:r>
        <w:rPr>
          <w:noProof/>
        </w:rPr>
        <w:fldChar w:fldCharType="begin"/>
      </w:r>
      <w:r>
        <w:rPr>
          <w:noProof/>
        </w:rPr>
        <w:instrText xml:space="preserve"> PAGEREF _Toc115342389 \h </w:instrText>
      </w:r>
      <w:r>
        <w:rPr>
          <w:noProof/>
        </w:rPr>
      </w:r>
      <w:r>
        <w:rPr>
          <w:noProof/>
        </w:rPr>
        <w:fldChar w:fldCharType="separate"/>
      </w:r>
      <w:r>
        <w:rPr>
          <w:noProof/>
        </w:rPr>
        <w:t>13</w:t>
      </w:r>
      <w:r>
        <w:rPr>
          <w:noProof/>
        </w:rPr>
        <w:fldChar w:fldCharType="end"/>
      </w:r>
    </w:p>
    <w:p w14:paraId="249E8E8C" w14:textId="29E60799" w:rsidR="007D5162" w:rsidRDefault="007D5162">
      <w:pPr>
        <w:pStyle w:val="TOC2"/>
        <w:tabs>
          <w:tab w:val="right" w:leader="dot" w:pos="9060"/>
        </w:tabs>
        <w:rPr>
          <w:rFonts w:asciiTheme="minorHAnsi" w:eastAsiaTheme="minorEastAsia" w:hAnsiTheme="minorHAnsi" w:cstheme="minorBidi"/>
          <w:noProof/>
          <w:szCs w:val="22"/>
          <w:lang w:eastAsia="en-AU"/>
        </w:rPr>
      </w:pPr>
      <w:r w:rsidRPr="004D5C8B">
        <w:rPr>
          <w:rFonts w:eastAsiaTheme="minorHAnsi"/>
          <w:noProof/>
        </w:rPr>
        <w:t>Step 7: Activate outbreak management plan</w:t>
      </w:r>
      <w:r>
        <w:rPr>
          <w:noProof/>
        </w:rPr>
        <w:tab/>
      </w:r>
      <w:r>
        <w:rPr>
          <w:noProof/>
        </w:rPr>
        <w:fldChar w:fldCharType="begin"/>
      </w:r>
      <w:r>
        <w:rPr>
          <w:noProof/>
        </w:rPr>
        <w:instrText xml:space="preserve"> PAGEREF _Toc115342390 \h </w:instrText>
      </w:r>
      <w:r>
        <w:rPr>
          <w:noProof/>
        </w:rPr>
      </w:r>
      <w:r>
        <w:rPr>
          <w:noProof/>
        </w:rPr>
        <w:fldChar w:fldCharType="separate"/>
      </w:r>
      <w:r>
        <w:rPr>
          <w:noProof/>
        </w:rPr>
        <w:t>14</w:t>
      </w:r>
      <w:r>
        <w:rPr>
          <w:noProof/>
        </w:rPr>
        <w:fldChar w:fldCharType="end"/>
      </w:r>
    </w:p>
    <w:p w14:paraId="71CF68E6" w14:textId="56577B03" w:rsidR="007D5162" w:rsidRDefault="007D5162">
      <w:pPr>
        <w:pStyle w:val="TOC3"/>
        <w:tabs>
          <w:tab w:val="right" w:leader="dot" w:pos="9060"/>
        </w:tabs>
        <w:rPr>
          <w:rFonts w:asciiTheme="minorHAnsi" w:eastAsiaTheme="minorEastAsia" w:hAnsiTheme="minorHAnsi" w:cstheme="minorBidi"/>
          <w:noProof/>
          <w:szCs w:val="22"/>
          <w:lang w:eastAsia="en-AU"/>
        </w:rPr>
      </w:pPr>
      <w:r w:rsidRPr="004D5C8B">
        <w:rPr>
          <w:rFonts w:eastAsiaTheme="minorHAnsi"/>
          <w:i/>
          <w:iCs/>
          <w:noProof/>
        </w:rPr>
        <w:t>During the outbreak</w:t>
      </w:r>
      <w:r>
        <w:rPr>
          <w:noProof/>
        </w:rPr>
        <w:tab/>
      </w:r>
      <w:r>
        <w:rPr>
          <w:noProof/>
        </w:rPr>
        <w:fldChar w:fldCharType="begin"/>
      </w:r>
      <w:r>
        <w:rPr>
          <w:noProof/>
        </w:rPr>
        <w:instrText xml:space="preserve"> PAGEREF _Toc115342391 \h </w:instrText>
      </w:r>
      <w:r>
        <w:rPr>
          <w:noProof/>
        </w:rPr>
      </w:r>
      <w:r>
        <w:rPr>
          <w:noProof/>
        </w:rPr>
        <w:fldChar w:fldCharType="separate"/>
      </w:r>
      <w:r>
        <w:rPr>
          <w:noProof/>
        </w:rPr>
        <w:t>14</w:t>
      </w:r>
      <w:r>
        <w:rPr>
          <w:noProof/>
        </w:rPr>
        <w:fldChar w:fldCharType="end"/>
      </w:r>
    </w:p>
    <w:p w14:paraId="3CF829CE" w14:textId="0DE32482" w:rsidR="007D5162" w:rsidRDefault="007D5162">
      <w:pPr>
        <w:pStyle w:val="TOC3"/>
        <w:tabs>
          <w:tab w:val="right" w:leader="dot" w:pos="9060"/>
        </w:tabs>
        <w:rPr>
          <w:rFonts w:asciiTheme="minorHAnsi" w:eastAsiaTheme="minorEastAsia" w:hAnsiTheme="minorHAnsi" w:cstheme="minorBidi"/>
          <w:noProof/>
          <w:szCs w:val="22"/>
          <w:lang w:eastAsia="en-AU"/>
        </w:rPr>
      </w:pPr>
      <w:r w:rsidRPr="004D5C8B">
        <w:rPr>
          <w:rFonts w:eastAsiaTheme="minorHAnsi"/>
          <w:i/>
          <w:iCs/>
          <w:noProof/>
        </w:rPr>
        <w:t>Other considerations relevant to an outbreak</w:t>
      </w:r>
      <w:r>
        <w:rPr>
          <w:noProof/>
        </w:rPr>
        <w:tab/>
      </w:r>
      <w:r>
        <w:rPr>
          <w:noProof/>
        </w:rPr>
        <w:fldChar w:fldCharType="begin"/>
      </w:r>
      <w:r>
        <w:rPr>
          <w:noProof/>
        </w:rPr>
        <w:instrText xml:space="preserve"> PAGEREF _Toc115342392 \h </w:instrText>
      </w:r>
      <w:r>
        <w:rPr>
          <w:noProof/>
        </w:rPr>
      </w:r>
      <w:r>
        <w:rPr>
          <w:noProof/>
        </w:rPr>
        <w:fldChar w:fldCharType="separate"/>
      </w:r>
      <w:r>
        <w:rPr>
          <w:noProof/>
        </w:rPr>
        <w:t>15</w:t>
      </w:r>
      <w:r>
        <w:rPr>
          <w:noProof/>
        </w:rPr>
        <w:fldChar w:fldCharType="end"/>
      </w:r>
    </w:p>
    <w:p w14:paraId="17688D32" w14:textId="444D6D56" w:rsidR="007D5162" w:rsidRDefault="007D5162">
      <w:pPr>
        <w:pStyle w:val="TOC2"/>
        <w:tabs>
          <w:tab w:val="right" w:leader="dot" w:pos="9060"/>
        </w:tabs>
        <w:rPr>
          <w:rFonts w:asciiTheme="minorHAnsi" w:eastAsiaTheme="minorEastAsia" w:hAnsiTheme="minorHAnsi" w:cstheme="minorBidi"/>
          <w:noProof/>
          <w:szCs w:val="22"/>
          <w:lang w:eastAsia="en-AU"/>
        </w:rPr>
      </w:pPr>
      <w:r w:rsidRPr="004D5C8B">
        <w:rPr>
          <w:rFonts w:eastAsiaTheme="minorHAnsi"/>
          <w:noProof/>
        </w:rPr>
        <w:t>Step 8: Communicate</w:t>
      </w:r>
      <w:r>
        <w:rPr>
          <w:noProof/>
        </w:rPr>
        <w:tab/>
      </w:r>
      <w:r>
        <w:rPr>
          <w:noProof/>
        </w:rPr>
        <w:fldChar w:fldCharType="begin"/>
      </w:r>
      <w:r>
        <w:rPr>
          <w:noProof/>
        </w:rPr>
        <w:instrText xml:space="preserve"> PAGEREF _Toc115342393 \h </w:instrText>
      </w:r>
      <w:r>
        <w:rPr>
          <w:noProof/>
        </w:rPr>
      </w:r>
      <w:r>
        <w:rPr>
          <w:noProof/>
        </w:rPr>
        <w:fldChar w:fldCharType="separate"/>
      </w:r>
      <w:r>
        <w:rPr>
          <w:noProof/>
        </w:rPr>
        <w:t>16</w:t>
      </w:r>
      <w:r>
        <w:rPr>
          <w:noProof/>
        </w:rPr>
        <w:fldChar w:fldCharType="end"/>
      </w:r>
    </w:p>
    <w:p w14:paraId="20FD63F9" w14:textId="2D522905" w:rsidR="007D5162" w:rsidRDefault="007D5162">
      <w:pPr>
        <w:pStyle w:val="TOC2"/>
        <w:tabs>
          <w:tab w:val="right" w:leader="dot" w:pos="9060"/>
        </w:tabs>
        <w:rPr>
          <w:rFonts w:asciiTheme="minorHAnsi" w:eastAsiaTheme="minorEastAsia" w:hAnsiTheme="minorHAnsi" w:cstheme="minorBidi"/>
          <w:noProof/>
          <w:szCs w:val="22"/>
          <w:lang w:eastAsia="en-AU"/>
        </w:rPr>
      </w:pPr>
      <w:r w:rsidRPr="004D5C8B">
        <w:rPr>
          <w:rFonts w:eastAsiaTheme="minorHAnsi"/>
          <w:noProof/>
        </w:rPr>
        <w:t>Step 9: Declaring an outbreak over</w:t>
      </w:r>
      <w:r>
        <w:rPr>
          <w:noProof/>
        </w:rPr>
        <w:tab/>
      </w:r>
      <w:r>
        <w:rPr>
          <w:noProof/>
        </w:rPr>
        <w:fldChar w:fldCharType="begin"/>
      </w:r>
      <w:r>
        <w:rPr>
          <w:noProof/>
        </w:rPr>
        <w:instrText xml:space="preserve"> PAGEREF _Toc115342394 \h </w:instrText>
      </w:r>
      <w:r>
        <w:rPr>
          <w:noProof/>
        </w:rPr>
      </w:r>
      <w:r>
        <w:rPr>
          <w:noProof/>
        </w:rPr>
        <w:fldChar w:fldCharType="separate"/>
      </w:r>
      <w:r>
        <w:rPr>
          <w:noProof/>
        </w:rPr>
        <w:t>16</w:t>
      </w:r>
      <w:r>
        <w:rPr>
          <w:noProof/>
        </w:rPr>
        <w:fldChar w:fldCharType="end"/>
      </w:r>
    </w:p>
    <w:p w14:paraId="33F112C3" w14:textId="370B8102" w:rsidR="007D5162" w:rsidRDefault="007D5162">
      <w:pPr>
        <w:pStyle w:val="TOC1"/>
        <w:tabs>
          <w:tab w:val="right" w:leader="dot" w:pos="9060"/>
        </w:tabs>
        <w:rPr>
          <w:rFonts w:asciiTheme="minorHAnsi" w:eastAsiaTheme="minorEastAsia" w:hAnsiTheme="minorHAnsi" w:cstheme="minorBidi"/>
          <w:noProof/>
          <w:szCs w:val="22"/>
          <w:lang w:eastAsia="en-AU"/>
        </w:rPr>
      </w:pPr>
      <w:r w:rsidRPr="004D5C8B">
        <w:rPr>
          <w:noProof/>
          <w:lang w:val="en-US"/>
        </w:rPr>
        <w:t>Appendices</w:t>
      </w:r>
      <w:r>
        <w:rPr>
          <w:noProof/>
        </w:rPr>
        <w:tab/>
      </w:r>
      <w:r>
        <w:rPr>
          <w:noProof/>
        </w:rPr>
        <w:fldChar w:fldCharType="begin"/>
      </w:r>
      <w:r>
        <w:rPr>
          <w:noProof/>
        </w:rPr>
        <w:instrText xml:space="preserve"> PAGEREF _Toc115342395 \h </w:instrText>
      </w:r>
      <w:r>
        <w:rPr>
          <w:noProof/>
        </w:rPr>
      </w:r>
      <w:r>
        <w:rPr>
          <w:noProof/>
        </w:rPr>
        <w:fldChar w:fldCharType="separate"/>
      </w:r>
      <w:r>
        <w:rPr>
          <w:noProof/>
        </w:rPr>
        <w:t>18</w:t>
      </w:r>
      <w:r>
        <w:rPr>
          <w:noProof/>
        </w:rPr>
        <w:fldChar w:fldCharType="end"/>
      </w:r>
    </w:p>
    <w:p w14:paraId="42698B5F" w14:textId="276A3CD9" w:rsidR="007D5162" w:rsidRDefault="007D5162">
      <w:pPr>
        <w:pStyle w:val="TOC2"/>
        <w:tabs>
          <w:tab w:val="right" w:leader="dot" w:pos="9060"/>
        </w:tabs>
        <w:rPr>
          <w:rFonts w:asciiTheme="minorHAnsi" w:eastAsiaTheme="minorEastAsia" w:hAnsiTheme="minorHAnsi" w:cstheme="minorBidi"/>
          <w:noProof/>
          <w:szCs w:val="22"/>
          <w:lang w:eastAsia="en-AU"/>
        </w:rPr>
      </w:pPr>
      <w:r w:rsidRPr="004D5C8B">
        <w:rPr>
          <w:rFonts w:eastAsiaTheme="minorHAnsi"/>
          <w:noProof/>
        </w:rPr>
        <w:t>Appendix 1: COVID-19 exposure and outbreak management</w:t>
      </w:r>
      <w:r>
        <w:rPr>
          <w:noProof/>
        </w:rPr>
        <w:tab/>
      </w:r>
      <w:r>
        <w:rPr>
          <w:noProof/>
        </w:rPr>
        <w:fldChar w:fldCharType="begin"/>
      </w:r>
      <w:r>
        <w:rPr>
          <w:noProof/>
        </w:rPr>
        <w:instrText xml:space="preserve"> PAGEREF _Toc115342396 \h </w:instrText>
      </w:r>
      <w:r>
        <w:rPr>
          <w:noProof/>
        </w:rPr>
      </w:r>
      <w:r>
        <w:rPr>
          <w:noProof/>
        </w:rPr>
        <w:fldChar w:fldCharType="separate"/>
      </w:r>
      <w:r>
        <w:rPr>
          <w:noProof/>
        </w:rPr>
        <w:t>19</w:t>
      </w:r>
      <w:r>
        <w:rPr>
          <w:noProof/>
        </w:rPr>
        <w:fldChar w:fldCharType="end"/>
      </w:r>
    </w:p>
    <w:p w14:paraId="66148EC1" w14:textId="7FFA1B7B" w:rsidR="007D5162" w:rsidRDefault="007D5162">
      <w:pPr>
        <w:pStyle w:val="TOC3"/>
        <w:tabs>
          <w:tab w:val="right" w:leader="dot" w:pos="9060"/>
        </w:tabs>
        <w:rPr>
          <w:rFonts w:asciiTheme="minorHAnsi" w:eastAsiaTheme="minorEastAsia" w:hAnsiTheme="minorHAnsi" w:cstheme="minorBidi"/>
          <w:noProof/>
          <w:szCs w:val="22"/>
          <w:lang w:eastAsia="en-AU"/>
        </w:rPr>
      </w:pPr>
      <w:r w:rsidRPr="004D5C8B">
        <w:rPr>
          <w:rFonts w:eastAsiaTheme="minorEastAsia"/>
          <w:noProof/>
        </w:rPr>
        <w:t xml:space="preserve">Table 2. </w:t>
      </w:r>
      <w:r>
        <w:rPr>
          <w:noProof/>
        </w:rPr>
        <w:t>Suggested actions based on classification of high-risk COVID</w:t>
      </w:r>
      <w:r>
        <w:rPr>
          <w:noProof/>
        </w:rPr>
        <w:noBreakHyphen/>
        <w:t>19 exposure</w:t>
      </w:r>
      <w:r>
        <w:rPr>
          <w:noProof/>
        </w:rPr>
        <w:tab/>
      </w:r>
      <w:r>
        <w:rPr>
          <w:noProof/>
        </w:rPr>
        <w:fldChar w:fldCharType="begin"/>
      </w:r>
      <w:r>
        <w:rPr>
          <w:noProof/>
        </w:rPr>
        <w:instrText xml:space="preserve"> PAGEREF _Toc115342397 \h </w:instrText>
      </w:r>
      <w:r>
        <w:rPr>
          <w:noProof/>
        </w:rPr>
      </w:r>
      <w:r>
        <w:rPr>
          <w:noProof/>
        </w:rPr>
        <w:fldChar w:fldCharType="separate"/>
      </w:r>
      <w:r>
        <w:rPr>
          <w:noProof/>
        </w:rPr>
        <w:t>19</w:t>
      </w:r>
      <w:r>
        <w:rPr>
          <w:noProof/>
        </w:rPr>
        <w:fldChar w:fldCharType="end"/>
      </w:r>
    </w:p>
    <w:p w14:paraId="3DB57AC0" w14:textId="2D29F5CF" w:rsidR="007D5162" w:rsidRDefault="007D5162">
      <w:pPr>
        <w:pStyle w:val="TOC2"/>
        <w:tabs>
          <w:tab w:val="right" w:leader="dot" w:pos="9060"/>
        </w:tabs>
        <w:rPr>
          <w:rFonts w:asciiTheme="minorHAnsi" w:eastAsiaTheme="minorEastAsia" w:hAnsiTheme="minorHAnsi" w:cstheme="minorBidi"/>
          <w:noProof/>
          <w:szCs w:val="22"/>
          <w:lang w:eastAsia="en-AU"/>
        </w:rPr>
      </w:pPr>
      <w:r>
        <w:rPr>
          <w:noProof/>
        </w:rPr>
        <w:t>Staff</w:t>
      </w:r>
      <w:r>
        <w:rPr>
          <w:noProof/>
        </w:rPr>
        <w:tab/>
      </w:r>
      <w:r>
        <w:rPr>
          <w:noProof/>
        </w:rPr>
        <w:fldChar w:fldCharType="begin"/>
      </w:r>
      <w:r>
        <w:rPr>
          <w:noProof/>
        </w:rPr>
        <w:instrText xml:space="preserve"> PAGEREF _Toc115342398 \h </w:instrText>
      </w:r>
      <w:r>
        <w:rPr>
          <w:noProof/>
        </w:rPr>
      </w:r>
      <w:r>
        <w:rPr>
          <w:noProof/>
        </w:rPr>
        <w:fldChar w:fldCharType="separate"/>
      </w:r>
      <w:r>
        <w:rPr>
          <w:noProof/>
        </w:rPr>
        <w:t>19</w:t>
      </w:r>
      <w:r>
        <w:rPr>
          <w:noProof/>
        </w:rPr>
        <w:fldChar w:fldCharType="end"/>
      </w:r>
    </w:p>
    <w:p w14:paraId="7632DC28" w14:textId="128617EA" w:rsidR="007D5162" w:rsidRDefault="007D5162">
      <w:pPr>
        <w:pStyle w:val="TOC2"/>
        <w:tabs>
          <w:tab w:val="right" w:leader="dot" w:pos="9060"/>
        </w:tabs>
        <w:rPr>
          <w:rFonts w:asciiTheme="minorHAnsi" w:eastAsiaTheme="minorEastAsia" w:hAnsiTheme="minorHAnsi" w:cstheme="minorBidi"/>
          <w:noProof/>
          <w:szCs w:val="22"/>
          <w:lang w:eastAsia="en-AU"/>
        </w:rPr>
      </w:pPr>
      <w:r>
        <w:rPr>
          <w:noProof/>
        </w:rPr>
        <w:t>Residents</w:t>
      </w:r>
      <w:r>
        <w:rPr>
          <w:noProof/>
        </w:rPr>
        <w:tab/>
      </w:r>
      <w:r>
        <w:rPr>
          <w:noProof/>
        </w:rPr>
        <w:fldChar w:fldCharType="begin"/>
      </w:r>
      <w:r>
        <w:rPr>
          <w:noProof/>
        </w:rPr>
        <w:instrText xml:space="preserve"> PAGEREF _Toc115342399 \h </w:instrText>
      </w:r>
      <w:r>
        <w:rPr>
          <w:noProof/>
        </w:rPr>
      </w:r>
      <w:r>
        <w:rPr>
          <w:noProof/>
        </w:rPr>
        <w:fldChar w:fldCharType="separate"/>
      </w:r>
      <w:r>
        <w:rPr>
          <w:noProof/>
        </w:rPr>
        <w:t>19</w:t>
      </w:r>
      <w:r>
        <w:rPr>
          <w:noProof/>
        </w:rPr>
        <w:fldChar w:fldCharType="end"/>
      </w:r>
    </w:p>
    <w:p w14:paraId="1834E484" w14:textId="672BC21F" w:rsidR="007D5162" w:rsidRDefault="007D5162">
      <w:pPr>
        <w:pStyle w:val="TOC3"/>
        <w:tabs>
          <w:tab w:val="right" w:leader="dot" w:pos="9060"/>
        </w:tabs>
        <w:rPr>
          <w:rFonts w:asciiTheme="minorHAnsi" w:eastAsiaTheme="minorEastAsia" w:hAnsiTheme="minorHAnsi" w:cstheme="minorBidi"/>
          <w:noProof/>
          <w:szCs w:val="22"/>
          <w:lang w:eastAsia="en-AU"/>
        </w:rPr>
      </w:pPr>
      <w:r>
        <w:rPr>
          <w:noProof/>
        </w:rPr>
        <w:t>Table 3. Suggested approaches to management of an outbreak of COVID-19 in residential care facilities</w:t>
      </w:r>
      <w:r>
        <w:rPr>
          <w:noProof/>
        </w:rPr>
        <w:tab/>
      </w:r>
      <w:r>
        <w:rPr>
          <w:noProof/>
        </w:rPr>
        <w:fldChar w:fldCharType="begin"/>
      </w:r>
      <w:r>
        <w:rPr>
          <w:noProof/>
        </w:rPr>
        <w:instrText xml:space="preserve"> PAGEREF _Toc115342400 \h </w:instrText>
      </w:r>
      <w:r>
        <w:rPr>
          <w:noProof/>
        </w:rPr>
      </w:r>
      <w:r>
        <w:rPr>
          <w:noProof/>
        </w:rPr>
        <w:fldChar w:fldCharType="separate"/>
      </w:r>
      <w:r>
        <w:rPr>
          <w:noProof/>
        </w:rPr>
        <w:t>20</w:t>
      </w:r>
      <w:r>
        <w:rPr>
          <w:noProof/>
        </w:rPr>
        <w:fldChar w:fldCharType="end"/>
      </w:r>
    </w:p>
    <w:p w14:paraId="402F6AB4" w14:textId="08C5B3B3" w:rsidR="007D5162" w:rsidRDefault="007D5162">
      <w:pPr>
        <w:pStyle w:val="TOC2"/>
        <w:tabs>
          <w:tab w:val="right" w:leader="dot" w:pos="9060"/>
        </w:tabs>
        <w:rPr>
          <w:rFonts w:asciiTheme="minorHAnsi" w:eastAsiaTheme="minorEastAsia" w:hAnsiTheme="minorHAnsi" w:cstheme="minorBidi"/>
          <w:noProof/>
          <w:szCs w:val="22"/>
          <w:lang w:eastAsia="en-AU"/>
        </w:rPr>
      </w:pPr>
      <w:r w:rsidRPr="004D5C8B">
        <w:rPr>
          <w:rFonts w:eastAsiaTheme="minorHAnsi"/>
          <w:noProof/>
        </w:rPr>
        <w:t>Appendix 2: Treatment and prophylaxis</w:t>
      </w:r>
      <w:r>
        <w:rPr>
          <w:noProof/>
        </w:rPr>
        <w:tab/>
      </w:r>
      <w:r>
        <w:rPr>
          <w:noProof/>
        </w:rPr>
        <w:fldChar w:fldCharType="begin"/>
      </w:r>
      <w:r>
        <w:rPr>
          <w:noProof/>
        </w:rPr>
        <w:instrText xml:space="preserve"> PAGEREF _Toc115342401 \h </w:instrText>
      </w:r>
      <w:r>
        <w:rPr>
          <w:noProof/>
        </w:rPr>
      </w:r>
      <w:r>
        <w:rPr>
          <w:noProof/>
        </w:rPr>
        <w:fldChar w:fldCharType="separate"/>
      </w:r>
      <w:r>
        <w:rPr>
          <w:noProof/>
        </w:rPr>
        <w:t>21</w:t>
      </w:r>
      <w:r>
        <w:rPr>
          <w:noProof/>
        </w:rPr>
        <w:fldChar w:fldCharType="end"/>
      </w:r>
    </w:p>
    <w:p w14:paraId="761D518E" w14:textId="0F3EA426" w:rsidR="007D5162" w:rsidRDefault="007D5162">
      <w:pPr>
        <w:pStyle w:val="TOC3"/>
        <w:tabs>
          <w:tab w:val="right" w:leader="dot" w:pos="9060"/>
        </w:tabs>
        <w:rPr>
          <w:rFonts w:asciiTheme="minorHAnsi" w:eastAsiaTheme="minorEastAsia" w:hAnsiTheme="minorHAnsi" w:cstheme="minorBidi"/>
          <w:noProof/>
          <w:szCs w:val="22"/>
          <w:lang w:eastAsia="en-AU"/>
        </w:rPr>
      </w:pPr>
      <w:r>
        <w:rPr>
          <w:noProof/>
        </w:rPr>
        <w:t>Table 4. COVID-19 treatment in residential care facilities</w:t>
      </w:r>
      <w:r>
        <w:rPr>
          <w:noProof/>
        </w:rPr>
        <w:tab/>
      </w:r>
      <w:r>
        <w:rPr>
          <w:noProof/>
        </w:rPr>
        <w:fldChar w:fldCharType="begin"/>
      </w:r>
      <w:r>
        <w:rPr>
          <w:noProof/>
        </w:rPr>
        <w:instrText xml:space="preserve"> PAGEREF _Toc115342402 \h </w:instrText>
      </w:r>
      <w:r>
        <w:rPr>
          <w:noProof/>
        </w:rPr>
      </w:r>
      <w:r>
        <w:rPr>
          <w:noProof/>
        </w:rPr>
        <w:fldChar w:fldCharType="separate"/>
      </w:r>
      <w:r>
        <w:rPr>
          <w:noProof/>
        </w:rPr>
        <w:t>21</w:t>
      </w:r>
      <w:r>
        <w:rPr>
          <w:noProof/>
        </w:rPr>
        <w:fldChar w:fldCharType="end"/>
      </w:r>
    </w:p>
    <w:p w14:paraId="5DCEB071" w14:textId="3E1F116F" w:rsidR="007D5162" w:rsidRDefault="007D5162">
      <w:pPr>
        <w:pStyle w:val="TOC3"/>
        <w:tabs>
          <w:tab w:val="right" w:leader="dot" w:pos="9060"/>
        </w:tabs>
        <w:rPr>
          <w:rFonts w:asciiTheme="minorHAnsi" w:eastAsiaTheme="minorEastAsia" w:hAnsiTheme="minorHAnsi" w:cstheme="minorBidi"/>
          <w:noProof/>
          <w:szCs w:val="22"/>
          <w:lang w:eastAsia="en-AU"/>
        </w:rPr>
      </w:pPr>
      <w:r>
        <w:rPr>
          <w:noProof/>
        </w:rPr>
        <w:t>Table 5. Influenza treatment in residential care facilities</w:t>
      </w:r>
      <w:r>
        <w:rPr>
          <w:noProof/>
        </w:rPr>
        <w:tab/>
      </w:r>
      <w:r>
        <w:rPr>
          <w:noProof/>
        </w:rPr>
        <w:fldChar w:fldCharType="begin"/>
      </w:r>
      <w:r>
        <w:rPr>
          <w:noProof/>
        </w:rPr>
        <w:instrText xml:space="preserve"> PAGEREF _Toc115342403 \h </w:instrText>
      </w:r>
      <w:r>
        <w:rPr>
          <w:noProof/>
        </w:rPr>
      </w:r>
      <w:r>
        <w:rPr>
          <w:noProof/>
        </w:rPr>
        <w:fldChar w:fldCharType="separate"/>
      </w:r>
      <w:r>
        <w:rPr>
          <w:noProof/>
        </w:rPr>
        <w:t>21</w:t>
      </w:r>
      <w:r>
        <w:rPr>
          <w:noProof/>
        </w:rPr>
        <w:fldChar w:fldCharType="end"/>
      </w:r>
    </w:p>
    <w:p w14:paraId="5D53C2A1" w14:textId="1B9A99D8" w:rsidR="007D5162" w:rsidRDefault="007D5162">
      <w:pPr>
        <w:pStyle w:val="TOC3"/>
        <w:tabs>
          <w:tab w:val="right" w:leader="dot" w:pos="9060"/>
        </w:tabs>
        <w:rPr>
          <w:rFonts w:asciiTheme="minorHAnsi" w:eastAsiaTheme="minorEastAsia" w:hAnsiTheme="minorHAnsi" w:cstheme="minorBidi"/>
          <w:noProof/>
          <w:szCs w:val="22"/>
          <w:lang w:eastAsia="en-AU"/>
        </w:rPr>
      </w:pPr>
      <w:r>
        <w:rPr>
          <w:noProof/>
        </w:rPr>
        <w:t>Table 6. Influenza prophylaxis in residential care facilities</w:t>
      </w:r>
      <w:r>
        <w:rPr>
          <w:noProof/>
        </w:rPr>
        <w:tab/>
      </w:r>
      <w:r>
        <w:rPr>
          <w:noProof/>
        </w:rPr>
        <w:fldChar w:fldCharType="begin"/>
      </w:r>
      <w:r>
        <w:rPr>
          <w:noProof/>
        </w:rPr>
        <w:instrText xml:space="preserve"> PAGEREF _Toc115342404 \h </w:instrText>
      </w:r>
      <w:r>
        <w:rPr>
          <w:noProof/>
        </w:rPr>
      </w:r>
      <w:r>
        <w:rPr>
          <w:noProof/>
        </w:rPr>
        <w:fldChar w:fldCharType="separate"/>
      </w:r>
      <w:r>
        <w:rPr>
          <w:noProof/>
        </w:rPr>
        <w:t>22</w:t>
      </w:r>
      <w:r>
        <w:rPr>
          <w:noProof/>
        </w:rPr>
        <w:fldChar w:fldCharType="end"/>
      </w:r>
    </w:p>
    <w:p w14:paraId="715E83AF" w14:textId="78C482C0" w:rsidR="007D5162" w:rsidRDefault="007D5162">
      <w:pPr>
        <w:pStyle w:val="TOC3"/>
        <w:tabs>
          <w:tab w:val="right" w:leader="dot" w:pos="9060"/>
        </w:tabs>
        <w:rPr>
          <w:rFonts w:asciiTheme="minorHAnsi" w:eastAsiaTheme="minorEastAsia" w:hAnsiTheme="minorHAnsi" w:cstheme="minorBidi"/>
          <w:noProof/>
          <w:szCs w:val="22"/>
          <w:lang w:eastAsia="en-AU"/>
        </w:rPr>
      </w:pPr>
      <w:r>
        <w:rPr>
          <w:noProof/>
        </w:rPr>
        <w:t>Table 7. Adjusting oseltamivir (Tamiflu) dosage in the setting of renal failure*</w:t>
      </w:r>
      <w:r>
        <w:rPr>
          <w:noProof/>
        </w:rPr>
        <w:tab/>
      </w:r>
      <w:r>
        <w:rPr>
          <w:noProof/>
        </w:rPr>
        <w:fldChar w:fldCharType="begin"/>
      </w:r>
      <w:r>
        <w:rPr>
          <w:noProof/>
        </w:rPr>
        <w:instrText xml:space="preserve"> PAGEREF _Toc115342405 \h </w:instrText>
      </w:r>
      <w:r>
        <w:rPr>
          <w:noProof/>
        </w:rPr>
      </w:r>
      <w:r>
        <w:rPr>
          <w:noProof/>
        </w:rPr>
        <w:fldChar w:fldCharType="separate"/>
      </w:r>
      <w:r>
        <w:rPr>
          <w:noProof/>
        </w:rPr>
        <w:t>22</w:t>
      </w:r>
      <w:r>
        <w:rPr>
          <w:noProof/>
        </w:rPr>
        <w:fldChar w:fldCharType="end"/>
      </w:r>
    </w:p>
    <w:p w14:paraId="51EED1AD" w14:textId="326569C8" w:rsidR="007D5162" w:rsidRDefault="007D5162">
      <w:pPr>
        <w:pStyle w:val="TOC3"/>
        <w:tabs>
          <w:tab w:val="right" w:leader="dot" w:pos="9060"/>
        </w:tabs>
        <w:rPr>
          <w:rFonts w:asciiTheme="minorHAnsi" w:eastAsiaTheme="minorEastAsia" w:hAnsiTheme="minorHAnsi" w:cstheme="minorBidi"/>
          <w:noProof/>
          <w:szCs w:val="22"/>
          <w:lang w:eastAsia="en-AU"/>
        </w:rPr>
      </w:pPr>
      <w:r>
        <w:rPr>
          <w:noProof/>
        </w:rPr>
        <w:t>Table 8. Influenza antiviral prophylaxis in residential care facilities decision tool</w:t>
      </w:r>
      <w:r>
        <w:rPr>
          <w:noProof/>
        </w:rPr>
        <w:tab/>
      </w:r>
      <w:r>
        <w:rPr>
          <w:noProof/>
        </w:rPr>
        <w:fldChar w:fldCharType="begin"/>
      </w:r>
      <w:r>
        <w:rPr>
          <w:noProof/>
        </w:rPr>
        <w:instrText xml:space="preserve"> PAGEREF _Toc115342406 \h </w:instrText>
      </w:r>
      <w:r>
        <w:rPr>
          <w:noProof/>
        </w:rPr>
      </w:r>
      <w:r>
        <w:rPr>
          <w:noProof/>
        </w:rPr>
        <w:fldChar w:fldCharType="separate"/>
      </w:r>
      <w:r>
        <w:rPr>
          <w:noProof/>
        </w:rPr>
        <w:t>23</w:t>
      </w:r>
      <w:r>
        <w:rPr>
          <w:noProof/>
        </w:rPr>
        <w:fldChar w:fldCharType="end"/>
      </w:r>
    </w:p>
    <w:p w14:paraId="51EEB27D" w14:textId="55DD512D" w:rsidR="007D5162" w:rsidRDefault="007D5162">
      <w:pPr>
        <w:pStyle w:val="TOC2"/>
        <w:tabs>
          <w:tab w:val="right" w:leader="dot" w:pos="9060"/>
        </w:tabs>
        <w:rPr>
          <w:rFonts w:asciiTheme="minorHAnsi" w:eastAsiaTheme="minorEastAsia" w:hAnsiTheme="minorHAnsi" w:cstheme="minorBidi"/>
          <w:noProof/>
          <w:szCs w:val="22"/>
          <w:lang w:eastAsia="en-AU"/>
        </w:rPr>
      </w:pPr>
      <w:r w:rsidRPr="004D5C8B">
        <w:rPr>
          <w:rFonts w:eastAsiaTheme="minorHAnsi"/>
          <w:noProof/>
        </w:rPr>
        <w:t>Appendix 3. Key documents and resources</w:t>
      </w:r>
      <w:r>
        <w:rPr>
          <w:noProof/>
        </w:rPr>
        <w:tab/>
      </w:r>
      <w:r>
        <w:rPr>
          <w:noProof/>
        </w:rPr>
        <w:fldChar w:fldCharType="begin"/>
      </w:r>
      <w:r>
        <w:rPr>
          <w:noProof/>
        </w:rPr>
        <w:instrText xml:space="preserve"> PAGEREF _Toc115342407 \h </w:instrText>
      </w:r>
      <w:r>
        <w:rPr>
          <w:noProof/>
        </w:rPr>
      </w:r>
      <w:r>
        <w:rPr>
          <w:noProof/>
        </w:rPr>
        <w:fldChar w:fldCharType="separate"/>
      </w:r>
      <w:r>
        <w:rPr>
          <w:noProof/>
        </w:rPr>
        <w:t>24</w:t>
      </w:r>
      <w:r>
        <w:rPr>
          <w:noProof/>
        </w:rPr>
        <w:fldChar w:fldCharType="end"/>
      </w:r>
    </w:p>
    <w:p w14:paraId="4D423AAE" w14:textId="1236EB7D" w:rsidR="007D5162" w:rsidRDefault="007D5162">
      <w:pPr>
        <w:pStyle w:val="TOC3"/>
        <w:tabs>
          <w:tab w:val="right" w:leader="dot" w:pos="9060"/>
        </w:tabs>
        <w:rPr>
          <w:rFonts w:asciiTheme="minorHAnsi" w:eastAsiaTheme="minorEastAsia" w:hAnsiTheme="minorHAnsi" w:cstheme="minorBidi"/>
          <w:noProof/>
          <w:szCs w:val="22"/>
          <w:lang w:eastAsia="en-AU"/>
        </w:rPr>
      </w:pPr>
      <w:r>
        <w:rPr>
          <w:noProof/>
        </w:rPr>
        <w:t>Aged Care Quality and Safety Commission</w:t>
      </w:r>
      <w:r>
        <w:rPr>
          <w:noProof/>
        </w:rPr>
        <w:tab/>
      </w:r>
      <w:r>
        <w:rPr>
          <w:noProof/>
        </w:rPr>
        <w:fldChar w:fldCharType="begin"/>
      </w:r>
      <w:r>
        <w:rPr>
          <w:noProof/>
        </w:rPr>
        <w:instrText xml:space="preserve"> PAGEREF _Toc115342408 \h </w:instrText>
      </w:r>
      <w:r>
        <w:rPr>
          <w:noProof/>
        </w:rPr>
      </w:r>
      <w:r>
        <w:rPr>
          <w:noProof/>
        </w:rPr>
        <w:fldChar w:fldCharType="separate"/>
      </w:r>
      <w:r>
        <w:rPr>
          <w:noProof/>
        </w:rPr>
        <w:t>24</w:t>
      </w:r>
      <w:r>
        <w:rPr>
          <w:noProof/>
        </w:rPr>
        <w:fldChar w:fldCharType="end"/>
      </w:r>
    </w:p>
    <w:p w14:paraId="00D1F3D1" w14:textId="1BE6F9AB" w:rsidR="007D5162" w:rsidRDefault="007D5162">
      <w:pPr>
        <w:pStyle w:val="TOC3"/>
        <w:tabs>
          <w:tab w:val="right" w:leader="dot" w:pos="9060"/>
        </w:tabs>
        <w:rPr>
          <w:rFonts w:asciiTheme="minorHAnsi" w:eastAsiaTheme="minorEastAsia" w:hAnsiTheme="minorHAnsi" w:cstheme="minorBidi"/>
          <w:noProof/>
          <w:szCs w:val="22"/>
          <w:lang w:eastAsia="en-AU"/>
        </w:rPr>
      </w:pPr>
      <w:r>
        <w:rPr>
          <w:noProof/>
        </w:rPr>
        <w:t>Australian Government Department of Health and Aged Care</w:t>
      </w:r>
      <w:r>
        <w:rPr>
          <w:noProof/>
        </w:rPr>
        <w:tab/>
      </w:r>
      <w:r>
        <w:rPr>
          <w:noProof/>
        </w:rPr>
        <w:fldChar w:fldCharType="begin"/>
      </w:r>
      <w:r>
        <w:rPr>
          <w:noProof/>
        </w:rPr>
        <w:instrText xml:space="preserve"> PAGEREF _Toc115342409 \h </w:instrText>
      </w:r>
      <w:r>
        <w:rPr>
          <w:noProof/>
        </w:rPr>
      </w:r>
      <w:r>
        <w:rPr>
          <w:noProof/>
        </w:rPr>
        <w:fldChar w:fldCharType="separate"/>
      </w:r>
      <w:r>
        <w:rPr>
          <w:noProof/>
        </w:rPr>
        <w:t>24</w:t>
      </w:r>
      <w:r>
        <w:rPr>
          <w:noProof/>
        </w:rPr>
        <w:fldChar w:fldCharType="end"/>
      </w:r>
    </w:p>
    <w:p w14:paraId="11833ACC" w14:textId="158395C6" w:rsidR="007D5162" w:rsidRDefault="007D5162">
      <w:pPr>
        <w:pStyle w:val="TOC3"/>
        <w:tabs>
          <w:tab w:val="right" w:leader="dot" w:pos="9060"/>
        </w:tabs>
        <w:rPr>
          <w:rFonts w:asciiTheme="minorHAnsi" w:eastAsiaTheme="minorEastAsia" w:hAnsiTheme="minorHAnsi" w:cstheme="minorBidi"/>
          <w:noProof/>
          <w:szCs w:val="22"/>
          <w:lang w:eastAsia="en-AU"/>
        </w:rPr>
      </w:pPr>
      <w:r w:rsidRPr="004D5C8B">
        <w:rPr>
          <w:rFonts w:eastAsia="Times"/>
          <w:noProof/>
        </w:rPr>
        <w:t>Communicable Diseases Network Australia National Guidelines for Public Health Units</w:t>
      </w:r>
      <w:r>
        <w:rPr>
          <w:noProof/>
        </w:rPr>
        <w:tab/>
      </w:r>
      <w:r>
        <w:rPr>
          <w:noProof/>
        </w:rPr>
        <w:fldChar w:fldCharType="begin"/>
      </w:r>
      <w:r>
        <w:rPr>
          <w:noProof/>
        </w:rPr>
        <w:instrText xml:space="preserve"> PAGEREF _Toc115342410 \h </w:instrText>
      </w:r>
      <w:r>
        <w:rPr>
          <w:noProof/>
        </w:rPr>
      </w:r>
      <w:r>
        <w:rPr>
          <w:noProof/>
        </w:rPr>
        <w:fldChar w:fldCharType="separate"/>
      </w:r>
      <w:r>
        <w:rPr>
          <w:noProof/>
        </w:rPr>
        <w:t>24</w:t>
      </w:r>
      <w:r>
        <w:rPr>
          <w:noProof/>
        </w:rPr>
        <w:fldChar w:fldCharType="end"/>
      </w:r>
    </w:p>
    <w:p w14:paraId="72735B7B" w14:textId="2FDCEC51" w:rsidR="007D5162" w:rsidRDefault="007D5162">
      <w:pPr>
        <w:pStyle w:val="TOC3"/>
        <w:tabs>
          <w:tab w:val="right" w:leader="dot" w:pos="9060"/>
        </w:tabs>
        <w:rPr>
          <w:rFonts w:asciiTheme="minorHAnsi" w:eastAsiaTheme="minorEastAsia" w:hAnsiTheme="minorHAnsi" w:cstheme="minorBidi"/>
          <w:noProof/>
          <w:szCs w:val="22"/>
          <w:lang w:eastAsia="en-AU"/>
        </w:rPr>
      </w:pPr>
      <w:r w:rsidRPr="004D5C8B">
        <w:rPr>
          <w:rFonts w:eastAsia="MS Mincho"/>
          <w:noProof/>
          <w:lang w:val="en-GB" w:eastAsia="en-AU"/>
        </w:rPr>
        <w:t>Infection, prevention, and control</w:t>
      </w:r>
      <w:r>
        <w:rPr>
          <w:noProof/>
        </w:rPr>
        <w:tab/>
      </w:r>
      <w:r>
        <w:rPr>
          <w:noProof/>
        </w:rPr>
        <w:fldChar w:fldCharType="begin"/>
      </w:r>
      <w:r>
        <w:rPr>
          <w:noProof/>
        </w:rPr>
        <w:instrText xml:space="preserve"> PAGEREF _Toc115342411 \h </w:instrText>
      </w:r>
      <w:r>
        <w:rPr>
          <w:noProof/>
        </w:rPr>
      </w:r>
      <w:r>
        <w:rPr>
          <w:noProof/>
        </w:rPr>
        <w:fldChar w:fldCharType="separate"/>
      </w:r>
      <w:r>
        <w:rPr>
          <w:noProof/>
        </w:rPr>
        <w:t>24</w:t>
      </w:r>
      <w:r>
        <w:rPr>
          <w:noProof/>
        </w:rPr>
        <w:fldChar w:fldCharType="end"/>
      </w:r>
    </w:p>
    <w:p w14:paraId="4E896BF1" w14:textId="00749905" w:rsidR="007D5162" w:rsidRDefault="007D5162">
      <w:pPr>
        <w:pStyle w:val="TOC3"/>
        <w:tabs>
          <w:tab w:val="right" w:leader="dot" w:pos="9060"/>
        </w:tabs>
        <w:rPr>
          <w:rFonts w:asciiTheme="minorHAnsi" w:eastAsiaTheme="minorEastAsia" w:hAnsiTheme="minorHAnsi" w:cstheme="minorBidi"/>
          <w:noProof/>
          <w:szCs w:val="22"/>
          <w:lang w:eastAsia="en-AU"/>
        </w:rPr>
      </w:pPr>
      <w:r w:rsidRPr="004D5C8B">
        <w:rPr>
          <w:rFonts w:eastAsia="MS Mincho"/>
          <w:noProof/>
        </w:rPr>
        <w:t>Treatment and prophylaxis</w:t>
      </w:r>
      <w:r>
        <w:rPr>
          <w:noProof/>
        </w:rPr>
        <w:tab/>
      </w:r>
      <w:r>
        <w:rPr>
          <w:noProof/>
        </w:rPr>
        <w:fldChar w:fldCharType="begin"/>
      </w:r>
      <w:r>
        <w:rPr>
          <w:noProof/>
        </w:rPr>
        <w:instrText xml:space="preserve"> PAGEREF _Toc115342412 \h </w:instrText>
      </w:r>
      <w:r>
        <w:rPr>
          <w:noProof/>
        </w:rPr>
      </w:r>
      <w:r>
        <w:rPr>
          <w:noProof/>
        </w:rPr>
        <w:fldChar w:fldCharType="separate"/>
      </w:r>
      <w:r>
        <w:rPr>
          <w:noProof/>
        </w:rPr>
        <w:t>25</w:t>
      </w:r>
      <w:r>
        <w:rPr>
          <w:noProof/>
        </w:rPr>
        <w:fldChar w:fldCharType="end"/>
      </w:r>
    </w:p>
    <w:p w14:paraId="0ABBAA73" w14:textId="08FECE27" w:rsidR="00710227" w:rsidRPr="007F4B70" w:rsidRDefault="0059420E" w:rsidP="007F4B70">
      <w:pPr>
        <w:pStyle w:val="Heading1"/>
        <w:rPr>
          <w:b w:val="0"/>
          <w:bCs w:val="0"/>
        </w:rPr>
      </w:pPr>
      <w:r>
        <w:rPr>
          <w:b w:val="0"/>
          <w:bCs w:val="0"/>
        </w:rPr>
        <w:lastRenderedPageBreak/>
        <w:fldChar w:fldCharType="end"/>
      </w:r>
      <w:bookmarkStart w:id="1" w:name="_Toc115342378"/>
      <w:r w:rsidR="00710227" w:rsidRPr="007F4B70">
        <w:rPr>
          <w:b w:val="0"/>
          <w:bCs w:val="0"/>
        </w:rPr>
        <w:t>Purpose</w:t>
      </w:r>
      <w:bookmarkEnd w:id="1"/>
      <w:r w:rsidR="00710227" w:rsidRPr="007F4B70">
        <w:rPr>
          <w:b w:val="0"/>
          <w:bCs w:val="0"/>
        </w:rPr>
        <w:t xml:space="preserve"> </w:t>
      </w:r>
    </w:p>
    <w:p w14:paraId="5C86BBD1" w14:textId="18AFC2A0" w:rsidR="00710227" w:rsidRPr="00710227" w:rsidRDefault="00710227" w:rsidP="00710227">
      <w:pPr>
        <w:spacing w:after="120"/>
        <w:rPr>
          <w:szCs w:val="22"/>
        </w:rPr>
      </w:pPr>
      <w:r w:rsidRPr="00710227">
        <w:rPr>
          <w:szCs w:val="22"/>
        </w:rPr>
        <w:t xml:space="preserve">The information in this guideline applies to all RCFs in Australia and can be used to help facilities with planning, preparation, detection and management of cases and outbreaks of acute respiratory </w:t>
      </w:r>
      <w:r w:rsidR="00E31FE3">
        <w:rPr>
          <w:szCs w:val="22"/>
        </w:rPr>
        <w:t>infection</w:t>
      </w:r>
      <w:r w:rsidRPr="00710227">
        <w:rPr>
          <w:szCs w:val="22"/>
        </w:rPr>
        <w:t xml:space="preserve"> (ARI). </w:t>
      </w:r>
    </w:p>
    <w:p w14:paraId="37E02A0D" w14:textId="77777777" w:rsidR="00710227" w:rsidRPr="00710227" w:rsidRDefault="00710227" w:rsidP="00710227">
      <w:pPr>
        <w:spacing w:after="120"/>
        <w:rPr>
          <w:szCs w:val="22"/>
        </w:rPr>
      </w:pPr>
      <w:r w:rsidRPr="00710227">
        <w:rPr>
          <w:szCs w:val="22"/>
        </w:rPr>
        <w:t>The RCF can be any public or private service where facility staff provide residents with personal care or health care. This includes:</w:t>
      </w:r>
    </w:p>
    <w:p w14:paraId="2DBA087E" w14:textId="77777777" w:rsidR="00710227" w:rsidRPr="00710227" w:rsidRDefault="00710227" w:rsidP="00710227">
      <w:pPr>
        <w:pStyle w:val="ListBullet"/>
        <w:keepNext/>
        <w:keepLines/>
        <w:numPr>
          <w:ilvl w:val="0"/>
          <w:numId w:val="23"/>
        </w:numPr>
        <w:spacing w:after="120"/>
        <w:rPr>
          <w:sz w:val="22"/>
          <w:szCs w:val="22"/>
        </w:rPr>
      </w:pPr>
      <w:r w:rsidRPr="00710227">
        <w:rPr>
          <w:sz w:val="22"/>
          <w:szCs w:val="22"/>
        </w:rPr>
        <w:t xml:space="preserve">residential aged care </w:t>
      </w:r>
    </w:p>
    <w:p w14:paraId="62D2CACA" w14:textId="77777777" w:rsidR="00710227" w:rsidRPr="00710227" w:rsidRDefault="00710227" w:rsidP="00710227">
      <w:pPr>
        <w:pStyle w:val="ListBullet"/>
        <w:keepNext/>
        <w:keepLines/>
        <w:numPr>
          <w:ilvl w:val="0"/>
          <w:numId w:val="23"/>
        </w:numPr>
        <w:spacing w:after="120"/>
        <w:rPr>
          <w:sz w:val="22"/>
          <w:szCs w:val="22"/>
        </w:rPr>
      </w:pPr>
      <w:r w:rsidRPr="00710227">
        <w:rPr>
          <w:sz w:val="22"/>
          <w:szCs w:val="22"/>
        </w:rPr>
        <w:t xml:space="preserve">community based residential health facilities (for example, drug and alcohol services) </w:t>
      </w:r>
    </w:p>
    <w:p w14:paraId="4BBAA3FD" w14:textId="77777777" w:rsidR="00710227" w:rsidRPr="00710227" w:rsidRDefault="00710227" w:rsidP="00710227">
      <w:pPr>
        <w:pStyle w:val="ListBullet"/>
        <w:keepNext/>
        <w:keepLines/>
        <w:numPr>
          <w:ilvl w:val="0"/>
          <w:numId w:val="23"/>
        </w:numPr>
        <w:spacing w:after="120"/>
        <w:rPr>
          <w:sz w:val="22"/>
          <w:szCs w:val="22"/>
        </w:rPr>
      </w:pPr>
      <w:r w:rsidRPr="00710227">
        <w:rPr>
          <w:sz w:val="22"/>
          <w:szCs w:val="22"/>
        </w:rPr>
        <w:t xml:space="preserve">long stay hospital wards and rehabilitation hospitals </w:t>
      </w:r>
    </w:p>
    <w:p w14:paraId="5231FD5F" w14:textId="77777777" w:rsidR="00710227" w:rsidRPr="00710227" w:rsidRDefault="00710227" w:rsidP="00710227">
      <w:pPr>
        <w:pStyle w:val="ListBullet"/>
        <w:keepNext/>
        <w:keepLines/>
        <w:numPr>
          <w:ilvl w:val="0"/>
          <w:numId w:val="23"/>
        </w:numPr>
        <w:spacing w:after="120"/>
        <w:rPr>
          <w:sz w:val="22"/>
          <w:szCs w:val="22"/>
        </w:rPr>
      </w:pPr>
      <w:r w:rsidRPr="00710227">
        <w:rPr>
          <w:sz w:val="22"/>
          <w:szCs w:val="22"/>
        </w:rPr>
        <w:t>other similar accommodation settings in Australia.</w:t>
      </w:r>
    </w:p>
    <w:p w14:paraId="62D204E5" w14:textId="77777777" w:rsidR="00710227" w:rsidRPr="00710227" w:rsidRDefault="00710227" w:rsidP="00710227">
      <w:pPr>
        <w:spacing w:after="120"/>
        <w:rPr>
          <w:szCs w:val="22"/>
        </w:rPr>
      </w:pPr>
      <w:r w:rsidRPr="00710227">
        <w:rPr>
          <w:szCs w:val="22"/>
        </w:rPr>
        <w:t>This guideline can assist the following groups in providing best practice information on preventing and managing ARI outbreaks in RCF:</w:t>
      </w:r>
    </w:p>
    <w:p w14:paraId="2E12A7CC" w14:textId="77777777" w:rsidR="00710227" w:rsidRPr="00710227" w:rsidRDefault="00710227" w:rsidP="00710227">
      <w:pPr>
        <w:pStyle w:val="ListBullet"/>
        <w:keepNext/>
        <w:keepLines/>
        <w:numPr>
          <w:ilvl w:val="0"/>
          <w:numId w:val="23"/>
        </w:numPr>
        <w:spacing w:after="120"/>
        <w:rPr>
          <w:sz w:val="22"/>
          <w:szCs w:val="22"/>
        </w:rPr>
      </w:pPr>
      <w:r w:rsidRPr="00710227">
        <w:rPr>
          <w:sz w:val="22"/>
          <w:szCs w:val="22"/>
        </w:rPr>
        <w:t xml:space="preserve">administrators of facilities </w:t>
      </w:r>
    </w:p>
    <w:p w14:paraId="1CBC1873" w14:textId="77777777" w:rsidR="00710227" w:rsidRPr="00710227" w:rsidRDefault="00710227" w:rsidP="00710227">
      <w:pPr>
        <w:pStyle w:val="ListBullet"/>
        <w:keepNext/>
        <w:keepLines/>
        <w:numPr>
          <w:ilvl w:val="0"/>
          <w:numId w:val="23"/>
        </w:numPr>
        <w:spacing w:after="120"/>
        <w:rPr>
          <w:sz w:val="22"/>
          <w:szCs w:val="22"/>
        </w:rPr>
      </w:pPr>
      <w:r w:rsidRPr="00710227">
        <w:rPr>
          <w:sz w:val="22"/>
          <w:szCs w:val="22"/>
        </w:rPr>
        <w:t xml:space="preserve">staff of facilities </w:t>
      </w:r>
    </w:p>
    <w:p w14:paraId="7702B75C" w14:textId="77777777" w:rsidR="00710227" w:rsidRPr="00710227" w:rsidRDefault="00710227" w:rsidP="00710227">
      <w:pPr>
        <w:pStyle w:val="ListBullet"/>
        <w:keepNext/>
        <w:keepLines/>
        <w:numPr>
          <w:ilvl w:val="0"/>
          <w:numId w:val="23"/>
        </w:numPr>
        <w:spacing w:after="120"/>
        <w:rPr>
          <w:sz w:val="22"/>
          <w:szCs w:val="22"/>
        </w:rPr>
      </w:pPr>
      <w:r w:rsidRPr="00710227">
        <w:rPr>
          <w:sz w:val="22"/>
          <w:szCs w:val="22"/>
        </w:rPr>
        <w:t>health and aged care workers</w:t>
      </w:r>
    </w:p>
    <w:p w14:paraId="3E413E7B" w14:textId="7BCDF6B9" w:rsidR="00710227" w:rsidRDefault="00710227" w:rsidP="00710227">
      <w:pPr>
        <w:pStyle w:val="ListBullet"/>
        <w:keepNext/>
        <w:keepLines/>
        <w:numPr>
          <w:ilvl w:val="0"/>
          <w:numId w:val="23"/>
        </w:numPr>
        <w:spacing w:after="120"/>
        <w:rPr>
          <w:sz w:val="22"/>
          <w:szCs w:val="22"/>
        </w:rPr>
      </w:pPr>
      <w:r w:rsidRPr="00710227">
        <w:rPr>
          <w:sz w:val="22"/>
          <w:szCs w:val="22"/>
        </w:rPr>
        <w:t>public health unit (PHU)/</w:t>
      </w:r>
      <w:r w:rsidR="00303EDC">
        <w:rPr>
          <w:sz w:val="22"/>
          <w:szCs w:val="22"/>
        </w:rPr>
        <w:t>communicable diseases unit</w:t>
      </w:r>
      <w:r w:rsidRPr="00710227">
        <w:rPr>
          <w:sz w:val="22"/>
          <w:szCs w:val="22"/>
        </w:rPr>
        <w:t>.</w:t>
      </w:r>
    </w:p>
    <w:p w14:paraId="02E59F10" w14:textId="77777777" w:rsidR="00DE6820" w:rsidRDefault="00DE6820" w:rsidP="00924F5A">
      <w:pPr>
        <w:rPr>
          <w:b/>
          <w:bCs/>
          <w:szCs w:val="22"/>
        </w:rPr>
      </w:pPr>
      <w:bookmarkStart w:id="2" w:name="_Hlk106192857"/>
    </w:p>
    <w:p w14:paraId="68875518" w14:textId="6991C298" w:rsidR="00924F5A" w:rsidRPr="00AF4959" w:rsidRDefault="00EF4370" w:rsidP="00924F5A">
      <w:pPr>
        <w:rPr>
          <w:rFonts w:cs="Arial"/>
        </w:rPr>
      </w:pPr>
      <w:r w:rsidRPr="00924F5A">
        <w:rPr>
          <w:b/>
          <w:bCs/>
          <w:szCs w:val="22"/>
        </w:rPr>
        <w:t>Note:</w:t>
      </w:r>
      <w:r>
        <w:rPr>
          <w:szCs w:val="22"/>
        </w:rPr>
        <w:t xml:space="preserve"> </w:t>
      </w:r>
      <w:r w:rsidR="00924F5A" w:rsidRPr="00924F5A">
        <w:rPr>
          <w:szCs w:val="22"/>
        </w:rPr>
        <w:t>While some of the high-level principles described by these Guidelines may be relevant to residential disability service providers, these services usually differ from other residential services such as large residential aged care facilities, they are often small and have restricted options for isolation and infection prevention and control. A</w:t>
      </w:r>
      <w:r w:rsidR="00BC1300">
        <w:rPr>
          <w:szCs w:val="22"/>
        </w:rPr>
        <w:t>s such, a</w:t>
      </w:r>
      <w:r w:rsidR="00924F5A" w:rsidRPr="00924F5A">
        <w:rPr>
          <w:szCs w:val="22"/>
        </w:rPr>
        <w:t xml:space="preserve"> </w:t>
      </w:r>
      <w:r w:rsidR="00BC1300">
        <w:rPr>
          <w:szCs w:val="22"/>
        </w:rPr>
        <w:t xml:space="preserve">separate </w:t>
      </w:r>
      <w:r w:rsidR="00924F5A" w:rsidRPr="00924F5A">
        <w:rPr>
          <w:szCs w:val="22"/>
        </w:rPr>
        <w:t>CDNA National Guidelines for the Prevention, Control and Public Health Management of Outbreaks of Acute Respiratory Infection (including COVID-19 and Influenza) in Disability Residential Services is currently under development</w:t>
      </w:r>
      <w:r w:rsidR="00DE6820">
        <w:rPr>
          <w:szCs w:val="22"/>
        </w:rPr>
        <w:t>. H</w:t>
      </w:r>
      <w:r w:rsidR="00924F5A" w:rsidRPr="00924F5A">
        <w:rPr>
          <w:szCs w:val="22"/>
        </w:rPr>
        <w:t>owever</w:t>
      </w:r>
      <w:r w:rsidR="00DE6820">
        <w:rPr>
          <w:szCs w:val="22"/>
        </w:rPr>
        <w:t xml:space="preserve"> </w:t>
      </w:r>
      <w:r w:rsidR="00924F5A" w:rsidRPr="00924F5A">
        <w:rPr>
          <w:szCs w:val="22"/>
        </w:rPr>
        <w:t>for further information, residential disability services should refer to the</w:t>
      </w:r>
      <w:r w:rsidR="00924F5A" w:rsidRPr="00924F5A">
        <w:rPr>
          <w:rFonts w:cs="Arial"/>
        </w:rPr>
        <w:t xml:space="preserve"> </w:t>
      </w:r>
      <w:hyperlink r:id="rId14" w:history="1">
        <w:r w:rsidR="00924F5A" w:rsidRPr="00924F5A">
          <w:rPr>
            <w:rStyle w:val="Hyperlink"/>
            <w:rFonts w:cs="Arial"/>
          </w:rPr>
          <w:t>Disability Supplement</w:t>
        </w:r>
      </w:hyperlink>
      <w:r w:rsidR="00924F5A" w:rsidRPr="00924F5A">
        <w:rPr>
          <w:rFonts w:cs="Arial"/>
        </w:rPr>
        <w:t xml:space="preserve"> </w:t>
      </w:r>
      <w:r w:rsidR="00924F5A">
        <w:rPr>
          <w:rFonts w:cs="Arial"/>
        </w:rPr>
        <w:t xml:space="preserve">which </w:t>
      </w:r>
      <w:r w:rsidR="00924F5A" w:rsidRPr="00924F5A">
        <w:rPr>
          <w:rFonts w:cs="Arial"/>
        </w:rPr>
        <w:t>provides national guidance on the prevention and management of COVID-19 outbreaks</w:t>
      </w:r>
      <w:r w:rsidR="00924F5A">
        <w:rPr>
          <w:rFonts w:cs="Arial"/>
        </w:rPr>
        <w:t xml:space="preserve"> </w:t>
      </w:r>
    </w:p>
    <w:p w14:paraId="6806CA79" w14:textId="77777777" w:rsidR="00710227" w:rsidRPr="007F4B70" w:rsidRDefault="00710227" w:rsidP="007F4B70">
      <w:pPr>
        <w:pStyle w:val="Heading2"/>
      </w:pPr>
      <w:bookmarkStart w:id="3" w:name="_Toc104904604"/>
      <w:bookmarkStart w:id="4" w:name="_Toc115342379"/>
      <w:bookmarkEnd w:id="2"/>
      <w:r w:rsidRPr="007F4B70">
        <w:rPr>
          <w:rFonts w:eastAsiaTheme="minorHAnsi"/>
        </w:rPr>
        <w:lastRenderedPageBreak/>
        <w:t>Overview</w:t>
      </w:r>
      <w:bookmarkEnd w:id="3"/>
      <w:bookmarkEnd w:id="4"/>
    </w:p>
    <w:p w14:paraId="2BC7B136" w14:textId="77777777" w:rsidR="00303EDC" w:rsidRDefault="00303EDC" w:rsidP="00303EDC">
      <w:pPr>
        <w:pStyle w:val="ListBullet"/>
        <w:keepNext/>
        <w:keepLines/>
        <w:numPr>
          <w:ilvl w:val="0"/>
          <w:numId w:val="0"/>
        </w:numPr>
        <w:spacing w:after="120"/>
        <w:ind w:left="360" w:hanging="360"/>
        <w:rPr>
          <w:sz w:val="22"/>
          <w:szCs w:val="22"/>
        </w:rPr>
      </w:pPr>
      <w:r w:rsidRPr="007F4B70">
        <w:rPr>
          <w:rFonts w:eastAsiaTheme="minorHAnsi" w:cs="Arial"/>
          <w:b/>
          <w:color w:val="358189" w:themeColor="accent2"/>
          <w:kern w:val="28"/>
          <w:sz w:val="24"/>
        </w:rPr>
        <w:t>ARI definition</w:t>
      </w:r>
      <w:r>
        <w:t xml:space="preserve"> </w:t>
      </w:r>
      <w:r w:rsidRPr="007F4B70">
        <w:rPr>
          <w:sz w:val="22"/>
          <w:szCs w:val="22"/>
        </w:rPr>
        <w:t>= Recent onset of new or worsening acute respiratory symptoms: cough,</w:t>
      </w:r>
    </w:p>
    <w:p w14:paraId="3D98881A" w14:textId="77777777" w:rsidR="00303EDC" w:rsidRDefault="00303EDC" w:rsidP="00303EDC">
      <w:pPr>
        <w:pStyle w:val="ListBullet"/>
        <w:keepNext/>
        <w:keepLines/>
        <w:numPr>
          <w:ilvl w:val="0"/>
          <w:numId w:val="0"/>
        </w:numPr>
        <w:spacing w:after="120"/>
        <w:ind w:left="360" w:hanging="360"/>
        <w:rPr>
          <w:sz w:val="22"/>
          <w:szCs w:val="22"/>
        </w:rPr>
      </w:pPr>
      <w:r w:rsidRPr="007F4B70">
        <w:rPr>
          <w:sz w:val="22"/>
          <w:szCs w:val="22"/>
        </w:rPr>
        <w:t>breathing difficulty, sore throat, or runny nose/nasal congestion with or without other</w:t>
      </w:r>
    </w:p>
    <w:p w14:paraId="1AF08824" w14:textId="3C685EE2" w:rsidR="00303EDC" w:rsidRPr="007F4B70" w:rsidRDefault="00303EDC" w:rsidP="00303EDC">
      <w:pPr>
        <w:pStyle w:val="ListBullet"/>
        <w:keepNext/>
        <w:keepLines/>
        <w:numPr>
          <w:ilvl w:val="0"/>
          <w:numId w:val="0"/>
        </w:numPr>
        <w:spacing w:after="120"/>
        <w:ind w:left="360" w:hanging="360"/>
        <w:rPr>
          <w:sz w:val="22"/>
          <w:szCs w:val="22"/>
        </w:rPr>
      </w:pPr>
      <w:r w:rsidRPr="007F4B70">
        <w:rPr>
          <w:sz w:val="22"/>
          <w:szCs w:val="22"/>
        </w:rPr>
        <w:t>symptoms (see box below)</w:t>
      </w:r>
      <w:r>
        <w:rPr>
          <w:sz w:val="22"/>
          <w:szCs w:val="22"/>
        </w:rPr>
        <w:t>.</w:t>
      </w:r>
    </w:p>
    <w:p w14:paraId="67928355" w14:textId="5C307C11" w:rsidR="00710227" w:rsidRPr="00710227" w:rsidRDefault="00710227" w:rsidP="00710227">
      <w:pPr>
        <w:pStyle w:val="ListBullet"/>
        <w:keepNext/>
        <w:keepLines/>
        <w:numPr>
          <w:ilvl w:val="0"/>
          <w:numId w:val="23"/>
        </w:numPr>
        <w:spacing w:after="120"/>
        <w:rPr>
          <w:sz w:val="22"/>
          <w:szCs w:val="22"/>
        </w:rPr>
      </w:pPr>
      <w:r w:rsidRPr="00710227">
        <w:rPr>
          <w:sz w:val="22"/>
          <w:szCs w:val="22"/>
        </w:rPr>
        <w:t>Acute respiratory infections (ARI) as defined in this document encompasses a range of infections caused by respiratory viruses, including but not limited to, COVID-19, influenza, and respiratory syncytial virus (RSV)</w:t>
      </w:r>
      <w:r w:rsidR="00537CA2">
        <w:rPr>
          <w:sz w:val="22"/>
          <w:szCs w:val="22"/>
        </w:rPr>
        <w:t>.</w:t>
      </w:r>
    </w:p>
    <w:p w14:paraId="7AC54BFC" w14:textId="4B1472FD" w:rsidR="00710227" w:rsidRPr="00710227" w:rsidRDefault="00710227" w:rsidP="00710227">
      <w:pPr>
        <w:pStyle w:val="ListBullet"/>
        <w:keepNext/>
        <w:keepLines/>
        <w:numPr>
          <w:ilvl w:val="0"/>
          <w:numId w:val="23"/>
        </w:numPr>
        <w:spacing w:after="120"/>
        <w:rPr>
          <w:sz w:val="22"/>
          <w:szCs w:val="22"/>
        </w:rPr>
      </w:pPr>
      <w:r w:rsidRPr="00710227">
        <w:rPr>
          <w:sz w:val="22"/>
          <w:szCs w:val="22"/>
        </w:rPr>
        <w:t>ARI transmission is primarily via droplet and aerosol spread when infected individuals cough, sneeze, talk or shout</w:t>
      </w:r>
      <w:r w:rsidR="00537CA2">
        <w:rPr>
          <w:sz w:val="22"/>
          <w:szCs w:val="22"/>
        </w:rPr>
        <w:t>.</w:t>
      </w:r>
    </w:p>
    <w:p w14:paraId="7E010944" w14:textId="6A8C3371" w:rsidR="00710227" w:rsidRPr="00710227" w:rsidRDefault="00710227" w:rsidP="00710227">
      <w:pPr>
        <w:pStyle w:val="ListBullet"/>
        <w:keepNext/>
        <w:keepLines/>
        <w:numPr>
          <w:ilvl w:val="0"/>
          <w:numId w:val="23"/>
        </w:numPr>
        <w:spacing w:after="120"/>
        <w:rPr>
          <w:sz w:val="22"/>
          <w:szCs w:val="22"/>
        </w:rPr>
      </w:pPr>
      <w:r w:rsidRPr="00710227">
        <w:rPr>
          <w:sz w:val="22"/>
          <w:szCs w:val="22"/>
        </w:rPr>
        <w:t>Many ARI can be spread before symptoms appear in an infected person, therefore early identification of cases and early institution of infection control procedures, testing and treatment are essential to contain spread and minimise the chance of serious illness or death</w:t>
      </w:r>
      <w:r w:rsidR="00537CA2">
        <w:rPr>
          <w:sz w:val="22"/>
          <w:szCs w:val="22"/>
        </w:rPr>
        <w:t>.</w:t>
      </w:r>
    </w:p>
    <w:p w14:paraId="4ADB31ED" w14:textId="5D3C29A9" w:rsidR="00710227" w:rsidRDefault="00710227" w:rsidP="00303EDC">
      <w:pPr>
        <w:pStyle w:val="ListBullet"/>
        <w:keepNext/>
        <w:keepLines/>
        <w:numPr>
          <w:ilvl w:val="0"/>
          <w:numId w:val="23"/>
        </w:numPr>
        <w:spacing w:after="120"/>
        <w:rPr>
          <w:sz w:val="22"/>
          <w:szCs w:val="22"/>
        </w:rPr>
      </w:pPr>
      <w:r w:rsidRPr="00710227">
        <w:rPr>
          <w:sz w:val="22"/>
          <w:szCs w:val="22"/>
        </w:rPr>
        <w:t xml:space="preserve">Symptoms of ARI are often similar regardless of the virus causing illness and therefore testing residents with symptoms is essential to </w:t>
      </w:r>
      <w:bookmarkStart w:id="5" w:name="_Toc104904605"/>
      <w:r w:rsidRPr="00710227">
        <w:rPr>
          <w:sz w:val="22"/>
          <w:szCs w:val="22"/>
        </w:rPr>
        <w:t>confirm the diagnosis and guide management</w:t>
      </w:r>
      <w:bookmarkEnd w:id="5"/>
      <w:r w:rsidR="00537CA2">
        <w:rPr>
          <w:sz w:val="22"/>
          <w:szCs w:val="22"/>
        </w:rPr>
        <w:t>.</w:t>
      </w:r>
    </w:p>
    <w:p w14:paraId="68171980" w14:textId="77777777" w:rsidR="00EF4370" w:rsidRPr="00303EDC" w:rsidRDefault="00EF4370" w:rsidP="00EF4370">
      <w:pPr>
        <w:pStyle w:val="ListBullet"/>
        <w:keepNext/>
        <w:keepLines/>
        <w:numPr>
          <w:ilvl w:val="0"/>
          <w:numId w:val="0"/>
        </w:numPr>
        <w:spacing w:after="120"/>
        <w:ind w:left="890"/>
        <w:rPr>
          <w:sz w:val="22"/>
          <w:szCs w:val="22"/>
        </w:rPr>
      </w:pPr>
    </w:p>
    <w:tbl>
      <w:tblPr>
        <w:tblStyle w:val="TableGrid"/>
        <w:tblW w:w="9639" w:type="dxa"/>
        <w:tblInd w:w="-5" w:type="dxa"/>
        <w:tblLook w:val="04A0" w:firstRow="1" w:lastRow="0" w:firstColumn="1" w:lastColumn="0" w:noHBand="0" w:noVBand="1"/>
      </w:tblPr>
      <w:tblGrid>
        <w:gridCol w:w="9639"/>
      </w:tblGrid>
      <w:tr w:rsidR="00710227" w:rsidRPr="00710227" w14:paraId="60C22EAE" w14:textId="77777777" w:rsidTr="00710227">
        <w:trPr>
          <w:trHeight w:val="1142"/>
        </w:trPr>
        <w:tc>
          <w:tcPr>
            <w:tcW w:w="9639" w:type="dxa"/>
            <w:tcBorders>
              <w:top w:val="single" w:sz="4" w:space="0" w:color="auto"/>
              <w:left w:val="single" w:sz="4" w:space="0" w:color="auto"/>
              <w:bottom w:val="single" w:sz="4" w:space="0" w:color="auto"/>
              <w:right w:val="single" w:sz="4" w:space="0" w:color="auto"/>
            </w:tcBorders>
            <w:hideMark/>
          </w:tcPr>
          <w:p w14:paraId="56173EA4" w14:textId="77777777" w:rsidR="00710227" w:rsidRPr="00710227" w:rsidRDefault="00710227" w:rsidP="00710227">
            <w:pPr>
              <w:spacing w:after="120"/>
              <w:rPr>
                <w:b/>
                <w:bCs/>
                <w:szCs w:val="22"/>
                <w:lang w:eastAsia="en-AU"/>
              </w:rPr>
            </w:pPr>
            <w:r w:rsidRPr="00710227">
              <w:rPr>
                <w:b/>
                <w:bCs/>
                <w:szCs w:val="22"/>
                <w:lang w:eastAsia="en-AU"/>
              </w:rPr>
              <w:t>Other symptoms:</w:t>
            </w:r>
          </w:p>
          <w:p w14:paraId="54CB08D8" w14:textId="469C46BC" w:rsidR="00710227" w:rsidRPr="00303EDC" w:rsidRDefault="00710227" w:rsidP="00303EDC">
            <w:pPr>
              <w:pStyle w:val="ListParagraph"/>
              <w:numPr>
                <w:ilvl w:val="0"/>
                <w:numId w:val="47"/>
              </w:numPr>
              <w:spacing w:after="120"/>
              <w:rPr>
                <w:szCs w:val="22"/>
                <w:lang w:eastAsia="en-AU"/>
              </w:rPr>
            </w:pPr>
            <w:r w:rsidRPr="00303EDC">
              <w:rPr>
                <w:szCs w:val="22"/>
                <w:lang w:eastAsia="en-AU"/>
              </w:rPr>
              <w:t>headache, muscle aches (myalgia), fatigue, nausea or vomiting and diarrhoea. Loss of smell and taste and loss of appetite can also occur with COVID-19.</w:t>
            </w:r>
          </w:p>
          <w:p w14:paraId="0C1F3C8F" w14:textId="77777777" w:rsidR="00710227" w:rsidRPr="00303EDC" w:rsidRDefault="00710227" w:rsidP="00303EDC">
            <w:pPr>
              <w:pStyle w:val="ListParagraph"/>
              <w:numPr>
                <w:ilvl w:val="0"/>
                <w:numId w:val="47"/>
              </w:numPr>
              <w:spacing w:after="120"/>
              <w:rPr>
                <w:szCs w:val="22"/>
                <w:lang w:eastAsia="en-AU"/>
              </w:rPr>
            </w:pPr>
            <w:r w:rsidRPr="00303EDC">
              <w:rPr>
                <w:szCs w:val="22"/>
                <w:lang w:eastAsia="en-AU"/>
              </w:rPr>
              <w:t>fever (≥37.5°C) can occur, however is less common in elderly individuals.</w:t>
            </w:r>
          </w:p>
          <w:p w14:paraId="2562F79E" w14:textId="77777777" w:rsidR="00710227" w:rsidRPr="00303EDC" w:rsidRDefault="00710227" w:rsidP="00303EDC">
            <w:pPr>
              <w:pStyle w:val="ListParagraph"/>
              <w:numPr>
                <w:ilvl w:val="0"/>
                <w:numId w:val="47"/>
              </w:numPr>
              <w:spacing w:after="120"/>
              <w:rPr>
                <w:szCs w:val="22"/>
                <w:lang w:eastAsia="en-AU"/>
              </w:rPr>
            </w:pPr>
            <w:r w:rsidRPr="00303EDC">
              <w:rPr>
                <w:szCs w:val="22"/>
                <w:lang w:eastAsia="en-AU"/>
              </w:rPr>
              <w:t>in the elderly, other symptoms to consider are new onset or increase in confusion, change in baseline behaviour, falling, or exacerbation of underlying chronic illness (e.g., increasing shortness of breath in someone with congestive heart failure).</w:t>
            </w:r>
          </w:p>
        </w:tc>
      </w:tr>
    </w:tbl>
    <w:p w14:paraId="714733FF" w14:textId="77777777" w:rsidR="00DE6820" w:rsidRDefault="00DE6820" w:rsidP="00710227">
      <w:pPr>
        <w:spacing w:after="120"/>
        <w:rPr>
          <w:b/>
          <w:bCs/>
          <w:szCs w:val="22"/>
        </w:rPr>
      </w:pPr>
    </w:p>
    <w:p w14:paraId="1485B197" w14:textId="7F6F70CC" w:rsidR="00710227" w:rsidRPr="00710227" w:rsidRDefault="00710227" w:rsidP="00710227">
      <w:pPr>
        <w:spacing w:after="120"/>
        <w:rPr>
          <w:b/>
          <w:bCs/>
          <w:szCs w:val="22"/>
        </w:rPr>
      </w:pPr>
      <w:r w:rsidRPr="00710227">
        <w:rPr>
          <w:b/>
          <w:bCs/>
          <w:szCs w:val="22"/>
        </w:rPr>
        <w:t xml:space="preserve">Consider respiratory virus testing for residents with non-respiratory symptoms (as above), especially if there are already ARI cases in the facility. </w:t>
      </w:r>
    </w:p>
    <w:p w14:paraId="67FAA24E" w14:textId="1AD2A851" w:rsidR="00710227" w:rsidRPr="00710227" w:rsidRDefault="00710227" w:rsidP="00710227">
      <w:pPr>
        <w:pStyle w:val="ListParagraph"/>
        <w:numPr>
          <w:ilvl w:val="0"/>
          <w:numId w:val="24"/>
        </w:numPr>
        <w:spacing w:before="240" w:after="120"/>
        <w:rPr>
          <w:szCs w:val="22"/>
        </w:rPr>
      </w:pPr>
      <w:r w:rsidRPr="00710227">
        <w:rPr>
          <w:szCs w:val="22"/>
        </w:rPr>
        <w:t>Clinical syndromes resulting from respiratory viral infections can vary from no symptoms to severe disease and death. Anti-viral treatments are available for COVID-19 and influenza and therefore early recognition, testing and diagnosis are important for individual patient management as well as for preventing spread to other</w:t>
      </w:r>
      <w:r w:rsidR="00B60211">
        <w:rPr>
          <w:szCs w:val="22"/>
        </w:rPr>
        <w:t>s</w:t>
      </w:r>
      <w:r w:rsidR="00537CA2">
        <w:rPr>
          <w:szCs w:val="22"/>
        </w:rPr>
        <w:t>.</w:t>
      </w:r>
    </w:p>
    <w:p w14:paraId="01DAB9FA" w14:textId="1984E3F9" w:rsidR="00710227" w:rsidRDefault="00710227" w:rsidP="00710227">
      <w:pPr>
        <w:pStyle w:val="ListParagraph"/>
        <w:numPr>
          <w:ilvl w:val="0"/>
          <w:numId w:val="24"/>
        </w:numPr>
        <w:spacing w:before="240" w:after="120"/>
        <w:rPr>
          <w:szCs w:val="22"/>
        </w:rPr>
      </w:pPr>
      <w:r w:rsidRPr="00710227">
        <w:rPr>
          <w:szCs w:val="22"/>
        </w:rPr>
        <w:t xml:space="preserve">The RCF should ensure staff, family and residents are aware of these symptoms and the need to report them when observed. Note that cases may experience mild symptoms, particularly in a vaccinated population. Older </w:t>
      </w:r>
      <w:r w:rsidR="00AB742A">
        <w:rPr>
          <w:szCs w:val="22"/>
        </w:rPr>
        <w:t xml:space="preserve">residents </w:t>
      </w:r>
      <w:r w:rsidR="00AB742A" w:rsidRPr="00710227">
        <w:rPr>
          <w:szCs w:val="22"/>
        </w:rPr>
        <w:t>and</w:t>
      </w:r>
      <w:r w:rsidR="00332119">
        <w:rPr>
          <w:szCs w:val="22"/>
        </w:rPr>
        <w:t xml:space="preserve"> </w:t>
      </w:r>
      <w:r w:rsidR="00AB742A">
        <w:rPr>
          <w:szCs w:val="22"/>
        </w:rPr>
        <w:t>residents with</w:t>
      </w:r>
      <w:r w:rsidR="00332119">
        <w:rPr>
          <w:szCs w:val="22"/>
        </w:rPr>
        <w:t xml:space="preserve"> </w:t>
      </w:r>
      <w:r w:rsidR="004A188D">
        <w:rPr>
          <w:szCs w:val="22"/>
        </w:rPr>
        <w:t xml:space="preserve">a </w:t>
      </w:r>
      <w:r w:rsidR="00332119">
        <w:rPr>
          <w:szCs w:val="22"/>
        </w:rPr>
        <w:t xml:space="preserve">disability </w:t>
      </w:r>
      <w:r w:rsidRPr="00710227">
        <w:rPr>
          <w:szCs w:val="22"/>
        </w:rPr>
        <w:t xml:space="preserve">often have atypical symptoms including behaviour change and may not develop a fever. Ideally, staff should know residents well so they can detect subtle changes in condition or behaviour. </w:t>
      </w:r>
    </w:p>
    <w:p w14:paraId="25E3ACA6" w14:textId="28706B07" w:rsidR="000E0AAD" w:rsidRDefault="000E0AAD">
      <w:pPr>
        <w:rPr>
          <w:szCs w:val="22"/>
        </w:rPr>
      </w:pPr>
      <w:r>
        <w:rPr>
          <w:szCs w:val="22"/>
        </w:rPr>
        <w:br w:type="page"/>
      </w:r>
    </w:p>
    <w:p w14:paraId="2490F5C3" w14:textId="0B5E21F5" w:rsidR="00710227" w:rsidRPr="007D5162" w:rsidRDefault="00710227" w:rsidP="007D5162">
      <w:pPr>
        <w:pStyle w:val="Heading1"/>
        <w:rPr>
          <w:b w:val="0"/>
          <w:bCs w:val="0"/>
          <w:lang w:val="en-US"/>
        </w:rPr>
      </w:pPr>
      <w:bookmarkStart w:id="6" w:name="_Toc66717805"/>
      <w:bookmarkStart w:id="7" w:name="_Toc95837856"/>
      <w:bookmarkStart w:id="8" w:name="_Toc104904606"/>
      <w:bookmarkStart w:id="9" w:name="_Toc115342380"/>
      <w:r w:rsidRPr="007D5162">
        <w:rPr>
          <w:b w:val="0"/>
          <w:bCs w:val="0"/>
          <w:lang w:val="en-US"/>
        </w:rPr>
        <w:lastRenderedPageBreak/>
        <w:t>Preparedness</w:t>
      </w:r>
      <w:bookmarkEnd w:id="6"/>
      <w:bookmarkEnd w:id="7"/>
      <w:bookmarkEnd w:id="8"/>
      <w:bookmarkEnd w:id="9"/>
    </w:p>
    <w:p w14:paraId="683109B6" w14:textId="77777777" w:rsidR="00710227" w:rsidRDefault="00710227" w:rsidP="00710227">
      <w:pPr>
        <w:spacing w:after="120"/>
        <w:rPr>
          <w:sz w:val="20"/>
        </w:rPr>
      </w:pPr>
      <w:r>
        <w:t xml:space="preserve">All RCFs must have appropriate preparedness plans in place to ensure a prompt response to a facility ARI outbreak. </w:t>
      </w:r>
    </w:p>
    <w:p w14:paraId="3C4E7D15" w14:textId="77777777" w:rsidR="00710227" w:rsidRDefault="00710227" w:rsidP="00710227">
      <w:pPr>
        <w:spacing w:after="120"/>
      </w:pPr>
      <w:r>
        <w:t xml:space="preserve">A preparedness plan should cover the following: </w:t>
      </w:r>
    </w:p>
    <w:p w14:paraId="2A217309" w14:textId="77777777" w:rsidR="00710227" w:rsidRDefault="00710227" w:rsidP="00710227">
      <w:pPr>
        <w:pStyle w:val="ListParagraph"/>
        <w:numPr>
          <w:ilvl w:val="0"/>
          <w:numId w:val="22"/>
        </w:numPr>
        <w:spacing w:before="240" w:after="120"/>
      </w:pPr>
      <w:r>
        <w:t xml:space="preserve">Vaccination </w:t>
      </w:r>
    </w:p>
    <w:p w14:paraId="6046E307" w14:textId="1E8FEFC3" w:rsidR="00710227" w:rsidRDefault="00710227" w:rsidP="00710227">
      <w:pPr>
        <w:pStyle w:val="ListParagraph"/>
        <w:numPr>
          <w:ilvl w:val="0"/>
          <w:numId w:val="25"/>
        </w:numPr>
        <w:spacing w:before="240" w:after="120"/>
      </w:pPr>
      <w:r>
        <w:t xml:space="preserve">Review the latest jurisdictional requirements regarding vaccination for residents, </w:t>
      </w:r>
      <w:proofErr w:type="gramStart"/>
      <w:r>
        <w:t>staff</w:t>
      </w:r>
      <w:proofErr w:type="gramEnd"/>
      <w:r>
        <w:t xml:space="preserve"> and visitors</w:t>
      </w:r>
      <w:r w:rsidR="00537CA2">
        <w:t>.</w:t>
      </w:r>
    </w:p>
    <w:p w14:paraId="1A807DAE" w14:textId="6B21F03C" w:rsidR="00710227" w:rsidRDefault="00710227" w:rsidP="00710227">
      <w:pPr>
        <w:pStyle w:val="ListParagraph"/>
        <w:numPr>
          <w:ilvl w:val="0"/>
          <w:numId w:val="25"/>
        </w:numPr>
        <w:spacing w:before="240" w:after="120"/>
      </w:pPr>
      <w:r>
        <w:t>Promote COVID-19 and influenza vaccination among residents and staff</w:t>
      </w:r>
      <w:r w:rsidR="00D847C2">
        <w:t>.</w:t>
      </w:r>
    </w:p>
    <w:p w14:paraId="28397FB2" w14:textId="7A408B6F" w:rsidR="00710227" w:rsidRDefault="00710227">
      <w:pPr>
        <w:pStyle w:val="ListParagraph"/>
        <w:numPr>
          <w:ilvl w:val="0"/>
          <w:numId w:val="25"/>
        </w:numPr>
        <w:spacing w:before="240" w:after="120"/>
      </w:pPr>
      <w:r>
        <w:t>Monitor and record vaccination status of residents, staff and visitors for</w:t>
      </w:r>
      <w:r w:rsidR="001256EE">
        <w:t xml:space="preserve"> </w:t>
      </w:r>
      <w:r>
        <w:t>COVID-19 and influenza</w:t>
      </w:r>
      <w:r w:rsidR="006B2709">
        <w:t>.</w:t>
      </w:r>
    </w:p>
    <w:p w14:paraId="40E4A5E8" w14:textId="77777777" w:rsidR="00710227" w:rsidRDefault="00710227" w:rsidP="00710227">
      <w:pPr>
        <w:pStyle w:val="ListParagraph"/>
        <w:numPr>
          <w:ilvl w:val="0"/>
          <w:numId w:val="22"/>
        </w:numPr>
        <w:spacing w:before="240" w:after="120"/>
      </w:pPr>
      <w:r>
        <w:t>Planning</w:t>
      </w:r>
    </w:p>
    <w:p w14:paraId="1EBD91BF" w14:textId="12EDD87F" w:rsidR="00710227" w:rsidRDefault="00710227" w:rsidP="00710227">
      <w:pPr>
        <w:pStyle w:val="ListParagraph"/>
        <w:numPr>
          <w:ilvl w:val="0"/>
          <w:numId w:val="25"/>
        </w:numPr>
        <w:spacing w:before="240" w:after="120"/>
      </w:pPr>
      <w:r>
        <w:t>Ensure adequate supplies of personal protective equipment (PPE), hand hygiene, waste and cleaning supplies and equipment</w:t>
      </w:r>
      <w:r w:rsidR="00537CA2">
        <w:t>.</w:t>
      </w:r>
    </w:p>
    <w:p w14:paraId="698D0568" w14:textId="100A168D" w:rsidR="00710227" w:rsidRDefault="00710227" w:rsidP="00710227">
      <w:pPr>
        <w:pStyle w:val="ListParagraph"/>
        <w:numPr>
          <w:ilvl w:val="0"/>
          <w:numId w:val="25"/>
        </w:numPr>
        <w:spacing w:before="240" w:after="120"/>
      </w:pPr>
      <w:r>
        <w:t>Establish clinical management, treatment, and referral pathways for residents</w:t>
      </w:r>
      <w:r w:rsidR="00D847C2">
        <w:t>.</w:t>
      </w:r>
      <w:r>
        <w:t xml:space="preserve"> </w:t>
      </w:r>
    </w:p>
    <w:p w14:paraId="0B268D72" w14:textId="497CA710" w:rsidR="00517C6F" w:rsidRDefault="00517C6F" w:rsidP="00710227">
      <w:pPr>
        <w:pStyle w:val="ListParagraph"/>
        <w:numPr>
          <w:ilvl w:val="0"/>
          <w:numId w:val="25"/>
        </w:numPr>
        <w:spacing w:before="240" w:after="120"/>
      </w:pPr>
      <w:r>
        <w:t>Maintain stocks of anti-viral treatment</w:t>
      </w:r>
      <w:r w:rsidR="006668BE">
        <w:t>s</w:t>
      </w:r>
      <w:r>
        <w:t xml:space="preserve"> or methods to access rapidly</w:t>
      </w:r>
    </w:p>
    <w:p w14:paraId="03CF95E4" w14:textId="290BEB53" w:rsidR="006668BE" w:rsidRDefault="00710227" w:rsidP="00710227">
      <w:pPr>
        <w:pStyle w:val="ListParagraph"/>
        <w:numPr>
          <w:ilvl w:val="0"/>
          <w:numId w:val="25"/>
        </w:numPr>
        <w:spacing w:before="240" w:after="120"/>
      </w:pPr>
      <w:r>
        <w:t xml:space="preserve">Consider </w:t>
      </w:r>
      <w:r w:rsidR="006668BE">
        <w:t xml:space="preserve">the </w:t>
      </w:r>
      <w:r>
        <w:t>clinical suitability of residents for flu and COVID-19 treatments</w:t>
      </w:r>
      <w:r w:rsidR="006668BE">
        <w:t xml:space="preserve"> and prophyl</w:t>
      </w:r>
      <w:r w:rsidR="00AB742A">
        <w:t>a</w:t>
      </w:r>
      <w:r w:rsidR="006668BE">
        <w:t xml:space="preserve">xis </w:t>
      </w:r>
      <w:r>
        <w:t xml:space="preserve">and obtain </w:t>
      </w:r>
      <w:r w:rsidR="006668BE">
        <w:t xml:space="preserve">an indication of treatment preference or </w:t>
      </w:r>
      <w:r>
        <w:t>consent from residents and/or their</w:t>
      </w:r>
      <w:r w:rsidR="006668BE">
        <w:t xml:space="preserve"> </w:t>
      </w:r>
      <w:r>
        <w:t>representatives</w:t>
      </w:r>
      <w:r w:rsidR="00537CA2">
        <w:t>.</w:t>
      </w:r>
    </w:p>
    <w:p w14:paraId="62154963" w14:textId="64AC9844" w:rsidR="00710227" w:rsidRDefault="006668BE" w:rsidP="00710227">
      <w:pPr>
        <w:pStyle w:val="ListParagraph"/>
        <w:numPr>
          <w:ilvl w:val="0"/>
          <w:numId w:val="25"/>
        </w:numPr>
        <w:spacing w:before="240" w:after="120"/>
      </w:pPr>
      <w:r>
        <w:t xml:space="preserve">Encourage GPs to pre-assess residents for antiviral treatment including the most appropriate drug and any dose adjustment required because of renal impairment. </w:t>
      </w:r>
      <w:r w:rsidR="00710227">
        <w:t>Where possible, this assessment should be undertaken pre-emptively during routine appointments</w:t>
      </w:r>
      <w:r w:rsidR="00537CA2">
        <w:t>.</w:t>
      </w:r>
    </w:p>
    <w:p w14:paraId="65AD364D" w14:textId="1A21C2D0" w:rsidR="00710227" w:rsidRDefault="00710227" w:rsidP="00710227">
      <w:pPr>
        <w:pStyle w:val="ListParagraph"/>
        <w:numPr>
          <w:ilvl w:val="0"/>
          <w:numId w:val="25"/>
        </w:numPr>
        <w:spacing w:before="240" w:after="120"/>
      </w:pPr>
      <w:bookmarkStart w:id="10" w:name="_Hlk105686129"/>
      <w:r>
        <w:t xml:space="preserve">Consider where and how residents can be </w:t>
      </w:r>
      <w:r w:rsidR="004D673B">
        <w:t xml:space="preserve">feasibly </w:t>
      </w:r>
      <w:r>
        <w:t>cohorted according to risk</w:t>
      </w:r>
      <w:r w:rsidR="00537CA2">
        <w:t>.</w:t>
      </w:r>
    </w:p>
    <w:bookmarkEnd w:id="10"/>
    <w:p w14:paraId="410911EC" w14:textId="42358450" w:rsidR="00710227" w:rsidRDefault="00710227" w:rsidP="00710227">
      <w:pPr>
        <w:pStyle w:val="ListParagraph"/>
        <w:numPr>
          <w:ilvl w:val="0"/>
          <w:numId w:val="25"/>
        </w:numPr>
        <w:spacing w:before="240" w:after="120"/>
      </w:pPr>
      <w:r>
        <w:t>Engage residents and their representatives in key decisions prior to an outbreak</w:t>
      </w:r>
      <w:r w:rsidR="00537CA2">
        <w:t>.</w:t>
      </w:r>
      <w:r>
        <w:t xml:space="preserve"> </w:t>
      </w:r>
    </w:p>
    <w:p w14:paraId="14015E6F" w14:textId="77777777" w:rsidR="00710227" w:rsidRDefault="00710227" w:rsidP="00710227">
      <w:pPr>
        <w:pStyle w:val="ListParagraph"/>
        <w:numPr>
          <w:ilvl w:val="0"/>
          <w:numId w:val="25"/>
        </w:numPr>
        <w:spacing w:before="240" w:after="120"/>
      </w:pPr>
      <w:r>
        <w:t>Regularly review the outbreak management and surge capacity plans to ensure they align with current advice, public health directions and guidelines.</w:t>
      </w:r>
    </w:p>
    <w:p w14:paraId="139077AF" w14:textId="77777777" w:rsidR="00710227" w:rsidRDefault="00710227" w:rsidP="00710227">
      <w:pPr>
        <w:pStyle w:val="ListParagraph"/>
        <w:numPr>
          <w:ilvl w:val="0"/>
          <w:numId w:val="22"/>
        </w:numPr>
        <w:spacing w:before="240" w:after="120"/>
      </w:pPr>
      <w:r>
        <w:t xml:space="preserve">Testing </w:t>
      </w:r>
    </w:p>
    <w:p w14:paraId="284C2042" w14:textId="0F8AC578" w:rsidR="00710227" w:rsidRDefault="00710227" w:rsidP="00710227">
      <w:pPr>
        <w:pStyle w:val="ListParagraph"/>
        <w:numPr>
          <w:ilvl w:val="0"/>
          <w:numId w:val="25"/>
        </w:numPr>
        <w:spacing w:before="240" w:after="120"/>
      </w:pPr>
      <w:r>
        <w:t>Establish laboratory testing arrangements</w:t>
      </w:r>
      <w:r w:rsidR="008E7D1B">
        <w:t>,</w:t>
      </w:r>
      <w:r>
        <w:t xml:space="preserve"> pathology request processes</w:t>
      </w:r>
      <w:r w:rsidR="008E7D1B">
        <w:t>,</w:t>
      </w:r>
      <w:r>
        <w:t xml:space="preserve"> and timely method of receiving results</w:t>
      </w:r>
      <w:r w:rsidR="00537CA2">
        <w:t>.</w:t>
      </w:r>
    </w:p>
    <w:p w14:paraId="0B7E59D9" w14:textId="595A1FAD" w:rsidR="00710227" w:rsidRDefault="00710227" w:rsidP="00710227">
      <w:pPr>
        <w:pStyle w:val="ListParagraph"/>
        <w:numPr>
          <w:ilvl w:val="0"/>
          <w:numId w:val="25"/>
        </w:numPr>
        <w:spacing w:before="240" w:after="120"/>
      </w:pPr>
      <w:r>
        <w:t>Ensure staff are trained in the collection of appropriate specimens for testing</w:t>
      </w:r>
      <w:r w:rsidR="008E7D1B">
        <w:t>.</w:t>
      </w:r>
    </w:p>
    <w:p w14:paraId="09499375" w14:textId="77777777" w:rsidR="00710227" w:rsidRDefault="00710227" w:rsidP="00710227">
      <w:pPr>
        <w:pStyle w:val="ListParagraph"/>
        <w:numPr>
          <w:ilvl w:val="0"/>
          <w:numId w:val="25"/>
        </w:numPr>
        <w:spacing w:before="240" w:after="120"/>
      </w:pPr>
      <w:r>
        <w:t>Develop a systematic method for detecting and recording residents in the facility who develop respiratory symptoms, such as fever or cough.</w:t>
      </w:r>
    </w:p>
    <w:p w14:paraId="66AA96C4" w14:textId="77777777" w:rsidR="00710227" w:rsidRDefault="00710227" w:rsidP="00710227">
      <w:pPr>
        <w:pStyle w:val="ListParagraph"/>
        <w:numPr>
          <w:ilvl w:val="0"/>
          <w:numId w:val="22"/>
        </w:numPr>
        <w:spacing w:before="240" w:after="120"/>
      </w:pPr>
      <w:r>
        <w:t>Workforce</w:t>
      </w:r>
    </w:p>
    <w:p w14:paraId="3966BDF0" w14:textId="2CCDBB0E" w:rsidR="00710227" w:rsidRDefault="00B60211" w:rsidP="00710227">
      <w:pPr>
        <w:pStyle w:val="ListParagraph"/>
        <w:numPr>
          <w:ilvl w:val="0"/>
          <w:numId w:val="25"/>
        </w:numPr>
        <w:spacing w:before="240" w:after="120"/>
      </w:pPr>
      <w:r>
        <w:t>Support e</w:t>
      </w:r>
      <w:r w:rsidR="00710227">
        <w:t xml:space="preserve">nhanced infection prevention </w:t>
      </w:r>
      <w:r w:rsidR="00D937DE">
        <w:t xml:space="preserve">and </w:t>
      </w:r>
      <w:r w:rsidR="00710227">
        <w:t>control (IPC) training for staff including appropriate use of PPE and recognition of ARI symptoms</w:t>
      </w:r>
      <w:r w:rsidR="00537CA2">
        <w:t>.</w:t>
      </w:r>
    </w:p>
    <w:p w14:paraId="359166C5" w14:textId="6B8DD436" w:rsidR="00710227" w:rsidRDefault="00B60211" w:rsidP="00710227">
      <w:pPr>
        <w:pStyle w:val="ListParagraph"/>
        <w:numPr>
          <w:ilvl w:val="0"/>
          <w:numId w:val="25"/>
        </w:numPr>
        <w:spacing w:before="240" w:after="120"/>
      </w:pPr>
      <w:r>
        <w:t>Ensure s</w:t>
      </w:r>
      <w:r w:rsidR="00710227">
        <w:t xml:space="preserve">taff </w:t>
      </w:r>
      <w:r>
        <w:t>are trained in responding to an</w:t>
      </w:r>
      <w:r w:rsidR="00710227">
        <w:t xml:space="preserve"> ARI outbreak response</w:t>
      </w:r>
      <w:r w:rsidR="00537CA2">
        <w:t>.</w:t>
      </w:r>
    </w:p>
    <w:p w14:paraId="050B0514" w14:textId="12486390" w:rsidR="00710227" w:rsidRDefault="00710227" w:rsidP="00710227">
      <w:pPr>
        <w:pStyle w:val="ListParagraph"/>
        <w:numPr>
          <w:ilvl w:val="0"/>
          <w:numId w:val="25"/>
        </w:numPr>
        <w:spacing w:before="240" w:after="120"/>
      </w:pPr>
      <w:r>
        <w:t>Establish workforce surge capacity and contingency planning for staff absenteeism</w:t>
      </w:r>
      <w:r w:rsidR="006B2709">
        <w:t>.</w:t>
      </w:r>
    </w:p>
    <w:p w14:paraId="3451C8DF" w14:textId="77777777" w:rsidR="00710227" w:rsidRPr="007F4B70" w:rsidRDefault="00710227" w:rsidP="007F4B70">
      <w:pPr>
        <w:pStyle w:val="Heading1"/>
        <w:rPr>
          <w:b w:val="0"/>
          <w:bCs w:val="0"/>
          <w:lang w:val="en-US"/>
        </w:rPr>
      </w:pPr>
      <w:bookmarkStart w:id="11" w:name="_Toc104904607"/>
      <w:bookmarkStart w:id="12" w:name="_Toc115342381"/>
      <w:r w:rsidRPr="007F4B70">
        <w:rPr>
          <w:b w:val="0"/>
          <w:bCs w:val="0"/>
          <w:lang w:val="en-US"/>
        </w:rPr>
        <w:t>Responding to new ARI symptoms in a resident</w:t>
      </w:r>
      <w:bookmarkEnd w:id="11"/>
      <w:bookmarkEnd w:id="12"/>
      <w:r w:rsidRPr="007F4B70">
        <w:rPr>
          <w:b w:val="0"/>
          <w:bCs w:val="0"/>
          <w:lang w:val="en-US"/>
        </w:rPr>
        <w:t xml:space="preserve"> </w:t>
      </w:r>
    </w:p>
    <w:p w14:paraId="4093E44F" w14:textId="77777777" w:rsidR="00710227" w:rsidRDefault="00710227" w:rsidP="00710227">
      <w:pPr>
        <w:spacing w:after="120"/>
        <w:rPr>
          <w:sz w:val="20"/>
        </w:rPr>
      </w:pPr>
      <w:r>
        <w:t xml:space="preserve">RCFs must consider current advice (Public Health Unit, Department of Health or equivalent) in relation to screening of visitors and staff prior to entry into the facility and use of PPE. </w:t>
      </w:r>
    </w:p>
    <w:p w14:paraId="04AA879D" w14:textId="77777777" w:rsidR="00710227" w:rsidRPr="007F4B70" w:rsidRDefault="00710227" w:rsidP="007F4B70">
      <w:pPr>
        <w:pStyle w:val="Heading2"/>
      </w:pPr>
      <w:bookmarkStart w:id="13" w:name="_Toc115342382"/>
      <w:r w:rsidRPr="007F4B70">
        <w:rPr>
          <w:rFonts w:eastAsiaTheme="minorHAnsi"/>
        </w:rPr>
        <w:t>Initial actions – New ARI symptoms in a resident</w:t>
      </w:r>
      <w:bookmarkEnd w:id="13"/>
    </w:p>
    <w:p w14:paraId="732DF2F5" w14:textId="4B1A4EB4" w:rsidR="00710227" w:rsidRDefault="00710227" w:rsidP="00710227">
      <w:pPr>
        <w:spacing w:before="240" w:after="120"/>
      </w:pPr>
      <w:r>
        <w:t>The steps outlined below are a guide only and the step-by-step order may differ depending on the priorities at the time. Many steps may also occur concurrently.</w:t>
      </w:r>
    </w:p>
    <w:p w14:paraId="6FEF8449" w14:textId="77777777" w:rsidR="00710227" w:rsidRDefault="00710227" w:rsidP="00710227">
      <w:pPr>
        <w:spacing w:before="240" w:after="120"/>
        <w:sectPr w:rsidR="00710227" w:rsidSect="00DE6820">
          <w:headerReference w:type="even" r:id="rId15"/>
          <w:headerReference w:type="default" r:id="rId16"/>
          <w:footerReference w:type="even" r:id="rId17"/>
          <w:footerReference w:type="default" r:id="rId18"/>
          <w:headerReference w:type="first" r:id="rId19"/>
          <w:footerReference w:type="first" r:id="rId20"/>
          <w:pgSz w:w="11906" w:h="16838"/>
          <w:pgMar w:top="1701" w:right="1418" w:bottom="1418" w:left="1418" w:header="709" w:footer="709" w:gutter="0"/>
          <w:cols w:space="708"/>
          <w:docGrid w:linePitch="360"/>
        </w:sectPr>
      </w:pPr>
    </w:p>
    <w:p w14:paraId="05ABF6C9" w14:textId="2E159C14" w:rsidR="004E3FB3" w:rsidRDefault="004E3FB3" w:rsidP="004E3FB3">
      <w:pPr>
        <w:pStyle w:val="Heading4"/>
        <w:rPr>
          <w:sz w:val="20"/>
          <w:szCs w:val="24"/>
        </w:rPr>
      </w:pPr>
      <w:bookmarkStart w:id="14" w:name="_Toc115342383"/>
      <w:r>
        <w:lastRenderedPageBreak/>
        <w:t>Figure 1. Overview of initial actions – New Acute Respiratory I</w:t>
      </w:r>
      <w:r w:rsidR="00E31FE3">
        <w:t>nfection</w:t>
      </w:r>
      <w:r>
        <w:t xml:space="preserve"> (ARI) Symptoms</w:t>
      </w:r>
      <w:bookmarkEnd w:id="14"/>
    </w:p>
    <w:p w14:paraId="26C2716C" w14:textId="0C860DC3" w:rsidR="004E3FB3" w:rsidRDefault="004E3FB3" w:rsidP="00710227">
      <w:pPr>
        <w:spacing w:before="240" w:after="120"/>
      </w:pPr>
    </w:p>
    <w:p w14:paraId="7D9CBB76" w14:textId="1D3755D2" w:rsidR="004E3FB3" w:rsidRDefault="00E31FE3" w:rsidP="00710227">
      <w:pPr>
        <w:spacing w:before="240" w:after="120"/>
        <w:sectPr w:rsidR="004E3FB3" w:rsidSect="004E3FB3">
          <w:pgSz w:w="16838" w:h="11906" w:orient="landscape"/>
          <w:pgMar w:top="1418" w:right="1701" w:bottom="1418" w:left="1418" w:header="709" w:footer="709" w:gutter="0"/>
          <w:cols w:space="708"/>
          <w:titlePg/>
          <w:docGrid w:linePitch="360"/>
        </w:sectPr>
      </w:pPr>
      <w:r>
        <w:rPr>
          <w:noProof/>
          <w:lang w:eastAsia="en-AU"/>
        </w:rPr>
        <w:drawing>
          <wp:inline distT="0" distB="0" distL="0" distR="0" wp14:anchorId="6EE42304" wp14:editId="6DFF4CA0">
            <wp:extent cx="8711565" cy="48888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711565" cy="4888865"/>
                    </a:xfrm>
                    <a:prstGeom prst="rect">
                      <a:avLst/>
                    </a:prstGeom>
                  </pic:spPr>
                </pic:pic>
              </a:graphicData>
            </a:graphic>
          </wp:inline>
        </w:drawing>
      </w:r>
    </w:p>
    <w:p w14:paraId="6DD1EE2F" w14:textId="1F9D2331" w:rsidR="004E3FB3" w:rsidRPr="007F4B70" w:rsidRDefault="004E3FB3" w:rsidP="007F4B70">
      <w:pPr>
        <w:pStyle w:val="Heading2"/>
      </w:pPr>
      <w:bookmarkStart w:id="15" w:name="_Toc104904608"/>
      <w:bookmarkStart w:id="16" w:name="_Toc115342384"/>
      <w:r w:rsidRPr="007F4B70">
        <w:rPr>
          <w:rFonts w:eastAsiaTheme="minorHAnsi"/>
        </w:rPr>
        <w:lastRenderedPageBreak/>
        <w:t>Step 1: I</w:t>
      </w:r>
      <w:r w:rsidR="00537CA2">
        <w:rPr>
          <w:rFonts w:eastAsiaTheme="minorHAnsi"/>
        </w:rPr>
        <w:t xml:space="preserve">solate and implement infection prevention and control </w:t>
      </w:r>
      <w:r w:rsidR="008E7D1B">
        <w:rPr>
          <w:rFonts w:eastAsiaTheme="minorHAnsi"/>
        </w:rPr>
        <w:t xml:space="preserve">(IPC) </w:t>
      </w:r>
      <w:r w:rsidR="00537CA2">
        <w:rPr>
          <w:rFonts w:eastAsiaTheme="minorHAnsi"/>
        </w:rPr>
        <w:t>measures</w:t>
      </w:r>
      <w:bookmarkEnd w:id="16"/>
      <w:r w:rsidR="00537CA2">
        <w:rPr>
          <w:rFonts w:eastAsiaTheme="minorHAnsi"/>
        </w:rPr>
        <w:t xml:space="preserve"> </w:t>
      </w:r>
      <w:bookmarkStart w:id="17" w:name="_Toc104904609"/>
      <w:bookmarkEnd w:id="15"/>
    </w:p>
    <w:p w14:paraId="29AB6960" w14:textId="77777777" w:rsidR="004E3FB3" w:rsidRDefault="004E3FB3" w:rsidP="004E3FB3">
      <w:pPr>
        <w:pStyle w:val="ListParagraph"/>
        <w:numPr>
          <w:ilvl w:val="0"/>
          <w:numId w:val="22"/>
        </w:numPr>
        <w:spacing w:before="240" w:after="120"/>
        <w:rPr>
          <w:rFonts w:eastAsiaTheme="minorEastAsia" w:cs="Arial"/>
          <w:sz w:val="20"/>
        </w:rPr>
      </w:pPr>
      <w:r>
        <w:t xml:space="preserve">Isolate </w:t>
      </w:r>
    </w:p>
    <w:p w14:paraId="2FF65BB9" w14:textId="77777777" w:rsidR="004E3FB3" w:rsidRDefault="004E3FB3" w:rsidP="004E3FB3">
      <w:pPr>
        <w:pStyle w:val="ListParagraph"/>
        <w:numPr>
          <w:ilvl w:val="0"/>
          <w:numId w:val="25"/>
        </w:numPr>
        <w:spacing w:before="240" w:after="120"/>
      </w:pPr>
      <w:r>
        <w:t xml:space="preserve">Isolate symptomatic resident immediately in their own room if possible </w:t>
      </w:r>
    </w:p>
    <w:p w14:paraId="19298580" w14:textId="77777777" w:rsidR="004E3FB3" w:rsidRDefault="004E3FB3" w:rsidP="004E3FB3">
      <w:pPr>
        <w:pStyle w:val="ListParagraph"/>
        <w:numPr>
          <w:ilvl w:val="0"/>
          <w:numId w:val="25"/>
        </w:numPr>
        <w:spacing w:before="240" w:after="120"/>
      </w:pPr>
      <w:r>
        <w:t>Allocate staff to symptomatic residents and ensure no cross over of staff from</w:t>
      </w:r>
    </w:p>
    <w:p w14:paraId="68F3494D" w14:textId="77777777" w:rsidR="004E3FB3" w:rsidRDefault="004E3FB3" w:rsidP="006B2709">
      <w:pPr>
        <w:pStyle w:val="ListParagraph"/>
        <w:spacing w:before="240" w:after="120"/>
        <w:ind w:left="1440"/>
      </w:pPr>
      <w:r>
        <w:t xml:space="preserve">separate wings, cohorts, and zones. </w:t>
      </w:r>
    </w:p>
    <w:p w14:paraId="58500BF4" w14:textId="77777777" w:rsidR="004E3FB3" w:rsidRDefault="004E3FB3" w:rsidP="004E3FB3">
      <w:pPr>
        <w:pStyle w:val="ListParagraph"/>
        <w:numPr>
          <w:ilvl w:val="0"/>
          <w:numId w:val="22"/>
        </w:numPr>
        <w:spacing w:before="240" w:after="120"/>
      </w:pPr>
      <w:r>
        <w:t>IPC</w:t>
      </w:r>
    </w:p>
    <w:p w14:paraId="11E76895" w14:textId="2F517444" w:rsidR="004E3FB3" w:rsidRDefault="004E3FB3" w:rsidP="004E3FB3">
      <w:pPr>
        <w:pStyle w:val="ListParagraph"/>
        <w:numPr>
          <w:ilvl w:val="0"/>
          <w:numId w:val="25"/>
        </w:numPr>
        <w:spacing w:before="240" w:after="120"/>
      </w:pPr>
      <w:r>
        <w:t>Implement initial</w:t>
      </w:r>
      <w:r w:rsidR="006B2709">
        <w:t xml:space="preserve"> </w:t>
      </w:r>
      <w:r>
        <w:t>IPC</w:t>
      </w:r>
      <w:r w:rsidR="006B2709">
        <w:t xml:space="preserve"> </w:t>
      </w:r>
      <w:r>
        <w:t xml:space="preserve">measures including transmission-based precautions – contact, droplet, and airborne precautions (N95/P2 respirator mask, eye protection, </w:t>
      </w:r>
      <w:proofErr w:type="gramStart"/>
      <w:r>
        <w:t>gown</w:t>
      </w:r>
      <w:proofErr w:type="gramEnd"/>
      <w:r>
        <w:t xml:space="preserve"> and gloves to be worn by staff caring for symptomatic resident/s)</w:t>
      </w:r>
      <w:r w:rsidR="00537CA2">
        <w:t>.</w:t>
      </w:r>
    </w:p>
    <w:p w14:paraId="75A3E6E8" w14:textId="02DE7505" w:rsidR="004E3FB3" w:rsidRDefault="004E3FB3" w:rsidP="004E3FB3">
      <w:pPr>
        <w:pStyle w:val="ListParagraph"/>
        <w:numPr>
          <w:ilvl w:val="0"/>
          <w:numId w:val="25"/>
        </w:numPr>
        <w:spacing w:before="240" w:after="120"/>
      </w:pPr>
      <w:r>
        <w:t xml:space="preserve">Set up dedicated donning/doffing area with signage, </w:t>
      </w:r>
      <w:proofErr w:type="gramStart"/>
      <w:r>
        <w:t>PPE</w:t>
      </w:r>
      <w:proofErr w:type="gramEnd"/>
      <w:r>
        <w:t xml:space="preserve"> and hand hygiene</w:t>
      </w:r>
      <w:r w:rsidR="00537CA2">
        <w:t>.</w:t>
      </w:r>
    </w:p>
    <w:p w14:paraId="2BDE36C3" w14:textId="77777777" w:rsidR="004E3FB3" w:rsidRDefault="004E3FB3" w:rsidP="004E3FB3">
      <w:pPr>
        <w:pStyle w:val="ListParagraph"/>
        <w:numPr>
          <w:ilvl w:val="0"/>
          <w:numId w:val="25"/>
        </w:numPr>
        <w:spacing w:before="240" w:after="120"/>
      </w:pPr>
      <w:r>
        <w:t>Where possible and where able, isolating residents should wear surgical mask particularly when staff members or visitors are in their room.</w:t>
      </w:r>
    </w:p>
    <w:p w14:paraId="06E7A0A6" w14:textId="77777777" w:rsidR="004E3FB3" w:rsidRDefault="004E3FB3" w:rsidP="004E3FB3">
      <w:pPr>
        <w:pStyle w:val="ListParagraph"/>
        <w:numPr>
          <w:ilvl w:val="0"/>
          <w:numId w:val="22"/>
        </w:numPr>
        <w:spacing w:before="240" w:after="120"/>
      </w:pPr>
      <w:r>
        <w:t>Vaccination</w:t>
      </w:r>
    </w:p>
    <w:p w14:paraId="7F0AB08E" w14:textId="2B3BF1E5" w:rsidR="004E3FB3" w:rsidRDefault="004E3FB3" w:rsidP="004E3FB3">
      <w:pPr>
        <w:pStyle w:val="ListParagraph"/>
        <w:numPr>
          <w:ilvl w:val="0"/>
          <w:numId w:val="25"/>
        </w:numPr>
        <w:spacing w:before="240" w:after="120"/>
      </w:pPr>
      <w:r>
        <w:t>Review vaccination status (COVID-19 and influenza) of residents and staff and prioritise vaccination of those not up to date</w:t>
      </w:r>
      <w:r w:rsidR="00E31FE3">
        <w:rPr>
          <w:rStyle w:val="FootnoteReference"/>
        </w:rPr>
        <w:footnoteReference w:id="2"/>
      </w:r>
      <w:r w:rsidR="00537CA2">
        <w:t>.</w:t>
      </w:r>
    </w:p>
    <w:p w14:paraId="582436E3" w14:textId="77777777" w:rsidR="004E3FB3" w:rsidRDefault="004E3FB3" w:rsidP="004E3FB3">
      <w:pPr>
        <w:pStyle w:val="ListParagraph"/>
        <w:numPr>
          <w:ilvl w:val="0"/>
          <w:numId w:val="22"/>
        </w:numPr>
        <w:spacing w:before="240" w:after="120"/>
      </w:pPr>
      <w:r>
        <w:t>Environmental cleaning and disinfection</w:t>
      </w:r>
    </w:p>
    <w:p w14:paraId="005A93B0" w14:textId="77777777" w:rsidR="004E3FB3" w:rsidRDefault="004E3FB3" w:rsidP="004E3FB3">
      <w:pPr>
        <w:pStyle w:val="ListParagraph"/>
        <w:numPr>
          <w:ilvl w:val="0"/>
          <w:numId w:val="25"/>
        </w:numPr>
        <w:spacing w:before="240" w:after="120"/>
      </w:pPr>
      <w:r>
        <w:t>Allocate trained staff for cleaning of affected areas – ensure they are skilled to perform routine, additional, and terminal cleaning.</w:t>
      </w:r>
    </w:p>
    <w:p w14:paraId="2DE065A9" w14:textId="1CB78C94" w:rsidR="004E3FB3" w:rsidRPr="007F4B70" w:rsidRDefault="004E3FB3" w:rsidP="007F4B70">
      <w:pPr>
        <w:pStyle w:val="Heading2"/>
      </w:pPr>
      <w:bookmarkStart w:id="18" w:name="_Toc115342385"/>
      <w:r w:rsidRPr="007F4B70">
        <w:rPr>
          <w:rFonts w:eastAsiaTheme="minorHAnsi"/>
        </w:rPr>
        <w:t>Step 2: T</w:t>
      </w:r>
      <w:bookmarkEnd w:id="17"/>
      <w:r w:rsidR="00537CA2">
        <w:rPr>
          <w:rFonts w:eastAsiaTheme="minorHAnsi"/>
        </w:rPr>
        <w:t>est</w:t>
      </w:r>
      <w:bookmarkEnd w:id="18"/>
      <w:r w:rsidRPr="007F4B70">
        <w:rPr>
          <w:rFonts w:eastAsiaTheme="minorHAnsi"/>
        </w:rPr>
        <w:t xml:space="preserve"> </w:t>
      </w:r>
    </w:p>
    <w:p w14:paraId="14A8CA02" w14:textId="77777777" w:rsidR="004E3FB3" w:rsidRDefault="004E3FB3" w:rsidP="004E3FB3">
      <w:pPr>
        <w:spacing w:after="120"/>
        <w:rPr>
          <w:sz w:val="20"/>
        </w:rPr>
      </w:pPr>
      <w:r>
        <w:t>Test symptomatic person/s as soon as possible.</w:t>
      </w:r>
    </w:p>
    <w:p w14:paraId="2A5A66C6" w14:textId="509F13E2" w:rsidR="004E3FB3" w:rsidRDefault="004E3FB3" w:rsidP="004E3FB3">
      <w:pPr>
        <w:spacing w:after="120"/>
      </w:pPr>
      <w:r>
        <w:rPr>
          <w:noProof/>
          <w:lang w:eastAsia="en-AU"/>
        </w:rPr>
        <mc:AlternateContent>
          <mc:Choice Requires="wps">
            <w:drawing>
              <wp:anchor distT="45720" distB="45720" distL="114300" distR="114300" simplePos="0" relativeHeight="251658240" behindDoc="0" locked="0" layoutInCell="1" allowOverlap="1" wp14:anchorId="7A3FE3C8" wp14:editId="378DD518">
                <wp:simplePos x="0" y="0"/>
                <wp:positionH relativeFrom="margin">
                  <wp:align>right</wp:align>
                </wp:positionH>
                <wp:positionV relativeFrom="paragraph">
                  <wp:posOffset>464185</wp:posOffset>
                </wp:positionV>
                <wp:extent cx="5724525" cy="1219200"/>
                <wp:effectExtent l="0" t="0" r="28575" b="1905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219200"/>
                        </a:xfrm>
                        <a:prstGeom prst="rect">
                          <a:avLst/>
                        </a:prstGeom>
                        <a:solidFill>
                          <a:srgbClr val="FFFFFF"/>
                        </a:solidFill>
                        <a:ln w="9525">
                          <a:solidFill>
                            <a:srgbClr val="000000"/>
                          </a:solidFill>
                          <a:miter lim="800000"/>
                          <a:headEnd/>
                          <a:tailEnd/>
                        </a:ln>
                      </wps:spPr>
                      <wps:txbx>
                        <w:txbxContent>
                          <w:p w14:paraId="21B20E81" w14:textId="5734D8A7" w:rsidR="009B3CD1" w:rsidRDefault="009B3CD1" w:rsidP="004E3FB3">
                            <w:pPr>
                              <w:rPr>
                                <w:b/>
                                <w:bCs/>
                              </w:rPr>
                            </w:pPr>
                            <w:r>
                              <w:rPr>
                                <w:b/>
                                <w:bCs/>
                              </w:rPr>
                              <w:t>RCF should take steps to ensure access to appropriate testing services.</w:t>
                            </w:r>
                          </w:p>
                          <w:p w14:paraId="132F3459" w14:textId="77777777" w:rsidR="009B3CD1" w:rsidRDefault="009B3CD1" w:rsidP="004E3FB3">
                            <w:pPr>
                              <w:rPr>
                                <w:b/>
                                <w:bCs/>
                              </w:rPr>
                            </w:pPr>
                          </w:p>
                          <w:p w14:paraId="00127435" w14:textId="0C321156" w:rsidR="009B3CD1" w:rsidRDefault="009B3CD1" w:rsidP="004E3FB3">
                            <w:pPr>
                              <w:rPr>
                                <w:b/>
                                <w:bCs/>
                              </w:rPr>
                            </w:pPr>
                            <w:r>
                              <w:rPr>
                                <w:b/>
                                <w:bCs/>
                              </w:rPr>
                              <w:t>Initial cases of ARI within a facility should be tested by PCR to establish the pathogen. PCR should include COVID-19 and Influenza A/B. A wider panel of respiratory viruses should be tested for as clinically indicated. Testing programs should be developed in consultation with stakeholders, informed by jurisdictional guidance and supported by a formal policy approach.</w:t>
                            </w:r>
                          </w:p>
                          <w:p w14:paraId="5F00D52B" w14:textId="77777777" w:rsidR="009B3CD1" w:rsidRDefault="009B3CD1" w:rsidP="004E3F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3FE3C8" id="_x0000_t202" coordsize="21600,21600" o:spt="202" path="m,l,21600r21600,l21600,xe">
                <v:stroke joinstyle="miter"/>
                <v:path gradientshapeok="t" o:connecttype="rect"/>
              </v:shapetype>
              <v:shape id="Text Box 13" o:spid="_x0000_s1026" type="#_x0000_t202" style="position:absolute;margin-left:399.55pt;margin-top:36.55pt;width:450.75pt;height:96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">
                <v:textbox>
                  <w:txbxContent>
                    <w:p w14:paraId="21B20E81" w14:textId="5734D8A7" w:rsidR="009B3CD1" w:rsidRDefault="009B3CD1" w:rsidP="004E3FB3">
                      <w:pPr>
                        <w:rPr>
                          <w:b/>
                          <w:bCs/>
                        </w:rPr>
                      </w:pPr>
                      <w:r>
                        <w:rPr>
                          <w:b/>
                          <w:bCs/>
                        </w:rPr>
                        <w:t>RCF should take steps to ensure access to appropriate testing services.</w:t>
                      </w:r>
                    </w:p>
                    <w:p w14:paraId="132F3459" w14:textId="77777777" w:rsidR="009B3CD1" w:rsidRDefault="009B3CD1" w:rsidP="004E3FB3">
                      <w:pPr>
                        <w:rPr>
                          <w:b/>
                          <w:bCs/>
                        </w:rPr>
                      </w:pPr>
                    </w:p>
                    <w:p w14:paraId="00127435" w14:textId="0C321156" w:rsidR="009B3CD1" w:rsidRDefault="009B3CD1" w:rsidP="004E3FB3">
                      <w:pPr>
                        <w:rPr>
                          <w:b/>
                          <w:bCs/>
                        </w:rPr>
                      </w:pPr>
                      <w:r>
                        <w:rPr>
                          <w:b/>
                          <w:bCs/>
                        </w:rPr>
                        <w:t>Initial cases of ARI within a facility should be tested by PCR to establish the pathogen. PCR should include COVID-19 and Influenza A/B. A wider panel of respiratory viruses should be tested for as clinically indicated. Testing programs should be developed in consultation with stakeholders, informed by jurisdictional guidance and supported by a formal policy approach.</w:t>
                      </w:r>
                    </w:p>
                    <w:p w14:paraId="5F00D52B" w14:textId="77777777" w:rsidR="009B3CD1" w:rsidRDefault="009B3CD1" w:rsidP="004E3FB3"/>
                  </w:txbxContent>
                </v:textbox>
                <w10:wrap type="square" anchorx="margin"/>
              </v:shape>
            </w:pict>
          </mc:Fallback>
        </mc:AlternateContent>
      </w:r>
      <w:r>
        <w:t xml:space="preserve">Testing for ARI is critical for establishing a diagnosis, early treatment and planning and control of any potential outbreak. </w:t>
      </w:r>
    </w:p>
    <w:p w14:paraId="69258EAC" w14:textId="2B2FD7ED" w:rsidR="004E3FB3" w:rsidRDefault="004E3FB3" w:rsidP="004E3FB3">
      <w:pPr>
        <w:pStyle w:val="ListParagraph"/>
        <w:numPr>
          <w:ilvl w:val="0"/>
          <w:numId w:val="22"/>
        </w:numPr>
        <w:spacing w:before="240" w:after="120"/>
      </w:pPr>
      <w:r>
        <w:t xml:space="preserve">Facilities should communicate and consult with </w:t>
      </w:r>
      <w:r w:rsidR="00D937DE">
        <w:t xml:space="preserve">a </w:t>
      </w:r>
      <w:r>
        <w:t xml:space="preserve">General Practitioner (GP) or Nurse Practitioner (NP) regarding </w:t>
      </w:r>
      <w:r w:rsidR="00B82CFC">
        <w:t xml:space="preserve">clinical </w:t>
      </w:r>
      <w:r>
        <w:t>review and respiratory virus testing</w:t>
      </w:r>
      <w:r w:rsidR="00B60211">
        <w:t xml:space="preserve"> (PCR)</w:t>
      </w:r>
      <w:r w:rsidR="00D937DE">
        <w:t xml:space="preserve"> of all residents with ARI symptoms</w:t>
      </w:r>
      <w:r w:rsidR="0004677E">
        <w:t>. R</w:t>
      </w:r>
      <w:r>
        <w:t xml:space="preserve">espiratory virus </w:t>
      </w:r>
      <w:r w:rsidR="00AC6B5F">
        <w:t xml:space="preserve">PCR should </w:t>
      </w:r>
      <w:r w:rsidR="00E31FE3">
        <w:t>include</w:t>
      </w:r>
      <w:r>
        <w:t xml:space="preserve"> Influenza A, B and COVID-19 and other respiratory pathogens</w:t>
      </w:r>
      <w:r w:rsidR="0004677E">
        <w:t>.</w:t>
      </w:r>
      <w:r>
        <w:t xml:space="preserve"> </w:t>
      </w:r>
    </w:p>
    <w:p w14:paraId="60DF4708" w14:textId="2AFF46F6" w:rsidR="004E3FB3" w:rsidRDefault="00D937DE" w:rsidP="004E3FB3">
      <w:pPr>
        <w:pStyle w:val="ListParagraph"/>
        <w:numPr>
          <w:ilvl w:val="0"/>
          <w:numId w:val="22"/>
        </w:numPr>
        <w:spacing w:before="240" w:after="120"/>
      </w:pPr>
      <w:r>
        <w:t>SARS-CoV-2 r</w:t>
      </w:r>
      <w:r w:rsidR="004E3FB3">
        <w:t xml:space="preserve">apid </w:t>
      </w:r>
      <w:r>
        <w:t>a</w:t>
      </w:r>
      <w:r w:rsidR="004E3FB3">
        <w:t xml:space="preserve">ntigen </w:t>
      </w:r>
      <w:r>
        <w:t>t</w:t>
      </w:r>
      <w:r w:rsidR="004E3FB3">
        <w:t xml:space="preserve">esting (RAT) may be used for symptomatic people when PCR is </w:t>
      </w:r>
      <w:r w:rsidR="00ED555F">
        <w:t xml:space="preserve">less </w:t>
      </w:r>
      <w:r w:rsidR="004E3FB3">
        <w:t>available</w:t>
      </w:r>
      <w:r w:rsidR="00ED555F">
        <w:t xml:space="preserve"> or turn-around time for PCR is long. </w:t>
      </w:r>
      <w:r w:rsidR="00263238">
        <w:t xml:space="preserve">Initial </w:t>
      </w:r>
      <w:r w:rsidR="00793984">
        <w:t xml:space="preserve">symptomatic </w:t>
      </w:r>
      <w:r w:rsidR="00AB742A">
        <w:t>residents should</w:t>
      </w:r>
      <w:r w:rsidR="00793984">
        <w:t xml:space="preserve"> be tested by both RAT and PCR</w:t>
      </w:r>
      <w:r w:rsidR="00537CA2">
        <w:t>.</w:t>
      </w:r>
    </w:p>
    <w:p w14:paraId="70B4E2FB" w14:textId="68FCE3A0" w:rsidR="004E3FB3" w:rsidRDefault="004E3FB3" w:rsidP="004E3FB3">
      <w:pPr>
        <w:pStyle w:val="ListParagraph"/>
        <w:numPr>
          <w:ilvl w:val="0"/>
          <w:numId w:val="22"/>
        </w:numPr>
        <w:spacing w:before="240" w:after="120"/>
      </w:pPr>
      <w:r>
        <w:t xml:space="preserve">Symptomatic staff should be directed to their </w:t>
      </w:r>
      <w:r w:rsidR="00D937DE">
        <w:t>GP</w:t>
      </w:r>
      <w:r w:rsidR="00537CA2">
        <w:t>.</w:t>
      </w:r>
    </w:p>
    <w:p w14:paraId="6674B8A8" w14:textId="48B55EAC" w:rsidR="004E3FB3" w:rsidRDefault="004E3FB3" w:rsidP="004E3FB3">
      <w:pPr>
        <w:pStyle w:val="ListParagraph"/>
        <w:numPr>
          <w:ilvl w:val="0"/>
          <w:numId w:val="22"/>
        </w:numPr>
        <w:spacing w:before="240" w:after="120"/>
      </w:pPr>
      <w:r>
        <w:t xml:space="preserve">Facilities should clearly identify the name of the RCF </w:t>
      </w:r>
      <w:r w:rsidR="00B82CFC">
        <w:t xml:space="preserve">(or outbreak code if relevant) </w:t>
      </w:r>
      <w:r>
        <w:t>on the order form and ensure the requesting doctor’s details are complete</w:t>
      </w:r>
      <w:r w:rsidR="00537CA2">
        <w:t>.</w:t>
      </w:r>
    </w:p>
    <w:p w14:paraId="26DD0071" w14:textId="78CF0593" w:rsidR="004E3FB3" w:rsidRDefault="004E3FB3" w:rsidP="004E3FB3">
      <w:pPr>
        <w:pStyle w:val="ListParagraph"/>
        <w:numPr>
          <w:ilvl w:val="0"/>
          <w:numId w:val="22"/>
        </w:numPr>
        <w:spacing w:before="240" w:after="120"/>
      </w:pPr>
      <w:r>
        <w:t xml:space="preserve">Ensure all symptomatic residents remain isolated until initial testing is complete, and </w:t>
      </w:r>
      <w:r w:rsidR="00AC6B5F">
        <w:t xml:space="preserve">pathogen </w:t>
      </w:r>
      <w:r>
        <w:t>is known</w:t>
      </w:r>
      <w:r w:rsidR="008E7D1B">
        <w:t>.</w:t>
      </w:r>
    </w:p>
    <w:p w14:paraId="0766A8C0" w14:textId="5CC9FFB7" w:rsidR="004E3FB3" w:rsidRDefault="004E3FB3" w:rsidP="004E3FB3">
      <w:pPr>
        <w:pStyle w:val="ListParagraph"/>
        <w:numPr>
          <w:ilvl w:val="0"/>
          <w:numId w:val="22"/>
        </w:numPr>
        <w:spacing w:before="240" w:after="120"/>
      </w:pPr>
      <w:r>
        <w:lastRenderedPageBreak/>
        <w:t>If no pathogen is detected on respiratory virus testing for three or more symptomatic residents, precautions should be maintained while resident</w:t>
      </w:r>
      <w:r w:rsidR="00D937DE">
        <w:t>s are</w:t>
      </w:r>
      <w:r>
        <w:t xml:space="preserve"> symptomatic and </w:t>
      </w:r>
      <w:r w:rsidR="00D937DE">
        <w:t xml:space="preserve">the </w:t>
      </w:r>
      <w:r>
        <w:t xml:space="preserve">PHU contacted for further advice. </w:t>
      </w:r>
      <w:bookmarkStart w:id="19" w:name="_Toc104904610"/>
    </w:p>
    <w:p w14:paraId="08647BFC" w14:textId="6AE1B4A0" w:rsidR="004E3FB3" w:rsidRPr="006D7F73" w:rsidRDefault="004E3FB3" w:rsidP="00E31FE3">
      <w:pPr>
        <w:spacing w:after="120"/>
        <w:rPr>
          <w:rFonts w:eastAsiaTheme="minorHAnsi" w:cs="Arial"/>
          <w:b/>
          <w:bCs/>
          <w:iCs/>
          <w:color w:val="358189"/>
          <w:sz w:val="32"/>
          <w:szCs w:val="28"/>
        </w:rPr>
      </w:pPr>
      <w:r w:rsidRPr="006D7F73">
        <w:rPr>
          <w:rFonts w:eastAsiaTheme="minorHAnsi" w:cs="Arial"/>
          <w:b/>
          <w:bCs/>
          <w:iCs/>
          <w:color w:val="358189"/>
          <w:sz w:val="32"/>
          <w:szCs w:val="28"/>
        </w:rPr>
        <w:t>Step 3: R</w:t>
      </w:r>
      <w:r w:rsidR="00537CA2">
        <w:rPr>
          <w:rFonts w:eastAsiaTheme="minorHAnsi" w:cs="Arial"/>
          <w:b/>
          <w:bCs/>
          <w:iCs/>
          <w:color w:val="358189"/>
          <w:sz w:val="32"/>
          <w:szCs w:val="28"/>
        </w:rPr>
        <w:t xml:space="preserve">isk assess </w:t>
      </w:r>
      <w:bookmarkEnd w:id="19"/>
    </w:p>
    <w:p w14:paraId="5CA25FA5" w14:textId="77777777" w:rsidR="00B82CFC" w:rsidRDefault="00B82CFC" w:rsidP="00B82CFC">
      <w:pPr>
        <w:spacing w:before="240" w:after="120"/>
      </w:pPr>
      <w:bookmarkStart w:id="20" w:name="_Toc104904611"/>
      <w:r>
        <w:t>Following receipt of test results, assess risk to facility from symptomatic resident(s):</w:t>
      </w:r>
    </w:p>
    <w:p w14:paraId="5909238A" w14:textId="5B378DD5" w:rsidR="004E3FB3" w:rsidRDefault="004E3FB3" w:rsidP="00B82CFC">
      <w:pPr>
        <w:spacing w:before="240" w:after="120"/>
      </w:pPr>
      <w:r>
        <w:t xml:space="preserve">Isolate </w:t>
      </w:r>
      <w:r w:rsidR="00AC6B5F">
        <w:t xml:space="preserve">respiratory pathogen positive </w:t>
      </w:r>
      <w:r>
        <w:t xml:space="preserve">residents in their own room with designated bathroom if possible and test </w:t>
      </w:r>
      <w:r w:rsidR="00AC6B5F">
        <w:t xml:space="preserve">all other </w:t>
      </w:r>
      <w:r>
        <w:t>symptomatic residents</w:t>
      </w:r>
      <w:r w:rsidR="00B60211">
        <w:t>. C</w:t>
      </w:r>
      <w:r>
        <w:t>ontinue to isolate residents while awaiting test result</w:t>
      </w:r>
      <w:r w:rsidR="00537CA2">
        <w:t>.</w:t>
      </w:r>
      <w:r>
        <w:t xml:space="preserve"> </w:t>
      </w:r>
    </w:p>
    <w:p w14:paraId="5F6BCF9D" w14:textId="50248D0D" w:rsidR="00B82CFC" w:rsidRDefault="00B82CFC" w:rsidP="00B82CFC">
      <w:pPr>
        <w:pStyle w:val="ListParagraph"/>
        <w:numPr>
          <w:ilvl w:val="0"/>
          <w:numId w:val="22"/>
        </w:numPr>
        <w:spacing w:before="240" w:after="120"/>
      </w:pPr>
      <w:r>
        <w:t>Trigger the outbreak management plan with the first resident who has tested positive</w:t>
      </w:r>
      <w:r w:rsidR="00537CA2">
        <w:t>.</w:t>
      </w:r>
      <w:r>
        <w:t xml:space="preserve"> for COVID-19 or influenza while awaiting additional test results of other residents. The outbreak management plan is activated before the definition of an outbreak is met to prepare for a potential outbreak.</w:t>
      </w:r>
    </w:p>
    <w:p w14:paraId="34C3E440" w14:textId="3F1D2565" w:rsidR="004E3FB3" w:rsidRDefault="004E3FB3" w:rsidP="00B82CFC">
      <w:pPr>
        <w:pStyle w:val="ListParagraph"/>
        <w:numPr>
          <w:ilvl w:val="0"/>
          <w:numId w:val="22"/>
        </w:numPr>
        <w:spacing w:before="240" w:after="120"/>
      </w:pPr>
      <w:r>
        <w:t>Review IPC measures implemented</w:t>
      </w:r>
      <w:r w:rsidR="00B82CFC">
        <w:t>, then</w:t>
      </w:r>
      <w:r>
        <w:t xml:space="preserve"> identify and address any gaps</w:t>
      </w:r>
      <w:r w:rsidR="00537CA2">
        <w:t>.</w:t>
      </w:r>
    </w:p>
    <w:p w14:paraId="67C34E3D" w14:textId="3BADC5F1" w:rsidR="00B82CFC" w:rsidRDefault="00B82CFC" w:rsidP="00B82CFC">
      <w:pPr>
        <w:pStyle w:val="ListParagraph"/>
        <w:numPr>
          <w:ilvl w:val="0"/>
          <w:numId w:val="22"/>
        </w:numPr>
        <w:spacing w:before="240" w:after="120"/>
      </w:pPr>
      <w:r>
        <w:t xml:space="preserve">Assess and manage risk from symptomatic staff: </w:t>
      </w:r>
    </w:p>
    <w:p w14:paraId="4C0C240D" w14:textId="25440FC1" w:rsidR="004E3FB3" w:rsidRDefault="004E3FB3" w:rsidP="004E3FB3">
      <w:pPr>
        <w:pStyle w:val="ListParagraph"/>
        <w:numPr>
          <w:ilvl w:val="0"/>
          <w:numId w:val="25"/>
        </w:numPr>
        <w:spacing w:before="240" w:after="120"/>
      </w:pPr>
      <w:r>
        <w:t>Furlough symptomatic staff and direct to their general practitioner</w:t>
      </w:r>
      <w:r w:rsidR="00537CA2">
        <w:t>.</w:t>
      </w:r>
    </w:p>
    <w:p w14:paraId="08CFF4CC" w14:textId="233CEB8C" w:rsidR="004E3FB3" w:rsidRPr="007F4B70" w:rsidRDefault="004E3FB3" w:rsidP="007F4B70">
      <w:pPr>
        <w:pStyle w:val="Heading2"/>
      </w:pPr>
      <w:bookmarkStart w:id="21" w:name="_Toc115342386"/>
      <w:r w:rsidRPr="007F4B70">
        <w:rPr>
          <w:rFonts w:eastAsiaTheme="minorHAnsi"/>
        </w:rPr>
        <w:t>Step 4: C</w:t>
      </w:r>
      <w:r w:rsidR="00537CA2">
        <w:rPr>
          <w:rFonts w:eastAsiaTheme="minorHAnsi"/>
        </w:rPr>
        <w:t>ase management</w:t>
      </w:r>
      <w:bookmarkEnd w:id="21"/>
      <w:r w:rsidR="00537CA2">
        <w:rPr>
          <w:rFonts w:eastAsiaTheme="minorHAnsi"/>
        </w:rPr>
        <w:t xml:space="preserve"> </w:t>
      </w:r>
      <w:bookmarkEnd w:id="20"/>
    </w:p>
    <w:p w14:paraId="2CEEE311" w14:textId="19D2E841" w:rsidR="004E3FB3" w:rsidRDefault="004E3FB3" w:rsidP="004E3FB3">
      <w:pPr>
        <w:spacing w:after="120"/>
        <w:rPr>
          <w:sz w:val="20"/>
        </w:rPr>
      </w:pPr>
      <w:r>
        <w:t xml:space="preserve">Immediately escalate to the RCF clinical manager if a resident, visitor, or staff member tests positive for influenza or COVID-19 </w:t>
      </w:r>
      <w:r w:rsidR="00AC6B5F">
        <w:t xml:space="preserve">and </w:t>
      </w:r>
      <w:r w:rsidR="00D937DE">
        <w:t xml:space="preserve">they have </w:t>
      </w:r>
      <w:r>
        <w:t>been at the facility during their infectious period.</w:t>
      </w:r>
    </w:p>
    <w:p w14:paraId="6389DC6A" w14:textId="461AA113" w:rsidR="004E3FB3" w:rsidRDefault="004E3FB3" w:rsidP="004E3FB3">
      <w:pPr>
        <w:spacing w:after="120"/>
      </w:pPr>
      <w:r>
        <w:t xml:space="preserve">Inform </w:t>
      </w:r>
      <w:r w:rsidR="0004677E">
        <w:t>resident and</w:t>
      </w:r>
      <w:r w:rsidR="00322DB1">
        <w:t>/or</w:t>
      </w:r>
      <w:r w:rsidR="0004677E">
        <w:t xml:space="preserve"> </w:t>
      </w:r>
      <w:r>
        <w:t xml:space="preserve">substitute health </w:t>
      </w:r>
      <w:r w:rsidR="00E31FE3">
        <w:t xml:space="preserve">care </w:t>
      </w:r>
      <w:r w:rsidR="00322DB1">
        <w:t>decision-</w:t>
      </w:r>
      <w:r>
        <w:t>maker / relative</w:t>
      </w:r>
      <w:r w:rsidR="00B60211">
        <w:t xml:space="preserve"> of positive results or exposure.</w:t>
      </w:r>
    </w:p>
    <w:p w14:paraId="3AD9B529" w14:textId="77777777" w:rsidR="004E3FB3" w:rsidRDefault="004E3FB3" w:rsidP="004E3FB3">
      <w:pPr>
        <w:pStyle w:val="ListParagraph"/>
        <w:numPr>
          <w:ilvl w:val="0"/>
          <w:numId w:val="22"/>
        </w:numPr>
        <w:spacing w:before="240" w:after="120"/>
      </w:pPr>
      <w:r>
        <w:t>Treatment</w:t>
      </w:r>
    </w:p>
    <w:p w14:paraId="4D07B9E4" w14:textId="3B130A70" w:rsidR="004E3FB3" w:rsidRDefault="004E3FB3" w:rsidP="004E3FB3">
      <w:pPr>
        <w:pStyle w:val="ListParagraph"/>
        <w:numPr>
          <w:ilvl w:val="0"/>
          <w:numId w:val="25"/>
        </w:numPr>
        <w:spacing w:before="240" w:after="120"/>
      </w:pPr>
      <w:r>
        <w:t xml:space="preserve">On diagnosis, facilities must promptly contact </w:t>
      </w:r>
      <w:r w:rsidR="00D937DE">
        <w:t xml:space="preserve">the </w:t>
      </w:r>
      <w:r>
        <w:t>resident</w:t>
      </w:r>
      <w:r w:rsidR="00D937DE">
        <w:t>’</w:t>
      </w:r>
      <w:r>
        <w:t>s GP/NP regarding clinical assessment, care, and treatment</w:t>
      </w:r>
      <w:r w:rsidR="00537CA2">
        <w:t>.</w:t>
      </w:r>
      <w:r>
        <w:t xml:space="preserve"> </w:t>
      </w:r>
    </w:p>
    <w:p w14:paraId="3C732B0F" w14:textId="77777777" w:rsidR="004E3FB3" w:rsidRDefault="004E3FB3" w:rsidP="004E3FB3">
      <w:pPr>
        <w:pStyle w:val="ListParagraph"/>
        <w:numPr>
          <w:ilvl w:val="0"/>
          <w:numId w:val="25"/>
        </w:numPr>
        <w:spacing w:before="240" w:after="120"/>
      </w:pPr>
      <w:r>
        <w:t>Residents’ GP/NP will continue to provide their routine primary care as needed either onsite and/or virtually.</w:t>
      </w:r>
    </w:p>
    <w:p w14:paraId="2947A003" w14:textId="43FEDB76" w:rsidR="004E3FB3" w:rsidRDefault="004E3FB3" w:rsidP="004E3FB3">
      <w:pPr>
        <w:pStyle w:val="ListParagraph"/>
        <w:numPr>
          <w:ilvl w:val="0"/>
          <w:numId w:val="25"/>
        </w:numPr>
        <w:spacing w:before="240" w:after="120"/>
      </w:pPr>
      <w:r>
        <w:t xml:space="preserve">For treatment regimens see </w:t>
      </w:r>
      <w:hyperlink w:anchor="_Appendix_2:_Treatment" w:history="1">
        <w:r w:rsidRPr="004D13C5">
          <w:rPr>
            <w:rStyle w:val="Hyperlink"/>
          </w:rPr>
          <w:t>Appendix 2</w:t>
        </w:r>
      </w:hyperlink>
      <w:r>
        <w:t>.</w:t>
      </w:r>
    </w:p>
    <w:p w14:paraId="3BD26A75" w14:textId="77777777" w:rsidR="004E3FB3" w:rsidRDefault="004E3FB3" w:rsidP="004E3FB3">
      <w:pPr>
        <w:pStyle w:val="ListParagraph"/>
        <w:numPr>
          <w:ilvl w:val="0"/>
          <w:numId w:val="22"/>
        </w:numPr>
        <w:spacing w:before="240" w:after="120"/>
      </w:pPr>
      <w:r>
        <w:t>Isolation</w:t>
      </w:r>
    </w:p>
    <w:p w14:paraId="124ADC67" w14:textId="6484370A" w:rsidR="004E3FB3" w:rsidRDefault="004E3FB3" w:rsidP="004E3FB3">
      <w:pPr>
        <w:pStyle w:val="ListParagraph"/>
        <w:numPr>
          <w:ilvl w:val="0"/>
          <w:numId w:val="25"/>
        </w:numPr>
        <w:spacing w:before="240" w:after="120"/>
      </w:pPr>
      <w:r>
        <w:t xml:space="preserve">Cases should be managed according to the diagnosis, as shown in </w:t>
      </w:r>
      <w:hyperlink w:anchor="_Table_1_–" w:history="1">
        <w:r w:rsidRPr="004D13C5">
          <w:rPr>
            <w:rStyle w:val="Hyperlink"/>
          </w:rPr>
          <w:t>Table 1</w:t>
        </w:r>
      </w:hyperlink>
      <w:r>
        <w:t>. Jurisdictions may implement additional requirements above these recommendations</w:t>
      </w:r>
      <w:r w:rsidR="00537CA2">
        <w:t>.</w:t>
      </w:r>
    </w:p>
    <w:p w14:paraId="5CF62359" w14:textId="3F4057FE" w:rsidR="004E3FB3" w:rsidRDefault="004E3FB3" w:rsidP="004E3FB3">
      <w:pPr>
        <w:pStyle w:val="ListParagraph"/>
        <w:numPr>
          <w:ilvl w:val="0"/>
          <w:numId w:val="25"/>
        </w:numPr>
        <w:spacing w:before="240" w:after="120"/>
      </w:pPr>
      <w:r>
        <w:t>The case should isolate in their own room or, if more than one resident case is positive (with the same organism), the residents could be cohorted together for ease of management</w:t>
      </w:r>
      <w:r w:rsidR="00537CA2">
        <w:t>.</w:t>
      </w:r>
    </w:p>
    <w:p w14:paraId="69B6F58E" w14:textId="227C918D" w:rsidR="004E3FB3" w:rsidRDefault="004E3FB3" w:rsidP="004E3FB3">
      <w:pPr>
        <w:pStyle w:val="ListParagraph"/>
        <w:numPr>
          <w:ilvl w:val="0"/>
          <w:numId w:val="25"/>
        </w:numPr>
        <w:spacing w:before="240" w:after="120"/>
      </w:pPr>
      <w:r>
        <w:t>The case should continue to receive ongoing daily care onsite (e.g., mobilisation, allied health services, time sensitive pathology tests, routine catheter changes and wound reviews etc)</w:t>
      </w:r>
      <w:r w:rsidR="00537CA2">
        <w:t>.</w:t>
      </w:r>
    </w:p>
    <w:p w14:paraId="2AF73BD4" w14:textId="77777777" w:rsidR="004E3FB3" w:rsidRDefault="004E3FB3" w:rsidP="004E3FB3">
      <w:pPr>
        <w:pStyle w:val="ListParagraph"/>
        <w:numPr>
          <w:ilvl w:val="0"/>
          <w:numId w:val="25"/>
        </w:numPr>
        <w:spacing w:before="240" w:after="120"/>
      </w:pPr>
      <w:r>
        <w:t xml:space="preserve">Essential off-site appointments also should continue (e.g., dialysis), with negotiation with the service provider if the resident has COVID-19 or influenza or has been exposed to COVID-19 or influenza. </w:t>
      </w:r>
    </w:p>
    <w:p w14:paraId="5DDA4664" w14:textId="77777777" w:rsidR="004E3FB3" w:rsidRDefault="004E3FB3" w:rsidP="004E3FB3">
      <w:pPr>
        <w:pStyle w:val="ListParagraph"/>
        <w:numPr>
          <w:ilvl w:val="0"/>
          <w:numId w:val="22"/>
        </w:numPr>
        <w:spacing w:before="240" w:after="120"/>
      </w:pPr>
      <w:r>
        <w:t>IPC measures</w:t>
      </w:r>
    </w:p>
    <w:p w14:paraId="19CB4478" w14:textId="77777777" w:rsidR="004E3FB3" w:rsidRDefault="004E3FB3" w:rsidP="004E3FB3">
      <w:pPr>
        <w:pStyle w:val="ListParagraph"/>
        <w:numPr>
          <w:ilvl w:val="0"/>
          <w:numId w:val="25"/>
        </w:numPr>
        <w:spacing w:before="240" w:after="120"/>
      </w:pPr>
      <w:r>
        <w:t xml:space="preserve">Cohort and zone </w:t>
      </w:r>
    </w:p>
    <w:p w14:paraId="260E76C7" w14:textId="77777777" w:rsidR="004E3FB3" w:rsidRDefault="004E3FB3" w:rsidP="004E3FB3">
      <w:pPr>
        <w:pStyle w:val="ListParagraph"/>
        <w:numPr>
          <w:ilvl w:val="0"/>
          <w:numId w:val="25"/>
        </w:numPr>
        <w:spacing w:before="240" w:after="120"/>
      </w:pPr>
      <w:r>
        <w:t>Identify the areas of the facility that are at risk. Where the whole RCF is impacted whole-of-facility actions should be taken. Where only a wing or floor of the RCF is impacted only that area should be managed as an outbreak site.</w:t>
      </w:r>
    </w:p>
    <w:p w14:paraId="13EF7934" w14:textId="1FE8A5BE" w:rsidR="004E3FB3" w:rsidRDefault="004E3FB3" w:rsidP="004E3FB3">
      <w:pPr>
        <w:pStyle w:val="ListParagraph"/>
        <w:numPr>
          <w:ilvl w:val="0"/>
          <w:numId w:val="25"/>
        </w:numPr>
        <w:spacing w:before="240" w:after="120"/>
      </w:pPr>
      <w:r>
        <w:lastRenderedPageBreak/>
        <w:t>Cases with different respiratory pathogens should be cohorted separately. E.g., influenza cases should be cohorted away from COVID-19 cases</w:t>
      </w:r>
      <w:r w:rsidR="00537CA2">
        <w:t>.</w:t>
      </w:r>
    </w:p>
    <w:p w14:paraId="65096940" w14:textId="77777777" w:rsidR="004E3FB3" w:rsidRDefault="004E3FB3" w:rsidP="004E3FB3">
      <w:pPr>
        <w:pStyle w:val="ListParagraph"/>
        <w:numPr>
          <w:ilvl w:val="0"/>
          <w:numId w:val="25"/>
        </w:numPr>
        <w:spacing w:before="240" w:after="120"/>
      </w:pPr>
      <w:r>
        <w:t>Apply the risk assessment outcomes and test results to confirm areas in the facility that:</w:t>
      </w:r>
    </w:p>
    <w:p w14:paraId="3517A048" w14:textId="77777777" w:rsidR="004E3FB3" w:rsidRDefault="004E3FB3" w:rsidP="004E3FB3">
      <w:pPr>
        <w:pStyle w:val="ListParagraph"/>
        <w:numPr>
          <w:ilvl w:val="2"/>
          <w:numId w:val="22"/>
        </w:numPr>
        <w:spacing w:before="240" w:after="120"/>
      </w:pPr>
      <w:r>
        <w:t>are staff only e.g., nurses’ station, medication room, kitchen, reception area (E.g., Blue zone)</w:t>
      </w:r>
    </w:p>
    <w:p w14:paraId="666CB070" w14:textId="77777777" w:rsidR="004E3FB3" w:rsidRDefault="004E3FB3" w:rsidP="004E3FB3">
      <w:pPr>
        <w:pStyle w:val="ListParagraph"/>
        <w:numPr>
          <w:ilvl w:val="2"/>
          <w:numId w:val="22"/>
        </w:numPr>
        <w:spacing w:before="240" w:after="120"/>
      </w:pPr>
      <w:r>
        <w:t>are likely to be completely unaffected and can be staffed with non-exposed staff and managed separately (E.g., Green zone)</w:t>
      </w:r>
    </w:p>
    <w:p w14:paraId="72B9A10F" w14:textId="77777777" w:rsidR="004E3FB3" w:rsidRDefault="004E3FB3" w:rsidP="004E3FB3">
      <w:pPr>
        <w:pStyle w:val="ListParagraph"/>
        <w:numPr>
          <w:ilvl w:val="2"/>
          <w:numId w:val="22"/>
        </w:numPr>
        <w:spacing w:before="240" w:after="120"/>
      </w:pPr>
      <w:r>
        <w:t xml:space="preserve">have been affected due to exposures (E.g., Amber zone) or </w:t>
      </w:r>
    </w:p>
    <w:p w14:paraId="5664BDA0" w14:textId="77777777" w:rsidR="004E3FB3" w:rsidRDefault="004E3FB3" w:rsidP="004E3FB3">
      <w:pPr>
        <w:pStyle w:val="ListParagraph"/>
        <w:numPr>
          <w:ilvl w:val="2"/>
          <w:numId w:val="22"/>
        </w:numPr>
        <w:spacing w:before="240" w:after="120"/>
      </w:pPr>
      <w:r>
        <w:t xml:space="preserve">cases (E.g., Red zone) </w:t>
      </w:r>
    </w:p>
    <w:p w14:paraId="71CB82A8" w14:textId="3B2B237E" w:rsidR="004E3FB3" w:rsidRDefault="004E3FB3" w:rsidP="004E3FB3">
      <w:pPr>
        <w:pStyle w:val="ListParagraph"/>
        <w:numPr>
          <w:ilvl w:val="0"/>
          <w:numId w:val="25"/>
        </w:numPr>
        <w:spacing w:before="240" w:after="120"/>
      </w:pPr>
      <w:r>
        <w:t>Set up donning/doffing areas as per outbreak management plan</w:t>
      </w:r>
      <w:r w:rsidR="00537CA2">
        <w:t>.</w:t>
      </w:r>
    </w:p>
    <w:p w14:paraId="27605793" w14:textId="00FD7ED4" w:rsidR="004E3FB3" w:rsidRDefault="004E3FB3" w:rsidP="004E3FB3">
      <w:pPr>
        <w:pStyle w:val="ListParagraph"/>
        <w:numPr>
          <w:ilvl w:val="0"/>
          <w:numId w:val="25"/>
        </w:numPr>
        <w:spacing w:before="240" w:after="120"/>
      </w:pPr>
      <w:r>
        <w:t>Allocate staff to a zone for the duration of the outbreak</w:t>
      </w:r>
      <w:r w:rsidR="00537CA2">
        <w:t>.</w:t>
      </w:r>
    </w:p>
    <w:p w14:paraId="360C75A6" w14:textId="77777777" w:rsidR="004E3FB3" w:rsidRDefault="004E3FB3" w:rsidP="004E3FB3">
      <w:pPr>
        <w:pStyle w:val="ListParagraph"/>
        <w:numPr>
          <w:ilvl w:val="0"/>
          <w:numId w:val="25"/>
        </w:numPr>
        <w:spacing w:before="240" w:after="120"/>
      </w:pPr>
      <w:r>
        <w:t>Cohort staff to work in only one part of the facility.</w:t>
      </w:r>
    </w:p>
    <w:p w14:paraId="170A3394" w14:textId="77777777" w:rsidR="004E3FB3" w:rsidRDefault="004E3FB3" w:rsidP="004E3FB3">
      <w:pPr>
        <w:pStyle w:val="ListParagraph"/>
        <w:numPr>
          <w:ilvl w:val="0"/>
          <w:numId w:val="22"/>
        </w:numPr>
        <w:spacing w:before="240" w:after="120"/>
      </w:pPr>
      <w:r>
        <w:t xml:space="preserve">Staff </w:t>
      </w:r>
    </w:p>
    <w:p w14:paraId="7D69792C" w14:textId="48966D29" w:rsidR="004E3FB3" w:rsidRDefault="004E3FB3" w:rsidP="004E3FB3">
      <w:pPr>
        <w:pStyle w:val="ListParagraph"/>
        <w:numPr>
          <w:ilvl w:val="0"/>
          <w:numId w:val="25"/>
        </w:numPr>
        <w:spacing w:before="240" w:after="120"/>
      </w:pPr>
      <w:r>
        <w:t xml:space="preserve">Staff members who are a positive case must furlough as per </w:t>
      </w:r>
      <w:hyperlink w:anchor="_Table_1_–" w:history="1">
        <w:r w:rsidRPr="004D13C5">
          <w:rPr>
            <w:rStyle w:val="Hyperlink"/>
          </w:rPr>
          <w:t>Table 1</w:t>
        </w:r>
      </w:hyperlink>
      <w:r>
        <w:t>.</w:t>
      </w:r>
    </w:p>
    <w:p w14:paraId="0DCA96EF" w14:textId="10EF21E7" w:rsidR="004E3FB3" w:rsidRDefault="004E3FB3">
      <w:r>
        <w:br w:type="page"/>
      </w:r>
    </w:p>
    <w:p w14:paraId="5F1EAAA4" w14:textId="067408B6" w:rsidR="004E3FB3" w:rsidRPr="004E3FB3" w:rsidRDefault="004E3FB3" w:rsidP="00303EDC">
      <w:pPr>
        <w:pStyle w:val="Heading4"/>
      </w:pPr>
      <w:bookmarkStart w:id="22" w:name="_Table_1_–"/>
      <w:bookmarkStart w:id="23" w:name="_Toc115342387"/>
      <w:bookmarkEnd w:id="22"/>
      <w:r>
        <w:lastRenderedPageBreak/>
        <w:t>Table 1 – Case and contact management for COVID-19, influenza, and other confirmed respiratory pathogens.</w:t>
      </w:r>
      <w:bookmarkEnd w:id="23"/>
      <w:r>
        <w:t xml:space="preserve"> </w:t>
      </w:r>
    </w:p>
    <w:tbl>
      <w:tblPr>
        <w:tblW w:w="10350"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02"/>
        <w:gridCol w:w="1011"/>
        <w:gridCol w:w="1708"/>
        <w:gridCol w:w="2544"/>
        <w:gridCol w:w="2559"/>
        <w:gridCol w:w="2126"/>
      </w:tblGrid>
      <w:tr w:rsidR="00BD1F2D" w14:paraId="0B2AF5D3" w14:textId="77777777" w:rsidTr="004E3FB3">
        <w:tc>
          <w:tcPr>
            <w:tcW w:w="402" w:type="dxa"/>
            <w:tcBorders>
              <w:top w:val="nil"/>
              <w:left w:val="nil"/>
              <w:bottom w:val="single" w:sz="12" w:space="0" w:color="auto"/>
              <w:right w:val="nil"/>
            </w:tcBorders>
            <w:shd w:val="clear" w:color="auto" w:fill="FFFFFF"/>
          </w:tcPr>
          <w:p w14:paraId="5C901BD7" w14:textId="77777777" w:rsidR="004E3FB3" w:rsidRPr="004E3FB3" w:rsidRDefault="004E3FB3">
            <w:pPr>
              <w:spacing w:line="256" w:lineRule="auto"/>
              <w:rPr>
                <w:rFonts w:cs="Arial"/>
                <w:sz w:val="20"/>
                <w:szCs w:val="20"/>
              </w:rPr>
            </w:pPr>
          </w:p>
        </w:tc>
        <w:tc>
          <w:tcPr>
            <w:tcW w:w="1011" w:type="dxa"/>
            <w:tcBorders>
              <w:top w:val="nil"/>
              <w:left w:val="nil"/>
              <w:bottom w:val="single" w:sz="12" w:space="0" w:color="auto"/>
              <w:right w:val="nil"/>
            </w:tcBorders>
            <w:shd w:val="clear" w:color="auto" w:fill="FFFFFF"/>
          </w:tcPr>
          <w:p w14:paraId="1F88DF86" w14:textId="77777777" w:rsidR="004E3FB3" w:rsidRPr="004E3FB3" w:rsidRDefault="004E3FB3">
            <w:pPr>
              <w:spacing w:line="256" w:lineRule="auto"/>
              <w:rPr>
                <w:rFonts w:cs="Arial"/>
                <w:sz w:val="20"/>
                <w:szCs w:val="20"/>
              </w:rPr>
            </w:pPr>
          </w:p>
        </w:tc>
        <w:tc>
          <w:tcPr>
            <w:tcW w:w="1708" w:type="dxa"/>
            <w:tcBorders>
              <w:top w:val="nil"/>
              <w:left w:val="nil"/>
              <w:bottom w:val="single" w:sz="12" w:space="0" w:color="auto"/>
              <w:right w:val="single" w:sz="4" w:space="0" w:color="auto"/>
            </w:tcBorders>
            <w:shd w:val="clear" w:color="auto" w:fill="FFFFFF"/>
            <w:tcMar>
              <w:top w:w="0" w:type="dxa"/>
              <w:left w:w="108" w:type="dxa"/>
              <w:bottom w:w="0" w:type="dxa"/>
              <w:right w:w="108" w:type="dxa"/>
            </w:tcMar>
            <w:hideMark/>
          </w:tcPr>
          <w:p w14:paraId="60F3D80B" w14:textId="77777777" w:rsidR="004E3FB3" w:rsidRPr="004E3FB3" w:rsidRDefault="004E3FB3">
            <w:pPr>
              <w:spacing w:line="256" w:lineRule="auto"/>
              <w:rPr>
                <w:rFonts w:cs="Arial"/>
                <w:sz w:val="20"/>
                <w:szCs w:val="20"/>
              </w:rPr>
            </w:pPr>
            <w:r w:rsidRPr="004E3FB3">
              <w:rPr>
                <w:rFonts w:cs="Arial"/>
                <w:sz w:val="20"/>
                <w:szCs w:val="20"/>
              </w:rPr>
              <w:t> </w:t>
            </w:r>
          </w:p>
        </w:tc>
        <w:tc>
          <w:tcPr>
            <w:tcW w:w="2544" w:type="dxa"/>
            <w:tcBorders>
              <w:top w:val="single" w:sz="4" w:space="0" w:color="auto"/>
              <w:left w:val="single" w:sz="4" w:space="0" w:color="auto"/>
              <w:bottom w:val="single" w:sz="12" w:space="0" w:color="auto"/>
              <w:right w:val="single" w:sz="4" w:space="0" w:color="auto"/>
            </w:tcBorders>
            <w:shd w:val="clear" w:color="auto" w:fill="358189" w:themeFill="accent2"/>
            <w:tcMar>
              <w:top w:w="0" w:type="dxa"/>
              <w:left w:w="108" w:type="dxa"/>
              <w:bottom w:w="0" w:type="dxa"/>
              <w:right w:w="108" w:type="dxa"/>
            </w:tcMar>
            <w:hideMark/>
          </w:tcPr>
          <w:p w14:paraId="36C46146" w14:textId="77777777" w:rsidR="004E3FB3" w:rsidRDefault="004E3FB3">
            <w:pPr>
              <w:spacing w:line="256" w:lineRule="auto"/>
              <w:rPr>
                <w:rFonts w:cs="Arial"/>
                <w:b/>
                <w:bCs/>
                <w:color w:val="FFFFFF" w:themeColor="background1"/>
                <w:sz w:val="20"/>
                <w:szCs w:val="20"/>
              </w:rPr>
            </w:pPr>
            <w:r w:rsidRPr="004E3FB3">
              <w:rPr>
                <w:rFonts w:cs="Arial"/>
                <w:b/>
                <w:bCs/>
                <w:color w:val="FFFFFF" w:themeColor="background1"/>
                <w:sz w:val="20"/>
                <w:szCs w:val="20"/>
              </w:rPr>
              <w:t xml:space="preserve">COVID-19 </w:t>
            </w:r>
          </w:p>
          <w:p w14:paraId="05B3F8F7" w14:textId="453FAC5E" w:rsidR="004E3FB3" w:rsidRPr="004E3FB3" w:rsidRDefault="004E3FB3">
            <w:pPr>
              <w:spacing w:line="256" w:lineRule="auto"/>
              <w:rPr>
                <w:rFonts w:cs="Arial"/>
                <w:b/>
                <w:bCs/>
                <w:color w:val="FFFFFF" w:themeColor="background1"/>
                <w:sz w:val="20"/>
                <w:szCs w:val="20"/>
              </w:rPr>
            </w:pPr>
            <w:r w:rsidRPr="004E3FB3">
              <w:rPr>
                <w:rFonts w:cs="Arial"/>
                <w:b/>
                <w:bCs/>
                <w:color w:val="FFFFFF" w:themeColor="background1"/>
                <w:sz w:val="20"/>
                <w:szCs w:val="20"/>
              </w:rPr>
              <w:t>(RAT or PCR)</w:t>
            </w:r>
          </w:p>
        </w:tc>
        <w:tc>
          <w:tcPr>
            <w:tcW w:w="2559" w:type="dxa"/>
            <w:tcBorders>
              <w:top w:val="single" w:sz="4" w:space="0" w:color="auto"/>
              <w:left w:val="single" w:sz="4" w:space="0" w:color="auto"/>
              <w:bottom w:val="single" w:sz="12" w:space="0" w:color="auto"/>
              <w:right w:val="single" w:sz="4" w:space="0" w:color="auto"/>
            </w:tcBorders>
            <w:shd w:val="clear" w:color="auto" w:fill="358189" w:themeFill="accent2"/>
            <w:tcMar>
              <w:top w:w="0" w:type="dxa"/>
              <w:left w:w="108" w:type="dxa"/>
              <w:bottom w:w="0" w:type="dxa"/>
              <w:right w:w="108" w:type="dxa"/>
            </w:tcMar>
            <w:hideMark/>
          </w:tcPr>
          <w:p w14:paraId="4334F927" w14:textId="77777777" w:rsidR="004E3FB3" w:rsidRDefault="004E3FB3">
            <w:pPr>
              <w:spacing w:line="256" w:lineRule="auto"/>
              <w:rPr>
                <w:rFonts w:cs="Arial"/>
                <w:b/>
                <w:bCs/>
                <w:color w:val="FFFFFF" w:themeColor="background1"/>
                <w:sz w:val="20"/>
                <w:szCs w:val="20"/>
              </w:rPr>
            </w:pPr>
            <w:r w:rsidRPr="004E3FB3">
              <w:rPr>
                <w:rFonts w:cs="Arial"/>
                <w:b/>
                <w:bCs/>
                <w:color w:val="FFFFFF" w:themeColor="background1"/>
                <w:sz w:val="20"/>
                <w:szCs w:val="20"/>
              </w:rPr>
              <w:t xml:space="preserve">Influenza </w:t>
            </w:r>
          </w:p>
          <w:p w14:paraId="6462BC79" w14:textId="26D48D14" w:rsidR="004E3FB3" w:rsidRPr="004E3FB3" w:rsidRDefault="004E3FB3">
            <w:pPr>
              <w:spacing w:line="256" w:lineRule="auto"/>
              <w:rPr>
                <w:rFonts w:cs="Arial"/>
                <w:b/>
                <w:bCs/>
                <w:color w:val="FFFFFF" w:themeColor="background1"/>
                <w:sz w:val="20"/>
                <w:szCs w:val="20"/>
              </w:rPr>
            </w:pPr>
            <w:r w:rsidRPr="004E3FB3">
              <w:rPr>
                <w:rFonts w:cs="Arial"/>
                <w:b/>
                <w:bCs/>
                <w:color w:val="FFFFFF" w:themeColor="background1"/>
                <w:sz w:val="20"/>
                <w:szCs w:val="20"/>
              </w:rPr>
              <w:t>(PCR)</w:t>
            </w:r>
          </w:p>
        </w:tc>
        <w:tc>
          <w:tcPr>
            <w:tcW w:w="2126" w:type="dxa"/>
            <w:tcBorders>
              <w:top w:val="single" w:sz="4" w:space="0" w:color="auto"/>
              <w:left w:val="single" w:sz="4" w:space="0" w:color="auto"/>
              <w:bottom w:val="single" w:sz="12" w:space="0" w:color="auto"/>
              <w:right w:val="single" w:sz="4" w:space="0" w:color="auto"/>
            </w:tcBorders>
            <w:shd w:val="clear" w:color="auto" w:fill="358189" w:themeFill="accent2"/>
            <w:hideMark/>
          </w:tcPr>
          <w:p w14:paraId="3AE55642" w14:textId="77777777" w:rsidR="004E3FB3" w:rsidRPr="004E3FB3" w:rsidRDefault="004E3FB3">
            <w:pPr>
              <w:spacing w:line="256" w:lineRule="auto"/>
              <w:rPr>
                <w:rFonts w:cs="Arial"/>
                <w:b/>
                <w:bCs/>
                <w:color w:val="FFFFFF" w:themeColor="background1"/>
                <w:sz w:val="20"/>
                <w:szCs w:val="20"/>
              </w:rPr>
            </w:pPr>
            <w:proofErr w:type="gramStart"/>
            <w:r w:rsidRPr="004E3FB3">
              <w:rPr>
                <w:rFonts w:cs="Arial"/>
                <w:b/>
                <w:bCs/>
                <w:color w:val="FFFFFF" w:themeColor="background1"/>
                <w:sz w:val="20"/>
                <w:szCs w:val="20"/>
              </w:rPr>
              <w:t>Other</w:t>
            </w:r>
            <w:proofErr w:type="gramEnd"/>
            <w:r w:rsidRPr="004E3FB3">
              <w:rPr>
                <w:rFonts w:cs="Arial"/>
                <w:b/>
                <w:bCs/>
                <w:color w:val="FFFFFF" w:themeColor="background1"/>
                <w:sz w:val="20"/>
                <w:szCs w:val="20"/>
              </w:rPr>
              <w:t xml:space="preserve"> confirmed respiratory pathogen</w:t>
            </w:r>
          </w:p>
        </w:tc>
      </w:tr>
      <w:tr w:rsidR="00BD1F2D" w14:paraId="385F4058" w14:textId="77777777" w:rsidTr="004E3FB3">
        <w:tc>
          <w:tcPr>
            <w:tcW w:w="402" w:type="dxa"/>
            <w:vMerge w:val="restart"/>
            <w:tcBorders>
              <w:top w:val="single" w:sz="12" w:space="0" w:color="auto"/>
              <w:left w:val="single" w:sz="4" w:space="0" w:color="auto"/>
              <w:bottom w:val="single" w:sz="12" w:space="0" w:color="auto"/>
              <w:right w:val="single" w:sz="4" w:space="0" w:color="auto"/>
            </w:tcBorders>
            <w:shd w:val="clear" w:color="auto" w:fill="C98FA7" w:themeFill="accent4" w:themeFillTint="99"/>
            <w:vAlign w:val="center"/>
            <w:hideMark/>
          </w:tcPr>
          <w:p w14:paraId="0A255CF3" w14:textId="77777777" w:rsidR="004E3FB3" w:rsidRPr="004E3FB3" w:rsidRDefault="004E3FB3">
            <w:pPr>
              <w:spacing w:line="256" w:lineRule="auto"/>
              <w:rPr>
                <w:rFonts w:cs="Arial"/>
                <w:b/>
                <w:bCs/>
                <w:sz w:val="20"/>
                <w:szCs w:val="20"/>
              </w:rPr>
            </w:pPr>
            <w:r w:rsidRPr="004E3FB3">
              <w:rPr>
                <w:rFonts w:cs="Arial"/>
                <w:b/>
                <w:bCs/>
                <w:sz w:val="20"/>
                <w:szCs w:val="20"/>
              </w:rPr>
              <w:t xml:space="preserve"> C</w:t>
            </w:r>
          </w:p>
          <w:p w14:paraId="566B79B8" w14:textId="77777777" w:rsidR="004E3FB3" w:rsidRPr="004E3FB3" w:rsidRDefault="004E3FB3">
            <w:pPr>
              <w:spacing w:line="256" w:lineRule="auto"/>
              <w:rPr>
                <w:rFonts w:cs="Arial"/>
                <w:b/>
                <w:bCs/>
                <w:sz w:val="20"/>
                <w:szCs w:val="20"/>
              </w:rPr>
            </w:pPr>
            <w:r w:rsidRPr="004E3FB3">
              <w:rPr>
                <w:rFonts w:cs="Arial"/>
                <w:b/>
                <w:bCs/>
                <w:sz w:val="20"/>
                <w:szCs w:val="20"/>
              </w:rPr>
              <w:t xml:space="preserve"> A</w:t>
            </w:r>
          </w:p>
          <w:p w14:paraId="74295E75" w14:textId="77777777" w:rsidR="004E3FB3" w:rsidRPr="004E3FB3" w:rsidRDefault="004E3FB3">
            <w:pPr>
              <w:spacing w:line="256" w:lineRule="auto"/>
              <w:rPr>
                <w:rFonts w:cs="Arial"/>
                <w:b/>
                <w:bCs/>
                <w:sz w:val="20"/>
                <w:szCs w:val="20"/>
              </w:rPr>
            </w:pPr>
            <w:r w:rsidRPr="004E3FB3">
              <w:rPr>
                <w:rFonts w:cs="Arial"/>
                <w:b/>
                <w:bCs/>
                <w:sz w:val="20"/>
                <w:szCs w:val="20"/>
              </w:rPr>
              <w:t xml:space="preserve"> S</w:t>
            </w:r>
          </w:p>
          <w:p w14:paraId="7219ADCE" w14:textId="77777777" w:rsidR="004E3FB3" w:rsidRPr="004E3FB3" w:rsidRDefault="004E3FB3">
            <w:pPr>
              <w:spacing w:line="256" w:lineRule="auto"/>
              <w:rPr>
                <w:rFonts w:cs="Arial"/>
                <w:b/>
                <w:bCs/>
                <w:sz w:val="20"/>
                <w:szCs w:val="20"/>
              </w:rPr>
            </w:pPr>
            <w:r w:rsidRPr="004E3FB3">
              <w:rPr>
                <w:rFonts w:cs="Arial"/>
                <w:b/>
                <w:bCs/>
                <w:sz w:val="20"/>
                <w:szCs w:val="20"/>
              </w:rPr>
              <w:t xml:space="preserve"> E</w:t>
            </w:r>
          </w:p>
        </w:tc>
        <w:tc>
          <w:tcPr>
            <w:tcW w:w="1011" w:type="dxa"/>
            <w:vMerge w:val="restart"/>
            <w:tcBorders>
              <w:top w:val="single" w:sz="12" w:space="0" w:color="auto"/>
              <w:left w:val="single" w:sz="4" w:space="0" w:color="auto"/>
              <w:bottom w:val="single" w:sz="4" w:space="0" w:color="auto"/>
              <w:right w:val="single" w:sz="4" w:space="0" w:color="auto"/>
            </w:tcBorders>
            <w:shd w:val="clear" w:color="auto" w:fill="C98FA7" w:themeFill="accent4" w:themeFillTint="99"/>
            <w:vAlign w:val="center"/>
            <w:hideMark/>
          </w:tcPr>
          <w:p w14:paraId="5E2DA90D" w14:textId="77777777" w:rsidR="004E3FB3" w:rsidRPr="004E3FB3" w:rsidRDefault="004E3FB3">
            <w:pPr>
              <w:spacing w:line="256" w:lineRule="auto"/>
              <w:rPr>
                <w:rFonts w:cs="Arial"/>
                <w:b/>
                <w:bCs/>
                <w:sz w:val="20"/>
                <w:szCs w:val="20"/>
              </w:rPr>
            </w:pPr>
            <w:r w:rsidRPr="004E3FB3">
              <w:rPr>
                <w:rFonts w:cs="Arial"/>
                <w:b/>
                <w:bCs/>
                <w:sz w:val="20"/>
                <w:szCs w:val="20"/>
              </w:rPr>
              <w:t>Resident</w:t>
            </w:r>
          </w:p>
        </w:tc>
        <w:tc>
          <w:tcPr>
            <w:tcW w:w="1708" w:type="dxa"/>
            <w:tcBorders>
              <w:top w:val="single" w:sz="12" w:space="0" w:color="auto"/>
              <w:left w:val="single" w:sz="4" w:space="0" w:color="auto"/>
              <w:bottom w:val="single" w:sz="4" w:space="0" w:color="auto"/>
              <w:right w:val="single" w:sz="4" w:space="0" w:color="auto"/>
            </w:tcBorders>
            <w:shd w:val="clear" w:color="auto" w:fill="C98FA7" w:themeFill="accent4" w:themeFillTint="99"/>
            <w:tcMar>
              <w:top w:w="0" w:type="dxa"/>
              <w:left w:w="108" w:type="dxa"/>
              <w:bottom w:w="0" w:type="dxa"/>
              <w:right w:w="108" w:type="dxa"/>
            </w:tcMar>
            <w:hideMark/>
          </w:tcPr>
          <w:p w14:paraId="18BB433F" w14:textId="77777777" w:rsidR="004E3FB3" w:rsidRPr="004E3FB3" w:rsidRDefault="004E3FB3">
            <w:pPr>
              <w:spacing w:line="256" w:lineRule="auto"/>
              <w:rPr>
                <w:rFonts w:cs="Arial"/>
                <w:sz w:val="20"/>
                <w:szCs w:val="20"/>
              </w:rPr>
            </w:pPr>
            <w:r w:rsidRPr="004E3FB3">
              <w:rPr>
                <w:rFonts w:cs="Arial"/>
                <w:sz w:val="20"/>
                <w:szCs w:val="20"/>
              </w:rPr>
              <w:t xml:space="preserve">Case isolation </w:t>
            </w:r>
          </w:p>
        </w:tc>
        <w:tc>
          <w:tcPr>
            <w:tcW w:w="2544" w:type="dxa"/>
            <w:tcBorders>
              <w:top w:val="single" w:sz="12"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30F9476" w14:textId="06A21E10" w:rsidR="004E3FB3" w:rsidRPr="004E3FB3" w:rsidRDefault="004E3FB3" w:rsidP="0079185D">
            <w:pPr>
              <w:spacing w:line="256" w:lineRule="auto"/>
              <w:rPr>
                <w:rFonts w:cs="Arial"/>
                <w:sz w:val="18"/>
                <w:szCs w:val="18"/>
              </w:rPr>
            </w:pPr>
            <w:r w:rsidRPr="004E3FB3">
              <w:rPr>
                <w:rFonts w:cs="Arial"/>
                <w:sz w:val="18"/>
                <w:szCs w:val="18"/>
              </w:rPr>
              <w:t xml:space="preserve">7 days from </w:t>
            </w:r>
            <w:r w:rsidR="004D13C5">
              <w:rPr>
                <w:rFonts w:cs="Arial"/>
                <w:sz w:val="18"/>
                <w:szCs w:val="18"/>
              </w:rPr>
              <w:t xml:space="preserve">positive </w:t>
            </w:r>
            <w:r w:rsidRPr="004E3FB3">
              <w:rPr>
                <w:rFonts w:cs="Arial"/>
                <w:sz w:val="18"/>
                <w:szCs w:val="18"/>
              </w:rPr>
              <w:t>test date. Case can cohort with COVID-19 positive residents.</w:t>
            </w:r>
          </w:p>
        </w:tc>
        <w:tc>
          <w:tcPr>
            <w:tcW w:w="2559" w:type="dxa"/>
            <w:tcBorders>
              <w:top w:val="single" w:sz="12"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7BF6521" w14:textId="77777777" w:rsidR="004E3FB3" w:rsidRPr="004E3FB3" w:rsidRDefault="004E3FB3">
            <w:pPr>
              <w:spacing w:line="256" w:lineRule="auto"/>
              <w:rPr>
                <w:rFonts w:cs="Arial"/>
                <w:sz w:val="18"/>
                <w:szCs w:val="18"/>
              </w:rPr>
            </w:pPr>
            <w:r w:rsidRPr="004E3FB3">
              <w:rPr>
                <w:rFonts w:cs="Arial"/>
                <w:sz w:val="18"/>
                <w:szCs w:val="18"/>
              </w:rPr>
              <w:t>5 days from symptom onset. Case can cohort with influenza positive residents.</w:t>
            </w:r>
          </w:p>
        </w:tc>
        <w:tc>
          <w:tcPr>
            <w:tcW w:w="2126" w:type="dxa"/>
            <w:tcBorders>
              <w:top w:val="single" w:sz="12" w:space="0" w:color="auto"/>
              <w:left w:val="single" w:sz="4" w:space="0" w:color="auto"/>
              <w:bottom w:val="single" w:sz="4" w:space="0" w:color="auto"/>
              <w:right w:val="single" w:sz="4" w:space="0" w:color="auto"/>
            </w:tcBorders>
            <w:shd w:val="clear" w:color="auto" w:fill="FFFFFF"/>
            <w:hideMark/>
          </w:tcPr>
          <w:p w14:paraId="3497A344" w14:textId="7B99EF1B" w:rsidR="004E3FB3" w:rsidRPr="004E3FB3" w:rsidRDefault="004E3FB3">
            <w:pPr>
              <w:spacing w:line="256" w:lineRule="auto"/>
              <w:rPr>
                <w:rFonts w:cs="Arial"/>
                <w:sz w:val="18"/>
                <w:szCs w:val="18"/>
              </w:rPr>
            </w:pPr>
            <w:r w:rsidRPr="004E3FB3">
              <w:rPr>
                <w:rFonts w:cs="Arial"/>
                <w:sz w:val="18"/>
                <w:szCs w:val="18"/>
              </w:rPr>
              <w:t>Whilst symptoms remain.</w:t>
            </w:r>
            <w:r w:rsidR="00B5037B">
              <w:rPr>
                <w:rFonts w:cs="Arial"/>
                <w:sz w:val="18"/>
                <w:szCs w:val="18"/>
              </w:rPr>
              <w:t xml:space="preserve"> </w:t>
            </w:r>
            <w:r w:rsidRPr="004E3FB3">
              <w:rPr>
                <w:rFonts w:cs="Arial"/>
                <w:sz w:val="18"/>
                <w:szCs w:val="18"/>
              </w:rPr>
              <w:t>Case can cohort with residents with same confirmed pathogen.</w:t>
            </w:r>
          </w:p>
        </w:tc>
      </w:tr>
      <w:tr w:rsidR="00BD1F2D" w14:paraId="367FA40A" w14:textId="77777777" w:rsidTr="004E3FB3">
        <w:tc>
          <w:tcPr>
            <w:tcW w:w="0" w:type="auto"/>
            <w:vMerge/>
            <w:tcBorders>
              <w:top w:val="single" w:sz="12" w:space="0" w:color="auto"/>
              <w:left w:val="single" w:sz="4" w:space="0" w:color="auto"/>
              <w:bottom w:val="single" w:sz="12" w:space="0" w:color="auto"/>
              <w:right w:val="single" w:sz="4" w:space="0" w:color="auto"/>
            </w:tcBorders>
            <w:shd w:val="clear" w:color="auto" w:fill="C98FA7" w:themeFill="accent4" w:themeFillTint="99"/>
            <w:vAlign w:val="center"/>
            <w:hideMark/>
          </w:tcPr>
          <w:p w14:paraId="3934453D" w14:textId="77777777" w:rsidR="004E3FB3" w:rsidRPr="004E3FB3" w:rsidRDefault="004E3FB3">
            <w:pPr>
              <w:spacing w:line="256" w:lineRule="auto"/>
              <w:rPr>
                <w:rFonts w:cs="Arial"/>
                <w:b/>
                <w:bCs/>
                <w:sz w:val="20"/>
                <w:szCs w:val="20"/>
              </w:rPr>
            </w:pPr>
          </w:p>
        </w:tc>
        <w:tc>
          <w:tcPr>
            <w:tcW w:w="0" w:type="auto"/>
            <w:vMerge/>
            <w:tcBorders>
              <w:top w:val="single" w:sz="12" w:space="0" w:color="auto"/>
              <w:left w:val="single" w:sz="4" w:space="0" w:color="auto"/>
              <w:bottom w:val="single" w:sz="4" w:space="0" w:color="auto"/>
              <w:right w:val="single" w:sz="4" w:space="0" w:color="auto"/>
            </w:tcBorders>
            <w:shd w:val="clear" w:color="auto" w:fill="C98FA7" w:themeFill="accent4" w:themeFillTint="99"/>
            <w:vAlign w:val="center"/>
            <w:hideMark/>
          </w:tcPr>
          <w:p w14:paraId="255103C3" w14:textId="77777777" w:rsidR="004E3FB3" w:rsidRPr="004E3FB3" w:rsidRDefault="004E3FB3">
            <w:pPr>
              <w:spacing w:line="256" w:lineRule="auto"/>
              <w:rPr>
                <w:rFonts w:cs="Arial"/>
                <w:b/>
                <w:bCs/>
                <w:sz w:val="20"/>
                <w:szCs w:val="20"/>
              </w:rPr>
            </w:pPr>
          </w:p>
        </w:tc>
        <w:tc>
          <w:tcPr>
            <w:tcW w:w="1708" w:type="dxa"/>
            <w:tcBorders>
              <w:top w:val="single" w:sz="4" w:space="0" w:color="auto"/>
              <w:left w:val="single" w:sz="4" w:space="0" w:color="auto"/>
              <w:bottom w:val="single" w:sz="4" w:space="0" w:color="auto"/>
              <w:right w:val="single" w:sz="4" w:space="0" w:color="auto"/>
            </w:tcBorders>
            <w:shd w:val="clear" w:color="auto" w:fill="C98FA7" w:themeFill="accent4" w:themeFillTint="99"/>
            <w:tcMar>
              <w:top w:w="0" w:type="dxa"/>
              <w:left w:w="108" w:type="dxa"/>
              <w:bottom w:w="0" w:type="dxa"/>
              <w:right w:w="108" w:type="dxa"/>
            </w:tcMar>
            <w:hideMark/>
          </w:tcPr>
          <w:p w14:paraId="300A1812" w14:textId="77777777" w:rsidR="004E3FB3" w:rsidRPr="004E3FB3" w:rsidRDefault="004E3FB3">
            <w:pPr>
              <w:spacing w:line="256" w:lineRule="auto"/>
              <w:rPr>
                <w:rFonts w:cs="Arial"/>
                <w:sz w:val="20"/>
                <w:szCs w:val="20"/>
              </w:rPr>
            </w:pPr>
            <w:r w:rsidRPr="004E3FB3">
              <w:rPr>
                <w:rFonts w:cs="Arial"/>
                <w:sz w:val="20"/>
                <w:szCs w:val="20"/>
              </w:rPr>
              <w:t>Release from isolation (RFI)</w:t>
            </w:r>
          </w:p>
        </w:tc>
        <w:tc>
          <w:tcPr>
            <w:tcW w:w="25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E4A4847" w14:textId="4B24BFFB" w:rsidR="004E3FB3" w:rsidRPr="004E3FB3" w:rsidRDefault="004E3FB3" w:rsidP="002E0DD5">
            <w:pPr>
              <w:spacing w:line="256" w:lineRule="auto"/>
              <w:rPr>
                <w:rFonts w:cs="Arial"/>
                <w:sz w:val="18"/>
                <w:szCs w:val="18"/>
              </w:rPr>
            </w:pPr>
            <w:r w:rsidRPr="004E3FB3">
              <w:rPr>
                <w:rFonts w:cs="Arial"/>
                <w:sz w:val="18"/>
                <w:szCs w:val="18"/>
              </w:rPr>
              <w:t xml:space="preserve">After day 7 if </w:t>
            </w:r>
            <w:r w:rsidR="002E0DD5">
              <w:rPr>
                <w:rFonts w:cs="Arial"/>
                <w:sz w:val="18"/>
                <w:szCs w:val="18"/>
              </w:rPr>
              <w:t xml:space="preserve">substantial resolution of </w:t>
            </w:r>
            <w:r w:rsidR="00B5037B">
              <w:rPr>
                <w:rFonts w:cs="Arial"/>
                <w:sz w:val="18"/>
                <w:szCs w:val="18"/>
              </w:rPr>
              <w:t xml:space="preserve">acute </w:t>
            </w:r>
            <w:r w:rsidR="002E0DD5">
              <w:rPr>
                <w:rFonts w:cs="Arial"/>
                <w:sz w:val="18"/>
                <w:szCs w:val="18"/>
              </w:rPr>
              <w:t xml:space="preserve">respiratory symptoms and </w:t>
            </w:r>
            <w:r w:rsidRPr="004E3FB3">
              <w:rPr>
                <w:rFonts w:cs="Arial"/>
                <w:sz w:val="18"/>
                <w:szCs w:val="18"/>
              </w:rPr>
              <w:t xml:space="preserve">no </w:t>
            </w:r>
            <w:r w:rsidR="002E0DD5">
              <w:rPr>
                <w:rFonts w:cs="Arial"/>
                <w:sz w:val="18"/>
                <w:szCs w:val="18"/>
              </w:rPr>
              <w:t xml:space="preserve">fever </w:t>
            </w:r>
            <w:r w:rsidRPr="004E3FB3">
              <w:rPr>
                <w:rFonts w:cs="Arial"/>
                <w:sz w:val="18"/>
                <w:szCs w:val="18"/>
              </w:rPr>
              <w:t>for 24 hours. No testing required.</w:t>
            </w:r>
            <w:r w:rsidR="006751B8">
              <w:rPr>
                <w:rStyle w:val="FootnoteReference"/>
                <w:rFonts w:cs="Arial"/>
                <w:sz w:val="18"/>
                <w:szCs w:val="18"/>
              </w:rPr>
              <w:footnoteReference w:id="3"/>
            </w:r>
          </w:p>
        </w:tc>
        <w:tc>
          <w:tcPr>
            <w:tcW w:w="2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2C3882F" w14:textId="77777777" w:rsidR="004E3FB3" w:rsidRPr="004E3FB3" w:rsidRDefault="004E3FB3">
            <w:pPr>
              <w:spacing w:line="256" w:lineRule="auto"/>
              <w:rPr>
                <w:rFonts w:cs="Arial"/>
                <w:sz w:val="18"/>
                <w:szCs w:val="18"/>
              </w:rPr>
            </w:pPr>
            <w:r w:rsidRPr="004E3FB3">
              <w:rPr>
                <w:rFonts w:cs="Arial"/>
                <w:sz w:val="18"/>
                <w:szCs w:val="18"/>
              </w:rPr>
              <w:t>After 5 days from symptom onset, or until they are symptom-free, whichever is longer or 72 hours after antivirals commenced. No testing required.</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14:paraId="324C5C5A" w14:textId="77777777" w:rsidR="004E3FB3" w:rsidRPr="004E3FB3" w:rsidRDefault="004E3FB3">
            <w:pPr>
              <w:spacing w:line="256" w:lineRule="auto"/>
              <w:rPr>
                <w:rFonts w:cs="Arial"/>
                <w:sz w:val="18"/>
                <w:szCs w:val="18"/>
              </w:rPr>
            </w:pPr>
            <w:r w:rsidRPr="004E3FB3">
              <w:rPr>
                <w:rFonts w:cs="Arial"/>
                <w:sz w:val="18"/>
                <w:szCs w:val="18"/>
              </w:rPr>
              <w:t>Once symptoms resolve. No testing required.</w:t>
            </w:r>
          </w:p>
        </w:tc>
      </w:tr>
      <w:tr w:rsidR="00BD1F2D" w14:paraId="2253CE25" w14:textId="77777777" w:rsidTr="004E3FB3">
        <w:tc>
          <w:tcPr>
            <w:tcW w:w="0" w:type="auto"/>
            <w:vMerge/>
            <w:tcBorders>
              <w:top w:val="single" w:sz="12" w:space="0" w:color="auto"/>
              <w:left w:val="single" w:sz="4" w:space="0" w:color="auto"/>
              <w:bottom w:val="single" w:sz="12" w:space="0" w:color="auto"/>
              <w:right w:val="single" w:sz="4" w:space="0" w:color="auto"/>
            </w:tcBorders>
            <w:shd w:val="clear" w:color="auto" w:fill="C98FA7" w:themeFill="accent4" w:themeFillTint="99"/>
            <w:vAlign w:val="center"/>
            <w:hideMark/>
          </w:tcPr>
          <w:p w14:paraId="59C4E813" w14:textId="77777777" w:rsidR="004E3FB3" w:rsidRPr="004E3FB3" w:rsidRDefault="004E3FB3">
            <w:pPr>
              <w:spacing w:line="256" w:lineRule="auto"/>
              <w:rPr>
                <w:rFonts w:cs="Arial"/>
                <w:b/>
                <w:bCs/>
                <w:sz w:val="20"/>
                <w:szCs w:val="20"/>
              </w:rPr>
            </w:pPr>
          </w:p>
        </w:tc>
        <w:tc>
          <w:tcPr>
            <w:tcW w:w="0" w:type="auto"/>
            <w:vMerge/>
            <w:tcBorders>
              <w:top w:val="single" w:sz="12" w:space="0" w:color="auto"/>
              <w:left w:val="single" w:sz="4" w:space="0" w:color="auto"/>
              <w:bottom w:val="single" w:sz="4" w:space="0" w:color="auto"/>
              <w:right w:val="single" w:sz="4" w:space="0" w:color="auto"/>
            </w:tcBorders>
            <w:shd w:val="clear" w:color="auto" w:fill="C98FA7" w:themeFill="accent4" w:themeFillTint="99"/>
            <w:vAlign w:val="center"/>
            <w:hideMark/>
          </w:tcPr>
          <w:p w14:paraId="720815F0" w14:textId="77777777" w:rsidR="004E3FB3" w:rsidRPr="004E3FB3" w:rsidRDefault="004E3FB3">
            <w:pPr>
              <w:spacing w:line="256" w:lineRule="auto"/>
              <w:rPr>
                <w:rFonts w:cs="Arial"/>
                <w:b/>
                <w:bCs/>
                <w:sz w:val="20"/>
                <w:szCs w:val="20"/>
              </w:rPr>
            </w:pPr>
          </w:p>
        </w:tc>
        <w:tc>
          <w:tcPr>
            <w:tcW w:w="1708" w:type="dxa"/>
            <w:tcBorders>
              <w:top w:val="single" w:sz="4" w:space="0" w:color="auto"/>
              <w:left w:val="single" w:sz="4" w:space="0" w:color="auto"/>
              <w:bottom w:val="single" w:sz="4" w:space="0" w:color="auto"/>
              <w:right w:val="single" w:sz="4" w:space="0" w:color="auto"/>
            </w:tcBorders>
            <w:shd w:val="clear" w:color="auto" w:fill="C98FA7" w:themeFill="accent4" w:themeFillTint="99"/>
            <w:tcMar>
              <w:top w:w="0" w:type="dxa"/>
              <w:left w:w="108" w:type="dxa"/>
              <w:bottom w:w="0" w:type="dxa"/>
              <w:right w:w="108" w:type="dxa"/>
            </w:tcMar>
            <w:hideMark/>
          </w:tcPr>
          <w:p w14:paraId="3B3E8DC0" w14:textId="77777777" w:rsidR="004E3FB3" w:rsidRPr="004E3FB3" w:rsidRDefault="004E3FB3">
            <w:pPr>
              <w:spacing w:line="256" w:lineRule="auto"/>
              <w:rPr>
                <w:rFonts w:cs="Arial"/>
                <w:sz w:val="20"/>
                <w:szCs w:val="20"/>
              </w:rPr>
            </w:pPr>
            <w:r w:rsidRPr="004E3FB3">
              <w:rPr>
                <w:rFonts w:cs="Arial"/>
                <w:sz w:val="20"/>
                <w:szCs w:val="20"/>
              </w:rPr>
              <w:t>Antiviral treatment</w:t>
            </w:r>
          </w:p>
        </w:tc>
        <w:tc>
          <w:tcPr>
            <w:tcW w:w="25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9D0D870" w14:textId="20DA332D" w:rsidR="004E3FB3" w:rsidRPr="004E3FB3" w:rsidRDefault="004E3FB3">
            <w:pPr>
              <w:spacing w:line="256" w:lineRule="auto"/>
              <w:rPr>
                <w:rFonts w:cs="Arial"/>
                <w:sz w:val="18"/>
                <w:szCs w:val="18"/>
              </w:rPr>
            </w:pPr>
            <w:r w:rsidRPr="004E3FB3">
              <w:rPr>
                <w:rFonts w:cs="Arial"/>
                <w:sz w:val="18"/>
                <w:szCs w:val="18"/>
              </w:rPr>
              <w:t xml:space="preserve">COVID-19 antivirals </w:t>
            </w:r>
            <w:r w:rsidR="00717293">
              <w:rPr>
                <w:rFonts w:cs="Arial"/>
                <w:sz w:val="18"/>
                <w:szCs w:val="18"/>
              </w:rPr>
              <w:t xml:space="preserve">and other disease modifying therapies as indicated </w:t>
            </w:r>
            <w:r w:rsidRPr="004E3FB3">
              <w:rPr>
                <w:rFonts w:cs="Arial"/>
                <w:sz w:val="18"/>
                <w:szCs w:val="18"/>
              </w:rPr>
              <w:t xml:space="preserve">(via   </w:t>
            </w:r>
            <w:r w:rsidR="00C65BD9">
              <w:rPr>
                <w:rFonts w:cs="Arial"/>
                <w:sz w:val="18"/>
                <w:szCs w:val="18"/>
              </w:rPr>
              <w:t xml:space="preserve">clinical </w:t>
            </w:r>
            <w:r w:rsidRPr="004E3FB3">
              <w:rPr>
                <w:rFonts w:cs="Arial"/>
                <w:sz w:val="18"/>
                <w:szCs w:val="18"/>
              </w:rPr>
              <w:t>review)</w:t>
            </w:r>
          </w:p>
        </w:tc>
        <w:tc>
          <w:tcPr>
            <w:tcW w:w="2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C0C2ACA" w14:textId="608EC309" w:rsidR="004E3FB3" w:rsidRPr="004E3FB3" w:rsidRDefault="004E3FB3">
            <w:pPr>
              <w:spacing w:line="256" w:lineRule="auto"/>
              <w:rPr>
                <w:rFonts w:cs="Arial"/>
                <w:sz w:val="18"/>
                <w:szCs w:val="18"/>
              </w:rPr>
            </w:pPr>
            <w:r w:rsidRPr="004E3FB3">
              <w:rPr>
                <w:rFonts w:cs="Arial"/>
                <w:sz w:val="18"/>
                <w:szCs w:val="18"/>
              </w:rPr>
              <w:t>Influenza antivirals (</w:t>
            </w:r>
            <w:r w:rsidR="00C65BD9" w:rsidRPr="004E3FB3">
              <w:rPr>
                <w:rFonts w:cs="Arial"/>
                <w:sz w:val="18"/>
                <w:szCs w:val="18"/>
              </w:rPr>
              <w:t>via</w:t>
            </w:r>
            <w:r w:rsidR="00C65BD9">
              <w:rPr>
                <w:rFonts w:cs="Arial"/>
                <w:sz w:val="18"/>
                <w:szCs w:val="18"/>
              </w:rPr>
              <w:t xml:space="preserve"> clinical review</w:t>
            </w:r>
            <w:r w:rsidRPr="004E3FB3">
              <w:rPr>
                <w:rFonts w:cs="Arial"/>
                <w:sz w:val="18"/>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14:paraId="49D242A7" w14:textId="77777777" w:rsidR="004E3FB3" w:rsidRPr="004E3FB3" w:rsidRDefault="004E3FB3">
            <w:pPr>
              <w:spacing w:line="256" w:lineRule="auto"/>
              <w:rPr>
                <w:rFonts w:cs="Arial"/>
                <w:sz w:val="18"/>
                <w:szCs w:val="18"/>
              </w:rPr>
            </w:pPr>
            <w:r w:rsidRPr="004E3FB3">
              <w:rPr>
                <w:rFonts w:cs="Arial"/>
                <w:sz w:val="18"/>
                <w:szCs w:val="18"/>
              </w:rPr>
              <w:t>Nil – seek guidance from GP on clinical management.</w:t>
            </w:r>
          </w:p>
        </w:tc>
      </w:tr>
      <w:tr w:rsidR="00BD1F2D" w14:paraId="3D24C3C2" w14:textId="77777777" w:rsidTr="004E3FB3">
        <w:tc>
          <w:tcPr>
            <w:tcW w:w="0" w:type="auto"/>
            <w:vMerge/>
            <w:tcBorders>
              <w:top w:val="single" w:sz="12" w:space="0" w:color="auto"/>
              <w:left w:val="single" w:sz="4" w:space="0" w:color="auto"/>
              <w:bottom w:val="single" w:sz="12" w:space="0" w:color="auto"/>
              <w:right w:val="single" w:sz="4" w:space="0" w:color="auto"/>
            </w:tcBorders>
            <w:shd w:val="clear" w:color="auto" w:fill="C98FA7" w:themeFill="accent4" w:themeFillTint="99"/>
            <w:vAlign w:val="center"/>
            <w:hideMark/>
          </w:tcPr>
          <w:p w14:paraId="0418343E" w14:textId="77777777" w:rsidR="004E3FB3" w:rsidRPr="004E3FB3" w:rsidRDefault="004E3FB3">
            <w:pPr>
              <w:spacing w:line="256" w:lineRule="auto"/>
              <w:rPr>
                <w:rFonts w:cs="Arial"/>
                <w:b/>
                <w:bCs/>
                <w:sz w:val="20"/>
                <w:szCs w:val="20"/>
              </w:rPr>
            </w:pPr>
          </w:p>
        </w:tc>
        <w:tc>
          <w:tcPr>
            <w:tcW w:w="1011" w:type="dxa"/>
            <w:tcBorders>
              <w:top w:val="single" w:sz="4" w:space="0" w:color="auto"/>
              <w:left w:val="single" w:sz="4" w:space="0" w:color="auto"/>
              <w:bottom w:val="single" w:sz="4" w:space="0" w:color="auto"/>
              <w:right w:val="single" w:sz="4" w:space="0" w:color="auto"/>
            </w:tcBorders>
            <w:shd w:val="clear" w:color="auto" w:fill="C98FA7" w:themeFill="accent4" w:themeFillTint="99"/>
            <w:vAlign w:val="center"/>
            <w:hideMark/>
          </w:tcPr>
          <w:p w14:paraId="2F98D6FC" w14:textId="77777777" w:rsidR="004E3FB3" w:rsidRPr="004E3FB3" w:rsidRDefault="004E3FB3">
            <w:pPr>
              <w:spacing w:line="256" w:lineRule="auto"/>
              <w:rPr>
                <w:rFonts w:cs="Arial"/>
                <w:b/>
                <w:bCs/>
                <w:sz w:val="20"/>
                <w:szCs w:val="20"/>
              </w:rPr>
            </w:pPr>
            <w:r w:rsidRPr="004E3FB3">
              <w:rPr>
                <w:rFonts w:cs="Arial"/>
                <w:b/>
                <w:bCs/>
                <w:sz w:val="20"/>
                <w:szCs w:val="20"/>
              </w:rPr>
              <w:t>Staff</w:t>
            </w:r>
          </w:p>
        </w:tc>
        <w:tc>
          <w:tcPr>
            <w:tcW w:w="1708" w:type="dxa"/>
            <w:tcBorders>
              <w:top w:val="single" w:sz="4" w:space="0" w:color="auto"/>
              <w:left w:val="single" w:sz="4" w:space="0" w:color="auto"/>
              <w:bottom w:val="single" w:sz="4" w:space="0" w:color="auto"/>
              <w:right w:val="single" w:sz="4" w:space="0" w:color="auto"/>
            </w:tcBorders>
            <w:shd w:val="clear" w:color="auto" w:fill="C98FA7" w:themeFill="accent4" w:themeFillTint="99"/>
            <w:tcMar>
              <w:top w:w="0" w:type="dxa"/>
              <w:left w:w="108" w:type="dxa"/>
              <w:bottom w:w="0" w:type="dxa"/>
              <w:right w:w="108" w:type="dxa"/>
            </w:tcMar>
            <w:hideMark/>
          </w:tcPr>
          <w:p w14:paraId="157C5EB0" w14:textId="77777777" w:rsidR="004E3FB3" w:rsidRPr="004E3FB3" w:rsidRDefault="004E3FB3">
            <w:pPr>
              <w:spacing w:line="256" w:lineRule="auto"/>
              <w:rPr>
                <w:rFonts w:cs="Arial"/>
                <w:sz w:val="20"/>
                <w:szCs w:val="20"/>
              </w:rPr>
            </w:pPr>
            <w:r w:rsidRPr="004E3FB3">
              <w:rPr>
                <w:rFonts w:cs="Arial"/>
                <w:sz w:val="20"/>
                <w:szCs w:val="20"/>
              </w:rPr>
              <w:t xml:space="preserve">Return to work </w:t>
            </w:r>
          </w:p>
        </w:tc>
        <w:tc>
          <w:tcPr>
            <w:tcW w:w="25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F4930F2" w14:textId="0D3959F6" w:rsidR="004E3FB3" w:rsidRPr="004E3FB3" w:rsidRDefault="00A73196" w:rsidP="00B5037B">
            <w:pPr>
              <w:spacing w:line="256" w:lineRule="auto"/>
              <w:rPr>
                <w:rFonts w:cs="Arial"/>
                <w:sz w:val="18"/>
                <w:szCs w:val="18"/>
              </w:rPr>
            </w:pPr>
            <w:r>
              <w:rPr>
                <w:rFonts w:cs="Arial"/>
                <w:sz w:val="18"/>
                <w:szCs w:val="18"/>
              </w:rPr>
              <w:t xml:space="preserve">After 7 days </w:t>
            </w:r>
            <w:r w:rsidR="004E3FB3" w:rsidRPr="004E3FB3">
              <w:rPr>
                <w:rFonts w:cs="Arial"/>
                <w:sz w:val="18"/>
                <w:szCs w:val="18"/>
              </w:rPr>
              <w:t xml:space="preserve">if no symptoms for 24 hours, no testing required. If symptoms continue, return when </w:t>
            </w:r>
            <w:r w:rsidR="00B5037B">
              <w:rPr>
                <w:rFonts w:cs="Arial"/>
                <w:sz w:val="18"/>
                <w:szCs w:val="18"/>
              </w:rPr>
              <w:t xml:space="preserve">substantial resolution of acute respiratory </w:t>
            </w:r>
            <w:r w:rsidR="004E3FB3" w:rsidRPr="004E3FB3">
              <w:rPr>
                <w:rFonts w:cs="Arial"/>
                <w:sz w:val="18"/>
                <w:szCs w:val="18"/>
              </w:rPr>
              <w:t>symptom</w:t>
            </w:r>
            <w:r w:rsidR="00B5037B">
              <w:rPr>
                <w:rFonts w:cs="Arial"/>
                <w:sz w:val="18"/>
                <w:szCs w:val="18"/>
              </w:rPr>
              <w:t>s</w:t>
            </w:r>
            <w:r w:rsidR="004E3FB3" w:rsidRPr="004E3FB3">
              <w:rPr>
                <w:rFonts w:cs="Arial"/>
                <w:sz w:val="18"/>
                <w:szCs w:val="18"/>
              </w:rPr>
              <w:t xml:space="preserve"> </w:t>
            </w:r>
            <w:r w:rsidR="00B5037B">
              <w:rPr>
                <w:rFonts w:cs="Arial"/>
                <w:sz w:val="18"/>
                <w:szCs w:val="18"/>
              </w:rPr>
              <w:t xml:space="preserve">no fever </w:t>
            </w:r>
            <w:r w:rsidR="004E3FB3" w:rsidRPr="004E3FB3">
              <w:rPr>
                <w:rFonts w:cs="Arial"/>
                <w:sz w:val="18"/>
                <w:szCs w:val="18"/>
              </w:rPr>
              <w:t>for 24</w:t>
            </w:r>
            <w:r w:rsidR="008E7D1B">
              <w:rPr>
                <w:rFonts w:cs="Arial"/>
                <w:sz w:val="18"/>
                <w:szCs w:val="18"/>
              </w:rPr>
              <w:t> </w:t>
            </w:r>
            <w:r w:rsidR="004E3FB3" w:rsidRPr="004E3FB3">
              <w:rPr>
                <w:rFonts w:cs="Arial"/>
                <w:sz w:val="18"/>
                <w:szCs w:val="18"/>
              </w:rPr>
              <w:t>hrs.</w:t>
            </w:r>
            <w:r w:rsidR="006751B8" w:rsidRPr="00AB742A">
              <w:rPr>
                <w:rFonts w:cs="Arial"/>
                <w:sz w:val="18"/>
                <w:szCs w:val="18"/>
                <w:vertAlign w:val="superscript"/>
              </w:rPr>
              <w:t>2</w:t>
            </w:r>
          </w:p>
        </w:tc>
        <w:tc>
          <w:tcPr>
            <w:tcW w:w="2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5E797CC" w14:textId="6C3CFD11" w:rsidR="004E3FB3" w:rsidRPr="004E3FB3" w:rsidRDefault="004E3FB3">
            <w:pPr>
              <w:spacing w:line="256" w:lineRule="auto"/>
              <w:rPr>
                <w:rFonts w:cs="Arial"/>
                <w:sz w:val="18"/>
                <w:szCs w:val="18"/>
              </w:rPr>
            </w:pPr>
            <w:r w:rsidRPr="004E3FB3">
              <w:rPr>
                <w:rFonts w:cs="Arial"/>
                <w:sz w:val="18"/>
                <w:szCs w:val="18"/>
              </w:rPr>
              <w:t xml:space="preserve">5 days from symptom onset, or until symptom-free, whichever is longer </w:t>
            </w:r>
            <w:bookmarkStart w:id="24" w:name="_Hlk104194447"/>
            <w:r w:rsidRPr="004E3FB3">
              <w:rPr>
                <w:rFonts w:cs="Arial"/>
                <w:sz w:val="18"/>
                <w:szCs w:val="18"/>
              </w:rPr>
              <w:t>or 72</w:t>
            </w:r>
            <w:r w:rsidR="008E7D1B">
              <w:rPr>
                <w:rFonts w:cs="Arial"/>
                <w:sz w:val="18"/>
                <w:szCs w:val="18"/>
              </w:rPr>
              <w:t> </w:t>
            </w:r>
            <w:r w:rsidRPr="004E3FB3">
              <w:rPr>
                <w:rFonts w:cs="Arial"/>
                <w:sz w:val="18"/>
                <w:szCs w:val="18"/>
              </w:rPr>
              <w:t>hours after antivirals commenced.</w:t>
            </w:r>
            <w:bookmarkEnd w:id="24"/>
            <w:r w:rsidRPr="004E3FB3">
              <w:rPr>
                <w:rFonts w:cs="Arial"/>
                <w:sz w:val="18"/>
                <w:szCs w:val="18"/>
              </w:rPr>
              <w:t xml:space="preserve"> No testing required.</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14:paraId="70B72574" w14:textId="77777777" w:rsidR="004E3FB3" w:rsidRPr="004E3FB3" w:rsidRDefault="004E3FB3">
            <w:pPr>
              <w:spacing w:line="256" w:lineRule="auto"/>
              <w:rPr>
                <w:rFonts w:cs="Arial"/>
                <w:sz w:val="18"/>
                <w:szCs w:val="18"/>
              </w:rPr>
            </w:pPr>
            <w:r w:rsidRPr="004E3FB3">
              <w:rPr>
                <w:rFonts w:cs="Arial"/>
                <w:sz w:val="18"/>
                <w:szCs w:val="18"/>
              </w:rPr>
              <w:t>Once symptoms resolve. No testing required.</w:t>
            </w:r>
          </w:p>
        </w:tc>
      </w:tr>
      <w:tr w:rsidR="00BD1F2D" w14:paraId="7D85EBC5" w14:textId="77777777" w:rsidTr="004E3FB3">
        <w:tc>
          <w:tcPr>
            <w:tcW w:w="0" w:type="auto"/>
            <w:vMerge/>
            <w:tcBorders>
              <w:top w:val="single" w:sz="12" w:space="0" w:color="auto"/>
              <w:left w:val="single" w:sz="4" w:space="0" w:color="auto"/>
              <w:bottom w:val="single" w:sz="12" w:space="0" w:color="auto"/>
              <w:right w:val="single" w:sz="4" w:space="0" w:color="auto"/>
            </w:tcBorders>
            <w:shd w:val="clear" w:color="auto" w:fill="C98FA7" w:themeFill="accent4" w:themeFillTint="99"/>
            <w:vAlign w:val="center"/>
            <w:hideMark/>
          </w:tcPr>
          <w:p w14:paraId="4676C39D" w14:textId="77777777" w:rsidR="004E3FB3" w:rsidRPr="004E3FB3" w:rsidRDefault="004E3FB3">
            <w:pPr>
              <w:spacing w:line="256" w:lineRule="auto"/>
              <w:rPr>
                <w:rFonts w:cs="Arial"/>
                <w:b/>
                <w:bCs/>
                <w:sz w:val="20"/>
                <w:szCs w:val="20"/>
              </w:rPr>
            </w:pPr>
          </w:p>
        </w:tc>
        <w:tc>
          <w:tcPr>
            <w:tcW w:w="1011" w:type="dxa"/>
            <w:tcBorders>
              <w:top w:val="single" w:sz="4" w:space="0" w:color="auto"/>
              <w:left w:val="single" w:sz="4" w:space="0" w:color="auto"/>
              <w:bottom w:val="single" w:sz="12" w:space="0" w:color="auto"/>
              <w:right w:val="single" w:sz="4" w:space="0" w:color="auto"/>
            </w:tcBorders>
            <w:shd w:val="clear" w:color="auto" w:fill="C98FA7" w:themeFill="accent4" w:themeFillTint="99"/>
            <w:vAlign w:val="center"/>
            <w:hideMark/>
          </w:tcPr>
          <w:p w14:paraId="553B4B94" w14:textId="77777777" w:rsidR="004E3FB3" w:rsidRPr="004E3FB3" w:rsidRDefault="004E3FB3">
            <w:pPr>
              <w:spacing w:line="256" w:lineRule="auto"/>
              <w:rPr>
                <w:rFonts w:cs="Arial"/>
                <w:b/>
                <w:bCs/>
                <w:sz w:val="20"/>
                <w:szCs w:val="20"/>
              </w:rPr>
            </w:pPr>
            <w:r w:rsidRPr="004E3FB3">
              <w:rPr>
                <w:rFonts w:cs="Arial"/>
                <w:b/>
                <w:bCs/>
                <w:sz w:val="20"/>
                <w:szCs w:val="20"/>
              </w:rPr>
              <w:t>Visitors</w:t>
            </w:r>
          </w:p>
        </w:tc>
        <w:tc>
          <w:tcPr>
            <w:tcW w:w="1708" w:type="dxa"/>
            <w:tcBorders>
              <w:top w:val="single" w:sz="4" w:space="0" w:color="auto"/>
              <w:left w:val="single" w:sz="4" w:space="0" w:color="auto"/>
              <w:bottom w:val="single" w:sz="12" w:space="0" w:color="auto"/>
              <w:right w:val="single" w:sz="4" w:space="0" w:color="auto"/>
            </w:tcBorders>
            <w:shd w:val="clear" w:color="auto" w:fill="C98FA7" w:themeFill="accent4" w:themeFillTint="99"/>
            <w:tcMar>
              <w:top w:w="0" w:type="dxa"/>
              <w:left w:w="108" w:type="dxa"/>
              <w:bottom w:w="0" w:type="dxa"/>
              <w:right w:w="108" w:type="dxa"/>
            </w:tcMar>
            <w:hideMark/>
          </w:tcPr>
          <w:p w14:paraId="5ECF5C08" w14:textId="77777777" w:rsidR="004E3FB3" w:rsidRPr="004E3FB3" w:rsidRDefault="004E3FB3">
            <w:pPr>
              <w:spacing w:line="256" w:lineRule="auto"/>
              <w:rPr>
                <w:rFonts w:cs="Arial"/>
                <w:sz w:val="20"/>
                <w:szCs w:val="20"/>
              </w:rPr>
            </w:pPr>
            <w:r w:rsidRPr="004E3FB3">
              <w:rPr>
                <w:rFonts w:cs="Arial"/>
                <w:sz w:val="20"/>
                <w:szCs w:val="20"/>
              </w:rPr>
              <w:t>Visitors to facility</w:t>
            </w:r>
          </w:p>
        </w:tc>
        <w:tc>
          <w:tcPr>
            <w:tcW w:w="2544" w:type="dxa"/>
            <w:tcBorders>
              <w:top w:val="single" w:sz="4" w:space="0" w:color="auto"/>
              <w:left w:val="single" w:sz="4" w:space="0" w:color="auto"/>
              <w:bottom w:val="single" w:sz="12" w:space="0" w:color="auto"/>
              <w:right w:val="single" w:sz="4" w:space="0" w:color="auto"/>
            </w:tcBorders>
            <w:shd w:val="clear" w:color="auto" w:fill="FFFFFF"/>
            <w:tcMar>
              <w:top w:w="0" w:type="dxa"/>
              <w:left w:w="108" w:type="dxa"/>
              <w:bottom w:w="0" w:type="dxa"/>
              <w:right w:w="108" w:type="dxa"/>
            </w:tcMar>
            <w:hideMark/>
          </w:tcPr>
          <w:p w14:paraId="540A94FE" w14:textId="77777777" w:rsidR="004E3FB3" w:rsidRPr="004E3FB3" w:rsidRDefault="004E3FB3">
            <w:pPr>
              <w:spacing w:line="256" w:lineRule="auto"/>
              <w:rPr>
                <w:rFonts w:cs="Arial"/>
                <w:sz w:val="18"/>
                <w:szCs w:val="18"/>
              </w:rPr>
            </w:pPr>
            <w:r w:rsidRPr="004E3FB3">
              <w:rPr>
                <w:rFonts w:cs="Arial"/>
                <w:sz w:val="18"/>
                <w:szCs w:val="18"/>
              </w:rPr>
              <w:t>Can visit facility from Day 8 if no symptoms.</w:t>
            </w:r>
          </w:p>
        </w:tc>
        <w:tc>
          <w:tcPr>
            <w:tcW w:w="2559" w:type="dxa"/>
            <w:tcBorders>
              <w:top w:val="single" w:sz="4" w:space="0" w:color="auto"/>
              <w:left w:val="single" w:sz="4" w:space="0" w:color="auto"/>
              <w:bottom w:val="single" w:sz="12" w:space="0" w:color="auto"/>
              <w:right w:val="single" w:sz="4" w:space="0" w:color="auto"/>
            </w:tcBorders>
            <w:shd w:val="clear" w:color="auto" w:fill="FFFFFF"/>
            <w:tcMar>
              <w:top w:w="0" w:type="dxa"/>
              <w:left w:w="108" w:type="dxa"/>
              <w:bottom w:w="0" w:type="dxa"/>
              <w:right w:w="108" w:type="dxa"/>
            </w:tcMar>
            <w:hideMark/>
          </w:tcPr>
          <w:p w14:paraId="3502B84E" w14:textId="77777777" w:rsidR="004E3FB3" w:rsidRPr="004E3FB3" w:rsidRDefault="004E3FB3">
            <w:pPr>
              <w:spacing w:line="256" w:lineRule="auto"/>
              <w:rPr>
                <w:rFonts w:cs="Arial"/>
                <w:sz w:val="18"/>
                <w:szCs w:val="18"/>
              </w:rPr>
            </w:pPr>
            <w:r w:rsidRPr="004E3FB3">
              <w:rPr>
                <w:rFonts w:cs="Arial"/>
                <w:sz w:val="18"/>
                <w:szCs w:val="18"/>
              </w:rPr>
              <w:t>Exclude from facility for 5 days from symptom onset or until symptom-free, whichever is longer.</w:t>
            </w:r>
          </w:p>
        </w:tc>
        <w:tc>
          <w:tcPr>
            <w:tcW w:w="2126" w:type="dxa"/>
            <w:tcBorders>
              <w:top w:val="single" w:sz="4" w:space="0" w:color="auto"/>
              <w:left w:val="single" w:sz="4" w:space="0" w:color="auto"/>
              <w:bottom w:val="single" w:sz="12" w:space="0" w:color="auto"/>
              <w:right w:val="single" w:sz="4" w:space="0" w:color="auto"/>
            </w:tcBorders>
            <w:shd w:val="clear" w:color="auto" w:fill="FFFFFF"/>
            <w:hideMark/>
          </w:tcPr>
          <w:p w14:paraId="44654E9E" w14:textId="77777777" w:rsidR="004E3FB3" w:rsidRPr="004E3FB3" w:rsidRDefault="004E3FB3">
            <w:pPr>
              <w:spacing w:line="256" w:lineRule="auto"/>
              <w:rPr>
                <w:rFonts w:cs="Arial"/>
                <w:sz w:val="18"/>
                <w:szCs w:val="18"/>
              </w:rPr>
            </w:pPr>
            <w:r w:rsidRPr="004E3FB3">
              <w:rPr>
                <w:rFonts w:cs="Arial"/>
                <w:sz w:val="18"/>
                <w:szCs w:val="18"/>
              </w:rPr>
              <w:t>Exclude if symptomatic.</w:t>
            </w:r>
          </w:p>
        </w:tc>
      </w:tr>
      <w:tr w:rsidR="00BD1F2D" w14:paraId="23A9673D" w14:textId="77777777" w:rsidTr="004E3FB3">
        <w:tc>
          <w:tcPr>
            <w:tcW w:w="402" w:type="dxa"/>
            <w:vMerge w:val="restart"/>
            <w:tcBorders>
              <w:top w:val="single" w:sz="12" w:space="0" w:color="auto"/>
              <w:left w:val="single" w:sz="4" w:space="0" w:color="auto"/>
              <w:bottom w:val="single" w:sz="4" w:space="0" w:color="auto"/>
              <w:right w:val="single" w:sz="4" w:space="0" w:color="auto"/>
            </w:tcBorders>
            <w:shd w:val="clear" w:color="auto" w:fill="74C1C9" w:themeFill="accent2" w:themeFillTint="99"/>
            <w:vAlign w:val="center"/>
            <w:hideMark/>
          </w:tcPr>
          <w:p w14:paraId="15B2E5BF" w14:textId="77777777" w:rsidR="004E3FB3" w:rsidRPr="004E3FB3" w:rsidRDefault="004E3FB3">
            <w:pPr>
              <w:spacing w:line="256" w:lineRule="auto"/>
              <w:rPr>
                <w:rFonts w:cs="Arial"/>
                <w:b/>
                <w:bCs/>
                <w:sz w:val="20"/>
                <w:szCs w:val="20"/>
              </w:rPr>
            </w:pPr>
            <w:r w:rsidRPr="004E3FB3">
              <w:rPr>
                <w:rFonts w:cs="Arial"/>
                <w:b/>
                <w:bCs/>
                <w:sz w:val="20"/>
                <w:szCs w:val="20"/>
              </w:rPr>
              <w:t xml:space="preserve"> C</w:t>
            </w:r>
          </w:p>
          <w:p w14:paraId="0B248990" w14:textId="77777777" w:rsidR="004E3FB3" w:rsidRPr="004E3FB3" w:rsidRDefault="004E3FB3">
            <w:pPr>
              <w:spacing w:line="256" w:lineRule="auto"/>
              <w:rPr>
                <w:rFonts w:cs="Arial"/>
                <w:b/>
                <w:bCs/>
                <w:sz w:val="20"/>
                <w:szCs w:val="20"/>
              </w:rPr>
            </w:pPr>
            <w:r w:rsidRPr="004E3FB3">
              <w:rPr>
                <w:rFonts w:cs="Arial"/>
                <w:b/>
                <w:bCs/>
                <w:sz w:val="20"/>
                <w:szCs w:val="20"/>
              </w:rPr>
              <w:t xml:space="preserve"> O</w:t>
            </w:r>
          </w:p>
          <w:p w14:paraId="13BDFD22" w14:textId="77777777" w:rsidR="004E3FB3" w:rsidRPr="004E3FB3" w:rsidRDefault="004E3FB3">
            <w:pPr>
              <w:spacing w:line="256" w:lineRule="auto"/>
              <w:rPr>
                <w:rFonts w:cs="Arial"/>
                <w:b/>
                <w:bCs/>
                <w:sz w:val="20"/>
                <w:szCs w:val="20"/>
              </w:rPr>
            </w:pPr>
            <w:r w:rsidRPr="004E3FB3">
              <w:rPr>
                <w:rFonts w:cs="Arial"/>
                <w:b/>
                <w:bCs/>
                <w:sz w:val="20"/>
                <w:szCs w:val="20"/>
              </w:rPr>
              <w:t xml:space="preserve"> N</w:t>
            </w:r>
          </w:p>
          <w:p w14:paraId="7AA4AE15" w14:textId="77777777" w:rsidR="004E3FB3" w:rsidRPr="004E3FB3" w:rsidRDefault="004E3FB3">
            <w:pPr>
              <w:spacing w:line="256" w:lineRule="auto"/>
              <w:rPr>
                <w:rFonts w:cs="Arial"/>
                <w:b/>
                <w:bCs/>
                <w:sz w:val="20"/>
                <w:szCs w:val="20"/>
              </w:rPr>
            </w:pPr>
            <w:r w:rsidRPr="004E3FB3">
              <w:rPr>
                <w:rFonts w:cs="Arial"/>
                <w:b/>
                <w:bCs/>
                <w:sz w:val="20"/>
                <w:szCs w:val="20"/>
              </w:rPr>
              <w:t xml:space="preserve"> T </w:t>
            </w:r>
          </w:p>
          <w:p w14:paraId="1AB74654" w14:textId="77777777" w:rsidR="004E3FB3" w:rsidRPr="004E3FB3" w:rsidRDefault="004E3FB3">
            <w:pPr>
              <w:spacing w:line="256" w:lineRule="auto"/>
              <w:rPr>
                <w:rFonts w:cs="Arial"/>
                <w:b/>
                <w:bCs/>
                <w:sz w:val="20"/>
                <w:szCs w:val="20"/>
              </w:rPr>
            </w:pPr>
            <w:r w:rsidRPr="004E3FB3">
              <w:rPr>
                <w:rFonts w:cs="Arial"/>
                <w:b/>
                <w:bCs/>
                <w:sz w:val="20"/>
                <w:szCs w:val="20"/>
              </w:rPr>
              <w:t xml:space="preserve"> A</w:t>
            </w:r>
          </w:p>
          <w:p w14:paraId="0411D12C" w14:textId="77777777" w:rsidR="004E3FB3" w:rsidRPr="004E3FB3" w:rsidRDefault="004E3FB3">
            <w:pPr>
              <w:spacing w:line="256" w:lineRule="auto"/>
              <w:rPr>
                <w:rFonts w:cs="Arial"/>
                <w:b/>
                <w:bCs/>
                <w:sz w:val="20"/>
                <w:szCs w:val="20"/>
              </w:rPr>
            </w:pPr>
            <w:r w:rsidRPr="004E3FB3">
              <w:rPr>
                <w:rFonts w:cs="Arial"/>
                <w:b/>
                <w:bCs/>
                <w:sz w:val="20"/>
                <w:szCs w:val="20"/>
              </w:rPr>
              <w:t xml:space="preserve"> C</w:t>
            </w:r>
          </w:p>
          <w:p w14:paraId="3A92317E" w14:textId="77777777" w:rsidR="004E3FB3" w:rsidRPr="004E3FB3" w:rsidRDefault="004E3FB3">
            <w:pPr>
              <w:spacing w:line="256" w:lineRule="auto"/>
              <w:rPr>
                <w:rFonts w:cs="Arial"/>
                <w:b/>
                <w:bCs/>
                <w:sz w:val="20"/>
                <w:szCs w:val="20"/>
              </w:rPr>
            </w:pPr>
            <w:r w:rsidRPr="004E3FB3">
              <w:rPr>
                <w:rFonts w:cs="Arial"/>
                <w:b/>
                <w:bCs/>
                <w:sz w:val="20"/>
                <w:szCs w:val="20"/>
              </w:rPr>
              <w:t xml:space="preserve"> T</w:t>
            </w:r>
          </w:p>
          <w:p w14:paraId="15818492" w14:textId="77777777" w:rsidR="004E3FB3" w:rsidRPr="004E3FB3" w:rsidRDefault="004E3FB3">
            <w:pPr>
              <w:spacing w:line="256" w:lineRule="auto"/>
              <w:rPr>
                <w:rFonts w:cs="Arial"/>
                <w:b/>
                <w:bCs/>
                <w:sz w:val="20"/>
                <w:szCs w:val="20"/>
              </w:rPr>
            </w:pPr>
            <w:r w:rsidRPr="004E3FB3">
              <w:rPr>
                <w:rFonts w:cs="Arial"/>
                <w:b/>
                <w:bCs/>
                <w:sz w:val="20"/>
                <w:szCs w:val="20"/>
              </w:rPr>
              <w:t xml:space="preserve"> S</w:t>
            </w:r>
          </w:p>
        </w:tc>
        <w:tc>
          <w:tcPr>
            <w:tcW w:w="1011" w:type="dxa"/>
            <w:vMerge w:val="restart"/>
            <w:tcBorders>
              <w:top w:val="single" w:sz="12" w:space="0" w:color="auto"/>
              <w:left w:val="single" w:sz="4" w:space="0" w:color="auto"/>
              <w:bottom w:val="single" w:sz="4" w:space="0" w:color="auto"/>
              <w:right w:val="single" w:sz="4" w:space="0" w:color="auto"/>
            </w:tcBorders>
            <w:shd w:val="clear" w:color="auto" w:fill="74C1C9" w:themeFill="accent2" w:themeFillTint="99"/>
            <w:vAlign w:val="center"/>
            <w:hideMark/>
          </w:tcPr>
          <w:p w14:paraId="24C787B1" w14:textId="77777777" w:rsidR="004E3FB3" w:rsidRPr="004E3FB3" w:rsidRDefault="004E3FB3">
            <w:pPr>
              <w:spacing w:line="256" w:lineRule="auto"/>
              <w:rPr>
                <w:rFonts w:cs="Arial"/>
                <w:b/>
                <w:bCs/>
                <w:sz w:val="20"/>
                <w:szCs w:val="20"/>
              </w:rPr>
            </w:pPr>
            <w:r w:rsidRPr="004E3FB3">
              <w:rPr>
                <w:rFonts w:cs="Arial"/>
                <w:b/>
                <w:bCs/>
                <w:sz w:val="20"/>
                <w:szCs w:val="20"/>
              </w:rPr>
              <w:t>Resident</w:t>
            </w:r>
          </w:p>
        </w:tc>
        <w:tc>
          <w:tcPr>
            <w:tcW w:w="1708" w:type="dxa"/>
            <w:tcBorders>
              <w:top w:val="single" w:sz="12" w:space="0" w:color="auto"/>
              <w:left w:val="single" w:sz="4" w:space="0" w:color="auto"/>
              <w:bottom w:val="single" w:sz="4" w:space="0" w:color="auto"/>
              <w:right w:val="single" w:sz="4" w:space="0" w:color="auto"/>
            </w:tcBorders>
            <w:shd w:val="clear" w:color="auto" w:fill="74C1C9" w:themeFill="accent2" w:themeFillTint="99"/>
            <w:tcMar>
              <w:top w:w="0" w:type="dxa"/>
              <w:left w:w="108" w:type="dxa"/>
              <w:bottom w:w="0" w:type="dxa"/>
              <w:right w:w="108" w:type="dxa"/>
            </w:tcMar>
            <w:hideMark/>
          </w:tcPr>
          <w:p w14:paraId="15AD630D" w14:textId="77777777" w:rsidR="004E3FB3" w:rsidRPr="004E3FB3" w:rsidRDefault="004E3FB3">
            <w:pPr>
              <w:spacing w:line="256" w:lineRule="auto"/>
              <w:rPr>
                <w:rFonts w:cs="Arial"/>
                <w:sz w:val="20"/>
                <w:szCs w:val="20"/>
              </w:rPr>
            </w:pPr>
            <w:r w:rsidRPr="004E3FB3">
              <w:rPr>
                <w:rFonts w:cs="Arial"/>
                <w:sz w:val="20"/>
                <w:szCs w:val="20"/>
              </w:rPr>
              <w:t xml:space="preserve">Contact testing </w:t>
            </w:r>
          </w:p>
        </w:tc>
        <w:tc>
          <w:tcPr>
            <w:tcW w:w="2544" w:type="dxa"/>
            <w:tcBorders>
              <w:top w:val="single" w:sz="12"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7BDA3B8" w14:textId="77777777" w:rsidR="004E3FB3" w:rsidRPr="004E3FB3" w:rsidRDefault="004E3FB3">
            <w:pPr>
              <w:spacing w:line="256" w:lineRule="auto"/>
              <w:rPr>
                <w:rFonts w:cs="Arial"/>
                <w:sz w:val="18"/>
                <w:szCs w:val="18"/>
              </w:rPr>
            </w:pPr>
            <w:r w:rsidRPr="004E3FB3">
              <w:rPr>
                <w:rFonts w:cs="Arial"/>
                <w:sz w:val="18"/>
                <w:szCs w:val="18"/>
              </w:rPr>
              <w:t xml:space="preserve">All residents in the affected zones (likely wing). </w:t>
            </w:r>
          </w:p>
        </w:tc>
        <w:tc>
          <w:tcPr>
            <w:tcW w:w="2559" w:type="dxa"/>
            <w:tcBorders>
              <w:top w:val="single" w:sz="12"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13E93F4" w14:textId="77777777" w:rsidR="004E3FB3" w:rsidRPr="004E3FB3" w:rsidRDefault="004E3FB3">
            <w:pPr>
              <w:spacing w:line="256" w:lineRule="auto"/>
              <w:rPr>
                <w:rFonts w:cs="Arial"/>
                <w:sz w:val="18"/>
                <w:szCs w:val="18"/>
              </w:rPr>
            </w:pPr>
            <w:r w:rsidRPr="004E3FB3">
              <w:rPr>
                <w:rFonts w:cs="Arial"/>
                <w:sz w:val="18"/>
                <w:szCs w:val="18"/>
              </w:rPr>
              <w:t>Symptomatic residents in the same zone (likely wing).</w:t>
            </w:r>
          </w:p>
        </w:tc>
        <w:tc>
          <w:tcPr>
            <w:tcW w:w="2126" w:type="dxa"/>
            <w:tcBorders>
              <w:top w:val="single" w:sz="12" w:space="0" w:color="auto"/>
              <w:left w:val="single" w:sz="4" w:space="0" w:color="auto"/>
              <w:bottom w:val="single" w:sz="4" w:space="0" w:color="auto"/>
              <w:right w:val="single" w:sz="4" w:space="0" w:color="auto"/>
            </w:tcBorders>
            <w:shd w:val="clear" w:color="auto" w:fill="FFFFFF"/>
            <w:hideMark/>
          </w:tcPr>
          <w:p w14:paraId="58BE9D67" w14:textId="77777777" w:rsidR="004E3FB3" w:rsidRPr="004E3FB3" w:rsidRDefault="004E3FB3">
            <w:pPr>
              <w:spacing w:line="256" w:lineRule="auto"/>
              <w:rPr>
                <w:rFonts w:cs="Arial"/>
                <w:sz w:val="18"/>
                <w:szCs w:val="18"/>
              </w:rPr>
            </w:pPr>
            <w:r w:rsidRPr="004E3FB3">
              <w:rPr>
                <w:rFonts w:cs="Arial"/>
                <w:sz w:val="18"/>
                <w:szCs w:val="18"/>
              </w:rPr>
              <w:t>Symptomatic residents in the same zone (likely wing).</w:t>
            </w:r>
          </w:p>
        </w:tc>
      </w:tr>
      <w:tr w:rsidR="00BD1F2D" w14:paraId="62C244EB" w14:textId="77777777" w:rsidTr="004E3FB3">
        <w:tc>
          <w:tcPr>
            <w:tcW w:w="0" w:type="auto"/>
            <w:vMerge/>
            <w:tcBorders>
              <w:top w:val="single" w:sz="12" w:space="0" w:color="auto"/>
              <w:left w:val="single" w:sz="4" w:space="0" w:color="auto"/>
              <w:bottom w:val="single" w:sz="4" w:space="0" w:color="auto"/>
              <w:right w:val="single" w:sz="4" w:space="0" w:color="auto"/>
            </w:tcBorders>
            <w:shd w:val="clear" w:color="auto" w:fill="74C1C9" w:themeFill="accent2" w:themeFillTint="99"/>
            <w:vAlign w:val="center"/>
            <w:hideMark/>
          </w:tcPr>
          <w:p w14:paraId="34EA66E7" w14:textId="77777777" w:rsidR="004E3FB3" w:rsidRPr="004E3FB3" w:rsidRDefault="004E3FB3">
            <w:pPr>
              <w:spacing w:line="256" w:lineRule="auto"/>
              <w:rPr>
                <w:rFonts w:cs="Arial"/>
                <w:b/>
                <w:bCs/>
                <w:sz w:val="20"/>
                <w:szCs w:val="20"/>
              </w:rPr>
            </w:pPr>
          </w:p>
        </w:tc>
        <w:tc>
          <w:tcPr>
            <w:tcW w:w="0" w:type="auto"/>
            <w:vMerge/>
            <w:tcBorders>
              <w:top w:val="single" w:sz="12" w:space="0" w:color="auto"/>
              <w:left w:val="single" w:sz="4" w:space="0" w:color="auto"/>
              <w:bottom w:val="single" w:sz="4" w:space="0" w:color="auto"/>
              <w:right w:val="single" w:sz="4" w:space="0" w:color="auto"/>
            </w:tcBorders>
            <w:shd w:val="clear" w:color="auto" w:fill="74C1C9" w:themeFill="accent2" w:themeFillTint="99"/>
            <w:vAlign w:val="center"/>
            <w:hideMark/>
          </w:tcPr>
          <w:p w14:paraId="1F7A7A4C" w14:textId="77777777" w:rsidR="004E3FB3" w:rsidRPr="004E3FB3" w:rsidRDefault="004E3FB3">
            <w:pPr>
              <w:spacing w:line="256" w:lineRule="auto"/>
              <w:rPr>
                <w:rFonts w:cs="Arial"/>
                <w:b/>
                <w:bCs/>
                <w:sz w:val="20"/>
                <w:szCs w:val="20"/>
              </w:rPr>
            </w:pPr>
          </w:p>
        </w:tc>
        <w:tc>
          <w:tcPr>
            <w:tcW w:w="1708" w:type="dxa"/>
            <w:tcBorders>
              <w:top w:val="single" w:sz="4" w:space="0" w:color="auto"/>
              <w:left w:val="single" w:sz="4" w:space="0" w:color="auto"/>
              <w:bottom w:val="single" w:sz="4" w:space="0" w:color="auto"/>
              <w:right w:val="single" w:sz="4" w:space="0" w:color="auto"/>
            </w:tcBorders>
            <w:shd w:val="clear" w:color="auto" w:fill="74C1C9" w:themeFill="accent2" w:themeFillTint="99"/>
            <w:tcMar>
              <w:top w:w="0" w:type="dxa"/>
              <w:left w:w="108" w:type="dxa"/>
              <w:bottom w:w="0" w:type="dxa"/>
              <w:right w:w="108" w:type="dxa"/>
            </w:tcMar>
            <w:hideMark/>
          </w:tcPr>
          <w:p w14:paraId="38B268F0" w14:textId="77777777" w:rsidR="004E3FB3" w:rsidRPr="004E3FB3" w:rsidRDefault="004E3FB3">
            <w:pPr>
              <w:spacing w:line="256" w:lineRule="auto"/>
              <w:rPr>
                <w:rFonts w:cs="Arial"/>
                <w:sz w:val="20"/>
                <w:szCs w:val="20"/>
              </w:rPr>
            </w:pPr>
            <w:r w:rsidRPr="004E3FB3">
              <w:rPr>
                <w:rFonts w:cs="Arial"/>
                <w:sz w:val="20"/>
                <w:szCs w:val="20"/>
              </w:rPr>
              <w:t>Contact isolation</w:t>
            </w:r>
          </w:p>
        </w:tc>
        <w:tc>
          <w:tcPr>
            <w:tcW w:w="25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F7082ED" w14:textId="5AAA6D94" w:rsidR="004E3FB3" w:rsidRPr="004E3FB3" w:rsidRDefault="004E3FB3">
            <w:pPr>
              <w:spacing w:line="256" w:lineRule="auto"/>
              <w:rPr>
                <w:rFonts w:cs="Arial"/>
                <w:sz w:val="18"/>
                <w:szCs w:val="18"/>
              </w:rPr>
            </w:pPr>
            <w:r w:rsidRPr="004E3FB3">
              <w:rPr>
                <w:rFonts w:cs="Arial"/>
                <w:sz w:val="18"/>
                <w:szCs w:val="18"/>
              </w:rPr>
              <w:t xml:space="preserve">Limit movement until test results pending and risk assessment completed. See </w:t>
            </w:r>
            <w:hyperlink w:anchor="_Appendix_1:_COVID-19" w:history="1">
              <w:r w:rsidRPr="004D13C5">
                <w:rPr>
                  <w:rStyle w:val="Hyperlink"/>
                  <w:rFonts w:cs="Arial"/>
                  <w:sz w:val="18"/>
                  <w:szCs w:val="18"/>
                </w:rPr>
                <w:t>Appendix 1</w:t>
              </w:r>
            </w:hyperlink>
            <w:r w:rsidRPr="004D13C5">
              <w:rPr>
                <w:rFonts w:cs="Arial"/>
                <w:sz w:val="18"/>
                <w:szCs w:val="18"/>
              </w:rPr>
              <w:t>.</w:t>
            </w:r>
          </w:p>
        </w:tc>
        <w:tc>
          <w:tcPr>
            <w:tcW w:w="2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A5B795F" w14:textId="77777777" w:rsidR="004E3FB3" w:rsidRPr="004E3FB3" w:rsidRDefault="004E3FB3">
            <w:pPr>
              <w:spacing w:line="256" w:lineRule="auto"/>
              <w:rPr>
                <w:rFonts w:cs="Arial"/>
                <w:sz w:val="18"/>
                <w:szCs w:val="18"/>
              </w:rPr>
            </w:pPr>
            <w:r w:rsidRPr="004E3FB3">
              <w:rPr>
                <w:rFonts w:cs="Arial"/>
                <w:sz w:val="18"/>
                <w:szCs w:val="18"/>
              </w:rPr>
              <w:t xml:space="preserve">Residents who are in same zone(s) should avoid moving between different zones. </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14:paraId="724BD89F" w14:textId="77777777" w:rsidR="004E3FB3" w:rsidRPr="004E3FB3" w:rsidRDefault="004E3FB3">
            <w:pPr>
              <w:spacing w:line="256" w:lineRule="auto"/>
              <w:rPr>
                <w:rFonts w:cs="Arial"/>
                <w:sz w:val="18"/>
                <w:szCs w:val="18"/>
              </w:rPr>
            </w:pPr>
            <w:r w:rsidRPr="004E3FB3">
              <w:rPr>
                <w:rFonts w:cs="Arial"/>
                <w:sz w:val="18"/>
                <w:szCs w:val="18"/>
              </w:rPr>
              <w:t xml:space="preserve">Nil  </w:t>
            </w:r>
          </w:p>
        </w:tc>
      </w:tr>
      <w:tr w:rsidR="00BD1F2D" w14:paraId="3BB1B6D5" w14:textId="77777777" w:rsidTr="004E3FB3">
        <w:trPr>
          <w:trHeight w:val="659"/>
        </w:trPr>
        <w:tc>
          <w:tcPr>
            <w:tcW w:w="0" w:type="auto"/>
            <w:vMerge/>
            <w:tcBorders>
              <w:top w:val="single" w:sz="12" w:space="0" w:color="auto"/>
              <w:left w:val="single" w:sz="4" w:space="0" w:color="auto"/>
              <w:bottom w:val="single" w:sz="4" w:space="0" w:color="auto"/>
              <w:right w:val="single" w:sz="4" w:space="0" w:color="auto"/>
            </w:tcBorders>
            <w:shd w:val="clear" w:color="auto" w:fill="74C1C9" w:themeFill="accent2" w:themeFillTint="99"/>
            <w:vAlign w:val="center"/>
            <w:hideMark/>
          </w:tcPr>
          <w:p w14:paraId="51DAE0A2" w14:textId="77777777" w:rsidR="004E3FB3" w:rsidRPr="004E3FB3" w:rsidRDefault="004E3FB3">
            <w:pPr>
              <w:spacing w:line="256" w:lineRule="auto"/>
              <w:rPr>
                <w:rFonts w:cs="Arial"/>
                <w:b/>
                <w:bCs/>
                <w:sz w:val="20"/>
                <w:szCs w:val="20"/>
              </w:rPr>
            </w:pPr>
          </w:p>
        </w:tc>
        <w:tc>
          <w:tcPr>
            <w:tcW w:w="0" w:type="auto"/>
            <w:vMerge/>
            <w:tcBorders>
              <w:top w:val="single" w:sz="12" w:space="0" w:color="auto"/>
              <w:left w:val="single" w:sz="4" w:space="0" w:color="auto"/>
              <w:bottom w:val="single" w:sz="4" w:space="0" w:color="auto"/>
              <w:right w:val="single" w:sz="4" w:space="0" w:color="auto"/>
            </w:tcBorders>
            <w:shd w:val="clear" w:color="auto" w:fill="74C1C9" w:themeFill="accent2" w:themeFillTint="99"/>
            <w:vAlign w:val="center"/>
            <w:hideMark/>
          </w:tcPr>
          <w:p w14:paraId="54E88AF4" w14:textId="77777777" w:rsidR="004E3FB3" w:rsidRPr="004E3FB3" w:rsidRDefault="004E3FB3">
            <w:pPr>
              <w:spacing w:line="256" w:lineRule="auto"/>
              <w:rPr>
                <w:rFonts w:cs="Arial"/>
                <w:b/>
                <w:bCs/>
                <w:sz w:val="20"/>
                <w:szCs w:val="20"/>
              </w:rPr>
            </w:pPr>
          </w:p>
        </w:tc>
        <w:tc>
          <w:tcPr>
            <w:tcW w:w="1708" w:type="dxa"/>
            <w:tcBorders>
              <w:top w:val="single" w:sz="4" w:space="0" w:color="auto"/>
              <w:left w:val="single" w:sz="4" w:space="0" w:color="auto"/>
              <w:bottom w:val="single" w:sz="4" w:space="0" w:color="auto"/>
              <w:right w:val="single" w:sz="4" w:space="0" w:color="auto"/>
            </w:tcBorders>
            <w:shd w:val="clear" w:color="auto" w:fill="74C1C9" w:themeFill="accent2" w:themeFillTint="99"/>
            <w:tcMar>
              <w:top w:w="0" w:type="dxa"/>
              <w:left w:w="108" w:type="dxa"/>
              <w:bottom w:w="0" w:type="dxa"/>
              <w:right w:w="108" w:type="dxa"/>
            </w:tcMar>
            <w:hideMark/>
          </w:tcPr>
          <w:p w14:paraId="7827A640" w14:textId="3DD01215" w:rsidR="004E3FB3" w:rsidRPr="004E3FB3" w:rsidRDefault="004E3FB3">
            <w:pPr>
              <w:spacing w:line="256" w:lineRule="auto"/>
              <w:rPr>
                <w:rFonts w:cs="Arial"/>
                <w:sz w:val="20"/>
                <w:szCs w:val="20"/>
                <w:highlight w:val="yellow"/>
              </w:rPr>
            </w:pPr>
            <w:r w:rsidRPr="004E3FB3">
              <w:rPr>
                <w:rFonts w:cs="Arial"/>
                <w:sz w:val="20"/>
                <w:szCs w:val="20"/>
              </w:rPr>
              <w:t xml:space="preserve">Contact post-exposure prophylaxis </w:t>
            </w:r>
          </w:p>
        </w:tc>
        <w:tc>
          <w:tcPr>
            <w:tcW w:w="25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421EFDF" w14:textId="77777777" w:rsidR="004E3FB3" w:rsidRPr="004E3FB3" w:rsidRDefault="004E3FB3">
            <w:pPr>
              <w:spacing w:line="256" w:lineRule="auto"/>
              <w:rPr>
                <w:rFonts w:cs="Arial"/>
                <w:sz w:val="18"/>
                <w:szCs w:val="18"/>
              </w:rPr>
            </w:pPr>
            <w:r w:rsidRPr="004E3FB3">
              <w:rPr>
                <w:rFonts w:cs="Arial"/>
                <w:sz w:val="18"/>
                <w:szCs w:val="18"/>
              </w:rPr>
              <w:t>Nil</w:t>
            </w:r>
          </w:p>
        </w:tc>
        <w:tc>
          <w:tcPr>
            <w:tcW w:w="2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4FBF2FC" w14:textId="77777777" w:rsidR="004E3FB3" w:rsidRPr="004E3FB3" w:rsidRDefault="004E3FB3">
            <w:pPr>
              <w:spacing w:line="256" w:lineRule="auto"/>
              <w:rPr>
                <w:rFonts w:cs="Arial"/>
                <w:sz w:val="18"/>
                <w:szCs w:val="18"/>
              </w:rPr>
            </w:pPr>
            <w:r w:rsidRPr="004E3FB3">
              <w:rPr>
                <w:rFonts w:cs="Arial"/>
                <w:sz w:val="18"/>
                <w:szCs w:val="18"/>
              </w:rPr>
              <w:t>Influenza antivirals to be considered in outbreak</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14:paraId="10A59780" w14:textId="77777777" w:rsidR="004E3FB3" w:rsidRPr="004E3FB3" w:rsidRDefault="004E3FB3">
            <w:pPr>
              <w:spacing w:line="256" w:lineRule="auto"/>
              <w:rPr>
                <w:rFonts w:cs="Arial"/>
                <w:sz w:val="18"/>
                <w:szCs w:val="18"/>
              </w:rPr>
            </w:pPr>
            <w:r w:rsidRPr="004E3FB3">
              <w:rPr>
                <w:rFonts w:cs="Arial"/>
                <w:sz w:val="18"/>
                <w:szCs w:val="18"/>
              </w:rPr>
              <w:t>Nil</w:t>
            </w:r>
          </w:p>
        </w:tc>
      </w:tr>
      <w:tr w:rsidR="00BD1F2D" w14:paraId="1B6910A1" w14:textId="77777777" w:rsidTr="004E3FB3">
        <w:tc>
          <w:tcPr>
            <w:tcW w:w="0" w:type="auto"/>
            <w:vMerge/>
            <w:tcBorders>
              <w:top w:val="single" w:sz="12" w:space="0" w:color="auto"/>
              <w:left w:val="single" w:sz="4" w:space="0" w:color="auto"/>
              <w:bottom w:val="single" w:sz="4" w:space="0" w:color="auto"/>
              <w:right w:val="single" w:sz="4" w:space="0" w:color="auto"/>
            </w:tcBorders>
            <w:shd w:val="clear" w:color="auto" w:fill="74C1C9" w:themeFill="accent2" w:themeFillTint="99"/>
            <w:vAlign w:val="center"/>
            <w:hideMark/>
          </w:tcPr>
          <w:p w14:paraId="2BBFDF19" w14:textId="77777777" w:rsidR="004E3FB3" w:rsidRPr="004E3FB3" w:rsidRDefault="004E3FB3">
            <w:pPr>
              <w:spacing w:line="256" w:lineRule="auto"/>
              <w:rPr>
                <w:rFonts w:cs="Arial"/>
                <w:b/>
                <w:bCs/>
                <w:sz w:val="20"/>
                <w:szCs w:val="20"/>
              </w:rPr>
            </w:pPr>
          </w:p>
        </w:tc>
        <w:tc>
          <w:tcPr>
            <w:tcW w:w="1011" w:type="dxa"/>
            <w:vMerge w:val="restart"/>
            <w:tcBorders>
              <w:top w:val="single" w:sz="4" w:space="0" w:color="auto"/>
              <w:left w:val="single" w:sz="4" w:space="0" w:color="auto"/>
              <w:bottom w:val="single" w:sz="4" w:space="0" w:color="auto"/>
              <w:right w:val="single" w:sz="4" w:space="0" w:color="auto"/>
            </w:tcBorders>
            <w:shd w:val="clear" w:color="auto" w:fill="74C1C9" w:themeFill="accent2" w:themeFillTint="99"/>
            <w:vAlign w:val="center"/>
            <w:hideMark/>
          </w:tcPr>
          <w:p w14:paraId="7ADE9420" w14:textId="77777777" w:rsidR="004E3FB3" w:rsidRPr="004E3FB3" w:rsidRDefault="004E3FB3">
            <w:pPr>
              <w:spacing w:line="256" w:lineRule="auto"/>
              <w:rPr>
                <w:rFonts w:cs="Arial"/>
                <w:b/>
                <w:bCs/>
                <w:sz w:val="20"/>
                <w:szCs w:val="20"/>
              </w:rPr>
            </w:pPr>
            <w:r w:rsidRPr="004E3FB3">
              <w:rPr>
                <w:rFonts w:cs="Arial"/>
                <w:b/>
                <w:bCs/>
                <w:sz w:val="20"/>
                <w:szCs w:val="20"/>
              </w:rPr>
              <w:t>Staff</w:t>
            </w:r>
          </w:p>
        </w:tc>
        <w:tc>
          <w:tcPr>
            <w:tcW w:w="1708" w:type="dxa"/>
            <w:tcBorders>
              <w:top w:val="single" w:sz="4" w:space="0" w:color="auto"/>
              <w:left w:val="single" w:sz="4" w:space="0" w:color="auto"/>
              <w:bottom w:val="single" w:sz="4" w:space="0" w:color="auto"/>
              <w:right w:val="single" w:sz="4" w:space="0" w:color="auto"/>
            </w:tcBorders>
            <w:shd w:val="clear" w:color="auto" w:fill="74C1C9" w:themeFill="accent2" w:themeFillTint="99"/>
            <w:tcMar>
              <w:top w:w="0" w:type="dxa"/>
              <w:left w:w="108" w:type="dxa"/>
              <w:bottom w:w="0" w:type="dxa"/>
              <w:right w:w="108" w:type="dxa"/>
            </w:tcMar>
            <w:hideMark/>
          </w:tcPr>
          <w:p w14:paraId="47E58BDB" w14:textId="77777777" w:rsidR="004E3FB3" w:rsidRPr="004E3FB3" w:rsidRDefault="004E3FB3">
            <w:pPr>
              <w:spacing w:line="256" w:lineRule="auto"/>
              <w:rPr>
                <w:rFonts w:cs="Arial"/>
                <w:sz w:val="20"/>
                <w:szCs w:val="20"/>
              </w:rPr>
            </w:pPr>
            <w:r w:rsidRPr="004E3FB3">
              <w:rPr>
                <w:rFonts w:cs="Arial"/>
                <w:sz w:val="20"/>
                <w:szCs w:val="20"/>
              </w:rPr>
              <w:t>Return to work</w:t>
            </w:r>
          </w:p>
        </w:tc>
        <w:tc>
          <w:tcPr>
            <w:tcW w:w="25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C3330B1" w14:textId="5360AFB7" w:rsidR="004E3FB3" w:rsidRPr="004E3FB3" w:rsidRDefault="004E3FB3">
            <w:pPr>
              <w:spacing w:line="256" w:lineRule="auto"/>
              <w:rPr>
                <w:rFonts w:cs="Arial"/>
                <w:sz w:val="18"/>
                <w:szCs w:val="18"/>
              </w:rPr>
            </w:pPr>
            <w:r w:rsidRPr="004E3FB3">
              <w:rPr>
                <w:rFonts w:cs="Arial"/>
                <w:sz w:val="18"/>
                <w:szCs w:val="18"/>
              </w:rPr>
              <w:t xml:space="preserve">See </w:t>
            </w:r>
            <w:hyperlink w:anchor="_Appendix_1:_COVID-19" w:history="1">
              <w:r w:rsidRPr="004D13C5">
                <w:rPr>
                  <w:rStyle w:val="Hyperlink"/>
                  <w:rFonts w:cs="Arial"/>
                  <w:sz w:val="18"/>
                  <w:szCs w:val="18"/>
                </w:rPr>
                <w:t>Appendix 1</w:t>
              </w:r>
            </w:hyperlink>
            <w:r w:rsidRPr="004E3FB3">
              <w:rPr>
                <w:rFonts w:cs="Arial"/>
                <w:sz w:val="18"/>
                <w:szCs w:val="18"/>
              </w:rPr>
              <w:t xml:space="preserve">. </w:t>
            </w:r>
          </w:p>
        </w:tc>
        <w:tc>
          <w:tcPr>
            <w:tcW w:w="2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2DFD1DD" w14:textId="77777777" w:rsidR="004E3FB3" w:rsidRPr="004E3FB3" w:rsidRDefault="004E3FB3">
            <w:pPr>
              <w:spacing w:line="256" w:lineRule="auto"/>
              <w:rPr>
                <w:rFonts w:cs="Arial"/>
                <w:sz w:val="18"/>
                <w:szCs w:val="18"/>
              </w:rPr>
            </w:pPr>
            <w:r w:rsidRPr="004E3FB3">
              <w:rPr>
                <w:rFonts w:cs="Arial"/>
                <w:sz w:val="18"/>
                <w:szCs w:val="18"/>
              </w:rPr>
              <w:t xml:space="preserve">Immediately if no symptoms. Must wear a mask and other PPE as required when at work. Unvaccinated staff should not work in affected areas.  </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14:paraId="3F82E3C7" w14:textId="77777777" w:rsidR="004E3FB3" w:rsidRPr="004E3FB3" w:rsidRDefault="004E3FB3">
            <w:pPr>
              <w:spacing w:line="256" w:lineRule="auto"/>
              <w:rPr>
                <w:rFonts w:cs="Arial"/>
                <w:sz w:val="18"/>
                <w:szCs w:val="18"/>
              </w:rPr>
            </w:pPr>
            <w:r w:rsidRPr="004E3FB3">
              <w:rPr>
                <w:rFonts w:cs="Arial"/>
                <w:sz w:val="18"/>
                <w:szCs w:val="18"/>
              </w:rPr>
              <w:t>Immediately if no symptoms.</w:t>
            </w:r>
          </w:p>
        </w:tc>
      </w:tr>
      <w:tr w:rsidR="00BD1F2D" w14:paraId="25940565" w14:textId="77777777" w:rsidTr="004E3FB3">
        <w:tc>
          <w:tcPr>
            <w:tcW w:w="0" w:type="auto"/>
            <w:vMerge/>
            <w:tcBorders>
              <w:top w:val="single" w:sz="12" w:space="0" w:color="auto"/>
              <w:left w:val="single" w:sz="4" w:space="0" w:color="auto"/>
              <w:bottom w:val="single" w:sz="4" w:space="0" w:color="auto"/>
              <w:right w:val="single" w:sz="4" w:space="0" w:color="auto"/>
            </w:tcBorders>
            <w:shd w:val="clear" w:color="auto" w:fill="74C1C9" w:themeFill="accent2" w:themeFillTint="99"/>
            <w:vAlign w:val="center"/>
            <w:hideMark/>
          </w:tcPr>
          <w:p w14:paraId="28AFA0F8" w14:textId="77777777" w:rsidR="004E3FB3" w:rsidRPr="004E3FB3" w:rsidRDefault="004E3FB3">
            <w:pPr>
              <w:spacing w:line="256" w:lineRule="auto"/>
              <w:rPr>
                <w:rFonts w:cs="Arial"/>
                <w:b/>
                <w:bCs/>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74C1C9" w:themeFill="accent2" w:themeFillTint="99"/>
            <w:vAlign w:val="center"/>
            <w:hideMark/>
          </w:tcPr>
          <w:p w14:paraId="74BF1193" w14:textId="77777777" w:rsidR="004E3FB3" w:rsidRPr="004E3FB3" w:rsidRDefault="004E3FB3">
            <w:pPr>
              <w:spacing w:line="256" w:lineRule="auto"/>
              <w:rPr>
                <w:rFonts w:cs="Arial"/>
                <w:b/>
                <w:bCs/>
                <w:sz w:val="20"/>
                <w:szCs w:val="20"/>
              </w:rPr>
            </w:pPr>
          </w:p>
        </w:tc>
        <w:tc>
          <w:tcPr>
            <w:tcW w:w="1708" w:type="dxa"/>
            <w:tcBorders>
              <w:top w:val="single" w:sz="4" w:space="0" w:color="auto"/>
              <w:left w:val="single" w:sz="4" w:space="0" w:color="auto"/>
              <w:bottom w:val="single" w:sz="4" w:space="0" w:color="auto"/>
              <w:right w:val="single" w:sz="4" w:space="0" w:color="auto"/>
            </w:tcBorders>
            <w:shd w:val="clear" w:color="auto" w:fill="74C1C9" w:themeFill="accent2" w:themeFillTint="99"/>
            <w:tcMar>
              <w:top w:w="0" w:type="dxa"/>
              <w:left w:w="108" w:type="dxa"/>
              <w:bottom w:w="0" w:type="dxa"/>
              <w:right w:w="108" w:type="dxa"/>
            </w:tcMar>
            <w:hideMark/>
          </w:tcPr>
          <w:p w14:paraId="6112192E" w14:textId="715F4749" w:rsidR="004E3FB3" w:rsidRPr="004E3FB3" w:rsidRDefault="004E3FB3">
            <w:pPr>
              <w:spacing w:line="256" w:lineRule="auto"/>
              <w:rPr>
                <w:rFonts w:cs="Arial"/>
                <w:sz w:val="20"/>
                <w:szCs w:val="20"/>
              </w:rPr>
            </w:pPr>
            <w:r w:rsidRPr="004E3FB3">
              <w:rPr>
                <w:rFonts w:cs="Arial"/>
                <w:sz w:val="20"/>
                <w:szCs w:val="20"/>
              </w:rPr>
              <w:t xml:space="preserve">Post-exposure prophylaxis </w:t>
            </w:r>
          </w:p>
        </w:tc>
        <w:tc>
          <w:tcPr>
            <w:tcW w:w="25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E5CDF64" w14:textId="77777777" w:rsidR="004E3FB3" w:rsidRPr="004E3FB3" w:rsidRDefault="004E3FB3">
            <w:pPr>
              <w:spacing w:line="256" w:lineRule="auto"/>
              <w:rPr>
                <w:rFonts w:cs="Arial"/>
                <w:sz w:val="18"/>
                <w:szCs w:val="18"/>
              </w:rPr>
            </w:pPr>
            <w:r w:rsidRPr="004E3FB3">
              <w:rPr>
                <w:rFonts w:cs="Arial"/>
                <w:sz w:val="18"/>
                <w:szCs w:val="18"/>
              </w:rPr>
              <w:t>Nil</w:t>
            </w:r>
          </w:p>
        </w:tc>
        <w:tc>
          <w:tcPr>
            <w:tcW w:w="2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BF2C577" w14:textId="36943125" w:rsidR="004E3FB3" w:rsidRPr="004E3FB3" w:rsidRDefault="004E3FB3" w:rsidP="00BD1F2D">
            <w:pPr>
              <w:spacing w:line="256" w:lineRule="auto"/>
              <w:rPr>
                <w:rFonts w:cs="Arial"/>
                <w:sz w:val="18"/>
                <w:szCs w:val="18"/>
              </w:rPr>
            </w:pPr>
            <w:r w:rsidRPr="004E3FB3">
              <w:rPr>
                <w:rFonts w:cs="Arial"/>
                <w:sz w:val="18"/>
                <w:szCs w:val="18"/>
              </w:rPr>
              <w:t>Consider influenza antivirals for unvaccinated staff</w:t>
            </w:r>
            <w:r w:rsidR="00BD1F2D">
              <w:rPr>
                <w:rFonts w:cs="Arial"/>
                <w:sz w:val="18"/>
                <w:szCs w:val="18"/>
              </w:rPr>
              <w:t xml:space="preserve"> and staff with comorbidities or pregnancy at higher risk of more serious disease</w:t>
            </w:r>
            <w:r w:rsidRPr="004E3FB3">
              <w:rPr>
                <w:rFonts w:cs="Arial"/>
                <w:sz w:val="18"/>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14:paraId="4B8E1A4E" w14:textId="77777777" w:rsidR="004E3FB3" w:rsidRPr="004E3FB3" w:rsidRDefault="004E3FB3">
            <w:pPr>
              <w:spacing w:line="256" w:lineRule="auto"/>
              <w:rPr>
                <w:rFonts w:cs="Arial"/>
                <w:sz w:val="18"/>
                <w:szCs w:val="18"/>
              </w:rPr>
            </w:pPr>
            <w:r w:rsidRPr="004E3FB3">
              <w:rPr>
                <w:rFonts w:cs="Arial"/>
                <w:sz w:val="18"/>
                <w:szCs w:val="18"/>
              </w:rPr>
              <w:t>Nil</w:t>
            </w:r>
          </w:p>
        </w:tc>
      </w:tr>
      <w:tr w:rsidR="00BD1F2D" w14:paraId="75EDD5A3" w14:textId="77777777" w:rsidTr="00303EDC">
        <w:tc>
          <w:tcPr>
            <w:tcW w:w="0" w:type="auto"/>
            <w:vMerge/>
            <w:tcBorders>
              <w:top w:val="single" w:sz="12" w:space="0" w:color="auto"/>
              <w:left w:val="single" w:sz="4" w:space="0" w:color="auto"/>
              <w:bottom w:val="single" w:sz="12" w:space="0" w:color="auto"/>
              <w:right w:val="single" w:sz="4" w:space="0" w:color="auto"/>
            </w:tcBorders>
            <w:shd w:val="clear" w:color="auto" w:fill="74C1C9" w:themeFill="accent2" w:themeFillTint="99"/>
            <w:vAlign w:val="center"/>
            <w:hideMark/>
          </w:tcPr>
          <w:p w14:paraId="3A9FAC1D" w14:textId="77777777" w:rsidR="004E3FB3" w:rsidRPr="004E3FB3" w:rsidRDefault="004E3FB3">
            <w:pPr>
              <w:spacing w:line="256" w:lineRule="auto"/>
              <w:rPr>
                <w:rFonts w:cs="Arial"/>
                <w:b/>
                <w:bCs/>
                <w:sz w:val="20"/>
                <w:szCs w:val="20"/>
              </w:rPr>
            </w:pPr>
          </w:p>
        </w:tc>
        <w:tc>
          <w:tcPr>
            <w:tcW w:w="1011" w:type="dxa"/>
            <w:tcBorders>
              <w:top w:val="single" w:sz="4" w:space="0" w:color="auto"/>
              <w:left w:val="single" w:sz="4" w:space="0" w:color="auto"/>
              <w:bottom w:val="single" w:sz="4" w:space="0" w:color="auto"/>
              <w:right w:val="single" w:sz="4" w:space="0" w:color="auto"/>
            </w:tcBorders>
            <w:shd w:val="clear" w:color="auto" w:fill="74C1C9" w:themeFill="accent2" w:themeFillTint="99"/>
            <w:vAlign w:val="center"/>
            <w:hideMark/>
          </w:tcPr>
          <w:p w14:paraId="1A9AA5C3" w14:textId="77777777" w:rsidR="004E3FB3" w:rsidRPr="004E3FB3" w:rsidRDefault="004E3FB3">
            <w:pPr>
              <w:spacing w:line="256" w:lineRule="auto"/>
              <w:rPr>
                <w:rFonts w:cs="Arial"/>
                <w:sz w:val="20"/>
                <w:szCs w:val="20"/>
              </w:rPr>
            </w:pPr>
            <w:r w:rsidRPr="004E3FB3">
              <w:rPr>
                <w:rFonts w:cs="Arial"/>
                <w:sz w:val="20"/>
                <w:szCs w:val="20"/>
              </w:rPr>
              <w:t>Visitors</w:t>
            </w:r>
          </w:p>
        </w:tc>
        <w:tc>
          <w:tcPr>
            <w:tcW w:w="1708" w:type="dxa"/>
            <w:tcBorders>
              <w:top w:val="single" w:sz="4" w:space="0" w:color="auto"/>
              <w:left w:val="single" w:sz="4" w:space="0" w:color="auto"/>
              <w:bottom w:val="single" w:sz="4" w:space="0" w:color="auto"/>
              <w:right w:val="single" w:sz="4" w:space="0" w:color="auto"/>
            </w:tcBorders>
            <w:shd w:val="clear" w:color="auto" w:fill="74C1C9" w:themeFill="accent2" w:themeFillTint="99"/>
            <w:tcMar>
              <w:top w:w="0" w:type="dxa"/>
              <w:left w:w="108" w:type="dxa"/>
              <w:bottom w:w="0" w:type="dxa"/>
              <w:right w:w="108" w:type="dxa"/>
            </w:tcMar>
            <w:hideMark/>
          </w:tcPr>
          <w:p w14:paraId="39D5D96C" w14:textId="77777777" w:rsidR="004E3FB3" w:rsidRPr="004E3FB3" w:rsidRDefault="004E3FB3">
            <w:pPr>
              <w:spacing w:line="256" w:lineRule="auto"/>
              <w:rPr>
                <w:rFonts w:cs="Arial"/>
                <w:sz w:val="20"/>
                <w:szCs w:val="20"/>
              </w:rPr>
            </w:pPr>
            <w:r w:rsidRPr="004E3FB3">
              <w:rPr>
                <w:rFonts w:cs="Arial"/>
                <w:sz w:val="20"/>
                <w:szCs w:val="20"/>
              </w:rPr>
              <w:t xml:space="preserve">Return to facility </w:t>
            </w:r>
          </w:p>
        </w:tc>
        <w:tc>
          <w:tcPr>
            <w:tcW w:w="25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C02C4D2" w14:textId="77777777" w:rsidR="004E3FB3" w:rsidRPr="004E3FB3" w:rsidRDefault="004E3FB3">
            <w:pPr>
              <w:spacing w:line="256" w:lineRule="auto"/>
              <w:rPr>
                <w:rFonts w:cs="Arial"/>
                <w:sz w:val="18"/>
                <w:szCs w:val="18"/>
              </w:rPr>
            </w:pPr>
            <w:r w:rsidRPr="004E3FB3">
              <w:rPr>
                <w:rFonts w:cs="Arial"/>
                <w:sz w:val="18"/>
                <w:szCs w:val="18"/>
              </w:rPr>
              <w:t xml:space="preserve">Can attend from Day 8 if no symptoms. </w:t>
            </w:r>
          </w:p>
        </w:tc>
        <w:tc>
          <w:tcPr>
            <w:tcW w:w="2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1459C28" w14:textId="77777777" w:rsidR="004E3FB3" w:rsidRPr="004E3FB3" w:rsidRDefault="004E3FB3">
            <w:pPr>
              <w:spacing w:line="256" w:lineRule="auto"/>
              <w:rPr>
                <w:rFonts w:cs="Arial"/>
                <w:sz w:val="18"/>
                <w:szCs w:val="18"/>
              </w:rPr>
            </w:pPr>
            <w:r w:rsidRPr="004E3FB3">
              <w:rPr>
                <w:rFonts w:cs="Arial"/>
                <w:sz w:val="18"/>
                <w:szCs w:val="18"/>
              </w:rPr>
              <w:t>Immediately if no symptoms.</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14:paraId="16848BA4" w14:textId="77777777" w:rsidR="004E3FB3" w:rsidRPr="004E3FB3" w:rsidRDefault="004E3FB3">
            <w:pPr>
              <w:spacing w:line="256" w:lineRule="auto"/>
              <w:rPr>
                <w:rFonts w:cs="Arial"/>
                <w:sz w:val="18"/>
                <w:szCs w:val="18"/>
              </w:rPr>
            </w:pPr>
            <w:r w:rsidRPr="004E3FB3">
              <w:rPr>
                <w:rFonts w:cs="Arial"/>
                <w:sz w:val="18"/>
                <w:szCs w:val="18"/>
              </w:rPr>
              <w:t>Immediately if no symptoms.</w:t>
            </w:r>
          </w:p>
        </w:tc>
      </w:tr>
      <w:tr w:rsidR="00303EDC" w14:paraId="7A6349EF" w14:textId="77777777" w:rsidTr="00303EDC">
        <w:tc>
          <w:tcPr>
            <w:tcW w:w="10350" w:type="dxa"/>
            <w:gridSpan w:val="6"/>
            <w:tcBorders>
              <w:top w:val="single" w:sz="12" w:space="0" w:color="auto"/>
              <w:left w:val="nil"/>
              <w:bottom w:val="nil"/>
              <w:right w:val="nil"/>
            </w:tcBorders>
            <w:shd w:val="clear" w:color="auto" w:fill="auto"/>
            <w:vAlign w:val="center"/>
          </w:tcPr>
          <w:p w14:paraId="2D1ADB7E" w14:textId="0FF73BA9" w:rsidR="00303EDC" w:rsidRPr="00303EDC" w:rsidRDefault="00303EDC">
            <w:pPr>
              <w:spacing w:line="256" w:lineRule="auto"/>
              <w:rPr>
                <w:rFonts w:cs="Arial"/>
                <w:sz w:val="20"/>
                <w:szCs w:val="20"/>
              </w:rPr>
            </w:pPr>
            <w:r w:rsidRPr="00303EDC">
              <w:rPr>
                <w:rFonts w:cs="Arial"/>
                <w:b/>
                <w:bCs/>
                <w:sz w:val="20"/>
                <w:szCs w:val="20"/>
              </w:rPr>
              <w:t>Note:</w:t>
            </w:r>
            <w:r w:rsidRPr="00303EDC">
              <w:rPr>
                <w:rFonts w:cs="Arial"/>
                <w:sz w:val="20"/>
                <w:szCs w:val="20"/>
              </w:rPr>
              <w:t xml:space="preserve"> Jurisdictions may implement additional requirements and/or recommendations</w:t>
            </w:r>
            <w:r w:rsidR="0076754C">
              <w:rPr>
                <w:rFonts w:cs="Arial"/>
                <w:sz w:val="20"/>
                <w:szCs w:val="20"/>
              </w:rPr>
              <w:t>, including different periods of isolation and quarantine</w:t>
            </w:r>
            <w:r w:rsidRPr="00303EDC">
              <w:rPr>
                <w:rFonts w:cs="Arial"/>
                <w:sz w:val="20"/>
                <w:szCs w:val="20"/>
              </w:rPr>
              <w:t xml:space="preserve">. </w:t>
            </w:r>
          </w:p>
        </w:tc>
      </w:tr>
    </w:tbl>
    <w:p w14:paraId="53842A71" w14:textId="42B80F63" w:rsidR="004E3FB3" w:rsidRPr="007F4B70" w:rsidRDefault="004E3FB3" w:rsidP="007F4B70">
      <w:pPr>
        <w:pStyle w:val="Heading2"/>
      </w:pPr>
      <w:bookmarkStart w:id="25" w:name="_Toc104904612"/>
      <w:bookmarkStart w:id="26" w:name="_Toc115342388"/>
      <w:r w:rsidRPr="007F4B70">
        <w:rPr>
          <w:rFonts w:eastAsiaTheme="minorHAnsi"/>
        </w:rPr>
        <w:lastRenderedPageBreak/>
        <w:t>Step 5: C</w:t>
      </w:r>
      <w:r w:rsidR="00537CA2">
        <w:rPr>
          <w:rFonts w:eastAsiaTheme="minorHAnsi"/>
        </w:rPr>
        <w:t>ontact management</w:t>
      </w:r>
      <w:bookmarkEnd w:id="26"/>
      <w:r w:rsidR="00537CA2">
        <w:rPr>
          <w:rFonts w:eastAsiaTheme="minorHAnsi"/>
        </w:rPr>
        <w:t xml:space="preserve"> </w:t>
      </w:r>
      <w:bookmarkEnd w:id="25"/>
    </w:p>
    <w:p w14:paraId="105D08F2" w14:textId="17F74DA1" w:rsidR="004E3FB3" w:rsidRDefault="004E3FB3" w:rsidP="004E3FB3">
      <w:pPr>
        <w:pStyle w:val="ListParagraph"/>
        <w:numPr>
          <w:ilvl w:val="0"/>
          <w:numId w:val="22"/>
        </w:numPr>
        <w:spacing w:before="240" w:after="120"/>
        <w:rPr>
          <w:rFonts w:eastAsiaTheme="minorEastAsia"/>
          <w:sz w:val="20"/>
          <w:szCs w:val="20"/>
        </w:rPr>
      </w:pPr>
      <w:r>
        <w:t>Following an exposure, RCFs should undertake exposure assessment to determine if any staff or residents have been exposed to the case and develop an agreed management plan based on the degree of assessed risk</w:t>
      </w:r>
      <w:r w:rsidR="00537CA2">
        <w:t>.</w:t>
      </w:r>
    </w:p>
    <w:p w14:paraId="5C2CE1DC" w14:textId="0569DF54" w:rsidR="004E3FB3" w:rsidRDefault="004E3FB3" w:rsidP="004E3FB3">
      <w:pPr>
        <w:pStyle w:val="ListParagraph"/>
        <w:numPr>
          <w:ilvl w:val="0"/>
          <w:numId w:val="22"/>
        </w:numPr>
        <w:spacing w:before="240" w:after="120"/>
      </w:pPr>
      <w:r>
        <w:t>In assessing contacts of a positive case, the RCF should identify all staff and residents in the affected zone who have been potentially exposed</w:t>
      </w:r>
      <w:r w:rsidR="00537CA2">
        <w:t>.</w:t>
      </w:r>
      <w:r>
        <w:t xml:space="preserve"> </w:t>
      </w:r>
    </w:p>
    <w:p w14:paraId="40E1ACBC" w14:textId="49A93D38" w:rsidR="004E3FB3" w:rsidRDefault="004E3FB3" w:rsidP="004E3FB3">
      <w:pPr>
        <w:pStyle w:val="ListParagraph"/>
        <w:numPr>
          <w:ilvl w:val="0"/>
          <w:numId w:val="22"/>
        </w:numPr>
        <w:spacing w:before="240" w:after="120"/>
      </w:pPr>
      <w:r>
        <w:t xml:space="preserve">To support assessment and management of staff and resident contacts of a positive COVID-19 case (for known exposures or single case with a known source), refer to </w:t>
      </w:r>
      <w:hyperlink w:anchor="_Appendix_1:_COVID-19" w:history="1">
        <w:r w:rsidRPr="0064058A">
          <w:rPr>
            <w:rStyle w:val="Hyperlink"/>
          </w:rPr>
          <w:t>Appendix 1</w:t>
        </w:r>
      </w:hyperlink>
      <w:r w:rsidR="00537CA2">
        <w:rPr>
          <w:rStyle w:val="Hyperlink"/>
        </w:rPr>
        <w:t>.</w:t>
      </w:r>
      <w:r>
        <w:t xml:space="preserve"> </w:t>
      </w:r>
    </w:p>
    <w:p w14:paraId="2CAC6CC8" w14:textId="25E7CFB0" w:rsidR="004E3FB3" w:rsidRDefault="004E3FB3" w:rsidP="004E3FB3">
      <w:pPr>
        <w:pStyle w:val="ListParagraph"/>
        <w:numPr>
          <w:ilvl w:val="0"/>
          <w:numId w:val="22"/>
        </w:numPr>
        <w:spacing w:before="240" w:after="120"/>
      </w:pPr>
      <w:r>
        <w:t>Ensure resident contacts are monitored for symptoms and limit movement within the facility</w:t>
      </w:r>
      <w:r w:rsidR="00537CA2">
        <w:t>.</w:t>
      </w:r>
      <w:r>
        <w:t xml:space="preserve"> </w:t>
      </w:r>
    </w:p>
    <w:p w14:paraId="6DD60F3E" w14:textId="49176C2D" w:rsidR="004E3FB3" w:rsidRPr="0079185D" w:rsidRDefault="004E3FB3" w:rsidP="004E3FB3">
      <w:pPr>
        <w:pStyle w:val="ListParagraph"/>
        <w:numPr>
          <w:ilvl w:val="0"/>
          <w:numId w:val="22"/>
        </w:numPr>
        <w:spacing w:before="240" w:after="120"/>
        <w:rPr>
          <w:rStyle w:val="Hyperlink"/>
          <w:color w:val="auto"/>
          <w:u w:val="none"/>
        </w:rPr>
      </w:pPr>
      <w:r>
        <w:t xml:space="preserve">If the source of infection </w:t>
      </w:r>
      <w:r w:rsidR="00586E35">
        <w:t xml:space="preserve">of COVID-19 </w:t>
      </w:r>
      <w:r>
        <w:t xml:space="preserve">is unknown, all residents in the identified zone should be tested to find cases, irrespective of whether they have symptoms. </w:t>
      </w:r>
      <w:r w:rsidR="00586E35">
        <w:t xml:space="preserve">See </w:t>
      </w:r>
      <w:hyperlink w:anchor="_Appendix_1:_COVID-19" w:history="1">
        <w:r w:rsidR="00586E35" w:rsidRPr="0064058A">
          <w:rPr>
            <w:rStyle w:val="Hyperlink"/>
          </w:rPr>
          <w:t>Appendix 1</w:t>
        </w:r>
      </w:hyperlink>
      <w:r w:rsidR="00537CA2">
        <w:rPr>
          <w:rStyle w:val="Hyperlink"/>
        </w:rPr>
        <w:t>.</w:t>
      </w:r>
    </w:p>
    <w:p w14:paraId="3602950C" w14:textId="37B1FFE1" w:rsidR="0079185D" w:rsidRDefault="0079185D" w:rsidP="004E3FB3">
      <w:pPr>
        <w:pStyle w:val="ListParagraph"/>
        <w:numPr>
          <w:ilvl w:val="0"/>
          <w:numId w:val="22"/>
        </w:numPr>
        <w:spacing w:before="240" w:after="120"/>
      </w:pPr>
      <w:r>
        <w:t>Consider use of influenza antivirals during influenza outbreaks as post exposure prophylaxis for residents in the affected zone</w:t>
      </w:r>
      <w:r w:rsidR="00CA6DC8">
        <w:t xml:space="preserve"> in consultation with the public health unit and treating ge</w:t>
      </w:r>
      <w:r w:rsidR="00927D40">
        <w:t>n</w:t>
      </w:r>
      <w:r w:rsidR="00CA6DC8">
        <w:t>e</w:t>
      </w:r>
      <w:r w:rsidR="00927D40">
        <w:t>r</w:t>
      </w:r>
      <w:r w:rsidR="00CA6DC8">
        <w:t>al practitioner.</w:t>
      </w:r>
    </w:p>
    <w:p w14:paraId="4813AE84" w14:textId="1DCD90FF" w:rsidR="004E3FB3" w:rsidRDefault="004E3FB3" w:rsidP="004E3FB3">
      <w:pPr>
        <w:pStyle w:val="ListParagraph"/>
        <w:numPr>
          <w:ilvl w:val="0"/>
          <w:numId w:val="22"/>
        </w:numPr>
        <w:spacing w:before="240" w:after="120"/>
      </w:pPr>
      <w:r>
        <w:t>For single cases with no clear source of infection, or multiple cases among residents, consult the local PHU as assessment and management of contacts may differ</w:t>
      </w:r>
      <w:r w:rsidR="00537CA2">
        <w:t>.</w:t>
      </w:r>
    </w:p>
    <w:p w14:paraId="361AD47F" w14:textId="77777777" w:rsidR="004E3FB3" w:rsidRDefault="004E3FB3" w:rsidP="004E3FB3">
      <w:pPr>
        <w:pStyle w:val="ListParagraph"/>
        <w:numPr>
          <w:ilvl w:val="0"/>
          <w:numId w:val="22"/>
        </w:numPr>
        <w:spacing w:before="240" w:after="120"/>
      </w:pPr>
      <w:r>
        <w:t>It is important that RCF use a risk-based approach to contact assessment and management. The risk of transmission should be managed whilst balancing the risk related to social isolation and deconditioning through application of the least restrictive controls appropriate.</w:t>
      </w:r>
      <w:bookmarkStart w:id="27" w:name="_Toc104904613"/>
    </w:p>
    <w:p w14:paraId="3E56DE1C" w14:textId="4F5B15F7" w:rsidR="004E3FB3" w:rsidRPr="007F4B70" w:rsidRDefault="004E3FB3" w:rsidP="007F4B70">
      <w:pPr>
        <w:pStyle w:val="Heading2"/>
      </w:pPr>
      <w:bookmarkStart w:id="28" w:name="_Toc115342389"/>
      <w:r w:rsidRPr="007F4B70">
        <w:rPr>
          <w:rFonts w:eastAsiaTheme="minorHAnsi"/>
        </w:rPr>
        <w:t>Step 6: N</w:t>
      </w:r>
      <w:r w:rsidR="00537CA2">
        <w:rPr>
          <w:rFonts w:eastAsiaTheme="minorHAnsi"/>
        </w:rPr>
        <w:t>otification and reporting</w:t>
      </w:r>
      <w:bookmarkEnd w:id="28"/>
      <w:r w:rsidR="00537CA2">
        <w:rPr>
          <w:rFonts w:eastAsiaTheme="minorHAnsi"/>
        </w:rPr>
        <w:t xml:space="preserve"> </w:t>
      </w:r>
      <w:bookmarkEnd w:id="27"/>
    </w:p>
    <w:p w14:paraId="2593A713" w14:textId="724051DD" w:rsidR="004E3FB3" w:rsidRDefault="004E3FB3" w:rsidP="004E3FB3">
      <w:pPr>
        <w:pStyle w:val="ListParagraph"/>
        <w:numPr>
          <w:ilvl w:val="0"/>
          <w:numId w:val="22"/>
        </w:numPr>
        <w:spacing w:before="240" w:after="120"/>
        <w:rPr>
          <w:rFonts w:eastAsiaTheme="minorEastAsia"/>
          <w:sz w:val="20"/>
          <w:szCs w:val="20"/>
        </w:rPr>
      </w:pPr>
      <w:r>
        <w:t xml:space="preserve">Notify positive cases </w:t>
      </w:r>
      <w:r w:rsidR="002F3FD2">
        <w:t xml:space="preserve">of COVID-19 or influenza </w:t>
      </w:r>
      <w:r>
        <w:t>in compliance with Commonwealth, State and Territory requirements</w:t>
      </w:r>
      <w:r w:rsidR="00537CA2">
        <w:t>.</w:t>
      </w:r>
    </w:p>
    <w:p w14:paraId="2C7D41A5" w14:textId="28917336" w:rsidR="004E3FB3" w:rsidRDefault="004E3FB3" w:rsidP="004E3FB3">
      <w:pPr>
        <w:pStyle w:val="ListParagraph"/>
        <w:numPr>
          <w:ilvl w:val="0"/>
          <w:numId w:val="22"/>
        </w:numPr>
        <w:spacing w:before="240" w:after="120"/>
      </w:pPr>
      <w:r>
        <w:t xml:space="preserve">Discuss as required with the local </w:t>
      </w:r>
      <w:bookmarkStart w:id="29" w:name="_Hlk102026695"/>
      <w:r w:rsidR="00D937DE">
        <w:t>PHU</w:t>
      </w:r>
      <w:r w:rsidR="00E31FE3">
        <w:t xml:space="preserve"> </w:t>
      </w:r>
      <w:bookmarkEnd w:id="29"/>
      <w:r>
        <w:t>when one resident has tested positive for COVID-19 or influenza</w:t>
      </w:r>
      <w:r w:rsidR="00537CA2">
        <w:t>.</w:t>
      </w:r>
    </w:p>
    <w:p w14:paraId="5C4C2431" w14:textId="6A4BB5F6" w:rsidR="004E3FB3" w:rsidRDefault="004E3FB3" w:rsidP="004E3FB3">
      <w:pPr>
        <w:pStyle w:val="ListParagraph"/>
        <w:numPr>
          <w:ilvl w:val="0"/>
          <w:numId w:val="22"/>
        </w:numPr>
        <w:spacing w:before="240" w:after="120"/>
      </w:pPr>
      <w:r>
        <w:t xml:space="preserve">Notify </w:t>
      </w:r>
      <w:r w:rsidR="00B60211">
        <w:t xml:space="preserve">positive COVID-19 cases in a </w:t>
      </w:r>
      <w:r w:rsidR="008E7D1B">
        <w:t>residential aged care facility (</w:t>
      </w:r>
      <w:r w:rsidR="00B60211" w:rsidRPr="00AB742A">
        <w:t>RACF</w:t>
      </w:r>
      <w:r w:rsidR="008E7D1B">
        <w:rPr>
          <w:b/>
          <w:bCs/>
        </w:rPr>
        <w:t>)</w:t>
      </w:r>
      <w:r w:rsidR="00B60211">
        <w:t xml:space="preserve"> to </w:t>
      </w:r>
      <w:r>
        <w:t xml:space="preserve">the Commonwealth via the </w:t>
      </w:r>
      <w:hyperlink r:id="rId22" w:history="1">
        <w:r>
          <w:rPr>
            <w:rStyle w:val="Hyperlink"/>
          </w:rPr>
          <w:t>My Aged Care provider portal</w:t>
        </w:r>
      </w:hyperlink>
      <w:r w:rsidR="00537CA2">
        <w:rPr>
          <w:rStyle w:val="Hyperlink"/>
        </w:rPr>
        <w:t>.</w:t>
      </w:r>
      <w:r>
        <w:t xml:space="preserve"> </w:t>
      </w:r>
    </w:p>
    <w:p w14:paraId="7015500D" w14:textId="163E3651" w:rsidR="004E3FB3" w:rsidRDefault="004E3FB3" w:rsidP="004E3FB3">
      <w:pPr>
        <w:pStyle w:val="ListParagraph"/>
        <w:numPr>
          <w:ilvl w:val="0"/>
          <w:numId w:val="22"/>
        </w:numPr>
        <w:spacing w:before="240" w:after="120"/>
      </w:pPr>
      <w:r>
        <w:t xml:space="preserve">Notify the local </w:t>
      </w:r>
      <w:r w:rsidR="00D937DE">
        <w:t>PHU</w:t>
      </w:r>
      <w:r>
        <w:t xml:space="preserve"> of an OUTBREAK when 2 or more residents test positive to either COVID-19 or 2 or more residents test positive for influenza within a 72-hour period</w:t>
      </w:r>
      <w:r w:rsidR="00537CA2">
        <w:t>.</w:t>
      </w:r>
    </w:p>
    <w:p w14:paraId="7CAD0445" w14:textId="42B22657" w:rsidR="004E3FB3" w:rsidRDefault="004E3FB3" w:rsidP="004E3FB3">
      <w:pPr>
        <w:pStyle w:val="ListParagraph"/>
        <w:numPr>
          <w:ilvl w:val="0"/>
          <w:numId w:val="22"/>
        </w:numPr>
        <w:spacing w:before="240" w:after="120"/>
      </w:pPr>
      <w:r>
        <w:t xml:space="preserve">Cases of COVID-19 or influenza in staff members are not a trigger for an outbreak </w:t>
      </w:r>
      <w:proofErr w:type="gramStart"/>
      <w:r>
        <w:t>response</w:t>
      </w:r>
      <w:r w:rsidR="00D847C2">
        <w:t>, but</w:t>
      </w:r>
      <w:proofErr w:type="gramEnd"/>
      <w:r w:rsidR="00D847C2">
        <w:t xml:space="preserve"> go to Step 3 Risk Assess if they were in contact with residents while infectious.</w:t>
      </w:r>
    </w:p>
    <w:p w14:paraId="1489CD85" w14:textId="0C865025" w:rsidR="004E3FB3" w:rsidRDefault="004E3FB3" w:rsidP="004E3FB3">
      <w:pPr>
        <w:pStyle w:val="ListParagraph"/>
        <w:numPr>
          <w:ilvl w:val="0"/>
          <w:numId w:val="22"/>
        </w:numPr>
        <w:spacing w:before="240" w:after="120"/>
      </w:pPr>
      <w:r>
        <w:t xml:space="preserve">Where PCR test results are delayed RAT can be conducted in parallel to assist with early identification of a COVID-19 outbreak. </w:t>
      </w:r>
    </w:p>
    <w:p w14:paraId="059E23F0" w14:textId="5427F723" w:rsidR="004E3FB3" w:rsidRDefault="004E3FB3" w:rsidP="004E3FB3">
      <w:pPr>
        <w:pStyle w:val="ListParagraph"/>
        <w:numPr>
          <w:ilvl w:val="0"/>
          <w:numId w:val="22"/>
        </w:numPr>
        <w:spacing w:before="240" w:after="120"/>
      </w:pPr>
      <w:r>
        <w:t>Notify other care providers, facilities, and hospitals where residents have had a high-risk exposure and have subsequently been transferred or require immediate transfer for car</w:t>
      </w:r>
      <w:r w:rsidR="0064058A">
        <w:t>e</w:t>
      </w:r>
      <w:r w:rsidR="00537CA2">
        <w:t>.</w:t>
      </w:r>
    </w:p>
    <w:p w14:paraId="1ED55FA4" w14:textId="77777777" w:rsidR="004E3FB3" w:rsidRDefault="004E3FB3" w:rsidP="004E3FB3">
      <w:pPr>
        <w:pStyle w:val="ListParagraph"/>
        <w:numPr>
          <w:ilvl w:val="0"/>
          <w:numId w:val="22"/>
        </w:numPr>
        <w:spacing w:before="240" w:after="120"/>
      </w:pPr>
      <w:r>
        <w:t xml:space="preserve">Record and report details of each resident and staff case: </w:t>
      </w:r>
    </w:p>
    <w:p w14:paraId="7AC2EBEB" w14:textId="77777777" w:rsidR="004E3FB3" w:rsidRDefault="004E3FB3" w:rsidP="004E3FB3">
      <w:pPr>
        <w:pStyle w:val="ListParagraph"/>
        <w:numPr>
          <w:ilvl w:val="0"/>
          <w:numId w:val="25"/>
        </w:numPr>
        <w:spacing w:before="240" w:after="120"/>
      </w:pPr>
      <w:r>
        <w:t>Confirm with the local PHU on preferred data format and template. Facilities must complete required information for all affected residents and staff, this will include vaccination status, symptoms, symptom onset, test results and other identifying information.</w:t>
      </w:r>
      <w:bookmarkStart w:id="30" w:name="_Personal_protective_equipment"/>
      <w:bookmarkStart w:id="31" w:name="_Understanding_Standard_Precautions"/>
      <w:bookmarkStart w:id="32" w:name="_Ensuring_supplies"/>
      <w:bookmarkStart w:id="33" w:name="_Toc104904614"/>
      <w:bookmarkStart w:id="34" w:name="_Hlk103867366"/>
      <w:bookmarkEnd w:id="30"/>
      <w:bookmarkEnd w:id="31"/>
      <w:bookmarkEnd w:id="32"/>
    </w:p>
    <w:p w14:paraId="22E1924E" w14:textId="4775BC02" w:rsidR="004E3FB3" w:rsidRPr="007F4B70" w:rsidRDefault="004E3FB3" w:rsidP="007F4B70">
      <w:pPr>
        <w:pStyle w:val="Heading2"/>
      </w:pPr>
      <w:r>
        <w:rPr>
          <w:rFonts w:eastAsiaTheme="minorHAnsi"/>
        </w:rPr>
        <w:br w:type="page"/>
      </w:r>
      <w:bookmarkStart w:id="35" w:name="_Toc115342390"/>
      <w:r w:rsidRPr="007F4B70">
        <w:rPr>
          <w:noProof/>
          <w:lang w:eastAsia="en-AU"/>
        </w:rPr>
        <w:lastRenderedPageBreak/>
        <mc:AlternateContent>
          <mc:Choice Requires="wps">
            <w:drawing>
              <wp:anchor distT="45720" distB="45720" distL="114300" distR="114300" simplePos="0" relativeHeight="251660288" behindDoc="0" locked="0" layoutInCell="1" allowOverlap="1" wp14:anchorId="25BAB515" wp14:editId="10E1F3CC">
                <wp:simplePos x="0" y="0"/>
                <wp:positionH relativeFrom="column">
                  <wp:posOffset>147320</wp:posOffset>
                </wp:positionH>
                <wp:positionV relativeFrom="paragraph">
                  <wp:posOffset>310515</wp:posOffset>
                </wp:positionV>
                <wp:extent cx="5753100" cy="1333500"/>
                <wp:effectExtent l="19050" t="19050" r="19050"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333500"/>
                        </a:xfrm>
                        <a:prstGeom prst="rect">
                          <a:avLst/>
                        </a:prstGeom>
                        <a:solidFill>
                          <a:srgbClr val="FFFFFF"/>
                        </a:solidFill>
                        <a:ln w="28575">
                          <a:solidFill>
                            <a:schemeClr val="accent4"/>
                          </a:solidFill>
                          <a:miter lim="800000"/>
                          <a:headEnd/>
                          <a:tailEnd/>
                        </a:ln>
                      </wps:spPr>
                      <wps:txbx>
                        <w:txbxContent>
                          <w:p w14:paraId="1DD03753" w14:textId="77777777" w:rsidR="009B3CD1" w:rsidRDefault="009B3CD1" w:rsidP="007F4B70">
                            <w:pPr>
                              <w:rPr>
                                <w:b/>
                                <w:bCs/>
                                <w:sz w:val="24"/>
                                <w:szCs w:val="28"/>
                              </w:rPr>
                            </w:pPr>
                            <w:r w:rsidRPr="004E3FB3">
                              <w:rPr>
                                <w:b/>
                                <w:bCs/>
                                <w:sz w:val="24"/>
                                <w:szCs w:val="28"/>
                              </w:rPr>
                              <w:t>An outbreak should be declared if</w:t>
                            </w:r>
                            <w:r>
                              <w:rPr>
                                <w:b/>
                                <w:bCs/>
                                <w:sz w:val="24"/>
                                <w:szCs w:val="28"/>
                              </w:rPr>
                              <w:t>:</w:t>
                            </w:r>
                          </w:p>
                          <w:p w14:paraId="17CD0D75" w14:textId="77777777" w:rsidR="009B3CD1" w:rsidRPr="007F4B70" w:rsidRDefault="009B3CD1" w:rsidP="007F4B70">
                            <w:pPr>
                              <w:pStyle w:val="ListParagraph"/>
                              <w:numPr>
                                <w:ilvl w:val="0"/>
                                <w:numId w:val="27"/>
                              </w:numPr>
                              <w:rPr>
                                <w:sz w:val="24"/>
                                <w:szCs w:val="28"/>
                              </w:rPr>
                            </w:pPr>
                            <w:bookmarkStart w:id="36" w:name="_Hlk104896839"/>
                            <w:r w:rsidRPr="007F4B70">
                              <w:rPr>
                                <w:sz w:val="24"/>
                                <w:szCs w:val="28"/>
                              </w:rPr>
                              <w:t xml:space="preserve">2 or more residents test positive for COVID-19 within a 72-hour period or </w:t>
                            </w:r>
                          </w:p>
                          <w:p w14:paraId="68A4193A" w14:textId="77777777" w:rsidR="00D64ADD" w:rsidRPr="00D64ADD" w:rsidRDefault="009B3CD1" w:rsidP="00D64ADD">
                            <w:pPr>
                              <w:pStyle w:val="ListParagraph"/>
                              <w:numPr>
                                <w:ilvl w:val="0"/>
                                <w:numId w:val="27"/>
                              </w:numPr>
                              <w:rPr>
                                <w:sz w:val="24"/>
                                <w:szCs w:val="28"/>
                              </w:rPr>
                            </w:pPr>
                            <w:r w:rsidRPr="00D64ADD">
                              <w:rPr>
                                <w:sz w:val="24"/>
                                <w:szCs w:val="28"/>
                              </w:rPr>
                              <w:t>2 or more residents test positive for influenza within a 72-hour perio</w:t>
                            </w:r>
                            <w:bookmarkEnd w:id="36"/>
                            <w:r w:rsidRPr="00D64ADD">
                              <w:rPr>
                                <w:sz w:val="24"/>
                                <w:szCs w:val="28"/>
                              </w:rPr>
                              <w:t>d</w:t>
                            </w:r>
                            <w:r w:rsidR="00D64ADD" w:rsidRPr="00D64ADD">
                              <w:rPr>
                                <w:sz w:val="24"/>
                                <w:szCs w:val="28"/>
                              </w:rPr>
                              <w:t xml:space="preserve"> </w:t>
                            </w:r>
                          </w:p>
                          <w:p w14:paraId="1EF5EF57" w14:textId="77777777" w:rsidR="00D64ADD" w:rsidRDefault="00D64ADD" w:rsidP="00D64ADD">
                            <w:pPr>
                              <w:ind w:left="360"/>
                              <w:rPr>
                                <w:sz w:val="24"/>
                                <w:szCs w:val="28"/>
                              </w:rPr>
                            </w:pPr>
                          </w:p>
                          <w:p w14:paraId="4F276E1D" w14:textId="4752A529" w:rsidR="009B3CD1" w:rsidRDefault="00D64ADD" w:rsidP="00D64ADD">
                            <w:pPr>
                              <w:ind w:left="360"/>
                              <w:rPr>
                                <w:sz w:val="24"/>
                                <w:szCs w:val="28"/>
                              </w:rPr>
                            </w:pPr>
                            <w:r w:rsidRPr="00D64ADD">
                              <w:rPr>
                                <w:sz w:val="24"/>
                                <w:szCs w:val="28"/>
                              </w:rPr>
                              <w:t>Jurisdictional public health guidance may vary. It is important to ensure your approach is based on local guidance.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BAB515" id="Text Box 217" o:spid="_x0000_s1027" type="#_x0000_t202" style="position:absolute;margin-left:11.6pt;margin-top:24.45pt;width:453pt;height:1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" strokecolor="#9e4c6e [3207]" strokeweight="2.25pt">
                <v:textbox>
                  <w:txbxContent>
                    <w:p w14:paraId="1DD03753" w14:textId="77777777" w:rsidR="009B3CD1" w:rsidRDefault="009B3CD1" w:rsidP="007F4B70">
                      <w:pPr>
                        <w:rPr>
                          <w:b/>
                          <w:bCs/>
                          <w:sz w:val="24"/>
                          <w:szCs w:val="28"/>
                        </w:rPr>
                      </w:pPr>
                      <w:r w:rsidRPr="004E3FB3">
                        <w:rPr>
                          <w:b/>
                          <w:bCs/>
                          <w:sz w:val="24"/>
                          <w:szCs w:val="28"/>
                        </w:rPr>
                        <w:t>An outbreak should be declared if</w:t>
                      </w:r>
                      <w:r>
                        <w:rPr>
                          <w:b/>
                          <w:bCs/>
                          <w:sz w:val="24"/>
                          <w:szCs w:val="28"/>
                        </w:rPr>
                        <w:t>:</w:t>
                      </w:r>
                    </w:p>
                    <w:p w14:paraId="17CD0D75" w14:textId="77777777" w:rsidR="009B3CD1" w:rsidRPr="007F4B70" w:rsidRDefault="009B3CD1" w:rsidP="007F4B70">
                      <w:pPr>
                        <w:pStyle w:val="ListParagraph"/>
                        <w:numPr>
                          <w:ilvl w:val="0"/>
                          <w:numId w:val="27"/>
                        </w:numPr>
                        <w:rPr>
                          <w:sz w:val="24"/>
                          <w:szCs w:val="28"/>
                        </w:rPr>
                      </w:pPr>
                      <w:bookmarkStart w:id="36" w:name="_Hlk104896839"/>
                      <w:r w:rsidRPr="007F4B70">
                        <w:rPr>
                          <w:sz w:val="24"/>
                          <w:szCs w:val="28"/>
                        </w:rPr>
                        <w:t xml:space="preserve">2 or more residents test positive for COVID-19 within a 72-hour period or </w:t>
                      </w:r>
                    </w:p>
                    <w:p w14:paraId="68A4193A" w14:textId="77777777" w:rsidR="00D64ADD" w:rsidRPr="00D64ADD" w:rsidRDefault="009B3CD1" w:rsidP="00D64ADD">
                      <w:pPr>
                        <w:pStyle w:val="ListParagraph"/>
                        <w:numPr>
                          <w:ilvl w:val="0"/>
                          <w:numId w:val="27"/>
                        </w:numPr>
                        <w:rPr>
                          <w:sz w:val="24"/>
                          <w:szCs w:val="28"/>
                        </w:rPr>
                      </w:pPr>
                      <w:r w:rsidRPr="00D64ADD">
                        <w:rPr>
                          <w:sz w:val="24"/>
                          <w:szCs w:val="28"/>
                        </w:rPr>
                        <w:t>2 or more residents test positive for influenza within a 72-hour perio</w:t>
                      </w:r>
                      <w:bookmarkEnd w:id="36"/>
                      <w:r w:rsidRPr="00D64ADD">
                        <w:rPr>
                          <w:sz w:val="24"/>
                          <w:szCs w:val="28"/>
                        </w:rPr>
                        <w:t>d</w:t>
                      </w:r>
                      <w:r w:rsidR="00D64ADD" w:rsidRPr="00D64ADD">
                        <w:rPr>
                          <w:sz w:val="24"/>
                          <w:szCs w:val="28"/>
                        </w:rPr>
                        <w:t xml:space="preserve"> </w:t>
                      </w:r>
                    </w:p>
                    <w:p w14:paraId="1EF5EF57" w14:textId="77777777" w:rsidR="00D64ADD" w:rsidRDefault="00D64ADD" w:rsidP="00D64ADD">
                      <w:pPr>
                        <w:ind w:left="360"/>
                        <w:rPr>
                          <w:sz w:val="24"/>
                          <w:szCs w:val="28"/>
                        </w:rPr>
                      </w:pPr>
                    </w:p>
                    <w:p w14:paraId="4F276E1D" w14:textId="4752A529" w:rsidR="009B3CD1" w:rsidRDefault="00D64ADD" w:rsidP="00D64ADD">
                      <w:pPr>
                        <w:ind w:left="360"/>
                        <w:rPr>
                          <w:sz w:val="24"/>
                          <w:szCs w:val="28"/>
                        </w:rPr>
                      </w:pPr>
                      <w:r w:rsidRPr="00D64ADD">
                        <w:rPr>
                          <w:sz w:val="24"/>
                          <w:szCs w:val="28"/>
                        </w:rPr>
                        <w:t>Jurisdictional public health guidance may vary. It is important to ensure your approach is based on local guidance.</w:t>
                      </w:r>
                    </w:p>
                  </w:txbxContent>
                </v:textbox>
                <w10:wrap type="square"/>
              </v:shape>
            </w:pict>
          </mc:Fallback>
        </mc:AlternateContent>
      </w:r>
      <w:r w:rsidRPr="007F4B70">
        <w:rPr>
          <w:rFonts w:eastAsiaTheme="minorHAnsi"/>
        </w:rPr>
        <w:t>Step 7: A</w:t>
      </w:r>
      <w:r w:rsidR="00537CA2">
        <w:rPr>
          <w:rFonts w:eastAsiaTheme="minorHAnsi"/>
        </w:rPr>
        <w:t xml:space="preserve">ctivate outbreak management </w:t>
      </w:r>
      <w:bookmarkEnd w:id="33"/>
      <w:r w:rsidR="00673620">
        <w:rPr>
          <w:rFonts w:eastAsiaTheme="minorHAnsi"/>
        </w:rPr>
        <w:t>plan</w:t>
      </w:r>
      <w:bookmarkEnd w:id="35"/>
      <w:r w:rsidR="00673620" w:rsidRPr="007F4B70">
        <w:rPr>
          <w:rFonts w:eastAsiaTheme="minorHAnsi"/>
        </w:rPr>
        <w:t xml:space="preserve"> </w:t>
      </w:r>
    </w:p>
    <w:bookmarkEnd w:id="34"/>
    <w:p w14:paraId="42B67E99" w14:textId="1C40E158" w:rsidR="004E3FB3" w:rsidRDefault="004E3FB3" w:rsidP="004E3FB3">
      <w:pPr>
        <w:pStyle w:val="ListParagraph"/>
        <w:numPr>
          <w:ilvl w:val="0"/>
          <w:numId w:val="22"/>
        </w:numPr>
        <w:spacing w:before="240" w:after="120"/>
        <w:rPr>
          <w:rFonts w:eastAsiaTheme="minorEastAsia" w:cs="Arial"/>
          <w:sz w:val="20"/>
        </w:rPr>
      </w:pPr>
      <w:r>
        <w:t>The facility should activate their RCF Outbreak Management Plan (OMP) with the first resident who has tested positive for COVID-19 or influenza while awaiting additional test results of other residents</w:t>
      </w:r>
      <w:bookmarkStart w:id="37" w:name="_Hlk104896936"/>
      <w:r w:rsidR="00537CA2">
        <w:t>.</w:t>
      </w:r>
    </w:p>
    <w:bookmarkEnd w:id="37"/>
    <w:p w14:paraId="6E237943" w14:textId="77777777" w:rsidR="004E3FB3" w:rsidRDefault="004E3FB3" w:rsidP="004E3FB3">
      <w:pPr>
        <w:pStyle w:val="ListParagraph"/>
        <w:numPr>
          <w:ilvl w:val="0"/>
          <w:numId w:val="22"/>
        </w:numPr>
        <w:spacing w:before="240" w:after="120"/>
      </w:pPr>
      <w:r>
        <w:t xml:space="preserve">Once an outbreak has been declared, the facility should convene an internal outbreak management team (OMT) meeting and confirm the RCF staff members who will be designated: </w:t>
      </w:r>
    </w:p>
    <w:p w14:paraId="61EFFCB1" w14:textId="77777777" w:rsidR="004E3FB3" w:rsidRDefault="004E3FB3" w:rsidP="004E3FB3">
      <w:pPr>
        <w:pStyle w:val="ListParagraph"/>
        <w:numPr>
          <w:ilvl w:val="0"/>
          <w:numId w:val="25"/>
        </w:numPr>
        <w:spacing w:before="240" w:after="120"/>
      </w:pPr>
      <w:r>
        <w:t xml:space="preserve">Outbreak Management Lead and </w:t>
      </w:r>
    </w:p>
    <w:p w14:paraId="4EBE0E28" w14:textId="11D4F5DB" w:rsidR="004E3FB3" w:rsidRDefault="004E3FB3" w:rsidP="004E3FB3">
      <w:pPr>
        <w:pStyle w:val="ListParagraph"/>
        <w:numPr>
          <w:ilvl w:val="0"/>
          <w:numId w:val="25"/>
        </w:numPr>
        <w:spacing w:before="240" w:after="120"/>
      </w:pPr>
      <w:r>
        <w:t xml:space="preserve">Infection Prevention and Control lead </w:t>
      </w:r>
      <w:r w:rsidR="00B60211">
        <w:t>(in residential aged care facilities).</w:t>
      </w:r>
    </w:p>
    <w:p w14:paraId="6C31F809" w14:textId="40789940" w:rsidR="004E3FB3" w:rsidRDefault="004E3FB3" w:rsidP="004E3FB3">
      <w:pPr>
        <w:pStyle w:val="ListParagraph"/>
        <w:numPr>
          <w:ilvl w:val="0"/>
          <w:numId w:val="22"/>
        </w:numPr>
        <w:spacing w:before="240" w:after="120"/>
      </w:pPr>
      <w:r>
        <w:t>The OMT should meet and communicate regularly, with decisions documented</w:t>
      </w:r>
      <w:r w:rsidR="00537CA2">
        <w:t>.</w:t>
      </w:r>
    </w:p>
    <w:p w14:paraId="54055380" w14:textId="0011A877" w:rsidR="004E3FB3" w:rsidRDefault="004E3FB3" w:rsidP="004E3FB3">
      <w:pPr>
        <w:pStyle w:val="ListParagraph"/>
        <w:numPr>
          <w:ilvl w:val="0"/>
          <w:numId w:val="22"/>
        </w:numPr>
        <w:spacing w:before="240" w:after="120"/>
      </w:pPr>
      <w:r>
        <w:t>The facility should remain in regular contact with the PHU</w:t>
      </w:r>
      <w:r w:rsidR="00537CA2">
        <w:t>.</w:t>
      </w:r>
    </w:p>
    <w:p w14:paraId="6B61346F" w14:textId="77777777" w:rsidR="004E3FB3" w:rsidRDefault="004E3FB3" w:rsidP="004E3FB3">
      <w:pPr>
        <w:pStyle w:val="ListParagraph"/>
        <w:numPr>
          <w:ilvl w:val="0"/>
          <w:numId w:val="22"/>
        </w:numPr>
        <w:spacing w:before="240" w:after="120"/>
      </w:pPr>
      <w:r>
        <w:t xml:space="preserve">The PHU will determine whether an inter-agency OMT meeting is required in a COVID-19 outbreak.  </w:t>
      </w:r>
    </w:p>
    <w:p w14:paraId="6BC3EA73" w14:textId="77777777" w:rsidR="007F4B70" w:rsidRPr="007F4B70" w:rsidRDefault="007F4B70" w:rsidP="007F4B70">
      <w:pPr>
        <w:pStyle w:val="Heading3"/>
        <w:rPr>
          <w:rFonts w:eastAsiaTheme="minorHAnsi"/>
          <w:i/>
          <w:iCs/>
          <w:sz w:val="20"/>
        </w:rPr>
      </w:pPr>
      <w:bookmarkStart w:id="38" w:name="_Toc115342391"/>
      <w:r w:rsidRPr="007F4B70">
        <w:rPr>
          <w:rFonts w:eastAsiaTheme="minorHAnsi"/>
          <w:i/>
          <w:iCs/>
        </w:rPr>
        <w:t>During the outbreak</w:t>
      </w:r>
      <w:bookmarkEnd w:id="38"/>
      <w:r w:rsidRPr="007F4B70">
        <w:rPr>
          <w:rFonts w:eastAsiaTheme="minorHAnsi"/>
          <w:i/>
          <w:iCs/>
        </w:rPr>
        <w:t xml:space="preserve"> </w:t>
      </w:r>
    </w:p>
    <w:p w14:paraId="56064147" w14:textId="77777777" w:rsidR="007F4B70" w:rsidRDefault="007F4B70" w:rsidP="007F4B70">
      <w:pPr>
        <w:pStyle w:val="ListParagraph"/>
        <w:numPr>
          <w:ilvl w:val="0"/>
          <w:numId w:val="22"/>
        </w:numPr>
        <w:spacing w:before="240" w:after="100" w:afterAutospacing="1"/>
        <w:rPr>
          <w:rFonts w:eastAsiaTheme="minorEastAsia" w:cs="Arial"/>
          <w:szCs w:val="20"/>
        </w:rPr>
      </w:pPr>
      <w:r>
        <w:t>IPC measures</w:t>
      </w:r>
    </w:p>
    <w:p w14:paraId="6BB11C5D" w14:textId="77777777" w:rsidR="007F4B70" w:rsidRDefault="007F4B70" w:rsidP="007F4B70">
      <w:pPr>
        <w:pStyle w:val="ListParagraph"/>
        <w:numPr>
          <w:ilvl w:val="0"/>
          <w:numId w:val="25"/>
        </w:numPr>
        <w:spacing w:before="240" w:after="100" w:afterAutospacing="1"/>
      </w:pPr>
      <w:r>
        <w:t>Use the facility plan to establish cohort areas. Ensure all areas:</w:t>
      </w:r>
    </w:p>
    <w:p w14:paraId="15DF9903" w14:textId="6D9BF2AE" w:rsidR="007F4B70" w:rsidRDefault="007F4B70" w:rsidP="007F4B70">
      <w:pPr>
        <w:pStyle w:val="ListParagraph"/>
        <w:numPr>
          <w:ilvl w:val="1"/>
          <w:numId w:val="25"/>
        </w:numPr>
        <w:spacing w:before="240" w:after="100" w:afterAutospacing="1"/>
      </w:pPr>
      <w:r>
        <w:t>are clearly designated with clear signage in place</w:t>
      </w:r>
      <w:r w:rsidR="00537CA2">
        <w:t>.</w:t>
      </w:r>
    </w:p>
    <w:p w14:paraId="3DFDBC51" w14:textId="12BA012A" w:rsidR="007F4B70" w:rsidRDefault="007F4B70" w:rsidP="007F4B70">
      <w:pPr>
        <w:pStyle w:val="ListParagraph"/>
        <w:numPr>
          <w:ilvl w:val="1"/>
          <w:numId w:val="25"/>
        </w:numPr>
        <w:spacing w:before="240" w:after="100" w:afterAutospacing="1"/>
      </w:pPr>
      <w:r>
        <w:t>have an adequate number of sites for hand sanitiser, ideally at each bed space</w:t>
      </w:r>
      <w:r w:rsidR="00537CA2">
        <w:t>.</w:t>
      </w:r>
    </w:p>
    <w:p w14:paraId="4A2E3A0E" w14:textId="601838E3" w:rsidR="007F4B70" w:rsidRDefault="007F4B70" w:rsidP="007F4B70">
      <w:pPr>
        <w:pStyle w:val="ListParagraph"/>
        <w:numPr>
          <w:ilvl w:val="1"/>
          <w:numId w:val="25"/>
        </w:numPr>
        <w:spacing w:before="240" w:after="100" w:afterAutospacing="1"/>
      </w:pPr>
      <w:r>
        <w:t>have hand hygiene, PPE station and waste disposal at entry if appropriate</w:t>
      </w:r>
      <w:r w:rsidR="00537CA2">
        <w:t>.</w:t>
      </w:r>
    </w:p>
    <w:p w14:paraId="6A7601A0" w14:textId="1C4B50FB" w:rsidR="007F4B70" w:rsidRDefault="007F4B70" w:rsidP="007F4B70">
      <w:pPr>
        <w:pStyle w:val="ListParagraph"/>
        <w:numPr>
          <w:ilvl w:val="1"/>
          <w:numId w:val="25"/>
        </w:numPr>
        <w:spacing w:before="240" w:after="100" w:afterAutospacing="1"/>
      </w:pPr>
      <w:r>
        <w:t>are decluttered as much as possible to make cleaning and decontamination easier</w:t>
      </w:r>
      <w:r w:rsidR="00537CA2">
        <w:t>.</w:t>
      </w:r>
    </w:p>
    <w:p w14:paraId="4C294F76" w14:textId="106E71F9" w:rsidR="007F4B70" w:rsidRDefault="007F4B70" w:rsidP="007F4B70">
      <w:pPr>
        <w:pStyle w:val="ListParagraph"/>
        <w:numPr>
          <w:ilvl w:val="1"/>
          <w:numId w:val="25"/>
        </w:numPr>
        <w:spacing w:before="240" w:after="100" w:afterAutospacing="1"/>
      </w:pPr>
      <w:r>
        <w:t>have limited entry/access to each cohort</w:t>
      </w:r>
      <w:r w:rsidR="00537CA2">
        <w:t>.</w:t>
      </w:r>
      <w:r>
        <w:t xml:space="preserve"> </w:t>
      </w:r>
    </w:p>
    <w:p w14:paraId="67DA30C4" w14:textId="77777777" w:rsidR="007F4B70" w:rsidRDefault="007F4B70" w:rsidP="007F4B70">
      <w:pPr>
        <w:pStyle w:val="ListParagraph"/>
        <w:numPr>
          <w:ilvl w:val="1"/>
          <w:numId w:val="25"/>
        </w:numPr>
        <w:spacing w:before="240" w:after="100" w:afterAutospacing="1"/>
      </w:pPr>
      <w:r>
        <w:t xml:space="preserve">have separate (and spacious if possible) break areas for staff. </w:t>
      </w:r>
    </w:p>
    <w:p w14:paraId="388DB34F" w14:textId="78170730" w:rsidR="007F4B70" w:rsidRDefault="007F4B70" w:rsidP="007F4B70">
      <w:pPr>
        <w:pStyle w:val="ListParagraph"/>
        <w:numPr>
          <w:ilvl w:val="0"/>
          <w:numId w:val="25"/>
        </w:numPr>
        <w:spacing w:before="240" w:after="100" w:afterAutospacing="1"/>
      </w:pPr>
      <w:r>
        <w:t xml:space="preserve">For detailed information on risk assessment for appropriate PPE use and IPC for RCF, see the </w:t>
      </w:r>
      <w:hyperlink r:id="rId23" w:history="1">
        <w:r w:rsidRPr="0064058A">
          <w:rPr>
            <w:rStyle w:val="Hyperlink"/>
            <w:rFonts w:eastAsiaTheme="majorEastAsia"/>
          </w:rPr>
          <w:t>Infection Control Expert Group</w:t>
        </w:r>
      </w:hyperlink>
      <w:r w:rsidRPr="0064058A">
        <w:rPr>
          <w:rFonts w:eastAsiaTheme="majorEastAsia"/>
        </w:rPr>
        <w:t xml:space="preserve"> guidelines for IPC in residential care facilities</w:t>
      </w:r>
      <w:r>
        <w:t xml:space="preserve"> and refer to local public health advice</w:t>
      </w:r>
      <w:bookmarkStart w:id="39" w:name="_Implement_Transmission-based_Precau"/>
      <w:bookmarkEnd w:id="39"/>
      <w:r w:rsidR="00537CA2">
        <w:t>.</w:t>
      </w:r>
    </w:p>
    <w:p w14:paraId="2F24AAF4" w14:textId="267BC34F" w:rsidR="007F4B70" w:rsidRDefault="007F4B70" w:rsidP="007F4B70">
      <w:pPr>
        <w:pStyle w:val="ListParagraph"/>
        <w:numPr>
          <w:ilvl w:val="0"/>
          <w:numId w:val="25"/>
        </w:numPr>
        <w:spacing w:before="240" w:after="100" w:afterAutospacing="1"/>
      </w:pPr>
      <w:r>
        <w:t>RCF should undertake a local risk assessment to inform the appropriate level of PPE for staff providing direct care or working within the resident zone</w:t>
      </w:r>
      <w:r w:rsidR="00537CA2">
        <w:t>.</w:t>
      </w:r>
    </w:p>
    <w:p w14:paraId="2CBF1088" w14:textId="750085BD" w:rsidR="007F4B70" w:rsidRDefault="007F4B70" w:rsidP="007F4B70">
      <w:pPr>
        <w:pStyle w:val="ListParagraph"/>
        <w:numPr>
          <w:ilvl w:val="0"/>
          <w:numId w:val="25"/>
        </w:numPr>
        <w:spacing w:before="240" w:after="100" w:afterAutospacing="1"/>
      </w:pPr>
      <w:r>
        <w:t xml:space="preserve">The assessment should consider controls already in place </w:t>
      </w:r>
      <w:proofErr w:type="gramStart"/>
      <w:r>
        <w:t>and also</w:t>
      </w:r>
      <w:proofErr w:type="gramEnd"/>
      <w:r>
        <w:t xml:space="preserve"> </w:t>
      </w:r>
      <w:bookmarkStart w:id="40" w:name="_Ref75431610"/>
      <w:r>
        <w:t>the residents’ pre-existing likelihood of COVID-19</w:t>
      </w:r>
      <w:bookmarkEnd w:id="40"/>
      <w:r>
        <w:t>, resident factors that enable transmission, nature of the care episode and physical location</w:t>
      </w:r>
      <w:r w:rsidR="00537CA2">
        <w:t>.</w:t>
      </w:r>
      <w:r>
        <w:t xml:space="preserve"> </w:t>
      </w:r>
    </w:p>
    <w:p w14:paraId="38EA0C98" w14:textId="30178DE9" w:rsidR="007F4B70" w:rsidRDefault="007F4B70" w:rsidP="007F4B70">
      <w:pPr>
        <w:pStyle w:val="ListParagraph"/>
        <w:numPr>
          <w:ilvl w:val="0"/>
          <w:numId w:val="22"/>
        </w:numPr>
        <w:spacing w:before="240" w:after="100" w:afterAutospacing="1"/>
      </w:pPr>
      <w:r>
        <w:t>Increase the frequency of cleaning and disinfection</w:t>
      </w:r>
      <w:r w:rsidR="00537CA2">
        <w:t>.</w:t>
      </w:r>
    </w:p>
    <w:p w14:paraId="05F1FF3C" w14:textId="77777777" w:rsidR="007F4B70" w:rsidRDefault="007F4B70" w:rsidP="007F4B70">
      <w:pPr>
        <w:pStyle w:val="ListParagraph"/>
        <w:numPr>
          <w:ilvl w:val="0"/>
          <w:numId w:val="25"/>
        </w:numPr>
        <w:spacing w:before="240" w:after="100" w:afterAutospacing="1"/>
      </w:pPr>
      <w:r>
        <w:t>Frequently touched surfaces and those closest to residents should be cleaned more often. These surfaces include:</w:t>
      </w:r>
    </w:p>
    <w:p w14:paraId="2FD9565F" w14:textId="77777777" w:rsidR="007F4B70" w:rsidRDefault="007F4B70" w:rsidP="007F4B70">
      <w:pPr>
        <w:pStyle w:val="ListParagraph"/>
        <w:numPr>
          <w:ilvl w:val="1"/>
          <w:numId w:val="25"/>
        </w:numPr>
        <w:spacing w:before="240" w:after="100" w:afterAutospacing="1"/>
      </w:pPr>
      <w:r>
        <w:t>equipment</w:t>
      </w:r>
    </w:p>
    <w:p w14:paraId="3FD34F7B" w14:textId="77777777" w:rsidR="007F4B70" w:rsidRDefault="007F4B70" w:rsidP="007F4B70">
      <w:pPr>
        <w:pStyle w:val="ListParagraph"/>
        <w:numPr>
          <w:ilvl w:val="1"/>
          <w:numId w:val="25"/>
        </w:numPr>
        <w:spacing w:before="240" w:after="100" w:afterAutospacing="1"/>
      </w:pPr>
      <w:r>
        <w:t xml:space="preserve">door handles </w:t>
      </w:r>
    </w:p>
    <w:p w14:paraId="289CFAC6" w14:textId="77777777" w:rsidR="007F4B70" w:rsidRDefault="007F4B70" w:rsidP="007F4B70">
      <w:pPr>
        <w:pStyle w:val="ListParagraph"/>
        <w:numPr>
          <w:ilvl w:val="1"/>
          <w:numId w:val="25"/>
        </w:numPr>
        <w:spacing w:before="240" w:after="100" w:afterAutospacing="1"/>
      </w:pPr>
      <w:r>
        <w:t xml:space="preserve">trays </w:t>
      </w:r>
    </w:p>
    <w:p w14:paraId="294D56A6" w14:textId="77777777" w:rsidR="007F4B70" w:rsidRDefault="007F4B70" w:rsidP="007F4B70">
      <w:pPr>
        <w:pStyle w:val="ListParagraph"/>
        <w:numPr>
          <w:ilvl w:val="1"/>
          <w:numId w:val="25"/>
        </w:numPr>
        <w:spacing w:before="240" w:after="100" w:afterAutospacing="1"/>
      </w:pPr>
      <w:r>
        <w:t xml:space="preserve">tables </w:t>
      </w:r>
    </w:p>
    <w:p w14:paraId="1701D42E" w14:textId="77777777" w:rsidR="007F4B70" w:rsidRDefault="007F4B70" w:rsidP="007F4B70">
      <w:pPr>
        <w:pStyle w:val="ListParagraph"/>
        <w:numPr>
          <w:ilvl w:val="1"/>
          <w:numId w:val="25"/>
        </w:numPr>
        <w:spacing w:before="240" w:after="100" w:afterAutospacing="1"/>
      </w:pPr>
      <w:r>
        <w:t xml:space="preserve">handrails </w:t>
      </w:r>
    </w:p>
    <w:p w14:paraId="3C35B331" w14:textId="77777777" w:rsidR="007F4B70" w:rsidRDefault="007F4B70" w:rsidP="007F4B70">
      <w:pPr>
        <w:pStyle w:val="ListParagraph"/>
        <w:numPr>
          <w:ilvl w:val="1"/>
          <w:numId w:val="25"/>
        </w:numPr>
        <w:spacing w:before="240" w:after="100" w:afterAutospacing="1"/>
      </w:pPr>
      <w:r>
        <w:lastRenderedPageBreak/>
        <w:t>chair arms</w:t>
      </w:r>
    </w:p>
    <w:p w14:paraId="73282767" w14:textId="77777777" w:rsidR="007F4B70" w:rsidRDefault="007F4B70" w:rsidP="007F4B70">
      <w:pPr>
        <w:pStyle w:val="ListParagraph"/>
        <w:numPr>
          <w:ilvl w:val="1"/>
          <w:numId w:val="25"/>
        </w:numPr>
        <w:spacing w:before="240" w:after="100" w:afterAutospacing="1"/>
      </w:pPr>
      <w:r>
        <w:t>light switches</w:t>
      </w:r>
    </w:p>
    <w:p w14:paraId="667C9AFE" w14:textId="704EB146" w:rsidR="007F4B70" w:rsidRDefault="007F4B70" w:rsidP="007F4B70">
      <w:pPr>
        <w:pStyle w:val="ListParagraph"/>
        <w:numPr>
          <w:ilvl w:val="1"/>
          <w:numId w:val="25"/>
        </w:numPr>
        <w:spacing w:before="240" w:after="100" w:afterAutospacing="1"/>
      </w:pPr>
      <w:r>
        <w:t>patient care equipment (e.g., commodes, lifter slings, etc)</w:t>
      </w:r>
    </w:p>
    <w:p w14:paraId="5552F6C9" w14:textId="77777777" w:rsidR="007F4B70" w:rsidRDefault="007F4B70" w:rsidP="007F4B70">
      <w:pPr>
        <w:pStyle w:val="ListParagraph"/>
        <w:numPr>
          <w:ilvl w:val="0"/>
          <w:numId w:val="25"/>
        </w:numPr>
        <w:spacing w:before="240" w:after="100" w:afterAutospacing="1"/>
      </w:pPr>
      <w:r>
        <w:t>Activate strategies established for increases in clinical and general waste storage and removal and linen supply.</w:t>
      </w:r>
    </w:p>
    <w:p w14:paraId="6AD2682A" w14:textId="77777777" w:rsidR="007F4B70" w:rsidRDefault="007F4B70" w:rsidP="007F4B70">
      <w:pPr>
        <w:pStyle w:val="ListParagraph"/>
        <w:numPr>
          <w:ilvl w:val="0"/>
          <w:numId w:val="22"/>
        </w:numPr>
        <w:spacing w:before="240" w:after="100" w:afterAutospacing="1"/>
      </w:pPr>
      <w:r>
        <w:t>Resident movement during an outbreak</w:t>
      </w:r>
    </w:p>
    <w:p w14:paraId="24F309B9" w14:textId="12ABED01" w:rsidR="007F4B70" w:rsidRDefault="007F4B70" w:rsidP="007F4B70">
      <w:pPr>
        <w:pStyle w:val="ListParagraph"/>
        <w:numPr>
          <w:ilvl w:val="0"/>
          <w:numId w:val="25"/>
        </w:numPr>
        <w:spacing w:before="240" w:after="100" w:afterAutospacing="1"/>
      </w:pPr>
      <w:r>
        <w:t>Essential off-site appointments also should continue (e.g., dialysis), with negotiation with the service provider if the resident has been exposed to COVID-19 or influenza</w:t>
      </w:r>
      <w:r w:rsidR="00537CA2">
        <w:t>.</w:t>
      </w:r>
    </w:p>
    <w:p w14:paraId="1AC8B86E" w14:textId="7CEE1F5E" w:rsidR="007F4B70" w:rsidRDefault="007F4B70" w:rsidP="002F3FD2">
      <w:pPr>
        <w:pStyle w:val="ListParagraph"/>
        <w:numPr>
          <w:ilvl w:val="0"/>
          <w:numId w:val="25"/>
        </w:numPr>
        <w:spacing w:before="240" w:after="100" w:afterAutospacing="1"/>
      </w:pPr>
      <w:r>
        <w:t xml:space="preserve">Any transfers (other than </w:t>
      </w:r>
      <w:proofErr w:type="gramStart"/>
      <w:r>
        <w:t>on the basis of</w:t>
      </w:r>
      <w:proofErr w:type="gramEnd"/>
      <w:r>
        <w:t xml:space="preserve"> clinical need) should be planned and coordinated with hospital services and in consultation with the resident, their family or alternative decision-makers and public health units</w:t>
      </w:r>
      <w:r w:rsidR="002F3FD2">
        <w:t>. The receiving hospital must be informed about the outbreak at the RCF/wing, regardless of whether the resident being transferred is a case or not.</w:t>
      </w:r>
    </w:p>
    <w:p w14:paraId="21580C9C" w14:textId="75908B16" w:rsidR="007F4B70" w:rsidRDefault="007F4B70" w:rsidP="007F4B70">
      <w:pPr>
        <w:pStyle w:val="ListParagraph"/>
        <w:numPr>
          <w:ilvl w:val="0"/>
          <w:numId w:val="25"/>
        </w:numPr>
        <w:spacing w:before="240" w:after="100" w:afterAutospacing="1"/>
      </w:pPr>
      <w:r>
        <w:t>If practical, residents of similar exposure can also be cohorted together</w:t>
      </w:r>
      <w:r w:rsidR="008E7D1B">
        <w:t>.</w:t>
      </w:r>
    </w:p>
    <w:p w14:paraId="49E87C70" w14:textId="4534BA56" w:rsidR="007F4B70" w:rsidRDefault="007F4B70" w:rsidP="007F4B70">
      <w:pPr>
        <w:pStyle w:val="ListParagraph"/>
        <w:numPr>
          <w:ilvl w:val="0"/>
          <w:numId w:val="25"/>
        </w:numPr>
        <w:spacing w:before="240" w:after="100" w:afterAutospacing="1"/>
      </w:pPr>
      <w:r>
        <w:t xml:space="preserve">Residents in unaffected zones </w:t>
      </w:r>
      <w:proofErr w:type="gramStart"/>
      <w:r>
        <w:t>are able to</w:t>
      </w:r>
      <w:proofErr w:type="gramEnd"/>
      <w:r>
        <w:t xml:space="preserve"> attend external appointments</w:t>
      </w:r>
      <w:r w:rsidR="008E7D1B">
        <w:t>.</w:t>
      </w:r>
    </w:p>
    <w:p w14:paraId="76FA9E44" w14:textId="77777777" w:rsidR="007F4B70" w:rsidRDefault="007F4B70" w:rsidP="007F4B70">
      <w:pPr>
        <w:pStyle w:val="ListParagraph"/>
        <w:numPr>
          <w:ilvl w:val="0"/>
          <w:numId w:val="25"/>
        </w:numPr>
        <w:spacing w:before="240" w:after="100" w:afterAutospacing="1"/>
      </w:pPr>
      <w:r>
        <w:t>Consider relocating residents who are on a palliative care pathway and require additional supports (e.g., compassionate care / visiting, symptom control) to an area where they are less at risk of further exposure (or if cases, plan for how resident could be supported with visits).</w:t>
      </w:r>
    </w:p>
    <w:p w14:paraId="07967EC8" w14:textId="77777777" w:rsidR="007F4B70" w:rsidRDefault="007F4B70" w:rsidP="007F4B70">
      <w:pPr>
        <w:pStyle w:val="ListParagraph"/>
        <w:numPr>
          <w:ilvl w:val="0"/>
          <w:numId w:val="22"/>
        </w:numPr>
        <w:spacing w:before="240" w:after="100" w:afterAutospacing="1"/>
      </w:pPr>
      <w:r>
        <w:t>Staff considerations</w:t>
      </w:r>
    </w:p>
    <w:p w14:paraId="338A7DAC" w14:textId="759CE90B" w:rsidR="007F4B70" w:rsidRDefault="007F4B70" w:rsidP="007F4B70">
      <w:pPr>
        <w:pStyle w:val="ListParagraph"/>
        <w:numPr>
          <w:ilvl w:val="0"/>
          <w:numId w:val="25"/>
        </w:numPr>
        <w:spacing w:before="240" w:after="100" w:afterAutospacing="1"/>
      </w:pPr>
      <w:r>
        <w:t xml:space="preserve">During a confirmed influenza outbreak, staff who </w:t>
      </w:r>
      <w:r w:rsidR="002665BA">
        <w:t>have not received the influenza vaccination</w:t>
      </w:r>
      <w:r>
        <w:t xml:space="preserve"> are at higher risk of acquiring influenza, therefore they are recommended to work only if asymptomatic, wearing a mask, and taking appropriate antiviral prophylaxis</w:t>
      </w:r>
      <w:r w:rsidR="00BD1F2D">
        <w:t xml:space="preserve"> (see Table 6)</w:t>
      </w:r>
      <w:r>
        <w:t>, in keeping with the RCF influenza outbreak management policy. Any antiviral use by staff should be documented</w:t>
      </w:r>
      <w:r w:rsidR="00537CA2">
        <w:t>.</w:t>
      </w:r>
    </w:p>
    <w:p w14:paraId="6304001B" w14:textId="40041F4A" w:rsidR="007F4B70" w:rsidRDefault="007F4B70" w:rsidP="007F4B70">
      <w:pPr>
        <w:pStyle w:val="ListParagraph"/>
        <w:numPr>
          <w:ilvl w:val="0"/>
          <w:numId w:val="25"/>
        </w:numPr>
        <w:spacing w:before="240" w:after="100" w:afterAutospacing="1"/>
      </w:pPr>
      <w:r>
        <w:t>Contingencies should be in place for unvaccinated staff who decline to use antivirals</w:t>
      </w:r>
      <w:r w:rsidR="00537CA2">
        <w:t>.</w:t>
      </w:r>
    </w:p>
    <w:p w14:paraId="2B84F6BC" w14:textId="77777777" w:rsidR="007F4B70" w:rsidRDefault="007F4B70" w:rsidP="007F4B70">
      <w:pPr>
        <w:pStyle w:val="ListParagraph"/>
        <w:numPr>
          <w:ilvl w:val="0"/>
          <w:numId w:val="25"/>
        </w:numPr>
        <w:spacing w:before="240" w:after="100" w:afterAutospacing="1"/>
      </w:pPr>
      <w:r>
        <w:t>Staff who are higher risk contacts should not move between their section and other areas of the facility, in line with basic IPC principles.</w:t>
      </w:r>
    </w:p>
    <w:p w14:paraId="26FA457E" w14:textId="77777777" w:rsidR="007F4B70" w:rsidRPr="007F4B70" w:rsidRDefault="007F4B70" w:rsidP="007F4B70">
      <w:pPr>
        <w:pStyle w:val="Heading3"/>
        <w:rPr>
          <w:rFonts w:eastAsiaTheme="minorHAnsi"/>
          <w:i/>
          <w:iCs/>
        </w:rPr>
      </w:pPr>
      <w:bookmarkStart w:id="41" w:name="_Hlk103867386"/>
      <w:bookmarkStart w:id="42" w:name="_Hlk106185017"/>
      <w:bookmarkStart w:id="43" w:name="_Toc115342392"/>
      <w:r w:rsidRPr="007F4B70">
        <w:rPr>
          <w:rFonts w:eastAsiaTheme="minorHAnsi"/>
          <w:i/>
          <w:iCs/>
        </w:rPr>
        <w:t>Other considerations relevant to an outbreak</w:t>
      </w:r>
      <w:bookmarkEnd w:id="43"/>
      <w:r w:rsidRPr="007F4B70">
        <w:rPr>
          <w:rFonts w:eastAsiaTheme="minorHAnsi"/>
          <w:i/>
          <w:iCs/>
        </w:rPr>
        <w:t xml:space="preserve"> </w:t>
      </w:r>
      <w:bookmarkEnd w:id="41"/>
    </w:p>
    <w:bookmarkEnd w:id="42"/>
    <w:p w14:paraId="6A48B947" w14:textId="6D020FC0" w:rsidR="007F4B70" w:rsidRDefault="007F4B70" w:rsidP="007F4B70">
      <w:pPr>
        <w:pStyle w:val="ListParagraph"/>
        <w:numPr>
          <w:ilvl w:val="0"/>
          <w:numId w:val="22"/>
        </w:numPr>
        <w:spacing w:before="240" w:after="100" w:afterAutospacing="1"/>
        <w:rPr>
          <w:rFonts w:eastAsiaTheme="minorEastAsia" w:cs="Arial"/>
          <w:szCs w:val="20"/>
        </w:rPr>
      </w:pPr>
      <w:r>
        <w:t>New and returning residents to RCF from the community, hospital, or emergency department</w:t>
      </w:r>
      <w:r w:rsidR="00537CA2">
        <w:t>.</w:t>
      </w:r>
    </w:p>
    <w:p w14:paraId="02F8D614" w14:textId="1FA5511F" w:rsidR="007F4B70" w:rsidRDefault="007F4B70" w:rsidP="007F4B70">
      <w:pPr>
        <w:pStyle w:val="ListParagraph"/>
        <w:numPr>
          <w:ilvl w:val="0"/>
          <w:numId w:val="25"/>
        </w:numPr>
        <w:spacing w:before="240" w:after="100" w:afterAutospacing="1"/>
      </w:pPr>
      <w:r>
        <w:t xml:space="preserve">The presence of an outbreak should not prevent new and returning residents from being admitted/re-admitted to the facility with appropriate </w:t>
      </w:r>
      <w:r w:rsidR="008E7D1B">
        <w:t>IPC</w:t>
      </w:r>
      <w:r>
        <w:t xml:space="preserve"> measures in place. Decisions should be based on the advice of the local OMT and in consultation with the PHU, residents and their representatives</w:t>
      </w:r>
      <w:r w:rsidR="00537CA2">
        <w:t>.</w:t>
      </w:r>
    </w:p>
    <w:p w14:paraId="1F39655B" w14:textId="77777777" w:rsidR="007F4B70" w:rsidRDefault="007F4B70" w:rsidP="007F4B70">
      <w:pPr>
        <w:pStyle w:val="ListParagraph"/>
        <w:numPr>
          <w:ilvl w:val="0"/>
          <w:numId w:val="25"/>
        </w:numPr>
        <w:spacing w:before="240" w:after="100" w:afterAutospacing="1"/>
      </w:pPr>
      <w:r>
        <w:t xml:space="preserve">Residents and families entering the RCF during outbreak should be informed of the current situation, as well as any associated restrictions (e.g., visitor limitations).  </w:t>
      </w:r>
    </w:p>
    <w:p w14:paraId="77F20E5A" w14:textId="77777777" w:rsidR="007F4B70" w:rsidRDefault="007F4B70" w:rsidP="007F4B70">
      <w:pPr>
        <w:pStyle w:val="ListParagraph"/>
        <w:numPr>
          <w:ilvl w:val="0"/>
          <w:numId w:val="22"/>
        </w:numPr>
        <w:spacing w:before="240" w:after="100" w:afterAutospacing="1"/>
      </w:pPr>
      <w:r>
        <w:t>Resident choice regarding isolation</w:t>
      </w:r>
    </w:p>
    <w:p w14:paraId="351DB8CA" w14:textId="45C45E09" w:rsidR="007F4B70" w:rsidRDefault="007F4B70" w:rsidP="007F4B70">
      <w:pPr>
        <w:pStyle w:val="ListParagraph"/>
        <w:numPr>
          <w:ilvl w:val="0"/>
          <w:numId w:val="25"/>
        </w:numPr>
        <w:spacing w:before="240" w:after="100" w:afterAutospacing="1"/>
      </w:pPr>
      <w:r>
        <w:t>Residents should be given the choice to self-isolate while the outbreak is in progress or to mix with people with similar exposure. Their preferences should be recorded in their care plans and regularly reviewed. Residents should be made aware that if they choose to not isolate during an outbreak this may increase their risk of catching the infection.</w:t>
      </w:r>
    </w:p>
    <w:p w14:paraId="195861A7" w14:textId="2425CB22" w:rsidR="00EF4370" w:rsidRDefault="00BC1AC9" w:rsidP="00EF4370">
      <w:pPr>
        <w:pStyle w:val="ListParagraph"/>
        <w:numPr>
          <w:ilvl w:val="0"/>
          <w:numId w:val="25"/>
        </w:numPr>
        <w:spacing w:before="240" w:after="100" w:afterAutospacing="1"/>
      </w:pPr>
      <w:r>
        <w:t>For Aged Care, c</w:t>
      </w:r>
      <w:r w:rsidR="00EF4370">
        <w:t xml:space="preserve">onsumer dignity and choice </w:t>
      </w:r>
      <w:proofErr w:type="gramStart"/>
      <w:r w:rsidR="00EF4370">
        <w:t>is</w:t>
      </w:r>
      <w:proofErr w:type="gramEnd"/>
      <w:r w:rsidR="00EF4370">
        <w:t xml:space="preserve"> foundational standard 1 in </w:t>
      </w:r>
      <w:hyperlink r:id="rId24" w:history="1">
        <w:r w:rsidR="00EF4370">
          <w:rPr>
            <w:rStyle w:val="Hyperlink"/>
          </w:rPr>
          <w:t xml:space="preserve">The Aged Care </w:t>
        </w:r>
        <w:r w:rsidR="00EF4370" w:rsidRPr="0064058A">
          <w:rPr>
            <w:rStyle w:val="Hyperlink"/>
          </w:rPr>
          <w:t>Quality Standards</w:t>
        </w:r>
      </w:hyperlink>
      <w:r w:rsidR="00EF4370">
        <w:t>.</w:t>
      </w:r>
    </w:p>
    <w:p w14:paraId="5046E829" w14:textId="77777777" w:rsidR="007F4B70" w:rsidRDefault="007F4B70" w:rsidP="007F4B70">
      <w:pPr>
        <w:pStyle w:val="ListParagraph"/>
        <w:numPr>
          <w:ilvl w:val="0"/>
          <w:numId w:val="22"/>
        </w:numPr>
        <w:spacing w:before="240" w:after="100" w:afterAutospacing="1"/>
      </w:pPr>
      <w:r>
        <w:t>Where it is practical, and the facility can manage this:</w:t>
      </w:r>
    </w:p>
    <w:p w14:paraId="4B45515F" w14:textId="380BD9E4" w:rsidR="007F4B70" w:rsidRDefault="007F4B70" w:rsidP="007F4B70">
      <w:pPr>
        <w:pStyle w:val="ListParagraph"/>
        <w:numPr>
          <w:ilvl w:val="0"/>
          <w:numId w:val="25"/>
        </w:numPr>
        <w:spacing w:before="240" w:after="100" w:afterAutospacing="1"/>
      </w:pPr>
      <w:r>
        <w:lastRenderedPageBreak/>
        <w:t>Residents with the same condition should be allowed to engage in social activities together if they are well enough to do so and if they can be kept separated from residents who are exposed or unaffected</w:t>
      </w:r>
      <w:r w:rsidR="00537CA2">
        <w:t>.</w:t>
      </w:r>
    </w:p>
    <w:p w14:paraId="3D4F999B" w14:textId="574A1F65" w:rsidR="007F4B70" w:rsidRDefault="002665BA" w:rsidP="007F4B70">
      <w:pPr>
        <w:pStyle w:val="ListParagraph"/>
        <w:numPr>
          <w:ilvl w:val="0"/>
          <w:numId w:val="25"/>
        </w:numPr>
        <w:spacing w:before="240" w:after="100" w:afterAutospacing="1"/>
      </w:pPr>
      <w:r>
        <w:t xml:space="preserve">Residents exposed to the same pathogen </w:t>
      </w:r>
      <w:r w:rsidR="007F4B70">
        <w:t>may choose to leave their rooms to eat in shared dining rooms and participate in social activities with other residents from the exposed area</w:t>
      </w:r>
      <w:r w:rsidR="0064058A">
        <w:rPr>
          <w:rStyle w:val="FootnoteReference"/>
        </w:rPr>
        <w:footnoteReference w:id="4"/>
      </w:r>
      <w:r w:rsidR="007F4B70">
        <w:t>. Exposed residents should not socialise with positive cases or residents from unaffected areas. Unexposed residents can leave their rooms to participate in shared activities and dining with other unexposed residents (e.g., with dedicated staff, dining room, social room)</w:t>
      </w:r>
      <w:r w:rsidR="00537CA2">
        <w:t>.</w:t>
      </w:r>
    </w:p>
    <w:p w14:paraId="31C49EF5" w14:textId="51A34EE4" w:rsidR="007F4B70" w:rsidRPr="00BC1AC9" w:rsidRDefault="007F4B70" w:rsidP="00EF4370">
      <w:pPr>
        <w:pStyle w:val="ListParagraph"/>
        <w:numPr>
          <w:ilvl w:val="0"/>
          <w:numId w:val="25"/>
        </w:numPr>
        <w:spacing w:before="240" w:after="100" w:afterAutospacing="1"/>
      </w:pPr>
      <w:bookmarkStart w:id="44" w:name="_Hlk106185069"/>
      <w:r w:rsidRPr="00BC1AC9">
        <w:t>Where possible</w:t>
      </w:r>
      <w:r w:rsidR="008E7D1B">
        <w:t>,</w:t>
      </w:r>
      <w:r w:rsidRPr="00BC1AC9">
        <w:t xml:space="preserve"> visits to affected residents should occur in an area with good ventilation. The Aged Care Act 1997</w:t>
      </w:r>
      <w:r w:rsidR="008E7D1B">
        <w:t>,</w:t>
      </w:r>
      <w:r w:rsidR="008E7D1B" w:rsidRPr="00BC1AC9">
        <w:t xml:space="preserve"> </w:t>
      </w:r>
      <w:r w:rsidRPr="00BC1AC9">
        <w:t>the Charter of Aged Care Rights and the Aged Care Quality Standards include specific responsibilities that provide a legislative basis to this requirement</w:t>
      </w:r>
      <w:r w:rsidR="008E7D1B">
        <w:t xml:space="preserve"> for RACFs</w:t>
      </w:r>
      <w:r w:rsidRPr="00BC1AC9">
        <w:t>.</w:t>
      </w:r>
    </w:p>
    <w:p w14:paraId="6D89FE58" w14:textId="62B80980" w:rsidR="007F4B70" w:rsidRPr="007F4B70" w:rsidRDefault="007F4B70" w:rsidP="007F4B70">
      <w:pPr>
        <w:pStyle w:val="Heading2"/>
      </w:pPr>
      <w:bookmarkStart w:id="45" w:name="_Toc104904615"/>
      <w:bookmarkStart w:id="46" w:name="_Hlk103867358"/>
      <w:bookmarkStart w:id="47" w:name="_Toc115342393"/>
      <w:bookmarkEnd w:id="44"/>
      <w:r w:rsidRPr="007F4B70">
        <w:rPr>
          <w:rFonts w:eastAsiaTheme="minorHAnsi"/>
        </w:rPr>
        <w:t>Step 8: C</w:t>
      </w:r>
      <w:bookmarkEnd w:id="45"/>
      <w:r w:rsidR="00537CA2">
        <w:rPr>
          <w:rFonts w:eastAsiaTheme="minorHAnsi"/>
        </w:rPr>
        <w:t>ommunicate</w:t>
      </w:r>
      <w:bookmarkEnd w:id="47"/>
    </w:p>
    <w:p w14:paraId="61EF6AB5" w14:textId="39B2D3C0" w:rsidR="007F4B70" w:rsidRDefault="007F4B70" w:rsidP="007F4B70">
      <w:pPr>
        <w:pStyle w:val="ListParagraph"/>
        <w:numPr>
          <w:ilvl w:val="0"/>
          <w:numId w:val="22"/>
        </w:numPr>
        <w:spacing w:before="240" w:after="100" w:afterAutospacing="1"/>
        <w:rPr>
          <w:rFonts w:eastAsiaTheme="minorEastAsia"/>
          <w:sz w:val="20"/>
          <w:szCs w:val="20"/>
        </w:rPr>
      </w:pPr>
      <w:r>
        <w:t>A communication plan should have established systems to manage communications and engagement with families of residents and community that support the RCF</w:t>
      </w:r>
      <w:r w:rsidR="00537CA2">
        <w:t>.</w:t>
      </w:r>
    </w:p>
    <w:p w14:paraId="38DD7B98" w14:textId="181D53ED" w:rsidR="007F4B70" w:rsidRDefault="007F4B70" w:rsidP="007F4B70">
      <w:pPr>
        <w:pStyle w:val="ListParagraph"/>
        <w:numPr>
          <w:ilvl w:val="0"/>
          <w:numId w:val="22"/>
        </w:numPr>
        <w:spacing w:before="240" w:after="100" w:afterAutospacing="1"/>
      </w:pPr>
      <w:r>
        <w:t>Ensure all affected residents are aware of their diagnosis, exposure status, testing and isolation requirements. Individual communications strategies need to be considered for residents who may have difficulty following instructions due to cognitive impairment or language barrier</w:t>
      </w:r>
      <w:r w:rsidR="00537CA2">
        <w:t>.</w:t>
      </w:r>
    </w:p>
    <w:p w14:paraId="23DB47E5" w14:textId="77777777" w:rsidR="007F4B70" w:rsidRDefault="007F4B70" w:rsidP="007F4B70">
      <w:pPr>
        <w:pStyle w:val="ListParagraph"/>
        <w:numPr>
          <w:ilvl w:val="0"/>
          <w:numId w:val="22"/>
        </w:numPr>
        <w:spacing w:before="240" w:after="100" w:afterAutospacing="1"/>
      </w:pPr>
      <w:r>
        <w:t>Ensure residents’ family and carers are aware of the exposure/outbreak at the RCF and status of individual residents, including their diagnosis and management.</w:t>
      </w:r>
    </w:p>
    <w:p w14:paraId="2E61CF38" w14:textId="3BDA686D" w:rsidR="007F4B70" w:rsidRDefault="007F4B70" w:rsidP="007F4B70">
      <w:pPr>
        <w:pStyle w:val="ListParagraph"/>
        <w:numPr>
          <w:ilvl w:val="0"/>
          <w:numId w:val="22"/>
        </w:numPr>
        <w:spacing w:before="240" w:after="100" w:afterAutospacing="1"/>
      </w:pPr>
      <w:r>
        <w:t>Ensure staff are aware of the exposure/outbreak at the RCF and remain on high alert monitoring themselves and residents for ARI symptoms</w:t>
      </w:r>
    </w:p>
    <w:p w14:paraId="79576591" w14:textId="39CC8188" w:rsidR="007F4B70" w:rsidRDefault="007F4B70" w:rsidP="007F4B70">
      <w:pPr>
        <w:pStyle w:val="ListParagraph"/>
        <w:numPr>
          <w:ilvl w:val="0"/>
          <w:numId w:val="22"/>
        </w:numPr>
        <w:spacing w:before="240" w:after="100" w:afterAutospacing="1"/>
      </w:pPr>
      <w:r>
        <w:t>Ensure visitors are aware of the exposure/outbreak at the RCF and that essential visitors and volunteers</w:t>
      </w:r>
      <w:r w:rsidR="0064058A">
        <w:rPr>
          <w:rStyle w:val="FootnoteReference"/>
        </w:rPr>
        <w:footnoteReference w:id="5"/>
      </w:r>
      <w:r>
        <w:t xml:space="preserve"> are permitted to continue to visit affected residents, including those considered to be high risk and in designated zones. Essential visitors include carers and usual ‘partners-in-care’, named visitors, people who provide personal care; those visiting a resident who is at/approaching end of life. Visitors must comply with RCF entry requirement, including any screening, PPE and vaccination as outlined in jurisdictional advice</w:t>
      </w:r>
    </w:p>
    <w:p w14:paraId="28E05DCB" w14:textId="38F766D7" w:rsidR="007F4B70" w:rsidRDefault="007F4B70" w:rsidP="007F4B70">
      <w:pPr>
        <w:pStyle w:val="ListParagraph"/>
        <w:numPr>
          <w:ilvl w:val="0"/>
          <w:numId w:val="22"/>
        </w:numPr>
        <w:spacing w:before="240" w:after="100" w:afterAutospacing="1"/>
      </w:pPr>
      <w:r>
        <w:t xml:space="preserve">The RCF may arrange virtual </w:t>
      </w:r>
      <w:r w:rsidR="008E7D1B">
        <w:t xml:space="preserve">visits </w:t>
      </w:r>
      <w:r>
        <w:t xml:space="preserve">(e.g. </w:t>
      </w:r>
      <w:r w:rsidR="008E7D1B">
        <w:t>via tablet</w:t>
      </w:r>
      <w:r>
        <w:t>) or contactless visits for unvaccinated visitors (e.g. window visits)</w:t>
      </w:r>
      <w:r w:rsidR="008E7D1B">
        <w:t>.</w:t>
      </w:r>
      <w:r>
        <w:t xml:space="preserve"> </w:t>
      </w:r>
    </w:p>
    <w:p w14:paraId="427B00CC" w14:textId="77777777" w:rsidR="007F4B70" w:rsidRDefault="007F4B70" w:rsidP="007F4B70">
      <w:pPr>
        <w:pStyle w:val="ListParagraph"/>
        <w:numPr>
          <w:ilvl w:val="0"/>
          <w:numId w:val="22"/>
        </w:numPr>
        <w:spacing w:before="240" w:after="100" w:afterAutospacing="1"/>
      </w:pPr>
      <w:r>
        <w:t>Put up notices of the outbreak at all entrances including information to minimise unnecessary visits that may lead to inadvertent transmission. Signage should also be displayed outside the room of affected residents.</w:t>
      </w:r>
    </w:p>
    <w:p w14:paraId="03DA79F7" w14:textId="41CC15A2" w:rsidR="007F4B70" w:rsidRPr="007F4B70" w:rsidRDefault="007F4B70" w:rsidP="007F4B70">
      <w:pPr>
        <w:pStyle w:val="Heading2"/>
      </w:pPr>
      <w:bookmarkStart w:id="48" w:name="_Toc104904616"/>
      <w:bookmarkStart w:id="49" w:name="_Hlk103867373"/>
      <w:bookmarkStart w:id="50" w:name="_Toc115342394"/>
      <w:bookmarkEnd w:id="46"/>
      <w:r w:rsidRPr="007F4B70">
        <w:rPr>
          <w:rFonts w:eastAsiaTheme="minorHAnsi"/>
        </w:rPr>
        <w:t>Step 9: D</w:t>
      </w:r>
      <w:r w:rsidR="00537CA2">
        <w:rPr>
          <w:rFonts w:eastAsiaTheme="minorHAnsi"/>
        </w:rPr>
        <w:t>eclaring an outbreak over</w:t>
      </w:r>
      <w:bookmarkEnd w:id="50"/>
      <w:r w:rsidR="00537CA2">
        <w:rPr>
          <w:rFonts w:eastAsiaTheme="minorHAnsi"/>
        </w:rPr>
        <w:t xml:space="preserve"> </w:t>
      </w:r>
      <w:bookmarkEnd w:id="48"/>
    </w:p>
    <w:bookmarkEnd w:id="49"/>
    <w:p w14:paraId="6F85A2C3" w14:textId="77777777" w:rsidR="007F4B70" w:rsidRDefault="007F4B70" w:rsidP="007F4B70">
      <w:pPr>
        <w:pStyle w:val="ListParagraph"/>
        <w:numPr>
          <w:ilvl w:val="0"/>
          <w:numId w:val="22"/>
        </w:numPr>
        <w:spacing w:before="240" w:after="100" w:afterAutospacing="1"/>
        <w:rPr>
          <w:rFonts w:eastAsiaTheme="minorEastAsia"/>
          <w:sz w:val="20"/>
          <w:szCs w:val="20"/>
        </w:rPr>
      </w:pPr>
      <w:r>
        <w:t>A decision to declare the outbreak over should be made by the PHU or OMT. Generally, this is:</w:t>
      </w:r>
    </w:p>
    <w:p w14:paraId="74C20F38" w14:textId="38295A27" w:rsidR="007F4B70" w:rsidRDefault="007F4B70" w:rsidP="007F4B70">
      <w:pPr>
        <w:pStyle w:val="ListParagraph"/>
        <w:numPr>
          <w:ilvl w:val="0"/>
          <w:numId w:val="30"/>
        </w:numPr>
        <w:spacing w:before="240" w:after="100" w:afterAutospacing="1"/>
      </w:pPr>
      <w:r>
        <w:t>when no new cases occur within 8 days following the onset of symptoms in the last resident influenza case</w:t>
      </w:r>
      <w:r w:rsidR="00537CA2">
        <w:t>.</w:t>
      </w:r>
      <w:r>
        <w:t xml:space="preserve"> </w:t>
      </w:r>
    </w:p>
    <w:p w14:paraId="53CEC543" w14:textId="76B3C919" w:rsidR="007F4B70" w:rsidRDefault="007F4B70" w:rsidP="007F4B70">
      <w:pPr>
        <w:pStyle w:val="ListParagraph"/>
        <w:numPr>
          <w:ilvl w:val="0"/>
          <w:numId w:val="30"/>
        </w:numPr>
        <w:spacing w:before="240" w:after="100" w:afterAutospacing="1"/>
      </w:pPr>
      <w:r>
        <w:t xml:space="preserve">7 days after the </w:t>
      </w:r>
      <w:r w:rsidR="00F83049">
        <w:t xml:space="preserve">last COVID-19 case tests positive or the </w:t>
      </w:r>
      <w:r>
        <w:t>date of isolation of the last COVID-19 case in a resident</w:t>
      </w:r>
      <w:r w:rsidR="00517C6F">
        <w:t>,</w:t>
      </w:r>
      <w:r w:rsidR="00F83049">
        <w:t xml:space="preserve"> whichever is longer</w:t>
      </w:r>
      <w:r w:rsidR="00537CA2">
        <w:t>.</w:t>
      </w:r>
      <w:r>
        <w:t xml:space="preserve"> </w:t>
      </w:r>
    </w:p>
    <w:p w14:paraId="3E728729" w14:textId="4E32F52E" w:rsidR="007F4B70" w:rsidRDefault="007F4B70" w:rsidP="007F4B70">
      <w:pPr>
        <w:pStyle w:val="ListParagraph"/>
        <w:numPr>
          <w:ilvl w:val="0"/>
          <w:numId w:val="22"/>
        </w:numPr>
        <w:spacing w:before="240" w:after="100" w:afterAutospacing="1"/>
      </w:pPr>
      <w:r>
        <w:lastRenderedPageBreak/>
        <w:t xml:space="preserve">However, additional testing or measures may be recommended by the PHU in the </w:t>
      </w:r>
      <w:r w:rsidR="00B60211">
        <w:t>7</w:t>
      </w:r>
      <w:r w:rsidR="00C35FBC">
        <w:rPr>
          <w:rFonts w:cs="Arial"/>
          <w:sz w:val="18"/>
          <w:szCs w:val="18"/>
        </w:rPr>
        <w:t> </w:t>
      </w:r>
      <w:r w:rsidR="00B60211">
        <w:t>days</w:t>
      </w:r>
      <w:r>
        <w:t xml:space="preserve"> following an outbreak being considered “over”</w:t>
      </w:r>
      <w:r w:rsidR="00C35FBC">
        <w:t>.</w:t>
      </w:r>
      <w:r>
        <w:t xml:space="preserve"> </w:t>
      </w:r>
    </w:p>
    <w:p w14:paraId="4AB81858" w14:textId="77777777" w:rsidR="007F4B70" w:rsidRDefault="007F4B70" w:rsidP="007F4B70">
      <w:pPr>
        <w:pStyle w:val="ListParagraph"/>
        <w:numPr>
          <w:ilvl w:val="0"/>
          <w:numId w:val="22"/>
        </w:numPr>
        <w:spacing w:before="240" w:after="100" w:afterAutospacing="1"/>
      </w:pPr>
      <w:r>
        <w:t>Facilities should remain on high alert and:</w:t>
      </w:r>
    </w:p>
    <w:p w14:paraId="138AC9C1" w14:textId="4D8D3A9E" w:rsidR="007F4B70" w:rsidRDefault="007F4B70" w:rsidP="007F4B70">
      <w:pPr>
        <w:pStyle w:val="ListParagraph"/>
        <w:numPr>
          <w:ilvl w:val="0"/>
          <w:numId w:val="30"/>
        </w:numPr>
        <w:spacing w:before="240" w:after="100" w:afterAutospacing="1"/>
      </w:pPr>
      <w:r>
        <w:t xml:space="preserve">test appropriately anyone with new symptoms, no matter how </w:t>
      </w:r>
      <w:proofErr w:type="gramStart"/>
      <w:r>
        <w:t>mild</w:t>
      </w:r>
      <w:r w:rsidR="00C35FBC">
        <w:t>;</w:t>
      </w:r>
      <w:proofErr w:type="gramEnd"/>
    </w:p>
    <w:p w14:paraId="4E6AA629" w14:textId="30316CB7" w:rsidR="007F4B70" w:rsidRDefault="007F4B70" w:rsidP="007F4B70">
      <w:pPr>
        <w:pStyle w:val="ListParagraph"/>
        <w:numPr>
          <w:ilvl w:val="0"/>
          <w:numId w:val="30"/>
        </w:numPr>
        <w:spacing w:before="240" w:after="100" w:afterAutospacing="1"/>
      </w:pPr>
      <w:r>
        <w:t>carefully monitor residents with high-risk exposure for behavioural changes, lack of appetite, and lethargy</w:t>
      </w:r>
      <w:r w:rsidR="00C35FBC">
        <w:t xml:space="preserve">; and </w:t>
      </w:r>
    </w:p>
    <w:p w14:paraId="6C7563CF" w14:textId="55717082" w:rsidR="007F4B70" w:rsidRDefault="007F4B70" w:rsidP="007F4B70">
      <w:pPr>
        <w:pStyle w:val="ListParagraph"/>
        <w:numPr>
          <w:ilvl w:val="0"/>
          <w:numId w:val="30"/>
        </w:numPr>
        <w:spacing w:before="240" w:after="100" w:afterAutospacing="1"/>
      </w:pPr>
      <w:r>
        <w:t>ensure visitors (who may be at higher risk themselves) are aware that there has been an outbreak</w:t>
      </w:r>
      <w:r w:rsidR="00537CA2">
        <w:t>.</w:t>
      </w:r>
    </w:p>
    <w:p w14:paraId="6E82F222" w14:textId="7BF60703" w:rsidR="007F4B70" w:rsidRDefault="007F4B70" w:rsidP="007F4B70">
      <w:pPr>
        <w:pStyle w:val="ListParagraph"/>
        <w:numPr>
          <w:ilvl w:val="0"/>
          <w:numId w:val="22"/>
        </w:numPr>
        <w:spacing w:before="240" w:after="100" w:afterAutospacing="1"/>
      </w:pPr>
      <w:r>
        <w:t>Individual cases should remain in isolation for the required period (as per Step 4) even if the outbreak has been declared over for the RCF</w:t>
      </w:r>
      <w:r w:rsidR="00537CA2">
        <w:t>.</w:t>
      </w:r>
    </w:p>
    <w:p w14:paraId="308FFEF5" w14:textId="2877EB7D" w:rsidR="007F4B70" w:rsidRDefault="007F4B70" w:rsidP="007F4B70">
      <w:pPr>
        <w:pStyle w:val="ListParagraph"/>
        <w:numPr>
          <w:ilvl w:val="0"/>
          <w:numId w:val="22"/>
        </w:numPr>
        <w:spacing w:before="240" w:after="100" w:afterAutospacing="1"/>
      </w:pPr>
      <w:r>
        <w:t>Where there is extensive or poorly understood transmission, or where there are significant numbers of residents not up to date with immunisations or transmission is within a memory support unit, the PHU may advise the RCF to continue to manage as an outbreak until at least 14 days have passed since the last case tested positive</w:t>
      </w:r>
      <w:r w:rsidR="00537CA2">
        <w:t>.</w:t>
      </w:r>
    </w:p>
    <w:p w14:paraId="1F34D98B" w14:textId="77777777" w:rsidR="007F4B70" w:rsidRDefault="007F4B70" w:rsidP="007F4B70">
      <w:pPr>
        <w:pStyle w:val="ListParagraph"/>
        <w:numPr>
          <w:ilvl w:val="0"/>
          <w:numId w:val="22"/>
        </w:numPr>
        <w:spacing w:before="240" w:after="100" w:afterAutospacing="1"/>
      </w:pPr>
      <w:r>
        <w:t>Once an outbreak is over, facilities should evaluate the response to and management of the outbreak to identify strengths and weaknesses. Consider conducting a facility debrief with all employees and contractors involved with the outbreak.</w:t>
      </w:r>
    </w:p>
    <w:p w14:paraId="595D96C3" w14:textId="7C63D6BC" w:rsidR="007F4B70" w:rsidRDefault="007F4B70">
      <w:pPr>
        <w:rPr>
          <w:rFonts w:eastAsiaTheme="minorEastAsia" w:cs="Arial"/>
          <w:szCs w:val="20"/>
        </w:rPr>
      </w:pPr>
      <w:r>
        <w:rPr>
          <w:rFonts w:eastAsiaTheme="minorEastAsia" w:cs="Arial"/>
          <w:szCs w:val="20"/>
        </w:rPr>
        <w:br w:type="page"/>
      </w:r>
    </w:p>
    <w:p w14:paraId="69E994E4" w14:textId="1DB9854D" w:rsidR="007F4B70" w:rsidRDefault="007F4B70" w:rsidP="007F4B70">
      <w:pPr>
        <w:pStyle w:val="Heading1"/>
        <w:rPr>
          <w:lang w:val="en-US"/>
        </w:rPr>
      </w:pPr>
      <w:bookmarkStart w:id="51" w:name="_Toc115342395"/>
      <w:r>
        <w:rPr>
          <w:lang w:val="en-US"/>
        </w:rPr>
        <w:lastRenderedPageBreak/>
        <w:t>Appendices</w:t>
      </w:r>
      <w:bookmarkEnd w:id="51"/>
    </w:p>
    <w:p w14:paraId="713B8E39" w14:textId="5598316C" w:rsidR="00AB4CEA" w:rsidRPr="00537CA2" w:rsidRDefault="00AB4CEA" w:rsidP="00AB4CEA">
      <w:pPr>
        <w:pStyle w:val="Paragraphtext"/>
        <w:rPr>
          <w:rFonts w:eastAsiaTheme="minorHAnsi"/>
          <w:szCs w:val="21"/>
        </w:rPr>
      </w:pPr>
      <w:r w:rsidRPr="00537CA2">
        <w:rPr>
          <w:rFonts w:eastAsiaTheme="minorHAnsi"/>
          <w:szCs w:val="21"/>
        </w:rPr>
        <w:t>Appendix 1: COVID-19 exposure and outbreak management</w:t>
      </w:r>
    </w:p>
    <w:p w14:paraId="6D24C247" w14:textId="202B72C8" w:rsidR="00AB4CEA" w:rsidRPr="00537CA2" w:rsidRDefault="00AB4CEA" w:rsidP="00AB4CEA">
      <w:pPr>
        <w:pStyle w:val="Paragraphtext"/>
        <w:rPr>
          <w:rFonts w:eastAsiaTheme="minorHAnsi"/>
          <w:szCs w:val="21"/>
        </w:rPr>
      </w:pPr>
      <w:r w:rsidRPr="00E31FE3">
        <w:rPr>
          <w:rFonts w:eastAsiaTheme="minorHAnsi"/>
          <w:szCs w:val="21"/>
        </w:rPr>
        <w:t>Appendix 2:</w:t>
      </w:r>
      <w:r w:rsidRPr="00537CA2">
        <w:rPr>
          <w:rFonts w:eastAsiaTheme="minorHAnsi"/>
          <w:szCs w:val="21"/>
        </w:rPr>
        <w:t xml:space="preserve"> </w:t>
      </w:r>
      <w:r w:rsidRPr="00E31FE3">
        <w:rPr>
          <w:rFonts w:eastAsiaTheme="minorHAnsi"/>
          <w:szCs w:val="21"/>
        </w:rPr>
        <w:t>Treatment and prophylaxis</w:t>
      </w:r>
    </w:p>
    <w:p w14:paraId="1D31DB24" w14:textId="246FAC71" w:rsidR="006B2709" w:rsidRPr="00E31FE3" w:rsidRDefault="006B2709" w:rsidP="00537CA2">
      <w:pPr>
        <w:pStyle w:val="Paragraphtext"/>
        <w:rPr>
          <w:rFonts w:eastAsiaTheme="minorHAnsi"/>
          <w:szCs w:val="21"/>
        </w:rPr>
      </w:pPr>
      <w:r w:rsidRPr="00E31FE3">
        <w:rPr>
          <w:rFonts w:eastAsiaTheme="minorHAnsi"/>
          <w:szCs w:val="21"/>
        </w:rPr>
        <w:t>Appendix 3: Key documents and resources</w:t>
      </w:r>
    </w:p>
    <w:p w14:paraId="6B37377A" w14:textId="77777777" w:rsidR="006B2709" w:rsidRPr="00537CA2" w:rsidRDefault="006B2709" w:rsidP="00537CA2">
      <w:pPr>
        <w:pStyle w:val="Paragraphtext"/>
        <w:rPr>
          <w:rFonts w:eastAsiaTheme="minorHAnsi"/>
          <w:szCs w:val="21"/>
        </w:rPr>
      </w:pPr>
      <w:r w:rsidRPr="00537CA2">
        <w:rPr>
          <w:rFonts w:eastAsiaTheme="minorHAnsi"/>
          <w:szCs w:val="21"/>
        </w:rPr>
        <w:br w:type="page"/>
      </w:r>
    </w:p>
    <w:p w14:paraId="76AC7E65" w14:textId="63BFE705" w:rsidR="007F4B70" w:rsidRDefault="007F4B70" w:rsidP="007F4B70">
      <w:pPr>
        <w:pStyle w:val="Heading2"/>
        <w:rPr>
          <w:rFonts w:eastAsiaTheme="minorHAnsi"/>
        </w:rPr>
      </w:pPr>
      <w:bookmarkStart w:id="52" w:name="_Appendix_1:_COVID-19"/>
      <w:bookmarkStart w:id="53" w:name="_Hlk105074483"/>
      <w:bookmarkStart w:id="54" w:name="_Hlk104982580"/>
      <w:bookmarkStart w:id="55" w:name="_Toc115342396"/>
      <w:bookmarkEnd w:id="52"/>
      <w:r>
        <w:rPr>
          <w:rFonts w:eastAsiaTheme="minorHAnsi"/>
        </w:rPr>
        <w:lastRenderedPageBreak/>
        <w:t>Appendix 1</w:t>
      </w:r>
      <w:r w:rsidR="00AB4CEA">
        <w:rPr>
          <w:rFonts w:eastAsiaTheme="minorHAnsi"/>
        </w:rPr>
        <w:t>:</w:t>
      </w:r>
      <w:r>
        <w:rPr>
          <w:rFonts w:eastAsiaTheme="minorHAnsi"/>
        </w:rPr>
        <w:t xml:space="preserve"> COVID-19 exposure and outbreak management</w:t>
      </w:r>
      <w:bookmarkEnd w:id="55"/>
    </w:p>
    <w:p w14:paraId="7B49E249" w14:textId="6CDEAF68" w:rsidR="007F4B70" w:rsidRPr="00A51044" w:rsidRDefault="007F4B70" w:rsidP="007F4B70">
      <w:pPr>
        <w:pStyle w:val="Heading3"/>
        <w:rPr>
          <w:rFonts w:eastAsiaTheme="minorHAnsi"/>
          <w:sz w:val="24"/>
          <w:szCs w:val="24"/>
        </w:rPr>
      </w:pPr>
      <w:bookmarkStart w:id="56" w:name="_Table_1._Suggested"/>
      <w:bookmarkStart w:id="57" w:name="_Toc115342397"/>
      <w:bookmarkEnd w:id="56"/>
      <w:r w:rsidRPr="00A51044">
        <w:rPr>
          <w:rFonts w:eastAsiaTheme="minorEastAsia"/>
          <w:sz w:val="24"/>
          <w:szCs w:val="24"/>
        </w:rPr>
        <w:t xml:space="preserve">Table </w:t>
      </w:r>
      <w:r w:rsidR="0064058A">
        <w:rPr>
          <w:rFonts w:eastAsiaTheme="minorEastAsia"/>
          <w:sz w:val="24"/>
          <w:szCs w:val="24"/>
        </w:rPr>
        <w:t>2</w:t>
      </w:r>
      <w:r w:rsidRPr="00A51044">
        <w:rPr>
          <w:rFonts w:eastAsiaTheme="minorEastAsia"/>
          <w:sz w:val="24"/>
          <w:szCs w:val="24"/>
        </w:rPr>
        <w:t xml:space="preserve">. </w:t>
      </w:r>
      <w:r w:rsidRPr="00A51044">
        <w:rPr>
          <w:sz w:val="24"/>
          <w:szCs w:val="24"/>
        </w:rPr>
        <w:t>Suggested actions based on classification of high-risk COVID</w:t>
      </w:r>
      <w:r w:rsidRPr="00A51044">
        <w:rPr>
          <w:sz w:val="24"/>
          <w:szCs w:val="24"/>
        </w:rPr>
        <w:noBreakHyphen/>
        <w:t>19 exposure</w:t>
      </w:r>
      <w:bookmarkEnd w:id="57"/>
      <w:r w:rsidRPr="00A51044">
        <w:rPr>
          <w:sz w:val="24"/>
          <w:szCs w:val="24"/>
        </w:rPr>
        <w:t xml:space="preserve"> </w:t>
      </w:r>
    </w:p>
    <w:tbl>
      <w:tblPr>
        <w:tblpPr w:leftFromText="180" w:rightFromText="180" w:bottomFromText="160" w:vertAnchor="text" w:horzAnchor="page" w:tblpX="1322" w:tblpY="196"/>
        <w:tblW w:w="9644" w:type="dxa"/>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Layout w:type="fixed"/>
        <w:tblLook w:val="04A0" w:firstRow="1" w:lastRow="0" w:firstColumn="1" w:lastColumn="0" w:noHBand="0" w:noVBand="1"/>
      </w:tblPr>
      <w:tblGrid>
        <w:gridCol w:w="4390"/>
        <w:gridCol w:w="5254"/>
      </w:tblGrid>
      <w:tr w:rsidR="007F4B70" w14:paraId="6AAEA98D" w14:textId="77777777" w:rsidTr="00712E68">
        <w:tc>
          <w:tcPr>
            <w:tcW w:w="4390" w:type="dxa"/>
            <w:shd w:val="clear" w:color="auto" w:fill="358189" w:themeFill="accent2"/>
            <w:hideMark/>
          </w:tcPr>
          <w:p w14:paraId="5C7AFCA2" w14:textId="77777777" w:rsidR="007F4B70" w:rsidRPr="00A51044" w:rsidRDefault="007F4B70" w:rsidP="00A51044">
            <w:pPr>
              <w:autoSpaceDE w:val="0"/>
              <w:autoSpaceDN w:val="0"/>
              <w:adjustRightInd w:val="0"/>
              <w:spacing w:line="276" w:lineRule="auto"/>
              <w:ind w:right="95"/>
              <w:rPr>
                <w:rFonts w:cs="Arial"/>
                <w:b/>
                <w:color w:val="FFFFFF" w:themeColor="background1"/>
                <w:szCs w:val="22"/>
              </w:rPr>
            </w:pPr>
            <w:r w:rsidRPr="00A51044">
              <w:rPr>
                <w:rFonts w:cs="Arial"/>
                <w:b/>
                <w:bCs/>
                <w:color w:val="FFFFFF" w:themeColor="background1"/>
                <w:szCs w:val="22"/>
                <w:lang w:eastAsia="en-AU"/>
              </w:rPr>
              <w:t>High-risk exposure</w:t>
            </w:r>
          </w:p>
        </w:tc>
        <w:tc>
          <w:tcPr>
            <w:tcW w:w="5254" w:type="dxa"/>
            <w:shd w:val="clear" w:color="auto" w:fill="358189" w:themeFill="accent2"/>
            <w:tcMar>
              <w:top w:w="15" w:type="dxa"/>
              <w:left w:w="15" w:type="dxa"/>
              <w:bottom w:w="15" w:type="dxa"/>
              <w:right w:w="15" w:type="dxa"/>
            </w:tcMar>
            <w:vAlign w:val="center"/>
            <w:hideMark/>
          </w:tcPr>
          <w:p w14:paraId="753AC544" w14:textId="77777777" w:rsidR="007F4B70" w:rsidRPr="00A51044" w:rsidRDefault="007F4B70" w:rsidP="00A51044">
            <w:pPr>
              <w:autoSpaceDE w:val="0"/>
              <w:autoSpaceDN w:val="0"/>
              <w:adjustRightInd w:val="0"/>
              <w:spacing w:line="276" w:lineRule="auto"/>
              <w:ind w:left="136" w:right="95"/>
              <w:rPr>
                <w:rFonts w:cs="Arial"/>
                <w:b/>
                <w:color w:val="FFFFFF" w:themeColor="background1"/>
                <w:szCs w:val="22"/>
              </w:rPr>
            </w:pPr>
            <w:r w:rsidRPr="00A51044">
              <w:rPr>
                <w:rFonts w:cs="Arial"/>
                <w:b/>
                <w:bCs/>
                <w:color w:val="FFFFFF" w:themeColor="background1"/>
                <w:szCs w:val="22"/>
                <w:lang w:eastAsia="en-AU"/>
              </w:rPr>
              <w:t>Suggested actions based on classification of high-risk exposure</w:t>
            </w:r>
            <w:r w:rsidRPr="00A51044">
              <w:rPr>
                <w:rFonts w:cs="Arial"/>
                <w:b/>
                <w:color w:val="FFFFFF" w:themeColor="background1"/>
                <w:szCs w:val="22"/>
              </w:rPr>
              <w:t xml:space="preserve"> </w:t>
            </w:r>
          </w:p>
        </w:tc>
      </w:tr>
      <w:tr w:rsidR="007F4B70" w14:paraId="0193BE63" w14:textId="77777777" w:rsidTr="00712E68">
        <w:trPr>
          <w:trHeight w:val="5600"/>
        </w:trPr>
        <w:tc>
          <w:tcPr>
            <w:tcW w:w="4390" w:type="dxa"/>
            <w:hideMark/>
          </w:tcPr>
          <w:p w14:paraId="49AB7D22" w14:textId="77777777" w:rsidR="007F4B70" w:rsidRPr="00A51044" w:rsidRDefault="007F4B70" w:rsidP="00A51044">
            <w:pPr>
              <w:pStyle w:val="Heading2"/>
              <w:spacing w:before="0" w:after="120"/>
              <w:rPr>
                <w:sz w:val="22"/>
                <w:szCs w:val="22"/>
              </w:rPr>
            </w:pPr>
            <w:bookmarkStart w:id="58" w:name="_Toc115342398"/>
            <w:r w:rsidRPr="00A51044">
              <w:rPr>
                <w:sz w:val="22"/>
                <w:szCs w:val="22"/>
              </w:rPr>
              <w:t>Staff</w:t>
            </w:r>
            <w:bookmarkEnd w:id="58"/>
            <w:r w:rsidRPr="00A51044">
              <w:rPr>
                <w:sz w:val="22"/>
                <w:szCs w:val="22"/>
              </w:rPr>
              <w:t xml:space="preserve"> </w:t>
            </w:r>
          </w:p>
          <w:p w14:paraId="52EC654E" w14:textId="77777777" w:rsidR="007F4B70" w:rsidRPr="00712E68" w:rsidRDefault="007F4B70" w:rsidP="00A51044">
            <w:pPr>
              <w:spacing w:after="120" w:line="256" w:lineRule="auto"/>
              <w:rPr>
                <w:rFonts w:eastAsiaTheme="minorHAnsi"/>
                <w:szCs w:val="22"/>
              </w:rPr>
            </w:pPr>
            <w:r w:rsidRPr="00712E68">
              <w:rPr>
                <w:szCs w:val="22"/>
              </w:rPr>
              <w:t xml:space="preserve">Where a worker has been exposed to COVID-19 case in </w:t>
            </w:r>
            <w:r w:rsidRPr="00712E68">
              <w:rPr>
                <w:bCs/>
                <w:szCs w:val="22"/>
              </w:rPr>
              <w:t xml:space="preserve">a workplace setting where the risk of exposure is </w:t>
            </w:r>
            <w:r w:rsidRPr="00712E68">
              <w:rPr>
                <w:szCs w:val="22"/>
              </w:rPr>
              <w:t>defined as high. Considerations for high-risk exposure include:</w:t>
            </w:r>
          </w:p>
          <w:p w14:paraId="51F74703" w14:textId="77777777" w:rsidR="007F4B70" w:rsidRPr="00712E68" w:rsidRDefault="007F4B70" w:rsidP="00A51044">
            <w:pPr>
              <w:pStyle w:val="ListBullet"/>
              <w:numPr>
                <w:ilvl w:val="0"/>
                <w:numId w:val="31"/>
              </w:numPr>
              <w:spacing w:before="0" w:after="120" w:line="256" w:lineRule="auto"/>
              <w:rPr>
                <w:sz w:val="22"/>
                <w:szCs w:val="22"/>
              </w:rPr>
            </w:pPr>
            <w:r w:rsidRPr="00712E68">
              <w:rPr>
                <w:sz w:val="22"/>
                <w:szCs w:val="22"/>
              </w:rPr>
              <w:t>staff who were not wearing airborne precautions PPE (N95/P2 masks, eye protection,) where aerosol generating behaviours or procedures have been involved</w:t>
            </w:r>
          </w:p>
          <w:p w14:paraId="166C2A97" w14:textId="77777777" w:rsidR="007F4B70" w:rsidRPr="00712E68" w:rsidRDefault="007F4B70" w:rsidP="00A51044">
            <w:pPr>
              <w:pStyle w:val="ListBullet"/>
              <w:numPr>
                <w:ilvl w:val="0"/>
                <w:numId w:val="31"/>
              </w:numPr>
              <w:spacing w:before="0" w:after="120" w:line="256" w:lineRule="auto"/>
              <w:rPr>
                <w:sz w:val="22"/>
                <w:szCs w:val="22"/>
              </w:rPr>
            </w:pPr>
            <w:r w:rsidRPr="00712E68">
              <w:rPr>
                <w:sz w:val="22"/>
                <w:szCs w:val="22"/>
              </w:rPr>
              <w:t>have had at least 15 minutes face to face contact where both mask and eyewear were not worn by exposed person and the case was without a mask,</w:t>
            </w:r>
          </w:p>
          <w:p w14:paraId="4EAA96EE" w14:textId="77777777" w:rsidR="007F4B70" w:rsidRPr="00A51044" w:rsidRDefault="007F4B70" w:rsidP="00A51044">
            <w:pPr>
              <w:pStyle w:val="ListBullet"/>
              <w:numPr>
                <w:ilvl w:val="0"/>
                <w:numId w:val="31"/>
              </w:numPr>
              <w:spacing w:before="0" w:after="120" w:line="256" w:lineRule="auto"/>
              <w:rPr>
                <w:rFonts w:eastAsiaTheme="minorEastAsia"/>
                <w:sz w:val="20"/>
                <w:szCs w:val="20"/>
              </w:rPr>
            </w:pPr>
            <w:r w:rsidRPr="00712E68">
              <w:rPr>
                <w:sz w:val="22"/>
                <w:szCs w:val="22"/>
              </w:rPr>
              <w:t>greater than 2 hou</w:t>
            </w:r>
            <w:r w:rsidRPr="00712E68">
              <w:rPr>
                <w:rFonts w:eastAsiaTheme="minorEastAsia"/>
                <w:sz w:val="22"/>
                <w:szCs w:val="22"/>
              </w:rPr>
              <w:t xml:space="preserve">rs within the same room with a case during their infectious period, where masks have been removed for this period. </w:t>
            </w:r>
          </w:p>
        </w:tc>
        <w:tc>
          <w:tcPr>
            <w:tcW w:w="5254" w:type="dxa"/>
            <w:tcMar>
              <w:top w:w="15" w:type="dxa"/>
              <w:left w:w="15" w:type="dxa"/>
              <w:bottom w:w="15" w:type="dxa"/>
              <w:right w:w="15" w:type="dxa"/>
            </w:tcMar>
          </w:tcPr>
          <w:p w14:paraId="4F5FA5BD" w14:textId="77777777" w:rsidR="007F4B70" w:rsidRPr="00712E68" w:rsidRDefault="007F4B70" w:rsidP="00A51044">
            <w:pPr>
              <w:pStyle w:val="ListBullet"/>
              <w:numPr>
                <w:ilvl w:val="0"/>
                <w:numId w:val="32"/>
              </w:numPr>
              <w:spacing w:before="0" w:after="120" w:line="256" w:lineRule="auto"/>
              <w:rPr>
                <w:sz w:val="22"/>
                <w:szCs w:val="22"/>
              </w:rPr>
            </w:pPr>
            <w:r w:rsidRPr="00712E68">
              <w:rPr>
                <w:sz w:val="22"/>
                <w:szCs w:val="22"/>
              </w:rPr>
              <w:t xml:space="preserve">Review affected staff to assess exposure and risk. </w:t>
            </w:r>
          </w:p>
          <w:p w14:paraId="236614E3" w14:textId="77777777" w:rsidR="007F4B70" w:rsidRPr="00712E68" w:rsidRDefault="007F4B70" w:rsidP="00A51044">
            <w:pPr>
              <w:pStyle w:val="ListBullet"/>
              <w:numPr>
                <w:ilvl w:val="0"/>
                <w:numId w:val="32"/>
              </w:numPr>
              <w:spacing w:before="0" w:after="120" w:line="256" w:lineRule="auto"/>
              <w:rPr>
                <w:sz w:val="22"/>
                <w:szCs w:val="22"/>
              </w:rPr>
            </w:pPr>
            <w:r w:rsidRPr="00712E68">
              <w:rPr>
                <w:sz w:val="22"/>
                <w:szCs w:val="22"/>
              </w:rPr>
              <w:t>Staff who if absent will have a high impact on services, will be able to continue attending work with specific requirements in place:</w:t>
            </w:r>
          </w:p>
          <w:p w14:paraId="1E3C0383" w14:textId="77777777" w:rsidR="007F4B70" w:rsidRPr="00712E68" w:rsidRDefault="007F4B70" w:rsidP="00A51044">
            <w:pPr>
              <w:pStyle w:val="ListParagraph"/>
              <w:numPr>
                <w:ilvl w:val="0"/>
                <w:numId w:val="33"/>
              </w:numPr>
              <w:spacing w:after="120" w:line="256" w:lineRule="auto"/>
              <w:rPr>
                <w:szCs w:val="22"/>
              </w:rPr>
            </w:pPr>
            <w:r w:rsidRPr="00712E68">
              <w:rPr>
                <w:szCs w:val="22"/>
              </w:rPr>
              <w:t>Continue to work with negative Day 1 PCR/RAT</w:t>
            </w:r>
          </w:p>
          <w:p w14:paraId="7F5F7128" w14:textId="56FC5FC0" w:rsidR="007F4B70" w:rsidRPr="00712E68" w:rsidRDefault="007F4B70" w:rsidP="00A51044">
            <w:pPr>
              <w:pStyle w:val="ListParagraph"/>
              <w:numPr>
                <w:ilvl w:val="0"/>
                <w:numId w:val="33"/>
              </w:numPr>
              <w:spacing w:after="120" w:line="256" w:lineRule="auto"/>
              <w:rPr>
                <w:szCs w:val="22"/>
              </w:rPr>
            </w:pPr>
            <w:r w:rsidRPr="00712E68">
              <w:rPr>
                <w:szCs w:val="22"/>
              </w:rPr>
              <w:t>RAT test every working day, until Day 7 result clear (prior to commencement of workday)</w:t>
            </w:r>
          </w:p>
          <w:p w14:paraId="0B85110F" w14:textId="5F62681F" w:rsidR="007F4B70" w:rsidRPr="00712E68" w:rsidRDefault="007F4B70" w:rsidP="00A51044">
            <w:pPr>
              <w:pStyle w:val="ListParagraph"/>
              <w:numPr>
                <w:ilvl w:val="0"/>
                <w:numId w:val="33"/>
              </w:numPr>
              <w:spacing w:after="120" w:line="256" w:lineRule="auto"/>
              <w:rPr>
                <w:szCs w:val="22"/>
              </w:rPr>
            </w:pPr>
            <w:r w:rsidRPr="00712E68">
              <w:rPr>
                <w:szCs w:val="22"/>
              </w:rPr>
              <w:t>Monitor for symptoms, test (</w:t>
            </w:r>
            <w:r w:rsidR="00AB742A">
              <w:rPr>
                <w:szCs w:val="22"/>
              </w:rPr>
              <w:t>RAT and</w:t>
            </w:r>
            <w:r w:rsidR="00FE2E8A">
              <w:rPr>
                <w:szCs w:val="22"/>
              </w:rPr>
              <w:t xml:space="preserve"> if negative PCR</w:t>
            </w:r>
            <w:r w:rsidRPr="00712E68">
              <w:rPr>
                <w:szCs w:val="22"/>
              </w:rPr>
              <w:t>), and isolate immediately if symptoms develop.</w:t>
            </w:r>
          </w:p>
          <w:p w14:paraId="0AEC13F1" w14:textId="77777777" w:rsidR="007F4B70" w:rsidRPr="00712E68" w:rsidRDefault="007F4B70" w:rsidP="00A51044">
            <w:pPr>
              <w:spacing w:after="120" w:line="256" w:lineRule="auto"/>
              <w:ind w:left="136"/>
              <w:rPr>
                <w:b/>
                <w:bCs/>
                <w:szCs w:val="22"/>
              </w:rPr>
            </w:pPr>
            <w:r w:rsidRPr="00712E68">
              <w:rPr>
                <w:b/>
                <w:bCs/>
                <w:szCs w:val="22"/>
              </w:rPr>
              <w:t>Additional mitigation steps:</w:t>
            </w:r>
          </w:p>
          <w:p w14:paraId="1DC5AD77" w14:textId="4987627F" w:rsidR="007F4B70" w:rsidRPr="00712E68" w:rsidRDefault="007F4B70" w:rsidP="00A51044">
            <w:pPr>
              <w:pStyle w:val="ListParagraph"/>
              <w:numPr>
                <w:ilvl w:val="0"/>
                <w:numId w:val="34"/>
              </w:numPr>
              <w:spacing w:after="120" w:line="256" w:lineRule="auto"/>
              <w:rPr>
                <w:szCs w:val="22"/>
              </w:rPr>
            </w:pPr>
            <w:r w:rsidRPr="00712E68">
              <w:rPr>
                <w:szCs w:val="22"/>
              </w:rPr>
              <w:t xml:space="preserve">Work in </w:t>
            </w:r>
            <w:r w:rsidR="00055451">
              <w:rPr>
                <w:szCs w:val="22"/>
              </w:rPr>
              <w:t xml:space="preserve">a </w:t>
            </w:r>
            <w:r w:rsidRPr="00712E68">
              <w:rPr>
                <w:szCs w:val="22"/>
              </w:rPr>
              <w:t>P2/N95 respirator for the first 7 days following exposure</w:t>
            </w:r>
          </w:p>
          <w:p w14:paraId="439C6873" w14:textId="77777777" w:rsidR="007F4B70" w:rsidRPr="00712E68" w:rsidRDefault="007F4B70" w:rsidP="00A51044">
            <w:pPr>
              <w:pStyle w:val="ListParagraph"/>
              <w:numPr>
                <w:ilvl w:val="0"/>
                <w:numId w:val="34"/>
              </w:numPr>
              <w:spacing w:after="120" w:line="256" w:lineRule="auto"/>
              <w:rPr>
                <w:szCs w:val="22"/>
              </w:rPr>
            </w:pPr>
            <w:r w:rsidRPr="00712E68">
              <w:rPr>
                <w:szCs w:val="22"/>
              </w:rPr>
              <w:t>No shared break areas</w:t>
            </w:r>
          </w:p>
          <w:p w14:paraId="625FE2C9" w14:textId="77777777" w:rsidR="007F4B70" w:rsidRPr="00712E68" w:rsidRDefault="007F4B70" w:rsidP="00A51044">
            <w:pPr>
              <w:pStyle w:val="ListParagraph"/>
              <w:numPr>
                <w:ilvl w:val="0"/>
                <w:numId w:val="34"/>
              </w:numPr>
              <w:spacing w:after="120" w:line="256" w:lineRule="auto"/>
              <w:rPr>
                <w:szCs w:val="22"/>
              </w:rPr>
            </w:pPr>
            <w:r w:rsidRPr="00712E68">
              <w:rPr>
                <w:szCs w:val="22"/>
              </w:rPr>
              <w:t>Limit work to a single site/area</w:t>
            </w:r>
          </w:p>
          <w:p w14:paraId="138C1F26" w14:textId="77777777" w:rsidR="007F4B70" w:rsidRPr="00712E68" w:rsidRDefault="007F4B70" w:rsidP="00A51044">
            <w:pPr>
              <w:pStyle w:val="ListParagraph"/>
              <w:numPr>
                <w:ilvl w:val="0"/>
                <w:numId w:val="34"/>
              </w:numPr>
              <w:spacing w:after="120" w:line="256" w:lineRule="auto"/>
              <w:rPr>
                <w:szCs w:val="22"/>
              </w:rPr>
            </w:pPr>
            <w:r w:rsidRPr="00712E68">
              <w:rPr>
                <w:szCs w:val="22"/>
              </w:rPr>
              <w:t>Consider redeployment to lower patient risk area if possible.</w:t>
            </w:r>
          </w:p>
        </w:tc>
      </w:tr>
      <w:tr w:rsidR="007F4B70" w14:paraId="507D7BAC" w14:textId="77777777" w:rsidTr="00712E68">
        <w:trPr>
          <w:trHeight w:val="2215"/>
        </w:trPr>
        <w:tc>
          <w:tcPr>
            <w:tcW w:w="4390" w:type="dxa"/>
          </w:tcPr>
          <w:p w14:paraId="1EDCDB27" w14:textId="77777777" w:rsidR="007F4B70" w:rsidRPr="00A51044" w:rsidRDefault="007F4B70" w:rsidP="00A51044">
            <w:pPr>
              <w:pStyle w:val="Heading2"/>
              <w:spacing w:before="0" w:after="120"/>
              <w:rPr>
                <w:sz w:val="22"/>
                <w:szCs w:val="22"/>
              </w:rPr>
            </w:pPr>
            <w:bookmarkStart w:id="59" w:name="_Toc115342399"/>
            <w:r w:rsidRPr="00A51044">
              <w:rPr>
                <w:sz w:val="22"/>
                <w:szCs w:val="22"/>
              </w:rPr>
              <w:t>Residents</w:t>
            </w:r>
            <w:bookmarkEnd w:id="59"/>
          </w:p>
          <w:p w14:paraId="19D03C54" w14:textId="77777777" w:rsidR="007F4B70" w:rsidRPr="00712E68" w:rsidRDefault="007F4B70" w:rsidP="00A51044">
            <w:pPr>
              <w:spacing w:after="120" w:line="256" w:lineRule="auto"/>
              <w:rPr>
                <w:szCs w:val="22"/>
              </w:rPr>
            </w:pPr>
            <w:r w:rsidRPr="00712E68">
              <w:rPr>
                <w:szCs w:val="22"/>
              </w:rPr>
              <w:t>If a resident has been exposed to a COVID-19 case:</w:t>
            </w:r>
          </w:p>
          <w:p w14:paraId="64A7137B" w14:textId="6A3C9706" w:rsidR="007F4B70" w:rsidRPr="00712E68" w:rsidRDefault="007F4B70" w:rsidP="00A51044">
            <w:pPr>
              <w:pStyle w:val="ListParagraph"/>
              <w:numPr>
                <w:ilvl w:val="0"/>
                <w:numId w:val="34"/>
              </w:numPr>
              <w:spacing w:after="120" w:line="256" w:lineRule="auto"/>
              <w:rPr>
                <w:szCs w:val="22"/>
              </w:rPr>
            </w:pPr>
            <w:r w:rsidRPr="00712E68">
              <w:rPr>
                <w:szCs w:val="22"/>
              </w:rPr>
              <w:t xml:space="preserve">in </w:t>
            </w:r>
            <w:bookmarkStart w:id="60" w:name="_Hlk91855164"/>
            <w:r w:rsidRPr="00712E68">
              <w:rPr>
                <w:bCs/>
                <w:szCs w:val="22"/>
              </w:rPr>
              <w:t xml:space="preserve">a </w:t>
            </w:r>
            <w:r w:rsidRPr="00712E68">
              <w:rPr>
                <w:szCs w:val="22"/>
              </w:rPr>
              <w:t>shared defined area (e.g., prolonged contact during activity, co-located in a wing of a facility) and/or</w:t>
            </w:r>
          </w:p>
          <w:p w14:paraId="78A33746" w14:textId="317AC2E2" w:rsidR="007F4B70" w:rsidRPr="00712E68" w:rsidRDefault="007F4B70" w:rsidP="00A51044">
            <w:pPr>
              <w:pStyle w:val="ListParagraph"/>
              <w:numPr>
                <w:ilvl w:val="0"/>
                <w:numId w:val="34"/>
              </w:numPr>
              <w:spacing w:after="120" w:line="256" w:lineRule="auto"/>
              <w:rPr>
                <w:szCs w:val="22"/>
              </w:rPr>
            </w:pPr>
            <w:r w:rsidRPr="00712E68">
              <w:rPr>
                <w:szCs w:val="22"/>
              </w:rPr>
              <w:t>who have had household-like exposure with a case during their infectious period</w:t>
            </w:r>
            <w:bookmarkEnd w:id="60"/>
            <w:r w:rsidRPr="00712E68">
              <w:rPr>
                <w:szCs w:val="22"/>
              </w:rPr>
              <w:t xml:space="preserve">, </w:t>
            </w:r>
            <w:proofErr w:type="gramStart"/>
            <w:r w:rsidRPr="00712E68">
              <w:rPr>
                <w:szCs w:val="22"/>
              </w:rPr>
              <w:t>or</w:t>
            </w:r>
            <w:proofErr w:type="gramEnd"/>
          </w:p>
          <w:p w14:paraId="288C7C01" w14:textId="2CE6E890" w:rsidR="007F4B70" w:rsidRPr="00712E68" w:rsidRDefault="007F4B70" w:rsidP="00A51044">
            <w:pPr>
              <w:pStyle w:val="ListParagraph"/>
              <w:numPr>
                <w:ilvl w:val="0"/>
                <w:numId w:val="34"/>
              </w:numPr>
              <w:spacing w:after="120" w:line="256" w:lineRule="auto"/>
              <w:rPr>
                <w:rFonts w:eastAsiaTheme="minorHAnsi"/>
                <w:szCs w:val="22"/>
              </w:rPr>
            </w:pPr>
            <w:r w:rsidRPr="00712E68">
              <w:rPr>
                <w:szCs w:val="22"/>
              </w:rPr>
              <w:t>outbreak</w:t>
            </w:r>
            <w:r w:rsidR="00D14C00">
              <w:rPr>
                <w:szCs w:val="22"/>
              </w:rPr>
              <w:t>-</w:t>
            </w:r>
            <w:r w:rsidRPr="00712E68">
              <w:rPr>
                <w:szCs w:val="22"/>
              </w:rPr>
              <w:t>related contact</w:t>
            </w:r>
            <w:r w:rsidR="00D14C00">
              <w:rPr>
                <w:szCs w:val="22"/>
              </w:rPr>
              <w:t xml:space="preserve"> (</w:t>
            </w:r>
            <w:r w:rsidR="006D7F73">
              <w:rPr>
                <w:szCs w:val="22"/>
              </w:rPr>
              <w:t>e.g.,</w:t>
            </w:r>
            <w:r w:rsidR="00B040EE">
              <w:rPr>
                <w:szCs w:val="22"/>
              </w:rPr>
              <w:t xml:space="preserve"> </w:t>
            </w:r>
            <w:r w:rsidR="00D14C00">
              <w:rPr>
                <w:szCs w:val="22"/>
              </w:rPr>
              <w:t>cases in the same ward / wing / zone with unknown exposure)</w:t>
            </w:r>
            <w:r w:rsidRPr="00712E68">
              <w:rPr>
                <w:szCs w:val="22"/>
              </w:rPr>
              <w:t>.</w:t>
            </w:r>
          </w:p>
          <w:p w14:paraId="307E0AB4" w14:textId="77777777" w:rsidR="007F4B70" w:rsidRPr="00A51044" w:rsidRDefault="007F4B70" w:rsidP="00A51044">
            <w:pPr>
              <w:spacing w:after="120" w:line="256" w:lineRule="auto"/>
              <w:rPr>
                <w:b/>
                <w:bCs/>
                <w:sz w:val="20"/>
                <w:szCs w:val="20"/>
              </w:rPr>
            </w:pPr>
            <w:r w:rsidRPr="00712E68">
              <w:rPr>
                <w:b/>
                <w:bCs/>
                <w:szCs w:val="22"/>
              </w:rPr>
              <w:t>Note: the risk of transmission should be managed whilst balancing the risk related to social isolation and deconditioning through application of the least restrictive controls appropriate.</w:t>
            </w:r>
          </w:p>
        </w:tc>
        <w:tc>
          <w:tcPr>
            <w:tcW w:w="5254" w:type="dxa"/>
            <w:tcMar>
              <w:top w:w="15" w:type="dxa"/>
              <w:left w:w="15" w:type="dxa"/>
              <w:bottom w:w="15" w:type="dxa"/>
              <w:right w:w="15" w:type="dxa"/>
            </w:tcMar>
            <w:hideMark/>
          </w:tcPr>
          <w:p w14:paraId="6E6D7B25" w14:textId="77777777" w:rsidR="007F4B70" w:rsidRPr="00712E68" w:rsidRDefault="007F4B70" w:rsidP="00A51044">
            <w:pPr>
              <w:pStyle w:val="ListParagraph"/>
              <w:numPr>
                <w:ilvl w:val="0"/>
                <w:numId w:val="35"/>
              </w:numPr>
              <w:spacing w:after="120" w:line="256" w:lineRule="auto"/>
              <w:rPr>
                <w:szCs w:val="22"/>
              </w:rPr>
            </w:pPr>
            <w:r w:rsidRPr="00712E68">
              <w:rPr>
                <w:szCs w:val="22"/>
              </w:rPr>
              <w:t xml:space="preserve">Quarantine for 7 days </w:t>
            </w:r>
          </w:p>
          <w:p w14:paraId="791A3FE3" w14:textId="77777777" w:rsidR="007F4B70" w:rsidRPr="00712E68" w:rsidRDefault="007F4B70" w:rsidP="00A51044">
            <w:pPr>
              <w:pStyle w:val="ListParagraph"/>
              <w:numPr>
                <w:ilvl w:val="0"/>
                <w:numId w:val="35"/>
              </w:numPr>
              <w:spacing w:after="120" w:line="256" w:lineRule="auto"/>
              <w:rPr>
                <w:szCs w:val="22"/>
              </w:rPr>
            </w:pPr>
            <w:r w:rsidRPr="00712E68">
              <w:rPr>
                <w:szCs w:val="22"/>
              </w:rPr>
              <w:t xml:space="preserve">Test (PCR/RAT) Day 2 and Day 6 </w:t>
            </w:r>
          </w:p>
          <w:p w14:paraId="7F11D4A2" w14:textId="77777777" w:rsidR="007F4B70" w:rsidRPr="00712E68" w:rsidRDefault="007F4B70" w:rsidP="00A51044">
            <w:pPr>
              <w:spacing w:after="120" w:line="256" w:lineRule="auto"/>
              <w:ind w:left="136"/>
              <w:rPr>
                <w:b/>
                <w:bCs/>
                <w:szCs w:val="22"/>
              </w:rPr>
            </w:pPr>
            <w:r w:rsidRPr="00712E68">
              <w:rPr>
                <w:b/>
                <w:bCs/>
                <w:szCs w:val="22"/>
              </w:rPr>
              <w:t>OR</w:t>
            </w:r>
          </w:p>
          <w:p w14:paraId="6A173DB7" w14:textId="1EEB62CB" w:rsidR="007F4B70" w:rsidRPr="00712E68" w:rsidRDefault="007F4B70" w:rsidP="00A51044">
            <w:pPr>
              <w:spacing w:after="120" w:line="256" w:lineRule="auto"/>
              <w:ind w:left="136"/>
              <w:rPr>
                <w:szCs w:val="22"/>
              </w:rPr>
            </w:pPr>
            <w:r w:rsidRPr="00712E68">
              <w:rPr>
                <w:szCs w:val="22"/>
              </w:rPr>
              <w:t xml:space="preserve">Consider </w:t>
            </w:r>
            <w:r w:rsidR="003962B1">
              <w:rPr>
                <w:szCs w:val="22"/>
              </w:rPr>
              <w:t xml:space="preserve">allowing </w:t>
            </w:r>
            <w:r w:rsidRPr="00712E68">
              <w:rPr>
                <w:szCs w:val="22"/>
              </w:rPr>
              <w:t xml:space="preserve">residents to leave room after risk assessment, </w:t>
            </w:r>
            <w:r w:rsidRPr="00712E68">
              <w:rPr>
                <w:szCs w:val="22"/>
                <w:u w:val="single"/>
              </w:rPr>
              <w:t>with</w:t>
            </w:r>
            <w:r w:rsidRPr="00712E68">
              <w:rPr>
                <w:szCs w:val="22"/>
              </w:rPr>
              <w:t xml:space="preserve"> </w:t>
            </w:r>
          </w:p>
          <w:p w14:paraId="18A780DB" w14:textId="2308E7BB" w:rsidR="007F4B70" w:rsidRPr="00712E68" w:rsidRDefault="007F4B70" w:rsidP="00A51044">
            <w:pPr>
              <w:pStyle w:val="ListParagraph"/>
              <w:numPr>
                <w:ilvl w:val="0"/>
                <w:numId w:val="36"/>
              </w:numPr>
              <w:spacing w:after="120" w:line="256" w:lineRule="auto"/>
              <w:rPr>
                <w:szCs w:val="22"/>
              </w:rPr>
            </w:pPr>
            <w:r w:rsidRPr="00712E68">
              <w:rPr>
                <w:szCs w:val="22"/>
              </w:rPr>
              <w:t>Baseline and Day 6 PCR</w:t>
            </w:r>
            <w:r w:rsidR="00A514C9">
              <w:rPr>
                <w:szCs w:val="22"/>
              </w:rPr>
              <w:t>, or</w:t>
            </w:r>
          </w:p>
          <w:p w14:paraId="6D071032" w14:textId="77777777" w:rsidR="007F4B70" w:rsidRPr="00712E68" w:rsidRDefault="007F4B70" w:rsidP="00A51044">
            <w:pPr>
              <w:pStyle w:val="ListParagraph"/>
              <w:numPr>
                <w:ilvl w:val="0"/>
                <w:numId w:val="36"/>
              </w:numPr>
              <w:spacing w:after="120" w:line="256" w:lineRule="auto"/>
              <w:rPr>
                <w:szCs w:val="22"/>
              </w:rPr>
            </w:pPr>
            <w:r w:rsidRPr="00712E68">
              <w:rPr>
                <w:szCs w:val="22"/>
              </w:rPr>
              <w:t>RAT at least every second day from Day 0-7</w:t>
            </w:r>
          </w:p>
          <w:p w14:paraId="430548AC" w14:textId="77777777" w:rsidR="007F4B70" w:rsidRPr="00712E68" w:rsidRDefault="007F4B70" w:rsidP="00A51044">
            <w:pPr>
              <w:spacing w:after="120" w:line="256" w:lineRule="auto"/>
              <w:ind w:left="136"/>
              <w:rPr>
                <w:b/>
                <w:bCs/>
                <w:szCs w:val="22"/>
              </w:rPr>
            </w:pPr>
            <w:r w:rsidRPr="00712E68">
              <w:rPr>
                <w:b/>
                <w:bCs/>
                <w:szCs w:val="22"/>
              </w:rPr>
              <w:t xml:space="preserve">Release from quarantine: </w:t>
            </w:r>
          </w:p>
          <w:p w14:paraId="3CC1C7B9" w14:textId="07D0BBF8" w:rsidR="007F4B70" w:rsidRPr="00712E68" w:rsidRDefault="00707B46" w:rsidP="00A51044">
            <w:pPr>
              <w:pStyle w:val="ListParagraph"/>
              <w:numPr>
                <w:ilvl w:val="0"/>
                <w:numId w:val="37"/>
              </w:numPr>
              <w:spacing w:after="120" w:line="256" w:lineRule="auto"/>
              <w:rPr>
                <w:szCs w:val="22"/>
              </w:rPr>
            </w:pPr>
            <w:r>
              <w:rPr>
                <w:szCs w:val="22"/>
              </w:rPr>
              <w:t xml:space="preserve">After </w:t>
            </w:r>
            <w:r w:rsidR="007F4B70" w:rsidRPr="00712E68">
              <w:rPr>
                <w:szCs w:val="22"/>
              </w:rPr>
              <w:t xml:space="preserve">Day 7 on Day 6 negative result </w:t>
            </w:r>
          </w:p>
          <w:p w14:paraId="3D99CDEB" w14:textId="1B2514F2" w:rsidR="007F4B70" w:rsidRPr="00712E68" w:rsidRDefault="007F4B70" w:rsidP="00A51044">
            <w:pPr>
              <w:pStyle w:val="ListParagraph"/>
              <w:numPr>
                <w:ilvl w:val="0"/>
                <w:numId w:val="37"/>
              </w:numPr>
              <w:spacing w:after="120" w:line="256" w:lineRule="auto"/>
              <w:rPr>
                <w:szCs w:val="22"/>
              </w:rPr>
            </w:pPr>
            <w:r w:rsidRPr="00712E68">
              <w:rPr>
                <w:szCs w:val="22"/>
              </w:rPr>
              <w:t>If symptoms develop</w:t>
            </w:r>
            <w:r w:rsidR="002F3FD2">
              <w:rPr>
                <w:szCs w:val="22"/>
              </w:rPr>
              <w:t>,</w:t>
            </w:r>
            <w:r w:rsidRPr="00712E68">
              <w:rPr>
                <w:szCs w:val="22"/>
              </w:rPr>
              <w:t xml:space="preserve"> RAT and</w:t>
            </w:r>
            <w:r w:rsidR="00422EA9">
              <w:rPr>
                <w:szCs w:val="22"/>
              </w:rPr>
              <w:t>,</w:t>
            </w:r>
            <w:r w:rsidRPr="00712E68">
              <w:rPr>
                <w:szCs w:val="22"/>
              </w:rPr>
              <w:t xml:space="preserve"> </w:t>
            </w:r>
            <w:r w:rsidR="00213053">
              <w:rPr>
                <w:szCs w:val="22"/>
              </w:rPr>
              <w:t>if negative</w:t>
            </w:r>
            <w:r w:rsidR="00422EA9">
              <w:rPr>
                <w:szCs w:val="22"/>
              </w:rPr>
              <w:t>,</w:t>
            </w:r>
            <w:r w:rsidR="00213053">
              <w:rPr>
                <w:szCs w:val="22"/>
              </w:rPr>
              <w:t xml:space="preserve"> </w:t>
            </w:r>
            <w:r w:rsidRPr="00712E68">
              <w:rPr>
                <w:szCs w:val="22"/>
              </w:rPr>
              <w:t>PCR.</w:t>
            </w:r>
          </w:p>
        </w:tc>
      </w:tr>
    </w:tbl>
    <w:p w14:paraId="78FE6460" w14:textId="77777777" w:rsidR="007F4B70" w:rsidRDefault="007F4B70" w:rsidP="007F4B70">
      <w:pPr>
        <w:rPr>
          <w:sz w:val="20"/>
        </w:rPr>
      </w:pPr>
    </w:p>
    <w:bookmarkEnd w:id="53"/>
    <w:bookmarkEnd w:id="54"/>
    <w:p w14:paraId="15BE4878" w14:textId="77777777" w:rsidR="00710227" w:rsidRDefault="00710227" w:rsidP="00A51044">
      <w:pPr>
        <w:spacing w:before="240" w:after="100" w:afterAutospacing="1"/>
      </w:pPr>
    </w:p>
    <w:p w14:paraId="038BC5D9" w14:textId="1347EE23" w:rsidR="00A51044" w:rsidRPr="00A51044" w:rsidRDefault="00A51044" w:rsidP="00A51044">
      <w:pPr>
        <w:pStyle w:val="Heading3"/>
        <w:spacing w:after="120"/>
        <w:rPr>
          <w:sz w:val="24"/>
          <w:szCs w:val="24"/>
        </w:rPr>
      </w:pPr>
      <w:bookmarkStart w:id="61" w:name="_Toc115342400"/>
      <w:r w:rsidRPr="00A51044">
        <w:rPr>
          <w:sz w:val="24"/>
          <w:szCs w:val="24"/>
        </w:rPr>
        <w:t xml:space="preserve">Table </w:t>
      </w:r>
      <w:r w:rsidR="0064058A">
        <w:rPr>
          <w:sz w:val="24"/>
          <w:szCs w:val="24"/>
        </w:rPr>
        <w:t>3.</w:t>
      </w:r>
      <w:r w:rsidRPr="00A51044">
        <w:rPr>
          <w:sz w:val="24"/>
          <w:szCs w:val="24"/>
        </w:rPr>
        <w:t xml:space="preserve"> </w:t>
      </w:r>
      <w:r w:rsidR="00B60211">
        <w:rPr>
          <w:sz w:val="24"/>
          <w:szCs w:val="24"/>
        </w:rPr>
        <w:t xml:space="preserve">Suggested </w:t>
      </w:r>
      <w:r w:rsidR="00055451">
        <w:rPr>
          <w:sz w:val="24"/>
          <w:szCs w:val="24"/>
        </w:rPr>
        <w:t xml:space="preserve">approaches to </w:t>
      </w:r>
      <w:r w:rsidR="00B60211">
        <w:rPr>
          <w:sz w:val="24"/>
          <w:szCs w:val="24"/>
        </w:rPr>
        <w:t>m</w:t>
      </w:r>
      <w:r w:rsidRPr="00A51044">
        <w:rPr>
          <w:sz w:val="24"/>
          <w:szCs w:val="24"/>
        </w:rPr>
        <w:t>anagement of an outbreak of COVID-19 in residential care facilities</w:t>
      </w:r>
      <w:bookmarkEnd w:id="61"/>
    </w:p>
    <w:tbl>
      <w:tblPr>
        <w:tblStyle w:val="TableGrid"/>
        <w:tblW w:w="0" w:type="auto"/>
        <w:tblInd w:w="-5" w:type="dxa"/>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Look w:val="04A0" w:firstRow="1" w:lastRow="0" w:firstColumn="1" w:lastColumn="0" w:noHBand="0" w:noVBand="1"/>
      </w:tblPr>
      <w:tblGrid>
        <w:gridCol w:w="2977"/>
        <w:gridCol w:w="6044"/>
      </w:tblGrid>
      <w:tr w:rsidR="00A51044" w14:paraId="7EE5D430" w14:textId="77777777" w:rsidTr="00712E68">
        <w:trPr>
          <w:trHeight w:val="454"/>
        </w:trPr>
        <w:tc>
          <w:tcPr>
            <w:tcW w:w="2977" w:type="dxa"/>
            <w:shd w:val="clear" w:color="auto" w:fill="358189" w:themeFill="accent2"/>
            <w:hideMark/>
          </w:tcPr>
          <w:p w14:paraId="2431B95A" w14:textId="77777777" w:rsidR="00A51044" w:rsidRPr="00A51044" w:rsidRDefault="00A51044" w:rsidP="00A51044">
            <w:pPr>
              <w:spacing w:after="120"/>
              <w:rPr>
                <w:rFonts w:cs="Arial"/>
                <w:b/>
                <w:color w:val="FFFFFF" w:themeColor="background1"/>
                <w:szCs w:val="20"/>
                <w:lang w:eastAsia="en-AU"/>
              </w:rPr>
            </w:pPr>
            <w:r w:rsidRPr="00A51044">
              <w:rPr>
                <w:rFonts w:cs="Arial"/>
                <w:b/>
                <w:color w:val="FFFFFF" w:themeColor="background1"/>
                <w:szCs w:val="20"/>
                <w:lang w:eastAsia="en-AU"/>
              </w:rPr>
              <w:t>Outbreak Situation</w:t>
            </w:r>
          </w:p>
        </w:tc>
        <w:tc>
          <w:tcPr>
            <w:tcW w:w="6044" w:type="dxa"/>
            <w:shd w:val="clear" w:color="auto" w:fill="358189" w:themeFill="accent2"/>
            <w:hideMark/>
          </w:tcPr>
          <w:p w14:paraId="22A068EB" w14:textId="77777777" w:rsidR="00A51044" w:rsidRPr="00A51044" w:rsidRDefault="00A51044" w:rsidP="00A51044">
            <w:pPr>
              <w:spacing w:after="120"/>
              <w:rPr>
                <w:rFonts w:cs="Arial"/>
                <w:b/>
                <w:color w:val="FFFFFF" w:themeColor="background1"/>
                <w:szCs w:val="20"/>
                <w:lang w:eastAsia="en-AU"/>
              </w:rPr>
            </w:pPr>
            <w:r w:rsidRPr="00A51044">
              <w:rPr>
                <w:rFonts w:cs="Arial"/>
                <w:b/>
                <w:color w:val="FFFFFF" w:themeColor="background1"/>
                <w:szCs w:val="20"/>
                <w:lang w:eastAsia="en-AU"/>
              </w:rPr>
              <w:t xml:space="preserve">Testing, isolation, </w:t>
            </w:r>
            <w:proofErr w:type="gramStart"/>
            <w:r w:rsidRPr="00A51044">
              <w:rPr>
                <w:rFonts w:cs="Arial"/>
                <w:b/>
                <w:color w:val="FFFFFF" w:themeColor="background1"/>
                <w:szCs w:val="20"/>
                <w:lang w:eastAsia="en-AU"/>
              </w:rPr>
              <w:t>IPC</w:t>
            </w:r>
            <w:proofErr w:type="gramEnd"/>
            <w:r w:rsidRPr="00A51044">
              <w:rPr>
                <w:rFonts w:cs="Arial"/>
                <w:b/>
                <w:color w:val="FFFFFF" w:themeColor="background1"/>
                <w:szCs w:val="20"/>
                <w:lang w:eastAsia="en-AU"/>
              </w:rPr>
              <w:t xml:space="preserve"> and closure</w:t>
            </w:r>
          </w:p>
        </w:tc>
      </w:tr>
      <w:tr w:rsidR="00A51044" w14:paraId="0201AB8B" w14:textId="77777777" w:rsidTr="00712E68">
        <w:tc>
          <w:tcPr>
            <w:tcW w:w="2977" w:type="dxa"/>
            <w:hideMark/>
          </w:tcPr>
          <w:p w14:paraId="520A26F4" w14:textId="77777777" w:rsidR="00A51044" w:rsidRPr="00A51044" w:rsidRDefault="00A51044" w:rsidP="00712E68">
            <w:pPr>
              <w:spacing w:after="120"/>
              <w:rPr>
                <w:b/>
                <w:bCs/>
                <w:color w:val="358189" w:themeColor="accent2"/>
                <w:szCs w:val="22"/>
                <w:lang w:val="en-US" w:eastAsia="en-AU"/>
              </w:rPr>
            </w:pPr>
            <w:r w:rsidRPr="00A51044">
              <w:rPr>
                <w:b/>
                <w:bCs/>
                <w:color w:val="358189" w:themeColor="accent2"/>
                <w:szCs w:val="22"/>
                <w:lang w:val="en-US" w:eastAsia="en-AU"/>
              </w:rPr>
              <w:t>Simple</w:t>
            </w:r>
          </w:p>
          <w:p w14:paraId="6A853FAC" w14:textId="5EADB2DC" w:rsidR="00A51044" w:rsidRPr="00A51044" w:rsidRDefault="00A51044">
            <w:pPr>
              <w:spacing w:after="120"/>
              <w:rPr>
                <w:szCs w:val="22"/>
                <w:lang w:val="en-US" w:eastAsia="en-AU"/>
              </w:rPr>
            </w:pPr>
            <w:r w:rsidRPr="00A51044">
              <w:rPr>
                <w:szCs w:val="22"/>
                <w:lang w:val="en-US" w:eastAsia="en-AU"/>
              </w:rPr>
              <w:t>Cases arising from single / known exposure and</w:t>
            </w:r>
            <w:r w:rsidR="00055451">
              <w:rPr>
                <w:szCs w:val="22"/>
                <w:lang w:val="en-US" w:eastAsia="en-AU"/>
              </w:rPr>
              <w:t>/or</w:t>
            </w:r>
            <w:r w:rsidRPr="00A51044">
              <w:rPr>
                <w:szCs w:val="22"/>
                <w:lang w:val="en-US" w:eastAsia="en-AU"/>
              </w:rPr>
              <w:t xml:space="preserve"> limited to </w:t>
            </w:r>
            <w:r w:rsidR="00055451">
              <w:rPr>
                <w:szCs w:val="22"/>
                <w:lang w:val="en-US" w:eastAsia="en-AU"/>
              </w:rPr>
              <w:t xml:space="preserve">a few cases in </w:t>
            </w:r>
            <w:r w:rsidRPr="00A51044">
              <w:rPr>
                <w:szCs w:val="22"/>
                <w:lang w:val="en-US" w:eastAsia="en-AU"/>
              </w:rPr>
              <w:t>one area of the facility</w:t>
            </w:r>
            <w:r w:rsidR="00055451">
              <w:rPr>
                <w:szCs w:val="22"/>
                <w:lang w:val="en-US" w:eastAsia="en-AU"/>
              </w:rPr>
              <w:t xml:space="preserve"> and</w:t>
            </w:r>
            <w:r w:rsidR="00422EA9">
              <w:rPr>
                <w:szCs w:val="22"/>
                <w:lang w:val="en-US" w:eastAsia="en-AU"/>
              </w:rPr>
              <w:t>/or</w:t>
            </w:r>
            <w:r w:rsidRPr="00A51044">
              <w:rPr>
                <w:szCs w:val="22"/>
                <w:lang w:val="en-US" w:eastAsia="en-AU"/>
              </w:rPr>
              <w:t xml:space="preserve"> </w:t>
            </w:r>
            <w:r w:rsidR="00055451">
              <w:rPr>
                <w:szCs w:val="22"/>
                <w:lang w:val="en-US" w:eastAsia="en-AU"/>
              </w:rPr>
              <w:t xml:space="preserve">limited </w:t>
            </w:r>
            <w:r w:rsidRPr="00A51044">
              <w:rPr>
                <w:szCs w:val="22"/>
                <w:lang w:val="en-US" w:eastAsia="en-AU"/>
              </w:rPr>
              <w:t>secondary transmission.</w:t>
            </w:r>
          </w:p>
        </w:tc>
        <w:tc>
          <w:tcPr>
            <w:tcW w:w="6044" w:type="dxa"/>
            <w:hideMark/>
          </w:tcPr>
          <w:p w14:paraId="14E88BF1" w14:textId="48B3916A" w:rsidR="00A51044" w:rsidRPr="00712E68" w:rsidRDefault="00A51044" w:rsidP="00712E68">
            <w:pPr>
              <w:pStyle w:val="ListParagraph"/>
              <w:numPr>
                <w:ilvl w:val="0"/>
                <w:numId w:val="39"/>
              </w:numPr>
              <w:spacing w:after="120"/>
              <w:ind w:left="459"/>
              <w:rPr>
                <w:szCs w:val="22"/>
                <w:lang w:val="en-US" w:eastAsia="en-AU"/>
              </w:rPr>
            </w:pPr>
            <w:r w:rsidRPr="00712E68">
              <w:rPr>
                <w:szCs w:val="22"/>
                <w:lang w:val="en-US" w:eastAsia="en-AU"/>
              </w:rPr>
              <w:t xml:space="preserve">Cases isolate for 7 days as per </w:t>
            </w:r>
            <w:hyperlink w:anchor="_Appendix_1:_COVID-19" w:history="1">
              <w:r w:rsidRPr="00303EDC">
                <w:rPr>
                  <w:rStyle w:val="Hyperlink"/>
                  <w:szCs w:val="22"/>
                  <w:lang w:val="en-US" w:eastAsia="en-AU"/>
                </w:rPr>
                <w:t>Table 1</w:t>
              </w:r>
            </w:hyperlink>
            <w:r w:rsidRPr="00712E68">
              <w:rPr>
                <w:szCs w:val="22"/>
                <w:lang w:val="en-US" w:eastAsia="en-AU"/>
              </w:rPr>
              <w:t xml:space="preserve"> </w:t>
            </w:r>
            <w:r w:rsidR="00D14C00">
              <w:rPr>
                <w:szCs w:val="22"/>
                <w:lang w:val="en-US" w:eastAsia="en-AU"/>
              </w:rPr>
              <w:t xml:space="preserve">(Case and Contact Management) </w:t>
            </w:r>
            <w:r w:rsidR="006A480A">
              <w:rPr>
                <w:szCs w:val="22"/>
                <w:lang w:val="en-US" w:eastAsia="en-AU"/>
              </w:rPr>
              <w:t xml:space="preserve">and </w:t>
            </w:r>
            <w:r w:rsidR="00B60211">
              <w:rPr>
                <w:szCs w:val="22"/>
                <w:lang w:val="en-US" w:eastAsia="en-AU"/>
              </w:rPr>
              <w:t>CD</w:t>
            </w:r>
            <w:r w:rsidR="003962B1">
              <w:rPr>
                <w:szCs w:val="22"/>
                <w:lang w:val="en-US" w:eastAsia="en-AU"/>
              </w:rPr>
              <w:t>N</w:t>
            </w:r>
            <w:r w:rsidR="00B60211">
              <w:rPr>
                <w:szCs w:val="22"/>
                <w:lang w:val="en-US" w:eastAsia="en-AU"/>
              </w:rPr>
              <w:t>A Series of National Guidelines (</w:t>
            </w:r>
            <w:r w:rsidR="00B60211" w:rsidRPr="00712E68">
              <w:rPr>
                <w:szCs w:val="22"/>
                <w:lang w:val="en-US" w:eastAsia="en-AU"/>
              </w:rPr>
              <w:t>SoNG</w:t>
            </w:r>
            <w:r w:rsidR="00B60211">
              <w:rPr>
                <w:szCs w:val="22"/>
                <w:lang w:val="en-US" w:eastAsia="en-AU"/>
              </w:rPr>
              <w:t>) on COVID-19</w:t>
            </w:r>
            <w:r w:rsidRPr="00712E68">
              <w:rPr>
                <w:szCs w:val="22"/>
                <w:lang w:val="en-US" w:eastAsia="en-AU"/>
              </w:rPr>
              <w:t xml:space="preserve">. </w:t>
            </w:r>
          </w:p>
          <w:p w14:paraId="384D69F4" w14:textId="2BDE7423" w:rsidR="00A51044" w:rsidRPr="00712E68" w:rsidRDefault="00A51044" w:rsidP="00712E68">
            <w:pPr>
              <w:pStyle w:val="ListParagraph"/>
              <w:numPr>
                <w:ilvl w:val="0"/>
                <w:numId w:val="39"/>
              </w:numPr>
              <w:spacing w:after="120"/>
              <w:ind w:left="459"/>
              <w:rPr>
                <w:szCs w:val="22"/>
                <w:lang w:val="en-US" w:eastAsia="en-AU"/>
              </w:rPr>
            </w:pPr>
            <w:r w:rsidRPr="00712E68">
              <w:rPr>
                <w:szCs w:val="22"/>
                <w:lang w:val="en-US" w:eastAsia="en-AU"/>
              </w:rPr>
              <w:t>Baseline and D</w:t>
            </w:r>
            <w:r w:rsidR="00B60211">
              <w:rPr>
                <w:szCs w:val="22"/>
                <w:lang w:val="en-US" w:eastAsia="en-AU"/>
              </w:rPr>
              <w:t xml:space="preserve">ay </w:t>
            </w:r>
            <w:r w:rsidRPr="00712E68">
              <w:rPr>
                <w:szCs w:val="22"/>
                <w:lang w:val="en-US" w:eastAsia="en-AU"/>
              </w:rPr>
              <w:t xml:space="preserve">6 </w:t>
            </w:r>
            <w:r w:rsidR="00B60211">
              <w:rPr>
                <w:szCs w:val="22"/>
                <w:lang w:val="en-US" w:eastAsia="en-AU"/>
              </w:rPr>
              <w:t xml:space="preserve">(D6) </w:t>
            </w:r>
            <w:r w:rsidRPr="00712E68">
              <w:rPr>
                <w:szCs w:val="22"/>
                <w:lang w:val="en-US" w:eastAsia="en-AU"/>
              </w:rPr>
              <w:t xml:space="preserve">PCR for defined at-risk residents, </w:t>
            </w:r>
            <w:r w:rsidR="003962B1">
              <w:rPr>
                <w:szCs w:val="22"/>
                <w:lang w:val="en-US" w:eastAsia="en-AU"/>
              </w:rPr>
              <w:t>quarantine</w:t>
            </w:r>
            <w:r w:rsidR="003962B1" w:rsidRPr="00712E68">
              <w:rPr>
                <w:szCs w:val="22"/>
                <w:lang w:val="en-US" w:eastAsia="en-AU"/>
              </w:rPr>
              <w:t xml:space="preserve"> </w:t>
            </w:r>
            <w:r w:rsidRPr="00712E68">
              <w:rPr>
                <w:szCs w:val="22"/>
                <w:lang w:val="en-US" w:eastAsia="en-AU"/>
              </w:rPr>
              <w:t xml:space="preserve">in room for 7 days OR allow at-risk residents to leave room </w:t>
            </w:r>
            <w:proofErr w:type="gramStart"/>
            <w:r w:rsidRPr="00712E68">
              <w:rPr>
                <w:szCs w:val="22"/>
                <w:lang w:val="en-US" w:eastAsia="en-AU"/>
              </w:rPr>
              <w:t>as long as</w:t>
            </w:r>
            <w:proofErr w:type="gramEnd"/>
            <w:r w:rsidRPr="00712E68">
              <w:rPr>
                <w:szCs w:val="22"/>
                <w:lang w:val="en-US" w:eastAsia="en-AU"/>
              </w:rPr>
              <w:t xml:space="preserve"> </w:t>
            </w:r>
            <w:r w:rsidR="003962B1">
              <w:rPr>
                <w:szCs w:val="22"/>
                <w:lang w:val="en-US" w:eastAsia="en-AU"/>
              </w:rPr>
              <w:t xml:space="preserve">they </w:t>
            </w:r>
            <w:r w:rsidRPr="00712E68">
              <w:rPr>
                <w:szCs w:val="22"/>
                <w:lang w:val="en-US" w:eastAsia="en-AU"/>
              </w:rPr>
              <w:t xml:space="preserve">remain with residents of similar risk but with RAT testing every second day. </w:t>
            </w:r>
          </w:p>
          <w:p w14:paraId="0CE68179" w14:textId="09549EFC" w:rsidR="00A51044" w:rsidRPr="00712E68" w:rsidRDefault="00A51044" w:rsidP="00712E68">
            <w:pPr>
              <w:pStyle w:val="ListParagraph"/>
              <w:numPr>
                <w:ilvl w:val="0"/>
                <w:numId w:val="39"/>
              </w:numPr>
              <w:spacing w:after="120"/>
              <w:ind w:left="459"/>
              <w:rPr>
                <w:szCs w:val="22"/>
                <w:lang w:val="en-US" w:eastAsia="en-AU"/>
              </w:rPr>
            </w:pPr>
            <w:r w:rsidRPr="00712E68">
              <w:rPr>
                <w:szCs w:val="22"/>
                <w:lang w:val="en-US" w:eastAsia="en-AU"/>
              </w:rPr>
              <w:t xml:space="preserve">If no cases detected from D6 </w:t>
            </w:r>
            <w:r w:rsidR="00AB742A" w:rsidRPr="00712E68">
              <w:rPr>
                <w:szCs w:val="22"/>
                <w:lang w:val="en-US" w:eastAsia="en-AU"/>
              </w:rPr>
              <w:t>PCR in</w:t>
            </w:r>
            <w:r w:rsidR="00673620">
              <w:rPr>
                <w:szCs w:val="22"/>
                <w:lang w:val="en-US" w:eastAsia="en-AU"/>
              </w:rPr>
              <w:t xml:space="preserve"> </w:t>
            </w:r>
            <w:r w:rsidRPr="00712E68">
              <w:rPr>
                <w:szCs w:val="22"/>
                <w:lang w:val="en-US" w:eastAsia="en-AU"/>
              </w:rPr>
              <w:t xml:space="preserve">at-risk </w:t>
            </w:r>
            <w:proofErr w:type="gramStart"/>
            <w:r w:rsidRPr="00712E68">
              <w:rPr>
                <w:szCs w:val="22"/>
                <w:lang w:val="en-US" w:eastAsia="en-AU"/>
              </w:rPr>
              <w:t>residents</w:t>
            </w:r>
            <w:proofErr w:type="gramEnd"/>
            <w:r w:rsidRPr="00712E68">
              <w:rPr>
                <w:szCs w:val="22"/>
                <w:lang w:val="en-US" w:eastAsia="en-AU"/>
              </w:rPr>
              <w:t xml:space="preserve"> </w:t>
            </w:r>
            <w:r w:rsidR="00F637ED" w:rsidRPr="00712E68">
              <w:rPr>
                <w:szCs w:val="22"/>
                <w:lang w:val="en-US" w:eastAsia="en-AU"/>
              </w:rPr>
              <w:t xml:space="preserve">release from quarantine </w:t>
            </w:r>
            <w:r w:rsidRPr="00712E68">
              <w:rPr>
                <w:szCs w:val="22"/>
                <w:lang w:val="en-US" w:eastAsia="en-AU"/>
              </w:rPr>
              <w:t xml:space="preserve">after 7 days and outbreak may be declared over. </w:t>
            </w:r>
          </w:p>
        </w:tc>
      </w:tr>
      <w:tr w:rsidR="00A51044" w14:paraId="536632C9" w14:textId="77777777" w:rsidTr="00712E68">
        <w:tc>
          <w:tcPr>
            <w:tcW w:w="2977" w:type="dxa"/>
            <w:hideMark/>
          </w:tcPr>
          <w:p w14:paraId="2C398743" w14:textId="77777777" w:rsidR="00A51044" w:rsidRPr="00A51044" w:rsidRDefault="00A51044" w:rsidP="00712E68">
            <w:pPr>
              <w:spacing w:after="120"/>
              <w:rPr>
                <w:b/>
                <w:bCs/>
                <w:color w:val="358189" w:themeColor="accent2"/>
                <w:szCs w:val="22"/>
                <w:lang w:val="en-US" w:eastAsia="en-AU"/>
              </w:rPr>
            </w:pPr>
            <w:r w:rsidRPr="00A51044">
              <w:rPr>
                <w:b/>
                <w:bCs/>
                <w:color w:val="358189" w:themeColor="accent2"/>
                <w:szCs w:val="22"/>
                <w:lang w:val="en-US" w:eastAsia="en-AU"/>
              </w:rPr>
              <w:t>Complex</w:t>
            </w:r>
          </w:p>
          <w:p w14:paraId="3606CEC7" w14:textId="77777777" w:rsidR="00A51044" w:rsidRPr="00A51044" w:rsidRDefault="00A51044" w:rsidP="00712E68">
            <w:pPr>
              <w:spacing w:after="120"/>
              <w:rPr>
                <w:szCs w:val="22"/>
                <w:lang w:val="en-US" w:eastAsia="en-AU"/>
              </w:rPr>
            </w:pPr>
            <w:r w:rsidRPr="00A51044">
              <w:rPr>
                <w:szCs w:val="22"/>
                <w:lang w:val="en-US" w:eastAsia="en-AU"/>
              </w:rPr>
              <w:t>Poorly understood exposure, or multiple cases affecting multiple areas, or ongoing transmission, or difficultly isolating residents (</w:t>
            </w:r>
            <w:proofErr w:type="gramStart"/>
            <w:r w:rsidRPr="00A51044">
              <w:rPr>
                <w:szCs w:val="22"/>
                <w:lang w:val="en-US" w:eastAsia="en-AU"/>
              </w:rPr>
              <w:t>e.g.</w:t>
            </w:r>
            <w:proofErr w:type="gramEnd"/>
            <w:r w:rsidRPr="00A51044">
              <w:rPr>
                <w:szCs w:val="22"/>
                <w:lang w:val="en-US" w:eastAsia="en-AU"/>
              </w:rPr>
              <w:t xml:space="preserve"> dementia unit).</w:t>
            </w:r>
          </w:p>
        </w:tc>
        <w:tc>
          <w:tcPr>
            <w:tcW w:w="6044" w:type="dxa"/>
            <w:hideMark/>
          </w:tcPr>
          <w:p w14:paraId="3E376852" w14:textId="124A5438" w:rsidR="00A51044" w:rsidRPr="00712E68" w:rsidRDefault="00A51044" w:rsidP="00712E68">
            <w:pPr>
              <w:pStyle w:val="ListParagraph"/>
              <w:numPr>
                <w:ilvl w:val="0"/>
                <w:numId w:val="41"/>
              </w:numPr>
              <w:spacing w:after="120"/>
              <w:ind w:left="459"/>
              <w:rPr>
                <w:szCs w:val="22"/>
                <w:lang w:val="en-US" w:eastAsia="en-AU"/>
              </w:rPr>
            </w:pPr>
            <w:r w:rsidRPr="00712E68">
              <w:rPr>
                <w:szCs w:val="22"/>
                <w:lang w:val="en-US" w:eastAsia="en-AU"/>
              </w:rPr>
              <w:t xml:space="preserve">Cases isolate for 7 days as per </w:t>
            </w:r>
            <w:hyperlink w:anchor="_Table_1_–" w:history="1">
              <w:r w:rsidRPr="00303EDC">
                <w:rPr>
                  <w:rStyle w:val="Hyperlink"/>
                  <w:szCs w:val="22"/>
                  <w:lang w:val="en-US" w:eastAsia="en-AU"/>
                </w:rPr>
                <w:t xml:space="preserve">Table </w:t>
              </w:r>
              <w:r w:rsidR="00D14C00" w:rsidRPr="00303EDC">
                <w:rPr>
                  <w:rStyle w:val="Hyperlink"/>
                  <w:szCs w:val="22"/>
                  <w:lang w:val="en-US" w:eastAsia="en-AU"/>
                </w:rPr>
                <w:t>1</w:t>
              </w:r>
            </w:hyperlink>
            <w:r w:rsidRPr="00712E68">
              <w:rPr>
                <w:szCs w:val="22"/>
                <w:lang w:val="en-US" w:eastAsia="en-AU"/>
              </w:rPr>
              <w:t xml:space="preserve"> </w:t>
            </w:r>
            <w:r w:rsidR="006A480A">
              <w:rPr>
                <w:szCs w:val="22"/>
                <w:lang w:val="en-US" w:eastAsia="en-AU"/>
              </w:rPr>
              <w:t>(Case and Contact Management) and CNDA Series of National Guidelines (</w:t>
            </w:r>
            <w:r w:rsidR="006A480A" w:rsidRPr="00712E68">
              <w:rPr>
                <w:szCs w:val="22"/>
                <w:lang w:val="en-US" w:eastAsia="en-AU"/>
              </w:rPr>
              <w:t>SoNG</w:t>
            </w:r>
            <w:r w:rsidR="006A480A">
              <w:rPr>
                <w:szCs w:val="22"/>
                <w:lang w:val="en-US" w:eastAsia="en-AU"/>
              </w:rPr>
              <w:t>) on COVID-19</w:t>
            </w:r>
            <w:r w:rsidR="006A480A" w:rsidRPr="00712E68">
              <w:rPr>
                <w:szCs w:val="22"/>
                <w:lang w:val="en-US" w:eastAsia="en-AU"/>
              </w:rPr>
              <w:t xml:space="preserve">. </w:t>
            </w:r>
          </w:p>
          <w:p w14:paraId="6EA9E09C" w14:textId="0D0CB82F" w:rsidR="00A51044" w:rsidRPr="00712E68" w:rsidRDefault="00A51044" w:rsidP="00712E68">
            <w:pPr>
              <w:pStyle w:val="ListParagraph"/>
              <w:numPr>
                <w:ilvl w:val="0"/>
                <w:numId w:val="41"/>
              </w:numPr>
              <w:spacing w:after="120"/>
              <w:ind w:left="459"/>
              <w:rPr>
                <w:szCs w:val="22"/>
                <w:lang w:val="en-US" w:eastAsia="en-AU"/>
              </w:rPr>
            </w:pPr>
            <w:r w:rsidRPr="00712E68">
              <w:rPr>
                <w:szCs w:val="22"/>
                <w:lang w:val="en-US" w:eastAsia="en-AU"/>
              </w:rPr>
              <w:t xml:space="preserve">At-risk residents in affected areas should remain in </w:t>
            </w:r>
            <w:r w:rsidR="00F637ED">
              <w:rPr>
                <w:szCs w:val="22"/>
                <w:lang w:val="en-US" w:eastAsia="en-AU"/>
              </w:rPr>
              <w:t>quarantine</w:t>
            </w:r>
            <w:r w:rsidRPr="00712E68">
              <w:rPr>
                <w:szCs w:val="22"/>
                <w:lang w:val="en-US" w:eastAsia="en-AU"/>
              </w:rPr>
              <w:t xml:space="preserve">. Develop a regular schedule of testing in the affected zone </w:t>
            </w:r>
            <w:r w:rsidR="006D0759">
              <w:rPr>
                <w:szCs w:val="22"/>
                <w:lang w:val="en-US" w:eastAsia="en-AU"/>
              </w:rPr>
              <w:t>for</w:t>
            </w:r>
            <w:r w:rsidRPr="00712E68">
              <w:rPr>
                <w:szCs w:val="22"/>
                <w:lang w:val="en-US" w:eastAsia="en-AU"/>
              </w:rPr>
              <w:t xml:space="preserve"> negative at-risk residents every 72</w:t>
            </w:r>
            <w:r w:rsidR="00C35FBC">
              <w:rPr>
                <w:rFonts w:cs="Arial"/>
                <w:sz w:val="18"/>
                <w:szCs w:val="18"/>
              </w:rPr>
              <w:t> </w:t>
            </w:r>
            <w:r w:rsidRPr="00712E68">
              <w:rPr>
                <w:szCs w:val="22"/>
                <w:lang w:val="en-US" w:eastAsia="en-AU"/>
              </w:rPr>
              <w:t xml:space="preserve">hours by RAT </w:t>
            </w:r>
            <w:r w:rsidR="001307FF">
              <w:rPr>
                <w:szCs w:val="22"/>
                <w:lang w:val="en-US" w:eastAsia="en-AU"/>
              </w:rPr>
              <w:t>(</w:t>
            </w:r>
            <w:r w:rsidRPr="00712E68">
              <w:rPr>
                <w:szCs w:val="22"/>
                <w:lang w:val="en-US" w:eastAsia="en-AU"/>
              </w:rPr>
              <w:t>or PCR</w:t>
            </w:r>
            <w:r w:rsidR="001307FF">
              <w:rPr>
                <w:szCs w:val="22"/>
                <w:lang w:val="en-US" w:eastAsia="en-AU"/>
              </w:rPr>
              <w:t>)</w:t>
            </w:r>
            <w:r w:rsidRPr="00712E68">
              <w:rPr>
                <w:szCs w:val="22"/>
                <w:lang w:val="en-US" w:eastAsia="en-AU"/>
              </w:rPr>
              <w:t xml:space="preserve"> and continue until 7 days after the last case. </w:t>
            </w:r>
          </w:p>
          <w:p w14:paraId="061AC42D" w14:textId="3C028DA2" w:rsidR="00A51044" w:rsidRPr="00712E68" w:rsidRDefault="00A51044" w:rsidP="00712E68">
            <w:pPr>
              <w:pStyle w:val="ListParagraph"/>
              <w:numPr>
                <w:ilvl w:val="0"/>
                <w:numId w:val="41"/>
              </w:numPr>
              <w:spacing w:after="120"/>
              <w:ind w:left="459"/>
              <w:rPr>
                <w:szCs w:val="22"/>
                <w:lang w:val="en-US" w:eastAsia="en-AU"/>
              </w:rPr>
            </w:pPr>
            <w:r w:rsidRPr="00712E68">
              <w:rPr>
                <w:szCs w:val="22"/>
                <w:lang w:val="en-US" w:eastAsia="en-AU"/>
              </w:rPr>
              <w:t xml:space="preserve">Declare outbreak over 7 days after the last positive </w:t>
            </w:r>
            <w:r w:rsidR="00673620">
              <w:rPr>
                <w:szCs w:val="22"/>
                <w:lang w:val="en-US" w:eastAsia="en-AU"/>
              </w:rPr>
              <w:t xml:space="preserve">resident </w:t>
            </w:r>
            <w:r w:rsidRPr="00712E68">
              <w:rPr>
                <w:szCs w:val="22"/>
                <w:lang w:val="en-US" w:eastAsia="en-AU"/>
              </w:rPr>
              <w:t xml:space="preserve">case detected or 7 days after the last positive infectious </w:t>
            </w:r>
            <w:r w:rsidR="00673620">
              <w:rPr>
                <w:szCs w:val="22"/>
                <w:lang w:val="en-US" w:eastAsia="en-AU"/>
              </w:rPr>
              <w:t xml:space="preserve">resident </w:t>
            </w:r>
            <w:r w:rsidRPr="00712E68">
              <w:rPr>
                <w:szCs w:val="22"/>
                <w:lang w:val="en-US" w:eastAsia="en-AU"/>
              </w:rPr>
              <w:t xml:space="preserve">case was effectively isolated (whichever is longer). </w:t>
            </w:r>
          </w:p>
          <w:p w14:paraId="4BE49D6E" w14:textId="2C0B6E76" w:rsidR="00A51044" w:rsidRPr="00712E68" w:rsidRDefault="00A51044" w:rsidP="00712E68">
            <w:pPr>
              <w:pStyle w:val="ListParagraph"/>
              <w:numPr>
                <w:ilvl w:val="0"/>
                <w:numId w:val="41"/>
              </w:numPr>
              <w:spacing w:after="120"/>
              <w:ind w:left="459"/>
              <w:rPr>
                <w:szCs w:val="22"/>
                <w:lang w:val="en-US" w:eastAsia="en-AU"/>
              </w:rPr>
            </w:pPr>
            <w:r w:rsidRPr="00712E68">
              <w:rPr>
                <w:szCs w:val="22"/>
                <w:lang w:val="en-US" w:eastAsia="en-AU"/>
              </w:rPr>
              <w:t>Continue to monitor residents for symptoms in affected zone for a further 7 days</w:t>
            </w:r>
            <w:r w:rsidR="00525882">
              <w:rPr>
                <w:szCs w:val="22"/>
                <w:lang w:val="en-US" w:eastAsia="en-AU"/>
              </w:rPr>
              <w:t xml:space="preserve"> after the outbreak declared over</w:t>
            </w:r>
            <w:r w:rsidRPr="00712E68">
              <w:rPr>
                <w:szCs w:val="22"/>
                <w:lang w:val="en-US" w:eastAsia="en-AU"/>
              </w:rPr>
              <w:t xml:space="preserve">. </w:t>
            </w:r>
          </w:p>
          <w:p w14:paraId="1C786FD0" w14:textId="49006049" w:rsidR="00A51044" w:rsidRPr="00712E68" w:rsidRDefault="00A51044" w:rsidP="00957F7F">
            <w:pPr>
              <w:pStyle w:val="ListParagraph"/>
              <w:numPr>
                <w:ilvl w:val="0"/>
                <w:numId w:val="41"/>
              </w:numPr>
              <w:spacing w:after="120"/>
              <w:ind w:left="459"/>
              <w:rPr>
                <w:szCs w:val="22"/>
                <w:lang w:val="en-US" w:eastAsia="en-AU"/>
              </w:rPr>
            </w:pPr>
            <w:r w:rsidRPr="00712E68">
              <w:rPr>
                <w:szCs w:val="22"/>
                <w:lang w:val="en-US" w:eastAsia="en-AU"/>
              </w:rPr>
              <w:t>Staff maintain higher standard of PPE for a further 7</w:t>
            </w:r>
            <w:r w:rsidR="00C35FBC">
              <w:rPr>
                <w:rFonts w:cs="Arial"/>
                <w:sz w:val="18"/>
                <w:szCs w:val="18"/>
              </w:rPr>
              <w:t> </w:t>
            </w:r>
            <w:r w:rsidRPr="00712E68">
              <w:rPr>
                <w:szCs w:val="22"/>
                <w:lang w:val="en-US" w:eastAsia="en-AU"/>
              </w:rPr>
              <w:t>days (P2/N95)</w:t>
            </w:r>
            <w:r w:rsidR="00525882">
              <w:rPr>
                <w:szCs w:val="22"/>
                <w:lang w:val="en-US" w:eastAsia="en-AU"/>
              </w:rPr>
              <w:t xml:space="preserve"> after the outbreak decl</w:t>
            </w:r>
            <w:r w:rsidR="00957F7F">
              <w:rPr>
                <w:szCs w:val="22"/>
                <w:lang w:val="en-US" w:eastAsia="en-AU"/>
              </w:rPr>
              <w:t>a</w:t>
            </w:r>
            <w:r w:rsidR="00525882">
              <w:rPr>
                <w:szCs w:val="22"/>
                <w:lang w:val="en-US" w:eastAsia="en-AU"/>
              </w:rPr>
              <w:t>red over</w:t>
            </w:r>
            <w:r w:rsidRPr="00712E68">
              <w:rPr>
                <w:szCs w:val="22"/>
                <w:lang w:val="en-US" w:eastAsia="en-AU"/>
              </w:rPr>
              <w:t xml:space="preserve">. </w:t>
            </w:r>
          </w:p>
        </w:tc>
      </w:tr>
    </w:tbl>
    <w:p w14:paraId="641AB778" w14:textId="6FFD55D3" w:rsidR="00710227" w:rsidRDefault="00710227" w:rsidP="00710227">
      <w:pPr>
        <w:spacing w:before="240" w:after="120"/>
      </w:pPr>
    </w:p>
    <w:p w14:paraId="64D27AAF" w14:textId="71842E9F" w:rsidR="00A51044" w:rsidRDefault="00A51044">
      <w:r>
        <w:br w:type="page"/>
      </w:r>
    </w:p>
    <w:p w14:paraId="59D0545C" w14:textId="50090467" w:rsidR="00A51044" w:rsidRPr="00712E68" w:rsidRDefault="00A51044" w:rsidP="00712E68">
      <w:pPr>
        <w:pStyle w:val="Heading2"/>
      </w:pPr>
      <w:bookmarkStart w:id="62" w:name="_Appendix_2:_Treatment"/>
      <w:bookmarkStart w:id="63" w:name="_Toc115342401"/>
      <w:bookmarkEnd w:id="62"/>
      <w:r w:rsidRPr="00A51044">
        <w:rPr>
          <w:rFonts w:eastAsiaTheme="minorHAnsi"/>
        </w:rPr>
        <w:lastRenderedPageBreak/>
        <w:t>Appendix 2</w:t>
      </w:r>
      <w:r w:rsidR="00AB4CEA">
        <w:rPr>
          <w:rFonts w:eastAsiaTheme="minorHAnsi"/>
        </w:rPr>
        <w:t>:</w:t>
      </w:r>
      <w:r w:rsidRPr="00A51044">
        <w:rPr>
          <w:rFonts w:eastAsiaTheme="minorHAnsi"/>
        </w:rPr>
        <w:t xml:space="preserve"> </w:t>
      </w:r>
      <w:bookmarkStart w:id="64" w:name="_Hlk104891029"/>
      <w:r w:rsidRPr="00A51044">
        <w:rPr>
          <w:rFonts w:eastAsiaTheme="minorHAnsi"/>
        </w:rPr>
        <w:t>Treatment and prophylaxis</w:t>
      </w:r>
      <w:bookmarkEnd w:id="64"/>
      <w:bookmarkEnd w:id="63"/>
    </w:p>
    <w:p w14:paraId="2841460F" w14:textId="07C73612" w:rsidR="00A51044" w:rsidRDefault="00A51044" w:rsidP="00A51044">
      <w:pPr>
        <w:pStyle w:val="Heading3"/>
        <w:spacing w:after="120"/>
      </w:pPr>
      <w:bookmarkStart w:id="65" w:name="_Toc115342402"/>
      <w:r>
        <w:t xml:space="preserve">Table </w:t>
      </w:r>
      <w:r w:rsidR="0064058A">
        <w:t>4.</w:t>
      </w:r>
      <w:r>
        <w:t xml:space="preserve"> COVID-19 treatment in residential care facilities</w:t>
      </w:r>
      <w:bookmarkEnd w:id="65"/>
    </w:p>
    <w:p w14:paraId="6B2971DB" w14:textId="31960C3A" w:rsidR="00A51044" w:rsidRDefault="00A51044" w:rsidP="00A51044">
      <w:pPr>
        <w:spacing w:after="120"/>
      </w:pPr>
      <w:r>
        <w:t xml:space="preserve">Note: </w:t>
      </w:r>
      <w:r w:rsidR="00957F7F">
        <w:t>In addition to the considerations below</w:t>
      </w:r>
      <w:r>
        <w:t xml:space="preserve"> refer to the National COVID-19 Clinical Evidence Taskforce, </w:t>
      </w:r>
      <w:hyperlink r:id="rId25" w:history="1">
        <w:r>
          <w:rPr>
            <w:rStyle w:val="Hyperlink"/>
          </w:rPr>
          <w:t>COVID-19 living guidelines. Drug treatments.</w:t>
        </w:r>
      </w:hyperlink>
      <w:r>
        <w:t xml:space="preserve"> for further information</w:t>
      </w:r>
      <w:r w:rsidR="00032BF8">
        <w:t xml:space="preserve"> about additional disease modifying therapies</w:t>
      </w:r>
      <w:r>
        <w:t>.</w:t>
      </w:r>
    </w:p>
    <w:tbl>
      <w:tblPr>
        <w:tblStyle w:val="TableGrid"/>
        <w:tblW w:w="9918" w:type="dxa"/>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Look w:val="04A0" w:firstRow="1" w:lastRow="0" w:firstColumn="1" w:lastColumn="0" w:noHBand="0" w:noVBand="1"/>
      </w:tblPr>
      <w:tblGrid>
        <w:gridCol w:w="1418"/>
        <w:gridCol w:w="1998"/>
        <w:gridCol w:w="2291"/>
        <w:gridCol w:w="2149"/>
        <w:gridCol w:w="2062"/>
      </w:tblGrid>
      <w:tr w:rsidR="009E0600" w14:paraId="2110B24D" w14:textId="77777777" w:rsidTr="00712E68">
        <w:trPr>
          <w:trHeight w:val="627"/>
        </w:trPr>
        <w:tc>
          <w:tcPr>
            <w:tcW w:w="1306" w:type="dxa"/>
            <w:shd w:val="clear" w:color="auto" w:fill="358189" w:themeFill="accent2"/>
            <w:hideMark/>
          </w:tcPr>
          <w:p w14:paraId="3001D88B" w14:textId="77777777" w:rsidR="00A51044" w:rsidRPr="00A51044" w:rsidRDefault="00A51044" w:rsidP="00A51044">
            <w:pPr>
              <w:spacing w:after="120"/>
              <w:rPr>
                <w:b/>
                <w:color w:val="FFFFFF" w:themeColor="background1"/>
                <w:szCs w:val="20"/>
                <w:lang w:eastAsia="en-AU"/>
              </w:rPr>
            </w:pPr>
            <w:r w:rsidRPr="00A51044">
              <w:rPr>
                <w:b/>
                <w:color w:val="FFFFFF" w:themeColor="background1"/>
                <w:szCs w:val="20"/>
                <w:lang w:eastAsia="en-AU"/>
              </w:rPr>
              <w:t>Oral Antiviral</w:t>
            </w:r>
          </w:p>
        </w:tc>
        <w:tc>
          <w:tcPr>
            <w:tcW w:w="2091" w:type="dxa"/>
            <w:shd w:val="clear" w:color="auto" w:fill="358189" w:themeFill="accent2"/>
            <w:hideMark/>
          </w:tcPr>
          <w:p w14:paraId="51DD1B3F" w14:textId="77777777" w:rsidR="00A51044" w:rsidRPr="00A51044" w:rsidRDefault="00A51044" w:rsidP="00A51044">
            <w:pPr>
              <w:spacing w:after="120"/>
              <w:rPr>
                <w:b/>
                <w:color w:val="FFFFFF" w:themeColor="background1"/>
                <w:szCs w:val="20"/>
                <w:lang w:eastAsia="en-AU"/>
              </w:rPr>
            </w:pPr>
            <w:r w:rsidRPr="00A51044">
              <w:rPr>
                <w:b/>
                <w:color w:val="FFFFFF" w:themeColor="background1"/>
                <w:szCs w:val="20"/>
                <w:lang w:eastAsia="en-AU"/>
              </w:rPr>
              <w:t>Treatment indications</w:t>
            </w:r>
          </w:p>
        </w:tc>
        <w:tc>
          <w:tcPr>
            <w:tcW w:w="2410" w:type="dxa"/>
            <w:shd w:val="clear" w:color="auto" w:fill="358189" w:themeFill="accent2"/>
            <w:hideMark/>
          </w:tcPr>
          <w:p w14:paraId="2A6B160E" w14:textId="77777777" w:rsidR="00A51044" w:rsidRPr="00A51044" w:rsidRDefault="00A51044" w:rsidP="00A51044">
            <w:pPr>
              <w:spacing w:after="120"/>
              <w:rPr>
                <w:b/>
                <w:color w:val="FFFFFF" w:themeColor="background1"/>
                <w:szCs w:val="20"/>
                <w:lang w:eastAsia="en-AU"/>
              </w:rPr>
            </w:pPr>
            <w:r w:rsidRPr="00A51044">
              <w:rPr>
                <w:b/>
                <w:color w:val="FFFFFF" w:themeColor="background1"/>
                <w:szCs w:val="20"/>
                <w:lang w:eastAsia="en-AU"/>
              </w:rPr>
              <w:t xml:space="preserve">Dosing guidance </w:t>
            </w:r>
          </w:p>
        </w:tc>
        <w:tc>
          <w:tcPr>
            <w:tcW w:w="2268" w:type="dxa"/>
            <w:shd w:val="clear" w:color="auto" w:fill="358189" w:themeFill="accent2"/>
            <w:hideMark/>
          </w:tcPr>
          <w:p w14:paraId="6939EC94" w14:textId="77777777" w:rsidR="00A51044" w:rsidRPr="00A51044" w:rsidRDefault="00A51044" w:rsidP="00A51044">
            <w:pPr>
              <w:spacing w:after="120"/>
              <w:rPr>
                <w:b/>
                <w:color w:val="FFFFFF" w:themeColor="background1"/>
                <w:szCs w:val="20"/>
                <w:lang w:eastAsia="en-AU"/>
              </w:rPr>
            </w:pPr>
            <w:r w:rsidRPr="00A51044">
              <w:rPr>
                <w:b/>
                <w:color w:val="FFFFFF" w:themeColor="background1"/>
                <w:szCs w:val="20"/>
                <w:lang w:eastAsia="en-AU"/>
              </w:rPr>
              <w:t>Comments</w:t>
            </w:r>
          </w:p>
        </w:tc>
        <w:tc>
          <w:tcPr>
            <w:tcW w:w="1843" w:type="dxa"/>
            <w:shd w:val="clear" w:color="auto" w:fill="358189" w:themeFill="accent2"/>
            <w:hideMark/>
          </w:tcPr>
          <w:p w14:paraId="6E35CD45" w14:textId="77777777" w:rsidR="00A51044" w:rsidRPr="00A51044" w:rsidRDefault="00A51044" w:rsidP="00A51044">
            <w:pPr>
              <w:spacing w:after="120"/>
              <w:rPr>
                <w:b/>
                <w:color w:val="FFFFFF" w:themeColor="background1"/>
                <w:szCs w:val="20"/>
                <w:lang w:eastAsia="en-AU"/>
              </w:rPr>
            </w:pPr>
            <w:r w:rsidRPr="00A51044">
              <w:rPr>
                <w:b/>
                <w:color w:val="FFFFFF" w:themeColor="background1"/>
                <w:szCs w:val="20"/>
                <w:lang w:eastAsia="en-AU"/>
              </w:rPr>
              <w:t>Resources</w:t>
            </w:r>
          </w:p>
        </w:tc>
      </w:tr>
      <w:tr w:rsidR="00A51044" w14:paraId="41D2F028" w14:textId="77777777" w:rsidTr="00712E68">
        <w:trPr>
          <w:trHeight w:val="2468"/>
        </w:trPr>
        <w:tc>
          <w:tcPr>
            <w:tcW w:w="1306" w:type="dxa"/>
            <w:hideMark/>
          </w:tcPr>
          <w:p w14:paraId="1894EC8C" w14:textId="77777777" w:rsidR="00A51044" w:rsidRPr="00712E68" w:rsidRDefault="00A51044" w:rsidP="00A51044">
            <w:pPr>
              <w:spacing w:after="120"/>
              <w:rPr>
                <w:rFonts w:cstheme="minorHAnsi"/>
                <w:b/>
                <w:bCs/>
                <w:sz w:val="20"/>
                <w:szCs w:val="20"/>
                <w:lang w:eastAsia="en-AU"/>
              </w:rPr>
            </w:pPr>
            <w:proofErr w:type="spellStart"/>
            <w:r w:rsidRPr="00712E68">
              <w:rPr>
                <w:rFonts w:cstheme="minorHAnsi"/>
                <w:b/>
                <w:bCs/>
                <w:sz w:val="20"/>
                <w:szCs w:val="20"/>
                <w:lang w:eastAsia="en-AU"/>
              </w:rPr>
              <w:t>Molnupiravir</w:t>
            </w:r>
            <w:proofErr w:type="spellEnd"/>
            <w:r w:rsidRPr="00712E68">
              <w:rPr>
                <w:rFonts w:cstheme="minorHAnsi"/>
                <w:b/>
                <w:bCs/>
                <w:sz w:val="20"/>
                <w:szCs w:val="20"/>
                <w:lang w:eastAsia="en-AU"/>
              </w:rPr>
              <w:t xml:space="preserve"> (trade name </w:t>
            </w:r>
            <w:proofErr w:type="spellStart"/>
            <w:r w:rsidRPr="00712E68">
              <w:rPr>
                <w:rFonts w:cstheme="minorHAnsi"/>
                <w:b/>
                <w:bCs/>
                <w:sz w:val="20"/>
                <w:szCs w:val="20"/>
                <w:lang w:eastAsia="en-AU"/>
              </w:rPr>
              <w:t>Lagevrio</w:t>
            </w:r>
            <w:proofErr w:type="spellEnd"/>
            <w:r w:rsidRPr="00712E68">
              <w:rPr>
                <w:rFonts w:cstheme="minorHAnsi"/>
                <w:b/>
                <w:bCs/>
                <w:sz w:val="20"/>
                <w:szCs w:val="20"/>
                <w:lang w:eastAsia="en-AU"/>
              </w:rPr>
              <w:t>®, MSD),</w:t>
            </w:r>
          </w:p>
        </w:tc>
        <w:tc>
          <w:tcPr>
            <w:tcW w:w="2091" w:type="dxa"/>
            <w:hideMark/>
          </w:tcPr>
          <w:p w14:paraId="24436FA8" w14:textId="7B2E78E0" w:rsidR="00A51044" w:rsidRPr="00A51044" w:rsidRDefault="00A51044" w:rsidP="009B3CD1">
            <w:pPr>
              <w:spacing w:before="100" w:beforeAutospacing="1" w:after="120"/>
              <w:rPr>
                <w:rFonts w:cstheme="minorHAnsi"/>
                <w:sz w:val="20"/>
                <w:szCs w:val="20"/>
                <w:lang w:eastAsia="en-AU"/>
              </w:rPr>
            </w:pPr>
            <w:r w:rsidRPr="00A51044">
              <w:rPr>
                <w:rFonts w:cstheme="minorHAnsi"/>
                <w:sz w:val="20"/>
                <w:szCs w:val="20"/>
                <w:lang w:eastAsia="en-AU"/>
              </w:rPr>
              <w:t>Diagnosis of COVID-19</w:t>
            </w:r>
            <w:r w:rsidR="009E0600">
              <w:rPr>
                <w:rFonts w:cstheme="minorHAnsi"/>
                <w:sz w:val="20"/>
                <w:szCs w:val="20"/>
                <w:lang w:eastAsia="en-AU"/>
              </w:rPr>
              <w:t xml:space="preserve"> in resident of residential care facility</w:t>
            </w:r>
            <w:r w:rsidRPr="00A51044">
              <w:rPr>
                <w:rFonts w:cstheme="minorHAnsi"/>
                <w:sz w:val="20"/>
                <w:szCs w:val="20"/>
                <w:lang w:eastAsia="en-AU"/>
              </w:rPr>
              <w:t xml:space="preserve">, </w:t>
            </w:r>
            <w:r w:rsidR="00196F2B">
              <w:rPr>
                <w:rFonts w:cs="Arial"/>
                <w:sz w:val="20"/>
                <w:szCs w:val="20"/>
                <w:lang w:eastAsia="en-AU"/>
              </w:rPr>
              <w:t>≥</w:t>
            </w:r>
            <w:r w:rsidR="00E90691" w:rsidRPr="00A51044">
              <w:rPr>
                <w:rFonts w:cstheme="minorHAnsi"/>
                <w:sz w:val="20"/>
                <w:szCs w:val="20"/>
                <w:lang w:eastAsia="en-AU"/>
              </w:rPr>
              <w:t>7</w:t>
            </w:r>
            <w:r w:rsidR="00E90691">
              <w:rPr>
                <w:rFonts w:cstheme="minorHAnsi"/>
                <w:sz w:val="20"/>
                <w:szCs w:val="20"/>
                <w:lang w:eastAsia="en-AU"/>
              </w:rPr>
              <w:t>0</w:t>
            </w:r>
            <w:r w:rsidR="00E90691" w:rsidRPr="00A51044">
              <w:rPr>
                <w:rFonts w:cstheme="minorHAnsi"/>
                <w:sz w:val="20"/>
                <w:szCs w:val="20"/>
                <w:lang w:eastAsia="en-AU"/>
              </w:rPr>
              <w:t xml:space="preserve">yrs </w:t>
            </w:r>
            <w:r w:rsidRPr="00A51044">
              <w:rPr>
                <w:rFonts w:cstheme="minorHAnsi"/>
                <w:sz w:val="20"/>
                <w:szCs w:val="20"/>
                <w:lang w:eastAsia="en-AU"/>
              </w:rPr>
              <w:t xml:space="preserve">or </w:t>
            </w:r>
            <w:r w:rsidR="00196F2B">
              <w:rPr>
                <w:rFonts w:cs="Arial"/>
                <w:sz w:val="20"/>
                <w:szCs w:val="20"/>
                <w:lang w:eastAsia="en-AU"/>
              </w:rPr>
              <w:t>≥</w:t>
            </w:r>
            <w:r w:rsidR="00E90691">
              <w:rPr>
                <w:rFonts w:cstheme="minorHAnsi"/>
                <w:sz w:val="20"/>
                <w:szCs w:val="20"/>
                <w:lang w:eastAsia="en-AU"/>
              </w:rPr>
              <w:t>50</w:t>
            </w:r>
            <w:r w:rsidR="00E90691" w:rsidRPr="00A51044">
              <w:rPr>
                <w:rFonts w:cstheme="minorHAnsi"/>
                <w:sz w:val="20"/>
                <w:szCs w:val="20"/>
                <w:lang w:eastAsia="en-AU"/>
              </w:rPr>
              <w:t xml:space="preserve">yrs </w:t>
            </w:r>
            <w:r w:rsidRPr="00A51044">
              <w:rPr>
                <w:rFonts w:cstheme="minorHAnsi"/>
                <w:sz w:val="20"/>
                <w:szCs w:val="20"/>
                <w:lang w:eastAsia="en-AU"/>
              </w:rPr>
              <w:t>with one additional risk factor, and to be given as soon as possible after a diagnosis of COVID-19, and within 5 days of symptom onset</w:t>
            </w:r>
            <w:r w:rsidR="00E2477B">
              <w:rPr>
                <w:rFonts w:cstheme="minorHAnsi"/>
                <w:sz w:val="20"/>
                <w:szCs w:val="20"/>
                <w:lang w:eastAsia="en-AU"/>
              </w:rPr>
              <w:t xml:space="preserve">. </w:t>
            </w:r>
          </w:p>
        </w:tc>
        <w:tc>
          <w:tcPr>
            <w:tcW w:w="2410" w:type="dxa"/>
          </w:tcPr>
          <w:p w14:paraId="4A1F4DBB" w14:textId="77777777" w:rsidR="00A51044" w:rsidRPr="00A51044" w:rsidRDefault="00A51044" w:rsidP="00A51044">
            <w:pPr>
              <w:spacing w:after="120"/>
              <w:rPr>
                <w:rFonts w:cstheme="minorHAnsi"/>
                <w:sz w:val="20"/>
                <w:szCs w:val="20"/>
                <w:lang w:eastAsia="en-AU"/>
              </w:rPr>
            </w:pPr>
            <w:r w:rsidRPr="00A51044">
              <w:rPr>
                <w:rFonts w:cstheme="minorHAnsi"/>
                <w:sz w:val="20"/>
                <w:szCs w:val="20"/>
                <w:lang w:eastAsia="en-AU"/>
              </w:rPr>
              <w:t>800 mg (four 200 mg capsules) orally every 12 hours for 5 days, with or without food.</w:t>
            </w:r>
          </w:p>
          <w:p w14:paraId="2DF5E6A3" w14:textId="77777777" w:rsidR="00A51044" w:rsidRPr="00A51044" w:rsidRDefault="00A51044" w:rsidP="00A51044">
            <w:pPr>
              <w:spacing w:after="120"/>
              <w:rPr>
                <w:rFonts w:cstheme="minorHAnsi"/>
                <w:sz w:val="20"/>
                <w:szCs w:val="20"/>
                <w:lang w:eastAsia="en-AU"/>
              </w:rPr>
            </w:pPr>
          </w:p>
          <w:p w14:paraId="4D9DBDAD" w14:textId="77777777" w:rsidR="00A51044" w:rsidRPr="00A51044" w:rsidRDefault="00A51044" w:rsidP="00A51044">
            <w:pPr>
              <w:spacing w:after="120"/>
              <w:rPr>
                <w:rFonts w:cstheme="minorHAnsi"/>
                <w:sz w:val="20"/>
                <w:szCs w:val="20"/>
                <w:lang w:eastAsia="en-AU"/>
              </w:rPr>
            </w:pPr>
            <w:r w:rsidRPr="00A51044">
              <w:rPr>
                <w:rFonts w:cstheme="minorHAnsi"/>
                <w:sz w:val="20"/>
                <w:szCs w:val="20"/>
                <w:lang w:eastAsia="en-AU"/>
              </w:rPr>
              <w:t>No dose adjustment is recommended for elderly people including those with renal or hepatic impairment.</w:t>
            </w:r>
          </w:p>
        </w:tc>
        <w:tc>
          <w:tcPr>
            <w:tcW w:w="2268" w:type="dxa"/>
            <w:hideMark/>
          </w:tcPr>
          <w:p w14:paraId="3782741C" w14:textId="77777777" w:rsidR="00A51044" w:rsidRPr="00A51044" w:rsidRDefault="00A51044" w:rsidP="00A51044">
            <w:pPr>
              <w:spacing w:after="120"/>
              <w:rPr>
                <w:rFonts w:cstheme="minorHAnsi"/>
                <w:sz w:val="20"/>
                <w:szCs w:val="20"/>
                <w:lang w:eastAsia="en-AU"/>
              </w:rPr>
            </w:pPr>
            <w:r w:rsidRPr="00A51044">
              <w:rPr>
                <w:rFonts w:cstheme="minorHAnsi"/>
                <w:sz w:val="20"/>
                <w:szCs w:val="20"/>
                <w:lang w:eastAsia="en-AU"/>
              </w:rPr>
              <w:t>Dispensed following consultation and direction from an authorised prescriber.</w:t>
            </w:r>
          </w:p>
        </w:tc>
        <w:tc>
          <w:tcPr>
            <w:tcW w:w="1843" w:type="dxa"/>
          </w:tcPr>
          <w:p w14:paraId="663D959C" w14:textId="61FDB1BA" w:rsidR="00A51044" w:rsidRPr="00A51044" w:rsidRDefault="007D5162" w:rsidP="00A51044">
            <w:pPr>
              <w:spacing w:after="120"/>
              <w:rPr>
                <w:sz w:val="20"/>
                <w:szCs w:val="20"/>
              </w:rPr>
            </w:pPr>
            <w:hyperlink r:id="rId26" w:history="1">
              <w:r w:rsidR="00196F2B" w:rsidRPr="00196F2B">
                <w:rPr>
                  <w:rStyle w:val="Hyperlink"/>
                  <w:sz w:val="20"/>
                  <w:szCs w:val="20"/>
                </w:rPr>
                <w:t>Factsheet Lagevrio.pdf (pbs)</w:t>
              </w:r>
            </w:hyperlink>
          </w:p>
          <w:p w14:paraId="63A16600" w14:textId="77777777" w:rsidR="00A51044" w:rsidRPr="00A51044" w:rsidRDefault="007D5162" w:rsidP="00A51044">
            <w:pPr>
              <w:spacing w:after="120"/>
              <w:rPr>
                <w:rFonts w:cstheme="minorHAnsi"/>
                <w:sz w:val="20"/>
                <w:szCs w:val="20"/>
                <w:lang w:eastAsia="en-AU"/>
              </w:rPr>
            </w:pPr>
            <w:hyperlink r:id="rId27" w:history="1">
              <w:r w:rsidR="00A51044" w:rsidRPr="00A51044">
                <w:rPr>
                  <w:rStyle w:val="Hyperlink"/>
                  <w:rFonts w:cstheme="minorHAnsi"/>
                  <w:sz w:val="20"/>
                  <w:szCs w:val="20"/>
                  <w:lang w:eastAsia="en-AU"/>
                </w:rPr>
                <w:t>COVID-19 oral antiviral medicines in residential aged care (</w:t>
              </w:r>
              <w:proofErr w:type="spellStart"/>
              <w:r w:rsidR="00A51044" w:rsidRPr="00A51044">
                <w:rPr>
                  <w:rStyle w:val="Hyperlink"/>
                  <w:rFonts w:cstheme="minorHAnsi"/>
                  <w:sz w:val="20"/>
                  <w:szCs w:val="20"/>
                  <w:lang w:eastAsia="en-AU"/>
                </w:rPr>
                <w:t>nps</w:t>
              </w:r>
              <w:proofErr w:type="spellEnd"/>
              <w:r w:rsidR="00A51044" w:rsidRPr="00A51044">
                <w:rPr>
                  <w:rStyle w:val="Hyperlink"/>
                  <w:rFonts w:cstheme="minorHAnsi"/>
                  <w:sz w:val="20"/>
                  <w:szCs w:val="20"/>
                  <w:lang w:eastAsia="en-AU"/>
                </w:rPr>
                <w:t>)</w:t>
              </w:r>
            </w:hyperlink>
          </w:p>
        </w:tc>
      </w:tr>
      <w:tr w:rsidR="00A51044" w14:paraId="1A826D21" w14:textId="77777777" w:rsidTr="00712E68">
        <w:trPr>
          <w:trHeight w:val="2178"/>
        </w:trPr>
        <w:tc>
          <w:tcPr>
            <w:tcW w:w="1306" w:type="dxa"/>
            <w:hideMark/>
          </w:tcPr>
          <w:p w14:paraId="5454066C" w14:textId="77777777" w:rsidR="00A51044" w:rsidRPr="00712E68" w:rsidRDefault="00A51044" w:rsidP="00A51044">
            <w:pPr>
              <w:spacing w:after="120"/>
              <w:rPr>
                <w:rFonts w:cstheme="minorHAnsi"/>
                <w:b/>
                <w:bCs/>
                <w:sz w:val="20"/>
                <w:szCs w:val="20"/>
                <w:lang w:eastAsia="en-AU"/>
              </w:rPr>
            </w:pPr>
            <w:proofErr w:type="spellStart"/>
            <w:r w:rsidRPr="00712E68">
              <w:rPr>
                <w:rFonts w:cstheme="minorHAnsi"/>
                <w:b/>
                <w:bCs/>
                <w:color w:val="313131"/>
                <w:sz w:val="20"/>
                <w:szCs w:val="20"/>
                <w:shd w:val="clear" w:color="auto" w:fill="FFFFFF"/>
                <w:lang w:eastAsia="en-AU"/>
              </w:rPr>
              <w:t>Paxlovid</w:t>
            </w:r>
            <w:proofErr w:type="spellEnd"/>
            <w:r w:rsidRPr="00712E68">
              <w:rPr>
                <w:rFonts w:cstheme="minorHAnsi"/>
                <w:b/>
                <w:bCs/>
                <w:color w:val="313131"/>
                <w:sz w:val="20"/>
                <w:szCs w:val="20"/>
                <w:shd w:val="clear" w:color="auto" w:fill="FFFFFF"/>
                <w:lang w:eastAsia="en-AU"/>
              </w:rPr>
              <w:t>® (</w:t>
            </w:r>
            <w:proofErr w:type="spellStart"/>
            <w:r w:rsidRPr="00712E68">
              <w:rPr>
                <w:rFonts w:cstheme="minorHAnsi"/>
                <w:b/>
                <w:bCs/>
                <w:color w:val="313131"/>
                <w:sz w:val="20"/>
                <w:szCs w:val="20"/>
                <w:shd w:val="clear" w:color="auto" w:fill="FFFFFF"/>
                <w:lang w:eastAsia="en-AU"/>
              </w:rPr>
              <w:t>nirmatrelvir</w:t>
            </w:r>
            <w:proofErr w:type="spellEnd"/>
            <w:r w:rsidRPr="00712E68">
              <w:rPr>
                <w:rFonts w:cstheme="minorHAnsi"/>
                <w:b/>
                <w:bCs/>
                <w:color w:val="313131"/>
                <w:sz w:val="20"/>
                <w:szCs w:val="20"/>
                <w:shd w:val="clear" w:color="auto" w:fill="FFFFFF"/>
                <w:lang w:eastAsia="en-AU"/>
              </w:rPr>
              <w:t xml:space="preserve"> + ritonavir)</w:t>
            </w:r>
          </w:p>
        </w:tc>
        <w:tc>
          <w:tcPr>
            <w:tcW w:w="2091" w:type="dxa"/>
            <w:hideMark/>
          </w:tcPr>
          <w:p w14:paraId="3687398C" w14:textId="2B3763A3" w:rsidR="00A51044" w:rsidRPr="00A51044" w:rsidRDefault="00A51044" w:rsidP="00A51044">
            <w:pPr>
              <w:spacing w:after="120"/>
              <w:rPr>
                <w:rFonts w:cstheme="minorHAnsi"/>
                <w:sz w:val="20"/>
                <w:szCs w:val="20"/>
                <w:lang w:eastAsia="en-AU"/>
              </w:rPr>
            </w:pPr>
            <w:r w:rsidRPr="00A51044">
              <w:rPr>
                <w:rFonts w:cstheme="minorHAnsi"/>
                <w:sz w:val="20"/>
                <w:szCs w:val="20"/>
                <w:lang w:eastAsia="en-AU"/>
              </w:rPr>
              <w:t>Diagnosis of COVID-19</w:t>
            </w:r>
            <w:r w:rsidR="009E0600">
              <w:rPr>
                <w:rFonts w:cstheme="minorHAnsi"/>
                <w:sz w:val="20"/>
                <w:szCs w:val="20"/>
                <w:lang w:eastAsia="en-AU"/>
              </w:rPr>
              <w:t xml:space="preserve"> in resident of residential care facility</w:t>
            </w:r>
            <w:r w:rsidRPr="00A51044">
              <w:rPr>
                <w:rFonts w:cstheme="minorHAnsi"/>
                <w:sz w:val="20"/>
                <w:szCs w:val="20"/>
                <w:lang w:eastAsia="en-AU"/>
              </w:rPr>
              <w:t xml:space="preserve">, </w:t>
            </w:r>
            <w:r w:rsidR="00196F2B">
              <w:rPr>
                <w:rFonts w:cs="Arial"/>
                <w:sz w:val="20"/>
                <w:szCs w:val="20"/>
                <w:lang w:eastAsia="en-AU"/>
              </w:rPr>
              <w:t>≥</w:t>
            </w:r>
            <w:r w:rsidR="00E90691" w:rsidRPr="00A51044">
              <w:rPr>
                <w:rFonts w:cstheme="minorHAnsi"/>
                <w:sz w:val="20"/>
                <w:szCs w:val="20"/>
                <w:lang w:eastAsia="en-AU"/>
              </w:rPr>
              <w:t>7</w:t>
            </w:r>
            <w:r w:rsidR="00E90691">
              <w:rPr>
                <w:rFonts w:cstheme="minorHAnsi"/>
                <w:sz w:val="20"/>
                <w:szCs w:val="20"/>
                <w:lang w:eastAsia="en-AU"/>
              </w:rPr>
              <w:t>0</w:t>
            </w:r>
            <w:r w:rsidR="00E90691" w:rsidRPr="00A51044">
              <w:rPr>
                <w:rFonts w:cstheme="minorHAnsi"/>
                <w:sz w:val="20"/>
                <w:szCs w:val="20"/>
                <w:lang w:eastAsia="en-AU"/>
              </w:rPr>
              <w:t xml:space="preserve"> </w:t>
            </w:r>
            <w:proofErr w:type="spellStart"/>
            <w:r w:rsidRPr="00A51044">
              <w:rPr>
                <w:rFonts w:cstheme="minorHAnsi"/>
                <w:sz w:val="20"/>
                <w:szCs w:val="20"/>
                <w:lang w:eastAsia="en-AU"/>
              </w:rPr>
              <w:t>yrs</w:t>
            </w:r>
            <w:proofErr w:type="spellEnd"/>
            <w:r w:rsidRPr="00A51044">
              <w:rPr>
                <w:rFonts w:cstheme="minorHAnsi"/>
                <w:sz w:val="20"/>
                <w:szCs w:val="20"/>
                <w:lang w:eastAsia="en-AU"/>
              </w:rPr>
              <w:t xml:space="preserve"> or </w:t>
            </w:r>
            <w:r w:rsidR="00196F2B">
              <w:rPr>
                <w:rFonts w:cs="Arial"/>
                <w:sz w:val="20"/>
                <w:szCs w:val="20"/>
                <w:lang w:eastAsia="en-AU"/>
              </w:rPr>
              <w:t>≥</w:t>
            </w:r>
            <w:r w:rsidR="00E90691">
              <w:rPr>
                <w:rFonts w:cstheme="minorHAnsi"/>
                <w:sz w:val="20"/>
                <w:szCs w:val="20"/>
                <w:lang w:eastAsia="en-AU"/>
              </w:rPr>
              <w:t>50</w:t>
            </w:r>
            <w:r w:rsidR="00E90691" w:rsidRPr="00A51044">
              <w:rPr>
                <w:rFonts w:cstheme="minorHAnsi"/>
                <w:sz w:val="20"/>
                <w:szCs w:val="20"/>
                <w:lang w:eastAsia="en-AU"/>
              </w:rPr>
              <w:t xml:space="preserve">yrs </w:t>
            </w:r>
            <w:r w:rsidRPr="00A51044">
              <w:rPr>
                <w:rFonts w:cstheme="minorHAnsi"/>
                <w:sz w:val="20"/>
                <w:szCs w:val="20"/>
                <w:lang w:eastAsia="en-AU"/>
              </w:rPr>
              <w:t>with one additional risk factor, and to be commenced as soon as possible after a diagnosis of COVID-19 and within 5 days of developing symptoms.</w:t>
            </w:r>
          </w:p>
        </w:tc>
        <w:tc>
          <w:tcPr>
            <w:tcW w:w="2410" w:type="dxa"/>
            <w:hideMark/>
          </w:tcPr>
          <w:p w14:paraId="7CB7814E" w14:textId="77777777" w:rsidR="00A51044" w:rsidRPr="00A51044" w:rsidRDefault="00A51044" w:rsidP="00A51044">
            <w:pPr>
              <w:spacing w:after="120"/>
              <w:rPr>
                <w:rFonts w:cstheme="minorHAnsi"/>
                <w:sz w:val="20"/>
                <w:szCs w:val="20"/>
                <w:lang w:eastAsia="en-AU"/>
              </w:rPr>
            </w:pPr>
            <w:r w:rsidRPr="00A51044">
              <w:rPr>
                <w:rFonts w:cstheme="minorHAnsi"/>
                <w:sz w:val="20"/>
                <w:szCs w:val="20"/>
                <w:lang w:eastAsia="en-AU"/>
              </w:rPr>
              <w:t xml:space="preserve">The two active substances of the medicine, </w:t>
            </w:r>
            <w:proofErr w:type="spellStart"/>
            <w:r w:rsidRPr="00A51044">
              <w:rPr>
                <w:rFonts w:cstheme="minorHAnsi"/>
                <w:sz w:val="20"/>
                <w:szCs w:val="20"/>
                <w:lang w:eastAsia="en-AU"/>
              </w:rPr>
              <w:t>nirmatrelvir</w:t>
            </w:r>
            <w:proofErr w:type="spellEnd"/>
            <w:r w:rsidRPr="00A51044">
              <w:rPr>
                <w:rFonts w:cstheme="minorHAnsi"/>
                <w:sz w:val="20"/>
                <w:szCs w:val="20"/>
                <w:lang w:eastAsia="en-AU"/>
              </w:rPr>
              <w:t xml:space="preserve"> and ritonavir, which are given as separate tablets, must be taken together twice a day for 5 days.</w:t>
            </w:r>
          </w:p>
        </w:tc>
        <w:tc>
          <w:tcPr>
            <w:tcW w:w="2268" w:type="dxa"/>
            <w:hideMark/>
          </w:tcPr>
          <w:p w14:paraId="26E87830" w14:textId="77777777" w:rsidR="00A51044" w:rsidRPr="00A51044" w:rsidRDefault="00A51044" w:rsidP="00A51044">
            <w:pPr>
              <w:spacing w:after="120"/>
              <w:rPr>
                <w:rFonts w:cstheme="minorHAnsi"/>
                <w:sz w:val="20"/>
                <w:szCs w:val="20"/>
                <w:lang w:eastAsia="en-AU"/>
              </w:rPr>
            </w:pPr>
            <w:r w:rsidRPr="00A51044">
              <w:rPr>
                <w:rFonts w:cstheme="minorHAnsi"/>
                <w:sz w:val="20"/>
                <w:szCs w:val="20"/>
                <w:lang w:eastAsia="en-AU"/>
              </w:rPr>
              <w:t xml:space="preserve">Extensive drug interactions. A PBS listing for </w:t>
            </w:r>
            <w:proofErr w:type="spellStart"/>
            <w:r w:rsidRPr="00A51044">
              <w:rPr>
                <w:rFonts w:cstheme="minorHAnsi"/>
                <w:sz w:val="20"/>
                <w:szCs w:val="20"/>
                <w:lang w:eastAsia="en-AU"/>
              </w:rPr>
              <w:t>Paxlovid</w:t>
            </w:r>
            <w:proofErr w:type="spellEnd"/>
            <w:r w:rsidRPr="00A51044">
              <w:rPr>
                <w:rFonts w:cstheme="minorHAnsi"/>
                <w:sz w:val="20"/>
                <w:szCs w:val="20"/>
                <w:lang w:eastAsia="en-AU"/>
              </w:rPr>
              <w:t xml:space="preserve"> means it can be prescribed by an authorised prescriber following consultation.</w:t>
            </w:r>
          </w:p>
        </w:tc>
        <w:tc>
          <w:tcPr>
            <w:tcW w:w="1843" w:type="dxa"/>
            <w:hideMark/>
          </w:tcPr>
          <w:p w14:paraId="25AD62F5" w14:textId="77777777" w:rsidR="00A51044" w:rsidRDefault="007D5162" w:rsidP="00A51044">
            <w:pPr>
              <w:spacing w:after="120"/>
              <w:rPr>
                <w:rStyle w:val="Hyperlink"/>
                <w:rFonts w:cstheme="minorHAnsi"/>
                <w:sz w:val="20"/>
                <w:szCs w:val="20"/>
                <w:lang w:eastAsia="en-AU"/>
              </w:rPr>
            </w:pPr>
            <w:hyperlink r:id="rId28" w:history="1">
              <w:r w:rsidR="00A51044" w:rsidRPr="00A51044">
                <w:rPr>
                  <w:rStyle w:val="Hyperlink"/>
                  <w:rFonts w:cstheme="minorHAnsi"/>
                  <w:sz w:val="20"/>
                  <w:szCs w:val="20"/>
                  <w:lang w:eastAsia="en-AU"/>
                </w:rPr>
                <w:t>Factsheet Paxlovid.pdf (pbs)</w:t>
              </w:r>
            </w:hyperlink>
          </w:p>
          <w:p w14:paraId="07BA08D4" w14:textId="63298756" w:rsidR="00032BF8" w:rsidRDefault="007D5162" w:rsidP="00A51044">
            <w:pPr>
              <w:spacing w:after="120"/>
              <w:rPr>
                <w:rStyle w:val="Hyperlink"/>
                <w:rFonts w:cstheme="minorHAnsi"/>
                <w:sz w:val="20"/>
                <w:szCs w:val="20"/>
                <w:lang w:eastAsia="en-AU"/>
              </w:rPr>
            </w:pPr>
            <w:hyperlink r:id="rId29" w:history="1">
              <w:r w:rsidR="00196F2B" w:rsidRPr="00A51044">
                <w:rPr>
                  <w:rStyle w:val="Hyperlink"/>
                  <w:rFonts w:cstheme="minorHAnsi"/>
                  <w:sz w:val="20"/>
                  <w:szCs w:val="20"/>
                  <w:lang w:eastAsia="en-AU"/>
                </w:rPr>
                <w:t>COVID-19 oral antiviral medicines in residential aged care (</w:t>
              </w:r>
              <w:proofErr w:type="spellStart"/>
              <w:r w:rsidR="00196F2B" w:rsidRPr="00A51044">
                <w:rPr>
                  <w:rStyle w:val="Hyperlink"/>
                  <w:rFonts w:cstheme="minorHAnsi"/>
                  <w:sz w:val="20"/>
                  <w:szCs w:val="20"/>
                  <w:lang w:eastAsia="en-AU"/>
                </w:rPr>
                <w:t>nps</w:t>
              </w:r>
              <w:proofErr w:type="spellEnd"/>
              <w:r w:rsidR="00196F2B" w:rsidRPr="00A51044">
                <w:rPr>
                  <w:rStyle w:val="Hyperlink"/>
                  <w:rFonts w:cstheme="minorHAnsi"/>
                  <w:sz w:val="20"/>
                  <w:szCs w:val="20"/>
                  <w:lang w:eastAsia="en-AU"/>
                </w:rPr>
                <w:t>)</w:t>
              </w:r>
            </w:hyperlink>
          </w:p>
          <w:p w14:paraId="04FA95C4" w14:textId="3BA66CB1" w:rsidR="00032BF8" w:rsidRPr="00032BF8" w:rsidRDefault="00032BF8" w:rsidP="00A51044">
            <w:pPr>
              <w:spacing w:after="120"/>
              <w:rPr>
                <w:rStyle w:val="Hyperlink"/>
                <w:rFonts w:cs="Arial"/>
                <w:sz w:val="20"/>
                <w:szCs w:val="20"/>
                <w:lang w:eastAsia="en-AU"/>
              </w:rPr>
            </w:pPr>
            <w:r>
              <w:rPr>
                <w:rFonts w:cs="Arial"/>
                <w:color w:val="000000"/>
                <w:sz w:val="20"/>
                <w:szCs w:val="20"/>
                <w:lang w:eastAsia="en-AU"/>
              </w:rPr>
              <w:t xml:space="preserve">University of </w:t>
            </w:r>
            <w:r w:rsidRPr="00AB742A">
              <w:rPr>
                <w:rFonts w:cs="Arial"/>
                <w:color w:val="000000"/>
                <w:sz w:val="20"/>
                <w:szCs w:val="20"/>
                <w:lang w:eastAsia="en-AU"/>
              </w:rPr>
              <w:t xml:space="preserve">Liverpool drug interaction </w:t>
            </w:r>
            <w:proofErr w:type="gramStart"/>
            <w:r w:rsidRPr="00AB742A">
              <w:rPr>
                <w:rFonts w:cs="Arial"/>
                <w:color w:val="000000"/>
                <w:sz w:val="20"/>
                <w:szCs w:val="20"/>
                <w:lang w:eastAsia="en-AU"/>
              </w:rPr>
              <w:t>checker  https://www.covid19-druginteractions.org/</w:t>
            </w:r>
            <w:proofErr w:type="gramEnd"/>
          </w:p>
          <w:p w14:paraId="3F577DD0" w14:textId="77777777" w:rsidR="00032BF8" w:rsidRPr="00A51044" w:rsidRDefault="00032BF8" w:rsidP="00A51044">
            <w:pPr>
              <w:spacing w:after="120"/>
              <w:rPr>
                <w:rFonts w:cstheme="minorHAnsi"/>
                <w:sz w:val="20"/>
                <w:szCs w:val="20"/>
                <w:lang w:eastAsia="en-AU"/>
              </w:rPr>
            </w:pPr>
          </w:p>
        </w:tc>
      </w:tr>
    </w:tbl>
    <w:p w14:paraId="18A1594B" w14:textId="77777777" w:rsidR="00A51044" w:rsidRDefault="00A51044" w:rsidP="00A51044">
      <w:pPr>
        <w:spacing w:after="120"/>
        <w:rPr>
          <w:b/>
          <w:bCs/>
          <w:sz w:val="20"/>
        </w:rPr>
      </w:pPr>
    </w:p>
    <w:p w14:paraId="00EB3E9C" w14:textId="54D580E9" w:rsidR="00A51044" w:rsidRDefault="00A51044" w:rsidP="00A51044">
      <w:pPr>
        <w:pStyle w:val="Heading3"/>
        <w:spacing w:after="120"/>
      </w:pPr>
      <w:bookmarkStart w:id="66" w:name="_Toc115342403"/>
      <w:r>
        <w:t xml:space="preserve">Table </w:t>
      </w:r>
      <w:r w:rsidR="0064058A">
        <w:t>5.</w:t>
      </w:r>
      <w:r>
        <w:t xml:space="preserve"> Influenza treatment in residential care facilities</w:t>
      </w:r>
      <w:bookmarkEnd w:id="66"/>
    </w:p>
    <w:tbl>
      <w:tblPr>
        <w:tblStyle w:val="TableGrid"/>
        <w:tblW w:w="9918" w:type="dxa"/>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Look w:val="04A0" w:firstRow="1" w:lastRow="0" w:firstColumn="1" w:lastColumn="0" w:noHBand="0" w:noVBand="1"/>
      </w:tblPr>
      <w:tblGrid>
        <w:gridCol w:w="1307"/>
        <w:gridCol w:w="2114"/>
        <w:gridCol w:w="2399"/>
        <w:gridCol w:w="2258"/>
        <w:gridCol w:w="1840"/>
      </w:tblGrid>
      <w:tr w:rsidR="00A51044" w14:paraId="39059B72" w14:textId="77777777" w:rsidTr="00712E68">
        <w:tc>
          <w:tcPr>
            <w:tcW w:w="1275" w:type="dxa"/>
            <w:shd w:val="clear" w:color="auto" w:fill="358189" w:themeFill="accent2"/>
            <w:hideMark/>
          </w:tcPr>
          <w:p w14:paraId="5BCD882A" w14:textId="77777777" w:rsidR="00A51044" w:rsidRPr="00A51044" w:rsidRDefault="00A51044" w:rsidP="00A51044">
            <w:pPr>
              <w:spacing w:after="120"/>
              <w:rPr>
                <w:b/>
                <w:color w:val="FFFFFF" w:themeColor="background1"/>
                <w:szCs w:val="20"/>
                <w:lang w:eastAsia="en-AU"/>
              </w:rPr>
            </w:pPr>
            <w:r w:rsidRPr="00A51044">
              <w:rPr>
                <w:b/>
                <w:color w:val="FFFFFF" w:themeColor="background1"/>
                <w:szCs w:val="20"/>
                <w:lang w:eastAsia="en-AU"/>
              </w:rPr>
              <w:t>Oral Antiviral</w:t>
            </w:r>
          </w:p>
        </w:tc>
        <w:tc>
          <w:tcPr>
            <w:tcW w:w="2122" w:type="dxa"/>
            <w:shd w:val="clear" w:color="auto" w:fill="358189" w:themeFill="accent2"/>
            <w:hideMark/>
          </w:tcPr>
          <w:p w14:paraId="76ED9483" w14:textId="77777777" w:rsidR="00A51044" w:rsidRPr="00A51044" w:rsidRDefault="00A51044" w:rsidP="00A51044">
            <w:pPr>
              <w:spacing w:after="120"/>
              <w:rPr>
                <w:b/>
                <w:color w:val="FFFFFF" w:themeColor="background1"/>
                <w:szCs w:val="20"/>
                <w:lang w:eastAsia="en-AU"/>
              </w:rPr>
            </w:pPr>
            <w:r w:rsidRPr="00A51044">
              <w:rPr>
                <w:b/>
                <w:color w:val="FFFFFF" w:themeColor="background1"/>
                <w:szCs w:val="20"/>
                <w:lang w:eastAsia="en-AU"/>
              </w:rPr>
              <w:t>Treatment indications</w:t>
            </w:r>
          </w:p>
        </w:tc>
        <w:tc>
          <w:tcPr>
            <w:tcW w:w="2410" w:type="dxa"/>
            <w:shd w:val="clear" w:color="auto" w:fill="358189" w:themeFill="accent2"/>
            <w:hideMark/>
          </w:tcPr>
          <w:p w14:paraId="1367686B" w14:textId="77777777" w:rsidR="00A51044" w:rsidRPr="00A51044" w:rsidRDefault="00A51044" w:rsidP="00A51044">
            <w:pPr>
              <w:spacing w:after="120"/>
              <w:rPr>
                <w:b/>
                <w:color w:val="FFFFFF" w:themeColor="background1"/>
                <w:szCs w:val="20"/>
                <w:lang w:eastAsia="en-AU"/>
              </w:rPr>
            </w:pPr>
            <w:r w:rsidRPr="00A51044">
              <w:rPr>
                <w:b/>
                <w:color w:val="FFFFFF" w:themeColor="background1"/>
                <w:szCs w:val="20"/>
                <w:lang w:eastAsia="en-AU"/>
              </w:rPr>
              <w:t xml:space="preserve">Dosing guidance </w:t>
            </w:r>
          </w:p>
        </w:tc>
        <w:tc>
          <w:tcPr>
            <w:tcW w:w="2268" w:type="dxa"/>
            <w:shd w:val="clear" w:color="auto" w:fill="358189" w:themeFill="accent2"/>
            <w:hideMark/>
          </w:tcPr>
          <w:p w14:paraId="011D8A0C" w14:textId="77777777" w:rsidR="00A51044" w:rsidRPr="00A51044" w:rsidRDefault="00A51044" w:rsidP="00A51044">
            <w:pPr>
              <w:spacing w:after="120"/>
              <w:rPr>
                <w:b/>
                <w:color w:val="FFFFFF" w:themeColor="background1"/>
                <w:szCs w:val="20"/>
                <w:lang w:eastAsia="en-AU"/>
              </w:rPr>
            </w:pPr>
            <w:r w:rsidRPr="00A51044">
              <w:rPr>
                <w:b/>
                <w:color w:val="FFFFFF" w:themeColor="background1"/>
                <w:szCs w:val="20"/>
                <w:lang w:eastAsia="en-AU"/>
              </w:rPr>
              <w:t>Comments</w:t>
            </w:r>
          </w:p>
        </w:tc>
        <w:tc>
          <w:tcPr>
            <w:tcW w:w="1843" w:type="dxa"/>
            <w:shd w:val="clear" w:color="auto" w:fill="358189" w:themeFill="accent2"/>
            <w:hideMark/>
          </w:tcPr>
          <w:p w14:paraId="6545922C" w14:textId="77777777" w:rsidR="00A51044" w:rsidRPr="00A51044" w:rsidRDefault="00A51044" w:rsidP="00A51044">
            <w:pPr>
              <w:spacing w:after="120"/>
              <w:rPr>
                <w:b/>
                <w:color w:val="FFFFFF" w:themeColor="background1"/>
                <w:szCs w:val="20"/>
                <w:lang w:eastAsia="en-AU"/>
              </w:rPr>
            </w:pPr>
            <w:r w:rsidRPr="00A51044">
              <w:rPr>
                <w:b/>
                <w:color w:val="FFFFFF" w:themeColor="background1"/>
                <w:szCs w:val="20"/>
                <w:lang w:eastAsia="en-AU"/>
              </w:rPr>
              <w:t xml:space="preserve">Resources </w:t>
            </w:r>
          </w:p>
        </w:tc>
      </w:tr>
      <w:tr w:rsidR="00A51044" w14:paraId="6D017F31" w14:textId="77777777" w:rsidTr="00712E68">
        <w:tc>
          <w:tcPr>
            <w:tcW w:w="1275" w:type="dxa"/>
            <w:hideMark/>
          </w:tcPr>
          <w:p w14:paraId="27293437" w14:textId="77777777" w:rsidR="00A51044" w:rsidRPr="00712E68" w:rsidRDefault="00A51044" w:rsidP="00A51044">
            <w:pPr>
              <w:spacing w:after="120"/>
              <w:rPr>
                <w:b/>
                <w:bCs/>
                <w:sz w:val="20"/>
                <w:szCs w:val="20"/>
                <w:lang w:eastAsia="en-AU"/>
              </w:rPr>
            </w:pPr>
            <w:r w:rsidRPr="00712E68">
              <w:rPr>
                <w:b/>
                <w:bCs/>
                <w:sz w:val="20"/>
                <w:szCs w:val="20"/>
                <w:lang w:eastAsia="en-AU"/>
              </w:rPr>
              <w:t>Oseltamivir (Tamiflu)</w:t>
            </w:r>
          </w:p>
        </w:tc>
        <w:tc>
          <w:tcPr>
            <w:tcW w:w="2122" w:type="dxa"/>
            <w:hideMark/>
          </w:tcPr>
          <w:p w14:paraId="72C4E69D" w14:textId="77777777" w:rsidR="00A51044" w:rsidRPr="00A51044" w:rsidRDefault="00A51044" w:rsidP="00A51044">
            <w:pPr>
              <w:spacing w:after="120"/>
              <w:rPr>
                <w:sz w:val="20"/>
                <w:szCs w:val="20"/>
                <w:lang w:eastAsia="en-AU"/>
              </w:rPr>
            </w:pPr>
            <w:r w:rsidRPr="00A51044">
              <w:rPr>
                <w:sz w:val="20"/>
                <w:szCs w:val="20"/>
                <w:lang w:eastAsia="en-AU"/>
              </w:rPr>
              <w:t>Diagnosis of influenza. Treatment should commence as soon as possible, but no later than 48 hours after the onset of the initial symptoms of infection.</w:t>
            </w:r>
          </w:p>
        </w:tc>
        <w:tc>
          <w:tcPr>
            <w:tcW w:w="2410" w:type="dxa"/>
            <w:hideMark/>
          </w:tcPr>
          <w:p w14:paraId="06CFFD90" w14:textId="77777777" w:rsidR="00A51044" w:rsidRPr="00A51044" w:rsidRDefault="00A51044" w:rsidP="00A51044">
            <w:pPr>
              <w:spacing w:after="120"/>
              <w:rPr>
                <w:sz w:val="20"/>
                <w:szCs w:val="20"/>
                <w:lang w:eastAsia="en-AU"/>
              </w:rPr>
            </w:pPr>
            <w:r w:rsidRPr="00A51044">
              <w:rPr>
                <w:sz w:val="20"/>
                <w:szCs w:val="20"/>
                <w:lang w:eastAsia="en-AU"/>
              </w:rPr>
              <w:t>Administered as an oral capsule of 75 mg, twice a day for 5 days.</w:t>
            </w:r>
          </w:p>
        </w:tc>
        <w:tc>
          <w:tcPr>
            <w:tcW w:w="2268" w:type="dxa"/>
            <w:hideMark/>
          </w:tcPr>
          <w:p w14:paraId="743F3FC5" w14:textId="77777777" w:rsidR="00A51044" w:rsidRPr="00A51044" w:rsidRDefault="00A51044" w:rsidP="00A51044">
            <w:pPr>
              <w:spacing w:after="120"/>
              <w:rPr>
                <w:sz w:val="20"/>
                <w:szCs w:val="20"/>
                <w:lang w:eastAsia="en-AU"/>
              </w:rPr>
            </w:pPr>
            <w:bookmarkStart w:id="67" w:name="_Hlk104209809"/>
            <w:r w:rsidRPr="00A51044">
              <w:rPr>
                <w:sz w:val="20"/>
                <w:szCs w:val="20"/>
                <w:lang w:eastAsia="en-AU"/>
              </w:rPr>
              <w:t>Dose adjustment is required for renal impairment</w:t>
            </w:r>
            <w:bookmarkEnd w:id="67"/>
            <w:r w:rsidRPr="00A51044">
              <w:rPr>
                <w:sz w:val="20"/>
                <w:szCs w:val="20"/>
                <w:lang w:eastAsia="en-AU"/>
              </w:rPr>
              <w:t xml:space="preserve">. Refer to product information and table 5.  </w:t>
            </w:r>
          </w:p>
        </w:tc>
        <w:tc>
          <w:tcPr>
            <w:tcW w:w="1843" w:type="dxa"/>
          </w:tcPr>
          <w:p w14:paraId="397E6D31" w14:textId="77777777" w:rsidR="00A51044" w:rsidRPr="00A51044" w:rsidRDefault="007D5162" w:rsidP="00A51044">
            <w:pPr>
              <w:spacing w:after="120"/>
              <w:rPr>
                <w:rStyle w:val="Hyperlink"/>
                <w:sz w:val="20"/>
                <w:szCs w:val="20"/>
              </w:rPr>
            </w:pPr>
            <w:hyperlink r:id="rId30" w:history="1">
              <w:r w:rsidR="00A51044" w:rsidRPr="00A51044">
                <w:rPr>
                  <w:rStyle w:val="Hyperlink"/>
                  <w:sz w:val="20"/>
                  <w:szCs w:val="20"/>
                  <w:lang w:eastAsia="en-AU"/>
                </w:rPr>
                <w:t>Tamiflu product information (TGA)</w:t>
              </w:r>
            </w:hyperlink>
          </w:p>
          <w:p w14:paraId="422FB7C2" w14:textId="77777777" w:rsidR="00A51044" w:rsidRPr="00A51044" w:rsidRDefault="00A51044" w:rsidP="00A51044">
            <w:pPr>
              <w:spacing w:after="120"/>
              <w:rPr>
                <w:sz w:val="20"/>
                <w:szCs w:val="20"/>
              </w:rPr>
            </w:pPr>
          </w:p>
          <w:p w14:paraId="3BA967D7" w14:textId="77777777" w:rsidR="00A51044" w:rsidRPr="00A51044" w:rsidRDefault="007D5162" w:rsidP="00A51044">
            <w:pPr>
              <w:spacing w:after="120"/>
              <w:rPr>
                <w:sz w:val="20"/>
                <w:szCs w:val="20"/>
                <w:lang w:eastAsia="en-AU"/>
              </w:rPr>
            </w:pPr>
            <w:hyperlink r:id="rId31" w:history="1">
              <w:r w:rsidR="00A51044" w:rsidRPr="00A51044">
                <w:rPr>
                  <w:rStyle w:val="Hyperlink"/>
                  <w:sz w:val="20"/>
                  <w:szCs w:val="20"/>
                  <w:lang w:eastAsia="en-AU"/>
                </w:rPr>
                <w:t>Use of Tamiflu in residential aged care (health.gov.au)</w:t>
              </w:r>
            </w:hyperlink>
          </w:p>
        </w:tc>
      </w:tr>
    </w:tbl>
    <w:p w14:paraId="6D795DB4" w14:textId="77777777" w:rsidR="00A51044" w:rsidRDefault="00A51044" w:rsidP="00A51044">
      <w:pPr>
        <w:rPr>
          <w:b/>
          <w:bCs/>
          <w:sz w:val="20"/>
        </w:rPr>
      </w:pPr>
    </w:p>
    <w:p w14:paraId="49EF2512" w14:textId="77777777" w:rsidR="00A51044" w:rsidRDefault="00A51044" w:rsidP="00A51044">
      <w:pPr>
        <w:rPr>
          <w:b/>
          <w:bCs/>
        </w:rPr>
      </w:pPr>
    </w:p>
    <w:p w14:paraId="73C3E4BD" w14:textId="77777777" w:rsidR="00A51044" w:rsidRDefault="00A51044" w:rsidP="00A51044">
      <w:pPr>
        <w:rPr>
          <w:b/>
          <w:bCs/>
        </w:rPr>
      </w:pPr>
    </w:p>
    <w:p w14:paraId="3B060377" w14:textId="77777777" w:rsidR="00A51044" w:rsidRDefault="00A51044" w:rsidP="00A51044">
      <w:pPr>
        <w:rPr>
          <w:b/>
          <w:bCs/>
        </w:rPr>
      </w:pPr>
    </w:p>
    <w:p w14:paraId="0649E74B" w14:textId="77777777" w:rsidR="00A51044" w:rsidRDefault="00A51044" w:rsidP="00A51044">
      <w:pPr>
        <w:rPr>
          <w:b/>
          <w:bCs/>
        </w:rPr>
      </w:pPr>
    </w:p>
    <w:p w14:paraId="5BEBF8C5" w14:textId="77777777" w:rsidR="00A51044" w:rsidRDefault="00A51044" w:rsidP="00A51044">
      <w:pPr>
        <w:rPr>
          <w:b/>
          <w:bCs/>
        </w:rPr>
      </w:pPr>
    </w:p>
    <w:p w14:paraId="09A28A10" w14:textId="2E0FAC8E" w:rsidR="00A51044" w:rsidRPr="00A51044" w:rsidRDefault="00A51044" w:rsidP="00A51044">
      <w:pPr>
        <w:pStyle w:val="Heading3"/>
        <w:spacing w:after="120"/>
      </w:pPr>
      <w:bookmarkStart w:id="68" w:name="_Toc115342404"/>
      <w:r w:rsidRPr="00A51044">
        <w:t xml:space="preserve">Table </w:t>
      </w:r>
      <w:r w:rsidR="0064058A">
        <w:t>6.</w:t>
      </w:r>
      <w:r w:rsidRPr="00A51044">
        <w:t xml:space="preserve"> Influenza prophylaxis in residential care facilities</w:t>
      </w:r>
      <w:bookmarkEnd w:id="68"/>
    </w:p>
    <w:tbl>
      <w:tblPr>
        <w:tblStyle w:val="TableGrid"/>
        <w:tblW w:w="9918" w:type="dxa"/>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Look w:val="04A0" w:firstRow="1" w:lastRow="0" w:firstColumn="1" w:lastColumn="0" w:noHBand="0" w:noVBand="1"/>
      </w:tblPr>
      <w:tblGrid>
        <w:gridCol w:w="1306"/>
        <w:gridCol w:w="2114"/>
        <w:gridCol w:w="2399"/>
        <w:gridCol w:w="2261"/>
        <w:gridCol w:w="1838"/>
      </w:tblGrid>
      <w:tr w:rsidR="00A51044" w14:paraId="6615AFED" w14:textId="77777777" w:rsidTr="00712E68">
        <w:tc>
          <w:tcPr>
            <w:tcW w:w="1278" w:type="dxa"/>
            <w:shd w:val="clear" w:color="auto" w:fill="358189" w:themeFill="accent2"/>
            <w:hideMark/>
          </w:tcPr>
          <w:p w14:paraId="3B974BC6" w14:textId="77777777" w:rsidR="00A51044" w:rsidRPr="00A51044" w:rsidRDefault="00A51044" w:rsidP="00A51044">
            <w:pPr>
              <w:spacing w:after="120"/>
              <w:rPr>
                <w:b/>
                <w:color w:val="FFFFFF" w:themeColor="background1"/>
                <w:szCs w:val="20"/>
                <w:lang w:eastAsia="en-AU"/>
              </w:rPr>
            </w:pPr>
            <w:r w:rsidRPr="00A51044">
              <w:rPr>
                <w:b/>
                <w:color w:val="FFFFFF" w:themeColor="background1"/>
                <w:szCs w:val="20"/>
                <w:lang w:eastAsia="en-AU"/>
              </w:rPr>
              <w:t>Oral Antiviral</w:t>
            </w:r>
          </w:p>
        </w:tc>
        <w:tc>
          <w:tcPr>
            <w:tcW w:w="2119" w:type="dxa"/>
            <w:shd w:val="clear" w:color="auto" w:fill="358189" w:themeFill="accent2"/>
            <w:hideMark/>
          </w:tcPr>
          <w:p w14:paraId="3642BB1B" w14:textId="77777777" w:rsidR="00A51044" w:rsidRPr="00A51044" w:rsidRDefault="00A51044" w:rsidP="00A51044">
            <w:pPr>
              <w:spacing w:after="120"/>
              <w:rPr>
                <w:b/>
                <w:color w:val="FFFFFF" w:themeColor="background1"/>
                <w:szCs w:val="20"/>
                <w:lang w:eastAsia="en-AU"/>
              </w:rPr>
            </w:pPr>
            <w:r w:rsidRPr="00A51044">
              <w:rPr>
                <w:b/>
                <w:color w:val="FFFFFF" w:themeColor="background1"/>
                <w:szCs w:val="20"/>
                <w:lang w:eastAsia="en-AU"/>
              </w:rPr>
              <w:t>Prophylaxis</w:t>
            </w:r>
          </w:p>
        </w:tc>
        <w:tc>
          <w:tcPr>
            <w:tcW w:w="2410" w:type="dxa"/>
            <w:shd w:val="clear" w:color="auto" w:fill="358189" w:themeFill="accent2"/>
            <w:hideMark/>
          </w:tcPr>
          <w:p w14:paraId="3910BBEC" w14:textId="77777777" w:rsidR="00A51044" w:rsidRPr="00A51044" w:rsidRDefault="00A51044" w:rsidP="00A51044">
            <w:pPr>
              <w:spacing w:after="120"/>
              <w:rPr>
                <w:b/>
                <w:color w:val="FFFFFF" w:themeColor="background1"/>
                <w:szCs w:val="20"/>
                <w:lang w:eastAsia="en-AU"/>
              </w:rPr>
            </w:pPr>
            <w:r w:rsidRPr="00A51044">
              <w:rPr>
                <w:b/>
                <w:color w:val="FFFFFF" w:themeColor="background1"/>
                <w:szCs w:val="20"/>
                <w:lang w:eastAsia="en-AU"/>
              </w:rPr>
              <w:t xml:space="preserve">Dosing guidance </w:t>
            </w:r>
          </w:p>
        </w:tc>
        <w:tc>
          <w:tcPr>
            <w:tcW w:w="2268" w:type="dxa"/>
            <w:shd w:val="clear" w:color="auto" w:fill="358189" w:themeFill="accent2"/>
            <w:hideMark/>
          </w:tcPr>
          <w:p w14:paraId="520620A7" w14:textId="77777777" w:rsidR="00A51044" w:rsidRPr="00A51044" w:rsidRDefault="00A51044" w:rsidP="00A51044">
            <w:pPr>
              <w:spacing w:after="120"/>
              <w:rPr>
                <w:b/>
                <w:color w:val="FFFFFF" w:themeColor="background1"/>
                <w:szCs w:val="20"/>
                <w:lang w:eastAsia="en-AU"/>
              </w:rPr>
            </w:pPr>
            <w:r w:rsidRPr="00A51044">
              <w:rPr>
                <w:b/>
                <w:color w:val="FFFFFF" w:themeColor="background1"/>
                <w:szCs w:val="20"/>
                <w:lang w:eastAsia="en-AU"/>
              </w:rPr>
              <w:t>Comments</w:t>
            </w:r>
          </w:p>
        </w:tc>
        <w:tc>
          <w:tcPr>
            <w:tcW w:w="1843" w:type="dxa"/>
            <w:shd w:val="clear" w:color="auto" w:fill="358189" w:themeFill="accent2"/>
            <w:hideMark/>
          </w:tcPr>
          <w:p w14:paraId="501F914A" w14:textId="77777777" w:rsidR="00A51044" w:rsidRPr="00A51044" w:rsidRDefault="00A51044" w:rsidP="00A51044">
            <w:pPr>
              <w:spacing w:after="120"/>
              <w:rPr>
                <w:b/>
                <w:color w:val="FFFFFF" w:themeColor="background1"/>
                <w:szCs w:val="20"/>
                <w:lang w:eastAsia="en-AU"/>
              </w:rPr>
            </w:pPr>
            <w:r w:rsidRPr="00A51044">
              <w:rPr>
                <w:b/>
                <w:color w:val="FFFFFF" w:themeColor="background1"/>
                <w:szCs w:val="20"/>
                <w:lang w:eastAsia="en-AU"/>
              </w:rPr>
              <w:t xml:space="preserve">Resources </w:t>
            </w:r>
          </w:p>
        </w:tc>
      </w:tr>
      <w:tr w:rsidR="00A51044" w14:paraId="5ACD1335" w14:textId="77777777" w:rsidTr="00712E68">
        <w:tc>
          <w:tcPr>
            <w:tcW w:w="1278" w:type="dxa"/>
            <w:hideMark/>
          </w:tcPr>
          <w:p w14:paraId="690B1473" w14:textId="77777777" w:rsidR="00A51044" w:rsidRPr="00712E68" w:rsidRDefault="00A51044" w:rsidP="00A51044">
            <w:pPr>
              <w:spacing w:after="120"/>
              <w:rPr>
                <w:b/>
                <w:bCs/>
                <w:sz w:val="20"/>
                <w:szCs w:val="20"/>
                <w:lang w:eastAsia="en-AU"/>
              </w:rPr>
            </w:pPr>
            <w:r w:rsidRPr="00712E68">
              <w:rPr>
                <w:b/>
                <w:bCs/>
                <w:sz w:val="20"/>
                <w:szCs w:val="20"/>
                <w:lang w:eastAsia="en-AU"/>
              </w:rPr>
              <w:t>Oseltamivir (Tamiflu)</w:t>
            </w:r>
          </w:p>
        </w:tc>
        <w:tc>
          <w:tcPr>
            <w:tcW w:w="2119" w:type="dxa"/>
            <w:hideMark/>
          </w:tcPr>
          <w:p w14:paraId="691C7B8F" w14:textId="77777777" w:rsidR="00A51044" w:rsidRPr="00712E68" w:rsidRDefault="00A51044" w:rsidP="00A51044">
            <w:pPr>
              <w:spacing w:after="120"/>
              <w:rPr>
                <w:sz w:val="20"/>
                <w:szCs w:val="20"/>
                <w:lang w:eastAsia="en-AU"/>
              </w:rPr>
            </w:pPr>
            <w:r w:rsidRPr="00712E68">
              <w:rPr>
                <w:sz w:val="20"/>
                <w:szCs w:val="20"/>
                <w:lang w:eastAsia="en-AU"/>
              </w:rPr>
              <w:t xml:space="preserve">Recommended oral dose of Tamiflu for prevention of influenza following close contact with an infected individual. </w:t>
            </w:r>
          </w:p>
        </w:tc>
        <w:tc>
          <w:tcPr>
            <w:tcW w:w="2410" w:type="dxa"/>
          </w:tcPr>
          <w:p w14:paraId="04BCF97D" w14:textId="77777777" w:rsidR="00A51044" w:rsidRPr="00712E68" w:rsidRDefault="00A51044" w:rsidP="00A51044">
            <w:pPr>
              <w:spacing w:after="120"/>
              <w:rPr>
                <w:sz w:val="20"/>
                <w:szCs w:val="20"/>
                <w:lang w:eastAsia="en-AU"/>
              </w:rPr>
            </w:pPr>
            <w:r w:rsidRPr="00712E68">
              <w:rPr>
                <w:sz w:val="20"/>
                <w:szCs w:val="20"/>
                <w:lang w:eastAsia="en-AU"/>
              </w:rPr>
              <w:t xml:space="preserve">75 mg once daily for 10 days. Therapy should begin within two days of exposure </w:t>
            </w:r>
          </w:p>
          <w:p w14:paraId="60BBF066" w14:textId="77777777" w:rsidR="00A51044" w:rsidRPr="00712E68" w:rsidRDefault="00A51044" w:rsidP="00A51044">
            <w:pPr>
              <w:spacing w:after="120"/>
              <w:rPr>
                <w:sz w:val="20"/>
                <w:szCs w:val="20"/>
                <w:lang w:eastAsia="en-AU"/>
              </w:rPr>
            </w:pPr>
          </w:p>
        </w:tc>
        <w:tc>
          <w:tcPr>
            <w:tcW w:w="2268" w:type="dxa"/>
            <w:hideMark/>
          </w:tcPr>
          <w:p w14:paraId="2502578B" w14:textId="77777777" w:rsidR="00A51044" w:rsidRPr="00712E68" w:rsidRDefault="00A51044" w:rsidP="00A51044">
            <w:pPr>
              <w:spacing w:after="120"/>
              <w:rPr>
                <w:sz w:val="20"/>
                <w:szCs w:val="20"/>
                <w:lang w:eastAsia="en-AU"/>
              </w:rPr>
            </w:pPr>
            <w:r w:rsidRPr="00712E68">
              <w:rPr>
                <w:sz w:val="20"/>
                <w:szCs w:val="20"/>
                <w:lang w:eastAsia="en-AU"/>
              </w:rPr>
              <w:t>Dose adjustment is required for renal impairment. Refer to product information and table 5.</w:t>
            </w:r>
          </w:p>
          <w:p w14:paraId="65E524D8" w14:textId="77777777" w:rsidR="00A51044" w:rsidRPr="00712E68" w:rsidRDefault="00A51044" w:rsidP="00A51044">
            <w:pPr>
              <w:spacing w:after="120"/>
              <w:rPr>
                <w:sz w:val="20"/>
                <w:szCs w:val="20"/>
                <w:lang w:eastAsia="en-AU"/>
              </w:rPr>
            </w:pPr>
            <w:r w:rsidRPr="00712E68">
              <w:rPr>
                <w:sz w:val="20"/>
                <w:szCs w:val="20"/>
                <w:lang w:eastAsia="en-AU"/>
              </w:rPr>
              <w:t xml:space="preserve">The duration of protection lasts for as long as dosing is continued. </w:t>
            </w:r>
          </w:p>
          <w:p w14:paraId="22C358E6" w14:textId="77777777" w:rsidR="00A51044" w:rsidRPr="00712E68" w:rsidRDefault="00A51044" w:rsidP="00A51044">
            <w:pPr>
              <w:spacing w:after="120"/>
              <w:rPr>
                <w:sz w:val="20"/>
                <w:szCs w:val="20"/>
                <w:lang w:eastAsia="en-AU"/>
              </w:rPr>
            </w:pPr>
            <w:r w:rsidRPr="00712E68">
              <w:rPr>
                <w:sz w:val="20"/>
                <w:szCs w:val="20"/>
                <w:lang w:eastAsia="en-AU"/>
              </w:rPr>
              <w:t>Safety and efficacy have been demonstrated for up to six weeks.</w:t>
            </w:r>
          </w:p>
        </w:tc>
        <w:tc>
          <w:tcPr>
            <w:tcW w:w="1843" w:type="dxa"/>
          </w:tcPr>
          <w:p w14:paraId="3B362EA5" w14:textId="77777777" w:rsidR="00A51044" w:rsidRPr="00712E68" w:rsidRDefault="007D5162" w:rsidP="00A51044">
            <w:pPr>
              <w:spacing w:after="120"/>
              <w:rPr>
                <w:sz w:val="20"/>
                <w:szCs w:val="20"/>
                <w:lang w:eastAsia="en-AU"/>
              </w:rPr>
            </w:pPr>
            <w:hyperlink r:id="rId32" w:history="1">
              <w:r w:rsidR="00A51044" w:rsidRPr="00712E68">
                <w:rPr>
                  <w:rStyle w:val="Hyperlink"/>
                  <w:sz w:val="20"/>
                  <w:szCs w:val="20"/>
                  <w:lang w:eastAsia="en-AU"/>
                </w:rPr>
                <w:t>Tamiflu product information</w:t>
              </w:r>
            </w:hyperlink>
            <w:r w:rsidR="00A51044" w:rsidRPr="00712E68">
              <w:rPr>
                <w:sz w:val="20"/>
                <w:szCs w:val="20"/>
                <w:lang w:eastAsia="en-AU"/>
              </w:rPr>
              <w:t xml:space="preserve"> (TGA)</w:t>
            </w:r>
          </w:p>
          <w:p w14:paraId="28A84789" w14:textId="77777777" w:rsidR="00A51044" w:rsidRPr="00712E68" w:rsidRDefault="00A51044" w:rsidP="00A51044">
            <w:pPr>
              <w:spacing w:after="120"/>
              <w:rPr>
                <w:sz w:val="20"/>
                <w:szCs w:val="20"/>
                <w:lang w:eastAsia="en-AU"/>
              </w:rPr>
            </w:pPr>
          </w:p>
        </w:tc>
      </w:tr>
    </w:tbl>
    <w:p w14:paraId="4FC8B79F" w14:textId="3FA9D804" w:rsidR="00A51044" w:rsidRDefault="00A51044" w:rsidP="00A51044">
      <w:pPr>
        <w:spacing w:after="120"/>
        <w:rPr>
          <w:bCs/>
        </w:rPr>
      </w:pPr>
    </w:p>
    <w:p w14:paraId="71D0EFB6" w14:textId="714A64CD" w:rsidR="00A51044" w:rsidRDefault="00A51044" w:rsidP="00862FA9">
      <w:pPr>
        <w:pStyle w:val="Heading3"/>
        <w:spacing w:after="120"/>
      </w:pPr>
      <w:bookmarkStart w:id="69" w:name="_Toc115342405"/>
      <w:r>
        <w:t xml:space="preserve">Table </w:t>
      </w:r>
      <w:r w:rsidR="0064058A">
        <w:t>7.</w:t>
      </w:r>
      <w:r>
        <w:t xml:space="preserve"> Adjusting oseltamivir (Tamiflu) dosage in the setting of renal failure</w:t>
      </w:r>
      <w:r w:rsidR="0059420E">
        <w:t>*</w:t>
      </w:r>
      <w:bookmarkEnd w:id="69"/>
      <w:r>
        <w:t xml:space="preserve"> </w:t>
      </w:r>
    </w:p>
    <w:tbl>
      <w:tblPr>
        <w:tblW w:w="9780" w:type="dxa"/>
        <w:tblInd w:w="-10" w:type="dxa"/>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Layout w:type="fixed"/>
        <w:tblLook w:val="04A0" w:firstRow="1" w:lastRow="0" w:firstColumn="1" w:lastColumn="0" w:noHBand="0" w:noVBand="1"/>
      </w:tblPr>
      <w:tblGrid>
        <w:gridCol w:w="3544"/>
        <w:gridCol w:w="6236"/>
      </w:tblGrid>
      <w:tr w:rsidR="00A51044" w14:paraId="4EA215A7" w14:textId="77777777" w:rsidTr="00712E68">
        <w:trPr>
          <w:cantSplit/>
          <w:tblHeader/>
        </w:trPr>
        <w:tc>
          <w:tcPr>
            <w:tcW w:w="3544" w:type="dxa"/>
            <w:shd w:val="clear" w:color="auto" w:fill="358189" w:themeFill="accent2"/>
            <w:hideMark/>
          </w:tcPr>
          <w:p w14:paraId="442ABD80" w14:textId="77777777" w:rsidR="00A51044" w:rsidRPr="00862FA9" w:rsidRDefault="00A51044" w:rsidP="00862FA9">
            <w:pPr>
              <w:spacing w:after="120" w:line="256" w:lineRule="auto"/>
              <w:rPr>
                <w:b/>
                <w:bCs/>
                <w:color w:val="FFFFFF" w:themeColor="background1"/>
                <w:sz w:val="20"/>
                <w:szCs w:val="20"/>
                <w:lang w:eastAsia="en-AU"/>
              </w:rPr>
            </w:pPr>
            <w:r w:rsidRPr="00862FA9">
              <w:rPr>
                <w:b/>
                <w:bCs/>
                <w:iCs/>
                <w:color w:val="FFFFFF" w:themeColor="background1"/>
                <w:szCs w:val="20"/>
                <w:lang w:eastAsia="en-AU"/>
              </w:rPr>
              <w:t>Renal</w:t>
            </w:r>
            <w:r w:rsidRPr="00862FA9">
              <w:rPr>
                <w:b/>
                <w:bCs/>
                <w:color w:val="FFFFFF" w:themeColor="background1"/>
                <w:szCs w:val="20"/>
                <w:lang w:eastAsia="en-AU"/>
              </w:rPr>
              <w:t xml:space="preserve"> function </w:t>
            </w:r>
          </w:p>
        </w:tc>
        <w:tc>
          <w:tcPr>
            <w:tcW w:w="6236" w:type="dxa"/>
            <w:shd w:val="clear" w:color="auto" w:fill="358189" w:themeFill="accent2"/>
            <w:hideMark/>
          </w:tcPr>
          <w:p w14:paraId="36B4BC21" w14:textId="77777777" w:rsidR="00A51044" w:rsidRPr="00862FA9" w:rsidRDefault="00A51044" w:rsidP="00862FA9">
            <w:pPr>
              <w:spacing w:after="120" w:line="256" w:lineRule="auto"/>
              <w:rPr>
                <w:b/>
                <w:bCs/>
                <w:color w:val="FFFFFF" w:themeColor="background1"/>
                <w:szCs w:val="20"/>
                <w:lang w:eastAsia="en-AU"/>
              </w:rPr>
            </w:pPr>
            <w:r w:rsidRPr="00862FA9">
              <w:rPr>
                <w:b/>
                <w:bCs/>
                <w:color w:val="FFFFFF" w:themeColor="background1"/>
                <w:szCs w:val="20"/>
                <w:lang w:eastAsia="en-AU"/>
              </w:rPr>
              <w:t xml:space="preserve">Dosing regimen for oseltamivir </w:t>
            </w:r>
          </w:p>
        </w:tc>
      </w:tr>
      <w:tr w:rsidR="00862FA9" w14:paraId="360C3CDD" w14:textId="77777777" w:rsidTr="00712E68">
        <w:trPr>
          <w:cantSplit/>
        </w:trPr>
        <w:tc>
          <w:tcPr>
            <w:tcW w:w="9780" w:type="dxa"/>
            <w:gridSpan w:val="2"/>
            <w:shd w:val="clear" w:color="auto" w:fill="CFCFCF" w:themeFill="background2" w:themeFillShade="E6"/>
            <w:hideMark/>
          </w:tcPr>
          <w:p w14:paraId="2BE2C780" w14:textId="07D4C6DF" w:rsidR="00862FA9" w:rsidRPr="00712E68" w:rsidRDefault="00862FA9" w:rsidP="00862FA9">
            <w:pPr>
              <w:spacing w:after="120" w:line="256" w:lineRule="auto"/>
              <w:rPr>
                <w:sz w:val="20"/>
                <w:szCs w:val="18"/>
                <w:lang w:eastAsia="en-AU"/>
              </w:rPr>
            </w:pPr>
            <w:r w:rsidRPr="00712E68">
              <w:rPr>
                <w:bCs/>
                <w:i/>
                <w:sz w:val="20"/>
                <w:szCs w:val="18"/>
                <w:lang w:eastAsia="en-AU"/>
              </w:rPr>
              <w:t>Dosage</w:t>
            </w:r>
            <w:r w:rsidRPr="00712E68">
              <w:rPr>
                <w:i/>
                <w:sz w:val="20"/>
                <w:szCs w:val="18"/>
                <w:lang w:eastAsia="en-AU"/>
              </w:rPr>
              <w:t xml:space="preserve"> adjustment based on Glomerular Filtration Rate</w:t>
            </w:r>
          </w:p>
        </w:tc>
      </w:tr>
      <w:tr w:rsidR="00A51044" w14:paraId="6CCDD778" w14:textId="77777777" w:rsidTr="00712E68">
        <w:trPr>
          <w:cantSplit/>
        </w:trPr>
        <w:tc>
          <w:tcPr>
            <w:tcW w:w="3544" w:type="dxa"/>
            <w:shd w:val="clear" w:color="auto" w:fill="D0EAED" w:themeFill="accent2" w:themeFillTint="33"/>
            <w:hideMark/>
          </w:tcPr>
          <w:p w14:paraId="0E87A914" w14:textId="77777777" w:rsidR="00A51044" w:rsidRPr="00712E68" w:rsidRDefault="00A51044" w:rsidP="00862FA9">
            <w:pPr>
              <w:spacing w:after="120" w:line="256" w:lineRule="auto"/>
              <w:rPr>
                <w:sz w:val="20"/>
                <w:szCs w:val="18"/>
                <w:lang w:eastAsia="en-AU"/>
              </w:rPr>
            </w:pPr>
            <w:r w:rsidRPr="00712E68">
              <w:rPr>
                <w:sz w:val="20"/>
                <w:szCs w:val="18"/>
                <w:lang w:eastAsia="en-AU"/>
              </w:rPr>
              <w:t>GFR more than 60 mL/min</w:t>
            </w:r>
          </w:p>
        </w:tc>
        <w:tc>
          <w:tcPr>
            <w:tcW w:w="6236" w:type="dxa"/>
            <w:shd w:val="clear" w:color="auto" w:fill="D0EAED" w:themeFill="accent2" w:themeFillTint="33"/>
            <w:hideMark/>
          </w:tcPr>
          <w:p w14:paraId="056E1FFD" w14:textId="77777777" w:rsidR="00A51044" w:rsidRPr="00712E68" w:rsidRDefault="00A51044" w:rsidP="00862FA9">
            <w:pPr>
              <w:spacing w:after="120" w:line="256" w:lineRule="auto"/>
              <w:rPr>
                <w:sz w:val="20"/>
                <w:szCs w:val="18"/>
                <w:lang w:eastAsia="en-AU"/>
              </w:rPr>
            </w:pPr>
            <w:r w:rsidRPr="00712E68">
              <w:rPr>
                <w:sz w:val="20"/>
                <w:szCs w:val="18"/>
                <w:lang w:eastAsia="en-AU"/>
              </w:rPr>
              <w:t>No adjustment required</w:t>
            </w:r>
          </w:p>
        </w:tc>
      </w:tr>
      <w:tr w:rsidR="00A51044" w14:paraId="2912A181" w14:textId="77777777" w:rsidTr="00712E68">
        <w:trPr>
          <w:cantSplit/>
        </w:trPr>
        <w:tc>
          <w:tcPr>
            <w:tcW w:w="3544" w:type="dxa"/>
            <w:hideMark/>
          </w:tcPr>
          <w:p w14:paraId="2FCFF707" w14:textId="77777777" w:rsidR="00A51044" w:rsidRPr="00712E68" w:rsidRDefault="00A51044" w:rsidP="00862FA9">
            <w:pPr>
              <w:spacing w:after="120" w:line="256" w:lineRule="auto"/>
              <w:rPr>
                <w:sz w:val="20"/>
                <w:szCs w:val="18"/>
                <w:lang w:eastAsia="en-AU"/>
              </w:rPr>
            </w:pPr>
            <w:r w:rsidRPr="00712E68">
              <w:rPr>
                <w:sz w:val="20"/>
                <w:szCs w:val="18"/>
                <w:lang w:eastAsia="en-AU"/>
              </w:rPr>
              <w:t>GFR 30 to 60 mL/min</w:t>
            </w:r>
          </w:p>
        </w:tc>
        <w:tc>
          <w:tcPr>
            <w:tcW w:w="6236" w:type="dxa"/>
            <w:hideMark/>
          </w:tcPr>
          <w:p w14:paraId="584498B0" w14:textId="5AF3D723" w:rsidR="00A51044" w:rsidRPr="00712E68" w:rsidRDefault="00A51044" w:rsidP="00862FA9">
            <w:pPr>
              <w:spacing w:after="120" w:line="256" w:lineRule="auto"/>
              <w:rPr>
                <w:b/>
                <w:sz w:val="20"/>
                <w:szCs w:val="18"/>
                <w:lang w:eastAsia="en-AU"/>
              </w:rPr>
            </w:pPr>
            <w:r w:rsidRPr="00712E68">
              <w:rPr>
                <w:sz w:val="20"/>
                <w:szCs w:val="18"/>
                <w:lang w:eastAsia="en-AU"/>
              </w:rPr>
              <w:t xml:space="preserve">Treatment: 30 mg twice a day for 5 days </w:t>
            </w:r>
          </w:p>
          <w:p w14:paraId="5AA28D46" w14:textId="3E6FCC8C" w:rsidR="00A51044" w:rsidRPr="00712E68" w:rsidRDefault="00A51044" w:rsidP="00862FA9">
            <w:pPr>
              <w:spacing w:after="120" w:line="256" w:lineRule="auto"/>
              <w:rPr>
                <w:sz w:val="20"/>
                <w:szCs w:val="18"/>
                <w:lang w:eastAsia="en-AU"/>
              </w:rPr>
            </w:pPr>
            <w:r w:rsidRPr="00712E68">
              <w:rPr>
                <w:sz w:val="20"/>
                <w:szCs w:val="18"/>
                <w:lang w:eastAsia="en-AU"/>
              </w:rPr>
              <w:t xml:space="preserve">Prophylaxis: 30 mg once daily </w:t>
            </w:r>
            <w:r w:rsidR="006C3F06">
              <w:rPr>
                <w:sz w:val="20"/>
                <w:szCs w:val="18"/>
                <w:lang w:eastAsia="en-AU"/>
              </w:rPr>
              <w:t>for 10 days then review</w:t>
            </w:r>
          </w:p>
        </w:tc>
      </w:tr>
      <w:tr w:rsidR="00A51044" w14:paraId="382958E6" w14:textId="77777777" w:rsidTr="00712E68">
        <w:trPr>
          <w:cantSplit/>
        </w:trPr>
        <w:tc>
          <w:tcPr>
            <w:tcW w:w="3544" w:type="dxa"/>
            <w:shd w:val="clear" w:color="auto" w:fill="D0EAED" w:themeFill="accent2" w:themeFillTint="33"/>
            <w:hideMark/>
          </w:tcPr>
          <w:p w14:paraId="4ACA9AFE" w14:textId="77777777" w:rsidR="00A51044" w:rsidRPr="00712E68" w:rsidRDefault="00A51044" w:rsidP="00862FA9">
            <w:pPr>
              <w:spacing w:after="120" w:line="256" w:lineRule="auto"/>
              <w:rPr>
                <w:sz w:val="20"/>
                <w:szCs w:val="18"/>
                <w:lang w:eastAsia="en-AU"/>
              </w:rPr>
            </w:pPr>
            <w:r w:rsidRPr="00712E68">
              <w:rPr>
                <w:sz w:val="20"/>
                <w:szCs w:val="18"/>
                <w:lang w:eastAsia="en-AU"/>
              </w:rPr>
              <w:t>GFR 10 to 30 mL/min</w:t>
            </w:r>
          </w:p>
        </w:tc>
        <w:tc>
          <w:tcPr>
            <w:tcW w:w="6236" w:type="dxa"/>
            <w:shd w:val="clear" w:color="auto" w:fill="D0EAED" w:themeFill="accent2" w:themeFillTint="33"/>
            <w:hideMark/>
          </w:tcPr>
          <w:p w14:paraId="59A8E6E7" w14:textId="77777777" w:rsidR="00A51044" w:rsidRPr="00712E68" w:rsidRDefault="00A51044" w:rsidP="00862FA9">
            <w:pPr>
              <w:spacing w:after="120" w:line="256" w:lineRule="auto"/>
              <w:rPr>
                <w:sz w:val="20"/>
                <w:szCs w:val="18"/>
                <w:lang w:eastAsia="en-AU"/>
              </w:rPr>
            </w:pPr>
            <w:r w:rsidRPr="00712E68">
              <w:rPr>
                <w:sz w:val="20"/>
                <w:szCs w:val="18"/>
                <w:lang w:eastAsia="en-AU"/>
              </w:rPr>
              <w:t xml:space="preserve">Treatment: 30 mg once daily, for 5 days </w:t>
            </w:r>
          </w:p>
          <w:p w14:paraId="3FAF0396" w14:textId="1700145E" w:rsidR="00A51044" w:rsidRPr="00712E68" w:rsidRDefault="00A51044" w:rsidP="00862FA9">
            <w:pPr>
              <w:spacing w:after="120" w:line="256" w:lineRule="auto"/>
              <w:rPr>
                <w:sz w:val="20"/>
                <w:szCs w:val="18"/>
                <w:lang w:eastAsia="en-AU"/>
              </w:rPr>
            </w:pPr>
            <w:r w:rsidRPr="00712E68">
              <w:rPr>
                <w:sz w:val="20"/>
                <w:szCs w:val="18"/>
                <w:lang w:eastAsia="en-AU"/>
              </w:rPr>
              <w:t xml:space="preserve">Prophylaxis: 30 mg every other day </w:t>
            </w:r>
            <w:r w:rsidR="00857146">
              <w:rPr>
                <w:sz w:val="20"/>
                <w:szCs w:val="18"/>
                <w:lang w:eastAsia="en-AU"/>
              </w:rPr>
              <w:t>for 10 days then review</w:t>
            </w:r>
          </w:p>
        </w:tc>
      </w:tr>
      <w:tr w:rsidR="00A51044" w14:paraId="1290AA62" w14:textId="77777777" w:rsidTr="00712E68">
        <w:trPr>
          <w:cantSplit/>
        </w:trPr>
        <w:tc>
          <w:tcPr>
            <w:tcW w:w="3544" w:type="dxa"/>
            <w:hideMark/>
          </w:tcPr>
          <w:p w14:paraId="25444D5E" w14:textId="77777777" w:rsidR="00A51044" w:rsidRPr="00712E68" w:rsidRDefault="00A51044" w:rsidP="00862FA9">
            <w:pPr>
              <w:spacing w:after="120" w:line="256" w:lineRule="auto"/>
              <w:rPr>
                <w:sz w:val="20"/>
                <w:szCs w:val="18"/>
                <w:lang w:eastAsia="en-AU"/>
              </w:rPr>
            </w:pPr>
            <w:r w:rsidRPr="00712E68">
              <w:rPr>
                <w:sz w:val="20"/>
                <w:szCs w:val="18"/>
                <w:lang w:eastAsia="en-AU"/>
              </w:rPr>
              <w:t>GFR less than 10 mL/min</w:t>
            </w:r>
          </w:p>
        </w:tc>
        <w:tc>
          <w:tcPr>
            <w:tcW w:w="6236" w:type="dxa"/>
            <w:hideMark/>
          </w:tcPr>
          <w:p w14:paraId="4858D282" w14:textId="77777777" w:rsidR="00A51044" w:rsidRPr="00712E68" w:rsidRDefault="00A51044" w:rsidP="00862FA9">
            <w:pPr>
              <w:spacing w:after="120" w:line="256" w:lineRule="auto"/>
              <w:rPr>
                <w:color w:val="000000"/>
                <w:sz w:val="20"/>
                <w:szCs w:val="18"/>
                <w:lang w:eastAsia="en-AU"/>
              </w:rPr>
            </w:pPr>
            <w:r w:rsidRPr="00712E68">
              <w:rPr>
                <w:sz w:val="20"/>
                <w:szCs w:val="18"/>
                <w:lang w:eastAsia="en-AU"/>
              </w:rPr>
              <w:t>no data</w:t>
            </w:r>
          </w:p>
        </w:tc>
      </w:tr>
      <w:tr w:rsidR="00A51044" w14:paraId="3D0873B6" w14:textId="77777777" w:rsidTr="00712E68">
        <w:trPr>
          <w:cantSplit/>
        </w:trPr>
        <w:tc>
          <w:tcPr>
            <w:tcW w:w="9780" w:type="dxa"/>
            <w:gridSpan w:val="2"/>
            <w:shd w:val="clear" w:color="auto" w:fill="358189" w:themeFill="accent2"/>
            <w:hideMark/>
          </w:tcPr>
          <w:p w14:paraId="52E52D52" w14:textId="77777777" w:rsidR="00A51044" w:rsidRPr="00862FA9" w:rsidRDefault="00A51044" w:rsidP="00862FA9">
            <w:pPr>
              <w:spacing w:after="120" w:line="256" w:lineRule="auto"/>
              <w:rPr>
                <w:b/>
                <w:bCs/>
                <w:color w:val="FFFFFF" w:themeColor="background1"/>
                <w:szCs w:val="20"/>
                <w:lang w:eastAsia="en-AU"/>
              </w:rPr>
            </w:pPr>
            <w:r w:rsidRPr="00862FA9">
              <w:rPr>
                <w:b/>
                <w:bCs/>
                <w:color w:val="FFFFFF" w:themeColor="background1"/>
                <w:szCs w:val="20"/>
                <w:lang w:eastAsia="en-AU"/>
              </w:rPr>
              <w:t>Doses for dialysis</w:t>
            </w:r>
          </w:p>
        </w:tc>
      </w:tr>
      <w:tr w:rsidR="00A51044" w14:paraId="4642B83B" w14:textId="77777777" w:rsidTr="00712E68">
        <w:trPr>
          <w:cantSplit/>
        </w:trPr>
        <w:tc>
          <w:tcPr>
            <w:tcW w:w="3544" w:type="dxa"/>
            <w:hideMark/>
          </w:tcPr>
          <w:p w14:paraId="084BED8E" w14:textId="77777777" w:rsidR="00A51044" w:rsidRPr="00712E68" w:rsidRDefault="00A51044" w:rsidP="00862FA9">
            <w:pPr>
              <w:spacing w:after="120" w:line="256" w:lineRule="auto"/>
              <w:rPr>
                <w:sz w:val="20"/>
                <w:szCs w:val="18"/>
                <w:lang w:eastAsia="en-AU"/>
              </w:rPr>
            </w:pPr>
            <w:r w:rsidRPr="00712E68">
              <w:rPr>
                <w:sz w:val="20"/>
                <w:szCs w:val="18"/>
                <w:lang w:eastAsia="en-AU"/>
              </w:rPr>
              <w:t>Haemodialysis</w:t>
            </w:r>
          </w:p>
        </w:tc>
        <w:tc>
          <w:tcPr>
            <w:tcW w:w="6236" w:type="dxa"/>
            <w:hideMark/>
          </w:tcPr>
          <w:p w14:paraId="63E50B4B" w14:textId="77777777" w:rsidR="00A51044" w:rsidRPr="00712E68" w:rsidRDefault="00A51044" w:rsidP="00862FA9">
            <w:pPr>
              <w:spacing w:after="120" w:line="256" w:lineRule="auto"/>
              <w:rPr>
                <w:sz w:val="20"/>
                <w:szCs w:val="18"/>
                <w:lang w:eastAsia="en-AU"/>
              </w:rPr>
            </w:pPr>
            <w:r w:rsidRPr="00712E68">
              <w:rPr>
                <w:sz w:val="20"/>
                <w:szCs w:val="18"/>
                <w:lang w:eastAsia="en-AU"/>
              </w:rPr>
              <w:t xml:space="preserve">Treatment: Initial dose of 30 mg at the onset of symptoms administered prior to the commencement of dialysis, then 30 mg after each dialysis session </w:t>
            </w:r>
          </w:p>
          <w:p w14:paraId="64EF2A9D" w14:textId="77777777" w:rsidR="00A51044" w:rsidRPr="00712E68" w:rsidRDefault="00A51044" w:rsidP="00862FA9">
            <w:pPr>
              <w:spacing w:after="120" w:line="256" w:lineRule="auto"/>
              <w:rPr>
                <w:color w:val="000000"/>
                <w:sz w:val="20"/>
                <w:szCs w:val="18"/>
                <w:lang w:eastAsia="en-AU"/>
              </w:rPr>
            </w:pPr>
            <w:r w:rsidRPr="00712E68">
              <w:rPr>
                <w:sz w:val="20"/>
                <w:szCs w:val="18"/>
                <w:lang w:eastAsia="en-AU"/>
              </w:rPr>
              <w:t xml:space="preserve">Prophylaxis: 30 mg before session, then 30 mg after alternate sessions </w:t>
            </w:r>
            <w:r w:rsidRPr="00712E68">
              <w:rPr>
                <w:color w:val="000000"/>
                <w:sz w:val="20"/>
                <w:szCs w:val="18"/>
                <w:lang w:eastAsia="en-AU"/>
              </w:rPr>
              <w:t xml:space="preserve"> </w:t>
            </w:r>
          </w:p>
        </w:tc>
      </w:tr>
      <w:tr w:rsidR="00A51044" w14:paraId="2F4EB3C4" w14:textId="77777777" w:rsidTr="00712E68">
        <w:trPr>
          <w:cantSplit/>
        </w:trPr>
        <w:tc>
          <w:tcPr>
            <w:tcW w:w="3544" w:type="dxa"/>
            <w:shd w:val="clear" w:color="auto" w:fill="D0EAED" w:themeFill="accent2" w:themeFillTint="33"/>
            <w:hideMark/>
          </w:tcPr>
          <w:p w14:paraId="08A27831" w14:textId="77777777" w:rsidR="00A51044" w:rsidRPr="00712E68" w:rsidRDefault="00A51044" w:rsidP="00862FA9">
            <w:pPr>
              <w:spacing w:after="120" w:line="256" w:lineRule="auto"/>
              <w:rPr>
                <w:sz w:val="20"/>
                <w:szCs w:val="18"/>
                <w:lang w:eastAsia="en-AU"/>
              </w:rPr>
            </w:pPr>
            <w:r w:rsidRPr="00712E68">
              <w:rPr>
                <w:sz w:val="20"/>
                <w:szCs w:val="18"/>
                <w:lang w:eastAsia="en-AU"/>
              </w:rPr>
              <w:t>Continuous Ambulatory Peritoneal dialysis (CAPD)</w:t>
            </w:r>
          </w:p>
        </w:tc>
        <w:tc>
          <w:tcPr>
            <w:tcW w:w="6236" w:type="dxa"/>
            <w:shd w:val="clear" w:color="auto" w:fill="D0EAED" w:themeFill="accent2" w:themeFillTint="33"/>
            <w:hideMark/>
          </w:tcPr>
          <w:p w14:paraId="5BE9B196" w14:textId="77777777" w:rsidR="00A51044" w:rsidRPr="00712E68" w:rsidRDefault="00A51044" w:rsidP="00862FA9">
            <w:pPr>
              <w:spacing w:after="120" w:line="256" w:lineRule="auto"/>
              <w:rPr>
                <w:sz w:val="20"/>
                <w:szCs w:val="18"/>
                <w:lang w:eastAsia="en-AU"/>
              </w:rPr>
            </w:pPr>
            <w:r w:rsidRPr="00712E68">
              <w:rPr>
                <w:sz w:val="20"/>
                <w:szCs w:val="18"/>
                <w:lang w:eastAsia="en-AU"/>
              </w:rPr>
              <w:t xml:space="preserve">Treatment: 30 mg administered prior to start of session, then repeat dose after 5 days </w:t>
            </w:r>
            <w:r w:rsidRPr="00712E68">
              <w:rPr>
                <w:sz w:val="20"/>
                <w:szCs w:val="18"/>
                <w:lang w:eastAsia="en-AU"/>
              </w:rPr>
              <w:br/>
              <w:t xml:space="preserve">Prophylaxis: 30 mg before dialysis, then 30 mg every 7 days </w:t>
            </w:r>
          </w:p>
        </w:tc>
      </w:tr>
    </w:tbl>
    <w:p w14:paraId="029364F5" w14:textId="1E850CD7" w:rsidR="00A51044" w:rsidRDefault="007D5162" w:rsidP="00A51044">
      <w:pPr>
        <w:rPr>
          <w:b/>
          <w:bCs/>
        </w:rPr>
      </w:pPr>
      <w:hyperlink r:id="rId33" w:history="1">
        <w:r w:rsidR="0059420E">
          <w:rPr>
            <w:rStyle w:val="Hyperlink"/>
            <w:szCs w:val="20"/>
          </w:rPr>
          <w:t>*</w:t>
        </w:r>
        <w:proofErr w:type="gramStart"/>
        <w:r w:rsidR="0059420E">
          <w:rPr>
            <w:rStyle w:val="Hyperlink"/>
            <w:szCs w:val="20"/>
          </w:rPr>
          <w:t>pdf</w:t>
        </w:r>
        <w:proofErr w:type="gramEnd"/>
        <w:r w:rsidR="0059420E">
          <w:rPr>
            <w:rStyle w:val="Hyperlink"/>
            <w:szCs w:val="20"/>
          </w:rPr>
          <w:t xml:space="preserve"> (tga.gov.au)</w:t>
        </w:r>
      </w:hyperlink>
    </w:p>
    <w:p w14:paraId="4456869E" w14:textId="07E5262C" w:rsidR="00712E68" w:rsidRDefault="00712E68">
      <w:pPr>
        <w:rPr>
          <w:b/>
          <w:bCs/>
        </w:rPr>
      </w:pPr>
      <w:r>
        <w:rPr>
          <w:b/>
          <w:bCs/>
        </w:rPr>
        <w:br w:type="page"/>
      </w:r>
    </w:p>
    <w:p w14:paraId="1CD9F0E6" w14:textId="1BA2191C" w:rsidR="00712E68" w:rsidRDefault="00712E68" w:rsidP="00712E68">
      <w:pPr>
        <w:pStyle w:val="Heading3"/>
        <w:rPr>
          <w:sz w:val="20"/>
          <w:szCs w:val="24"/>
        </w:rPr>
      </w:pPr>
      <w:bookmarkStart w:id="70" w:name="_Toc115342406"/>
      <w:r>
        <w:lastRenderedPageBreak/>
        <w:t xml:space="preserve">Table </w:t>
      </w:r>
      <w:r w:rsidR="0064058A">
        <w:t>8.</w:t>
      </w:r>
      <w:r>
        <w:t xml:space="preserve"> Influenza antiviral prophylaxis in residential care facilities decision tool</w:t>
      </w:r>
      <w:bookmarkEnd w:id="70"/>
    </w:p>
    <w:p w14:paraId="6FFB6571" w14:textId="77777777" w:rsidR="00712E68" w:rsidRPr="00712E68" w:rsidRDefault="00712E68" w:rsidP="00712E68">
      <w:pPr>
        <w:spacing w:after="120"/>
        <w:rPr>
          <w:szCs w:val="22"/>
        </w:rPr>
      </w:pPr>
      <w:r w:rsidRPr="00712E68">
        <w:rPr>
          <w:szCs w:val="22"/>
        </w:rPr>
        <w:t>Antiviral medications have a potential role in the management of influenza outbreaks in RCFs, but only as an adjunct to other control measures implemented such as restriction on movement, infection control precautions, and high vaccination rates.</w:t>
      </w:r>
    </w:p>
    <w:p w14:paraId="3133EC45" w14:textId="470B9B47" w:rsidR="00B60211" w:rsidRDefault="00712E68" w:rsidP="00712E68">
      <w:pPr>
        <w:pStyle w:val="Paragraphtext"/>
        <w:spacing w:before="0" w:after="120"/>
        <w:rPr>
          <w:b/>
          <w:sz w:val="22"/>
          <w:szCs w:val="22"/>
        </w:rPr>
      </w:pPr>
      <w:r w:rsidRPr="00712E68">
        <w:rPr>
          <w:sz w:val="22"/>
          <w:szCs w:val="22"/>
        </w:rPr>
        <w:t xml:space="preserve">The use of antiviral medications for prophylaxis of residents and staff requires forward planning, </w:t>
      </w:r>
      <w:r w:rsidR="00F637ED">
        <w:rPr>
          <w:sz w:val="22"/>
          <w:szCs w:val="22"/>
        </w:rPr>
        <w:t xml:space="preserve">and </w:t>
      </w:r>
      <w:r w:rsidRPr="00712E68">
        <w:rPr>
          <w:sz w:val="22"/>
          <w:szCs w:val="22"/>
        </w:rPr>
        <w:t>consultation with, and participation of, visiting GPs. As prophylaxis, antivirals are recommended for asymptomatic residents (regardless of vaccination status) and unvaccinated staff.</w:t>
      </w:r>
      <w:r w:rsidRPr="00712E68">
        <w:rPr>
          <w:b/>
          <w:sz w:val="22"/>
          <w:szCs w:val="22"/>
        </w:rPr>
        <w:t xml:space="preserve"> </w:t>
      </w:r>
    </w:p>
    <w:p w14:paraId="6AC59F9A" w14:textId="1EDE83F8" w:rsidR="00B60211" w:rsidRDefault="00712E68" w:rsidP="00712E68">
      <w:pPr>
        <w:pStyle w:val="Paragraphtext"/>
        <w:spacing w:before="0" w:after="120"/>
        <w:rPr>
          <w:sz w:val="22"/>
          <w:szCs w:val="22"/>
        </w:rPr>
      </w:pPr>
      <w:r w:rsidRPr="00712E68">
        <w:rPr>
          <w:b/>
          <w:sz w:val="22"/>
          <w:szCs w:val="22"/>
        </w:rPr>
        <w:t>Importantly</w:t>
      </w:r>
      <w:r w:rsidRPr="00712E68">
        <w:rPr>
          <w:sz w:val="22"/>
          <w:szCs w:val="22"/>
        </w:rPr>
        <w:t xml:space="preserve">, antivirals should be organised within 24 hours </w:t>
      </w:r>
      <w:r w:rsidR="00F637ED">
        <w:rPr>
          <w:sz w:val="22"/>
          <w:szCs w:val="22"/>
        </w:rPr>
        <w:t xml:space="preserve">of exposure </w:t>
      </w:r>
      <w:r w:rsidRPr="00712E68">
        <w:rPr>
          <w:sz w:val="22"/>
          <w:szCs w:val="22"/>
        </w:rPr>
        <w:t xml:space="preserve">for asymptomatic residents and unvaccinated staff. </w:t>
      </w:r>
    </w:p>
    <w:p w14:paraId="1A6FA19B" w14:textId="2FFBD275" w:rsidR="00712E68" w:rsidRPr="00712E68" w:rsidRDefault="00712E68" w:rsidP="00712E68">
      <w:pPr>
        <w:pStyle w:val="Paragraphtext"/>
        <w:spacing w:before="0" w:after="120"/>
        <w:rPr>
          <w:sz w:val="22"/>
          <w:szCs w:val="22"/>
        </w:rPr>
      </w:pPr>
      <w:r w:rsidRPr="00712E68">
        <w:rPr>
          <w:sz w:val="22"/>
          <w:szCs w:val="22"/>
        </w:rPr>
        <w:t>The following considerations may assist the RCF OMT team and the PHU in deciding when to implement oseltamivir prophylaxis in an RCF.</w:t>
      </w:r>
    </w:p>
    <w:tbl>
      <w:tblPr>
        <w:tblStyle w:val="ListTable4-Accent2"/>
        <w:tblW w:w="0" w:type="auto"/>
        <w:tblLook w:val="04A0" w:firstRow="1" w:lastRow="0" w:firstColumn="1" w:lastColumn="0" w:noHBand="0" w:noVBand="1"/>
      </w:tblPr>
      <w:tblGrid>
        <w:gridCol w:w="3450"/>
        <w:gridCol w:w="1970"/>
        <w:gridCol w:w="1821"/>
        <w:gridCol w:w="1819"/>
      </w:tblGrid>
      <w:tr w:rsidR="00712E68" w14:paraId="7CC0C68D" w14:textId="77777777" w:rsidTr="00712E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6" w:type="dxa"/>
            <w:gridSpan w:val="2"/>
            <w:hideMark/>
          </w:tcPr>
          <w:p w14:paraId="4AF7535E" w14:textId="77777777" w:rsidR="00712E68" w:rsidRPr="00712E68" w:rsidRDefault="00712E68" w:rsidP="00712E68">
            <w:pPr>
              <w:spacing w:after="120" w:line="256" w:lineRule="auto"/>
              <w:rPr>
                <w:rFonts w:asciiTheme="minorHAnsi" w:hAnsiTheme="minorHAnsi"/>
                <w:bCs w:val="0"/>
                <w:sz w:val="20"/>
              </w:rPr>
            </w:pPr>
            <w:r w:rsidRPr="00712E68">
              <w:rPr>
                <w:bCs w:val="0"/>
              </w:rPr>
              <w:t>Considerations for Prophylaxis</w:t>
            </w:r>
          </w:p>
        </w:tc>
        <w:tc>
          <w:tcPr>
            <w:tcW w:w="1842" w:type="dxa"/>
            <w:hideMark/>
          </w:tcPr>
          <w:p w14:paraId="0D4621EE" w14:textId="77777777" w:rsidR="00712E68" w:rsidRPr="00712E68" w:rsidRDefault="00712E68" w:rsidP="00712E68">
            <w:pPr>
              <w:spacing w:after="120" w:line="256" w:lineRule="auto"/>
              <w:cnfStyle w:val="100000000000" w:firstRow="1" w:lastRow="0" w:firstColumn="0" w:lastColumn="0" w:oddVBand="0" w:evenVBand="0" w:oddHBand="0" w:evenHBand="0" w:firstRowFirstColumn="0" w:firstRowLastColumn="0" w:lastRowFirstColumn="0" w:lastRowLastColumn="0"/>
              <w:rPr>
                <w:bCs w:val="0"/>
              </w:rPr>
            </w:pPr>
            <w:r w:rsidRPr="00712E68">
              <w:rPr>
                <w:bCs w:val="0"/>
              </w:rPr>
              <w:t>Weaker</w:t>
            </w:r>
          </w:p>
        </w:tc>
        <w:tc>
          <w:tcPr>
            <w:tcW w:w="1843" w:type="dxa"/>
            <w:hideMark/>
          </w:tcPr>
          <w:p w14:paraId="569066B3" w14:textId="77777777" w:rsidR="00712E68" w:rsidRPr="00712E68" w:rsidRDefault="00712E68" w:rsidP="00712E68">
            <w:pPr>
              <w:spacing w:after="120" w:line="256" w:lineRule="auto"/>
              <w:cnfStyle w:val="100000000000" w:firstRow="1" w:lastRow="0" w:firstColumn="0" w:lastColumn="0" w:oddVBand="0" w:evenVBand="0" w:oddHBand="0" w:evenHBand="0" w:firstRowFirstColumn="0" w:firstRowLastColumn="0" w:lastRowFirstColumn="0" w:lastRowLastColumn="0"/>
              <w:rPr>
                <w:bCs w:val="0"/>
              </w:rPr>
            </w:pPr>
            <w:r w:rsidRPr="00712E68">
              <w:rPr>
                <w:bCs w:val="0"/>
              </w:rPr>
              <w:t>Stronger</w:t>
            </w:r>
          </w:p>
        </w:tc>
      </w:tr>
      <w:tr w:rsidR="00712E68" w14:paraId="148BBD75" w14:textId="77777777" w:rsidTr="00712E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1" w:type="dxa"/>
            <w:hideMark/>
          </w:tcPr>
          <w:p w14:paraId="0A8E1426" w14:textId="77777777" w:rsidR="00712E68" w:rsidRPr="000209E3" w:rsidRDefault="00712E68" w:rsidP="00712E68">
            <w:pPr>
              <w:spacing w:after="120" w:line="256" w:lineRule="auto"/>
              <w:rPr>
                <w:b w:val="0"/>
                <w:bCs w:val="0"/>
                <w:sz w:val="20"/>
                <w:szCs w:val="20"/>
              </w:rPr>
            </w:pPr>
            <w:r w:rsidRPr="000209E3">
              <w:rPr>
                <w:b w:val="0"/>
                <w:bCs w:val="0"/>
                <w:sz w:val="20"/>
                <w:szCs w:val="20"/>
              </w:rPr>
              <w:t xml:space="preserve">Current epidemiology in your state or territory </w:t>
            </w:r>
          </w:p>
        </w:tc>
        <w:tc>
          <w:tcPr>
            <w:tcW w:w="1985" w:type="dxa"/>
            <w:hideMark/>
          </w:tcPr>
          <w:p w14:paraId="07A7B247" w14:textId="77777777" w:rsidR="00712E68" w:rsidRPr="000209E3" w:rsidRDefault="00712E68" w:rsidP="00712E68">
            <w:pPr>
              <w:spacing w:after="120" w:line="256" w:lineRule="auto"/>
              <w:cnfStyle w:val="000000100000" w:firstRow="0" w:lastRow="0" w:firstColumn="0" w:lastColumn="0" w:oddVBand="0" w:evenVBand="0" w:oddHBand="1" w:evenHBand="0" w:firstRowFirstColumn="0" w:firstRowLastColumn="0" w:lastRowFirstColumn="0" w:lastRowLastColumn="0"/>
              <w:rPr>
                <w:sz w:val="20"/>
                <w:szCs w:val="20"/>
              </w:rPr>
            </w:pPr>
            <w:r w:rsidRPr="000209E3">
              <w:rPr>
                <w:sz w:val="20"/>
                <w:szCs w:val="20"/>
              </w:rPr>
              <w:t>Outbreak:</w:t>
            </w:r>
          </w:p>
          <w:p w14:paraId="476EF14F" w14:textId="77777777" w:rsidR="00712E68" w:rsidRPr="000209E3" w:rsidRDefault="00712E68" w:rsidP="00712E68">
            <w:pPr>
              <w:spacing w:after="120" w:line="256" w:lineRule="auto"/>
              <w:cnfStyle w:val="000000100000" w:firstRow="0" w:lastRow="0" w:firstColumn="0" w:lastColumn="0" w:oddVBand="0" w:evenVBand="0" w:oddHBand="1" w:evenHBand="0" w:firstRowFirstColumn="0" w:firstRowLastColumn="0" w:lastRowFirstColumn="0" w:lastRowLastColumn="0"/>
              <w:rPr>
                <w:sz w:val="20"/>
                <w:szCs w:val="20"/>
              </w:rPr>
            </w:pPr>
            <w:r w:rsidRPr="000209E3">
              <w:rPr>
                <w:sz w:val="20"/>
                <w:szCs w:val="20"/>
              </w:rPr>
              <w:t>Hospitalisation:</w:t>
            </w:r>
          </w:p>
          <w:p w14:paraId="062C414A" w14:textId="77777777" w:rsidR="00712E68" w:rsidRPr="000209E3" w:rsidRDefault="00712E68" w:rsidP="00712E68">
            <w:pPr>
              <w:spacing w:after="120" w:line="256" w:lineRule="auto"/>
              <w:cnfStyle w:val="000000100000" w:firstRow="0" w:lastRow="0" w:firstColumn="0" w:lastColumn="0" w:oddVBand="0" w:evenVBand="0" w:oddHBand="1" w:evenHBand="0" w:firstRowFirstColumn="0" w:firstRowLastColumn="0" w:lastRowFirstColumn="0" w:lastRowLastColumn="0"/>
              <w:rPr>
                <w:sz w:val="20"/>
                <w:szCs w:val="20"/>
              </w:rPr>
            </w:pPr>
            <w:r w:rsidRPr="000209E3">
              <w:rPr>
                <w:sz w:val="20"/>
                <w:szCs w:val="20"/>
              </w:rPr>
              <w:t>Deaths:</w:t>
            </w:r>
          </w:p>
        </w:tc>
        <w:tc>
          <w:tcPr>
            <w:tcW w:w="1842" w:type="dxa"/>
            <w:hideMark/>
          </w:tcPr>
          <w:p w14:paraId="6AD16256" w14:textId="77777777" w:rsidR="00712E68" w:rsidRPr="000209E3" w:rsidRDefault="00712E68" w:rsidP="00712E68">
            <w:pPr>
              <w:spacing w:after="120" w:line="256" w:lineRule="auto"/>
              <w:cnfStyle w:val="000000100000" w:firstRow="0" w:lastRow="0" w:firstColumn="0" w:lastColumn="0" w:oddVBand="0" w:evenVBand="0" w:oddHBand="1" w:evenHBand="0" w:firstRowFirstColumn="0" w:firstRowLastColumn="0" w:lastRowFirstColumn="0" w:lastRowLastColumn="0"/>
              <w:rPr>
                <w:sz w:val="20"/>
                <w:szCs w:val="20"/>
              </w:rPr>
            </w:pPr>
            <w:r w:rsidRPr="000209E3">
              <w:rPr>
                <w:sz w:val="20"/>
                <w:szCs w:val="20"/>
              </w:rPr>
              <w:t>Few</w:t>
            </w:r>
          </w:p>
          <w:p w14:paraId="7DB66EC1" w14:textId="77777777" w:rsidR="00712E68" w:rsidRPr="000209E3" w:rsidRDefault="00712E68" w:rsidP="00712E68">
            <w:pPr>
              <w:spacing w:after="120" w:line="256" w:lineRule="auto"/>
              <w:cnfStyle w:val="000000100000" w:firstRow="0" w:lastRow="0" w:firstColumn="0" w:lastColumn="0" w:oddVBand="0" w:evenVBand="0" w:oddHBand="1" w:evenHBand="0" w:firstRowFirstColumn="0" w:firstRowLastColumn="0" w:lastRowFirstColumn="0" w:lastRowLastColumn="0"/>
              <w:rPr>
                <w:sz w:val="20"/>
                <w:szCs w:val="20"/>
              </w:rPr>
            </w:pPr>
            <w:r w:rsidRPr="000209E3">
              <w:rPr>
                <w:sz w:val="20"/>
                <w:szCs w:val="20"/>
              </w:rPr>
              <w:t>Few</w:t>
            </w:r>
          </w:p>
          <w:p w14:paraId="5AC3E982" w14:textId="77777777" w:rsidR="00712E68" w:rsidRPr="000209E3" w:rsidRDefault="00712E68" w:rsidP="00712E68">
            <w:pPr>
              <w:spacing w:after="120" w:line="256" w:lineRule="auto"/>
              <w:cnfStyle w:val="000000100000" w:firstRow="0" w:lastRow="0" w:firstColumn="0" w:lastColumn="0" w:oddVBand="0" w:evenVBand="0" w:oddHBand="1" w:evenHBand="0" w:firstRowFirstColumn="0" w:firstRowLastColumn="0" w:lastRowFirstColumn="0" w:lastRowLastColumn="0"/>
              <w:rPr>
                <w:sz w:val="20"/>
                <w:szCs w:val="20"/>
              </w:rPr>
            </w:pPr>
            <w:r w:rsidRPr="000209E3">
              <w:rPr>
                <w:sz w:val="20"/>
                <w:szCs w:val="20"/>
              </w:rPr>
              <w:t xml:space="preserve">None </w:t>
            </w:r>
          </w:p>
        </w:tc>
        <w:tc>
          <w:tcPr>
            <w:tcW w:w="1843" w:type="dxa"/>
            <w:hideMark/>
          </w:tcPr>
          <w:p w14:paraId="28E202C2" w14:textId="77777777" w:rsidR="00712E68" w:rsidRPr="000209E3" w:rsidRDefault="00712E68" w:rsidP="00712E68">
            <w:pPr>
              <w:spacing w:after="120" w:line="256" w:lineRule="auto"/>
              <w:cnfStyle w:val="000000100000" w:firstRow="0" w:lastRow="0" w:firstColumn="0" w:lastColumn="0" w:oddVBand="0" w:evenVBand="0" w:oddHBand="1" w:evenHBand="0" w:firstRowFirstColumn="0" w:firstRowLastColumn="0" w:lastRowFirstColumn="0" w:lastRowLastColumn="0"/>
              <w:rPr>
                <w:sz w:val="20"/>
                <w:szCs w:val="20"/>
              </w:rPr>
            </w:pPr>
            <w:r w:rsidRPr="000209E3">
              <w:rPr>
                <w:sz w:val="20"/>
                <w:szCs w:val="20"/>
              </w:rPr>
              <w:t>Multiple</w:t>
            </w:r>
          </w:p>
          <w:p w14:paraId="0190A0DA" w14:textId="77777777" w:rsidR="00712E68" w:rsidRPr="000209E3" w:rsidRDefault="00712E68" w:rsidP="00712E68">
            <w:pPr>
              <w:spacing w:after="120" w:line="256" w:lineRule="auto"/>
              <w:cnfStyle w:val="000000100000" w:firstRow="0" w:lastRow="0" w:firstColumn="0" w:lastColumn="0" w:oddVBand="0" w:evenVBand="0" w:oddHBand="1" w:evenHBand="0" w:firstRowFirstColumn="0" w:firstRowLastColumn="0" w:lastRowFirstColumn="0" w:lastRowLastColumn="0"/>
              <w:rPr>
                <w:sz w:val="20"/>
                <w:szCs w:val="20"/>
              </w:rPr>
            </w:pPr>
            <w:r w:rsidRPr="000209E3">
              <w:rPr>
                <w:sz w:val="20"/>
                <w:szCs w:val="20"/>
              </w:rPr>
              <w:t>Frequent</w:t>
            </w:r>
          </w:p>
          <w:p w14:paraId="24776C8A" w14:textId="77777777" w:rsidR="00712E68" w:rsidRPr="000209E3" w:rsidRDefault="00712E68" w:rsidP="00712E68">
            <w:pPr>
              <w:spacing w:after="120" w:line="256" w:lineRule="auto"/>
              <w:cnfStyle w:val="000000100000" w:firstRow="0" w:lastRow="0" w:firstColumn="0" w:lastColumn="0" w:oddVBand="0" w:evenVBand="0" w:oddHBand="1" w:evenHBand="0" w:firstRowFirstColumn="0" w:firstRowLastColumn="0" w:lastRowFirstColumn="0" w:lastRowLastColumn="0"/>
              <w:rPr>
                <w:sz w:val="20"/>
                <w:szCs w:val="20"/>
              </w:rPr>
            </w:pPr>
            <w:r w:rsidRPr="000209E3">
              <w:rPr>
                <w:sz w:val="20"/>
                <w:szCs w:val="20"/>
              </w:rPr>
              <w:t>Several</w:t>
            </w:r>
          </w:p>
        </w:tc>
      </w:tr>
      <w:tr w:rsidR="00712E68" w14:paraId="79EB1A47" w14:textId="77777777" w:rsidTr="00712E68">
        <w:tc>
          <w:tcPr>
            <w:cnfStyle w:val="001000000000" w:firstRow="0" w:lastRow="0" w:firstColumn="1" w:lastColumn="0" w:oddVBand="0" w:evenVBand="0" w:oddHBand="0" w:evenHBand="0" w:firstRowFirstColumn="0" w:firstRowLastColumn="0" w:lastRowFirstColumn="0" w:lastRowLastColumn="0"/>
            <w:tcW w:w="3521" w:type="dxa"/>
            <w:hideMark/>
          </w:tcPr>
          <w:p w14:paraId="4FEFEFE2" w14:textId="77777777" w:rsidR="00712E68" w:rsidRPr="000209E3" w:rsidRDefault="00712E68" w:rsidP="00712E68">
            <w:pPr>
              <w:spacing w:after="120" w:line="256" w:lineRule="auto"/>
              <w:rPr>
                <w:b w:val="0"/>
                <w:bCs w:val="0"/>
                <w:sz w:val="20"/>
                <w:szCs w:val="20"/>
              </w:rPr>
            </w:pPr>
            <w:r w:rsidRPr="000209E3">
              <w:rPr>
                <w:b w:val="0"/>
                <w:bCs w:val="0"/>
                <w:sz w:val="20"/>
                <w:szCs w:val="20"/>
              </w:rPr>
              <w:t>Outbreak characteristics</w:t>
            </w:r>
          </w:p>
        </w:tc>
        <w:tc>
          <w:tcPr>
            <w:tcW w:w="1985" w:type="dxa"/>
            <w:hideMark/>
          </w:tcPr>
          <w:p w14:paraId="42D2800A" w14:textId="77777777" w:rsidR="00712E68" w:rsidRPr="000209E3" w:rsidRDefault="00712E68" w:rsidP="00712E68">
            <w:pPr>
              <w:spacing w:after="120" w:line="256" w:lineRule="auto"/>
              <w:cnfStyle w:val="000000000000" w:firstRow="0" w:lastRow="0" w:firstColumn="0" w:lastColumn="0" w:oddVBand="0" w:evenVBand="0" w:oddHBand="0" w:evenHBand="0" w:firstRowFirstColumn="0" w:firstRowLastColumn="0" w:lastRowFirstColumn="0" w:lastRowLastColumn="0"/>
              <w:rPr>
                <w:sz w:val="20"/>
                <w:szCs w:val="20"/>
              </w:rPr>
            </w:pPr>
            <w:r w:rsidRPr="000209E3">
              <w:rPr>
                <w:sz w:val="20"/>
                <w:szCs w:val="20"/>
              </w:rPr>
              <w:t>Attack Rate:</w:t>
            </w:r>
          </w:p>
          <w:p w14:paraId="2086D401" w14:textId="77777777" w:rsidR="00712E68" w:rsidRPr="000209E3" w:rsidRDefault="00712E68" w:rsidP="00712E68">
            <w:pPr>
              <w:spacing w:after="120" w:line="256" w:lineRule="auto"/>
              <w:cnfStyle w:val="000000000000" w:firstRow="0" w:lastRow="0" w:firstColumn="0" w:lastColumn="0" w:oddVBand="0" w:evenVBand="0" w:oddHBand="0" w:evenHBand="0" w:firstRowFirstColumn="0" w:firstRowLastColumn="0" w:lastRowFirstColumn="0" w:lastRowLastColumn="0"/>
              <w:rPr>
                <w:sz w:val="20"/>
                <w:szCs w:val="20"/>
              </w:rPr>
            </w:pPr>
            <w:r w:rsidRPr="000209E3">
              <w:rPr>
                <w:sz w:val="20"/>
                <w:szCs w:val="20"/>
              </w:rPr>
              <w:t>Epi curve:</w:t>
            </w:r>
          </w:p>
          <w:p w14:paraId="6F7FF211" w14:textId="77777777" w:rsidR="00712E68" w:rsidRPr="000209E3" w:rsidRDefault="00712E68" w:rsidP="00712E68">
            <w:pPr>
              <w:spacing w:after="120" w:line="256" w:lineRule="auto"/>
              <w:cnfStyle w:val="000000000000" w:firstRow="0" w:lastRow="0" w:firstColumn="0" w:lastColumn="0" w:oddVBand="0" w:evenVBand="0" w:oddHBand="0" w:evenHBand="0" w:firstRowFirstColumn="0" w:firstRowLastColumn="0" w:lastRowFirstColumn="0" w:lastRowLastColumn="0"/>
              <w:rPr>
                <w:sz w:val="20"/>
                <w:szCs w:val="20"/>
              </w:rPr>
            </w:pPr>
            <w:r w:rsidRPr="000209E3">
              <w:rPr>
                <w:sz w:val="20"/>
                <w:szCs w:val="20"/>
              </w:rPr>
              <w:t>Morbidity:</w:t>
            </w:r>
          </w:p>
        </w:tc>
        <w:tc>
          <w:tcPr>
            <w:tcW w:w="1842" w:type="dxa"/>
            <w:hideMark/>
          </w:tcPr>
          <w:p w14:paraId="1A766FDD" w14:textId="77777777" w:rsidR="00712E68" w:rsidRPr="000209E3" w:rsidRDefault="00712E68" w:rsidP="00712E68">
            <w:pPr>
              <w:spacing w:after="120" w:line="256" w:lineRule="auto"/>
              <w:cnfStyle w:val="000000000000" w:firstRow="0" w:lastRow="0" w:firstColumn="0" w:lastColumn="0" w:oddVBand="0" w:evenVBand="0" w:oddHBand="0" w:evenHBand="0" w:firstRowFirstColumn="0" w:firstRowLastColumn="0" w:lastRowFirstColumn="0" w:lastRowLastColumn="0"/>
              <w:rPr>
                <w:sz w:val="20"/>
                <w:szCs w:val="20"/>
              </w:rPr>
            </w:pPr>
            <w:r w:rsidRPr="000209E3">
              <w:rPr>
                <w:sz w:val="20"/>
                <w:szCs w:val="20"/>
              </w:rPr>
              <w:t>Low</w:t>
            </w:r>
          </w:p>
          <w:p w14:paraId="4CAE2429" w14:textId="77777777" w:rsidR="00712E68" w:rsidRPr="000209E3" w:rsidRDefault="00712E68" w:rsidP="00712E68">
            <w:pPr>
              <w:spacing w:after="120" w:line="256" w:lineRule="auto"/>
              <w:cnfStyle w:val="000000000000" w:firstRow="0" w:lastRow="0" w:firstColumn="0" w:lastColumn="0" w:oddVBand="0" w:evenVBand="0" w:oddHBand="0" w:evenHBand="0" w:firstRowFirstColumn="0" w:firstRowLastColumn="0" w:lastRowFirstColumn="0" w:lastRowLastColumn="0"/>
              <w:rPr>
                <w:sz w:val="20"/>
                <w:szCs w:val="20"/>
              </w:rPr>
            </w:pPr>
            <w:r w:rsidRPr="000209E3">
              <w:rPr>
                <w:sz w:val="20"/>
                <w:szCs w:val="20"/>
              </w:rPr>
              <w:t>Flat</w:t>
            </w:r>
          </w:p>
          <w:p w14:paraId="4FAE1F8C" w14:textId="77777777" w:rsidR="00712E68" w:rsidRPr="000209E3" w:rsidRDefault="00712E68" w:rsidP="00712E68">
            <w:pPr>
              <w:spacing w:after="120" w:line="256" w:lineRule="auto"/>
              <w:cnfStyle w:val="000000000000" w:firstRow="0" w:lastRow="0" w:firstColumn="0" w:lastColumn="0" w:oddVBand="0" w:evenVBand="0" w:oddHBand="0" w:evenHBand="0" w:firstRowFirstColumn="0" w:firstRowLastColumn="0" w:lastRowFirstColumn="0" w:lastRowLastColumn="0"/>
              <w:rPr>
                <w:sz w:val="20"/>
                <w:szCs w:val="20"/>
              </w:rPr>
            </w:pPr>
            <w:r w:rsidRPr="000209E3">
              <w:rPr>
                <w:sz w:val="20"/>
                <w:szCs w:val="20"/>
              </w:rPr>
              <w:t>Low</w:t>
            </w:r>
          </w:p>
        </w:tc>
        <w:tc>
          <w:tcPr>
            <w:tcW w:w="1843" w:type="dxa"/>
            <w:hideMark/>
          </w:tcPr>
          <w:p w14:paraId="65FD11DA" w14:textId="77777777" w:rsidR="00712E68" w:rsidRPr="000209E3" w:rsidRDefault="00712E68" w:rsidP="00712E68">
            <w:pPr>
              <w:spacing w:after="120" w:line="256" w:lineRule="auto"/>
              <w:cnfStyle w:val="000000000000" w:firstRow="0" w:lastRow="0" w:firstColumn="0" w:lastColumn="0" w:oddVBand="0" w:evenVBand="0" w:oddHBand="0" w:evenHBand="0" w:firstRowFirstColumn="0" w:firstRowLastColumn="0" w:lastRowFirstColumn="0" w:lastRowLastColumn="0"/>
              <w:rPr>
                <w:sz w:val="20"/>
                <w:szCs w:val="20"/>
              </w:rPr>
            </w:pPr>
            <w:r w:rsidRPr="000209E3">
              <w:rPr>
                <w:sz w:val="20"/>
                <w:szCs w:val="20"/>
              </w:rPr>
              <w:t>High</w:t>
            </w:r>
          </w:p>
          <w:p w14:paraId="38A2C9CA" w14:textId="77777777" w:rsidR="00712E68" w:rsidRPr="000209E3" w:rsidRDefault="00712E68" w:rsidP="00712E68">
            <w:pPr>
              <w:spacing w:after="120" w:line="256" w:lineRule="auto"/>
              <w:cnfStyle w:val="000000000000" w:firstRow="0" w:lastRow="0" w:firstColumn="0" w:lastColumn="0" w:oddVBand="0" w:evenVBand="0" w:oddHBand="0" w:evenHBand="0" w:firstRowFirstColumn="0" w:firstRowLastColumn="0" w:lastRowFirstColumn="0" w:lastRowLastColumn="0"/>
              <w:rPr>
                <w:sz w:val="20"/>
                <w:szCs w:val="20"/>
              </w:rPr>
            </w:pPr>
            <w:r w:rsidRPr="000209E3">
              <w:rPr>
                <w:sz w:val="20"/>
                <w:szCs w:val="20"/>
              </w:rPr>
              <w:t>Steep</w:t>
            </w:r>
          </w:p>
          <w:p w14:paraId="58240BF2" w14:textId="77777777" w:rsidR="00712E68" w:rsidRPr="000209E3" w:rsidRDefault="00712E68" w:rsidP="00712E68">
            <w:pPr>
              <w:spacing w:after="120" w:line="256" w:lineRule="auto"/>
              <w:cnfStyle w:val="000000000000" w:firstRow="0" w:lastRow="0" w:firstColumn="0" w:lastColumn="0" w:oddVBand="0" w:evenVBand="0" w:oddHBand="0" w:evenHBand="0" w:firstRowFirstColumn="0" w:firstRowLastColumn="0" w:lastRowFirstColumn="0" w:lastRowLastColumn="0"/>
              <w:rPr>
                <w:sz w:val="20"/>
                <w:szCs w:val="20"/>
              </w:rPr>
            </w:pPr>
            <w:r w:rsidRPr="000209E3">
              <w:rPr>
                <w:sz w:val="20"/>
                <w:szCs w:val="20"/>
              </w:rPr>
              <w:t>High</w:t>
            </w:r>
          </w:p>
        </w:tc>
      </w:tr>
      <w:tr w:rsidR="00712E68" w14:paraId="2419BA43" w14:textId="77777777" w:rsidTr="002F3F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1" w:type="dxa"/>
            <w:tcBorders>
              <w:bottom w:val="single" w:sz="4" w:space="0" w:color="74C1C9" w:themeColor="accent2" w:themeTint="99"/>
            </w:tcBorders>
            <w:hideMark/>
          </w:tcPr>
          <w:p w14:paraId="4B5C0E0D" w14:textId="77777777" w:rsidR="00712E68" w:rsidRPr="000209E3" w:rsidRDefault="00712E68" w:rsidP="00712E68">
            <w:pPr>
              <w:spacing w:after="120" w:line="256" w:lineRule="auto"/>
              <w:rPr>
                <w:b w:val="0"/>
                <w:bCs w:val="0"/>
                <w:sz w:val="20"/>
                <w:szCs w:val="20"/>
              </w:rPr>
            </w:pPr>
            <w:r w:rsidRPr="000209E3">
              <w:rPr>
                <w:b w:val="0"/>
                <w:bCs w:val="0"/>
                <w:sz w:val="20"/>
                <w:szCs w:val="20"/>
              </w:rPr>
              <w:t>Outbreak progress</w:t>
            </w:r>
          </w:p>
        </w:tc>
        <w:tc>
          <w:tcPr>
            <w:tcW w:w="1985" w:type="dxa"/>
            <w:tcBorders>
              <w:bottom w:val="single" w:sz="4" w:space="0" w:color="74C1C9" w:themeColor="accent2" w:themeTint="99"/>
            </w:tcBorders>
            <w:hideMark/>
          </w:tcPr>
          <w:p w14:paraId="2593F718" w14:textId="77777777" w:rsidR="00712E68" w:rsidRPr="000209E3" w:rsidRDefault="00712E68" w:rsidP="00712E68">
            <w:pPr>
              <w:spacing w:after="120" w:line="256" w:lineRule="auto"/>
              <w:cnfStyle w:val="000000100000" w:firstRow="0" w:lastRow="0" w:firstColumn="0" w:lastColumn="0" w:oddVBand="0" w:evenVBand="0" w:oddHBand="1" w:evenHBand="0" w:firstRowFirstColumn="0" w:firstRowLastColumn="0" w:lastRowFirstColumn="0" w:lastRowLastColumn="0"/>
              <w:rPr>
                <w:sz w:val="20"/>
                <w:szCs w:val="20"/>
              </w:rPr>
            </w:pPr>
            <w:r w:rsidRPr="000209E3">
              <w:rPr>
                <w:sz w:val="20"/>
                <w:szCs w:val="20"/>
              </w:rPr>
              <w:t>Last case onset:</w:t>
            </w:r>
          </w:p>
          <w:p w14:paraId="387B1C8D" w14:textId="77777777" w:rsidR="00712E68" w:rsidRPr="000209E3" w:rsidRDefault="00712E68" w:rsidP="00712E68">
            <w:pPr>
              <w:spacing w:after="120" w:line="256" w:lineRule="auto"/>
              <w:cnfStyle w:val="000000100000" w:firstRow="0" w:lastRow="0" w:firstColumn="0" w:lastColumn="0" w:oddVBand="0" w:evenVBand="0" w:oddHBand="1" w:evenHBand="0" w:firstRowFirstColumn="0" w:firstRowLastColumn="0" w:lastRowFirstColumn="0" w:lastRowLastColumn="0"/>
              <w:rPr>
                <w:sz w:val="20"/>
                <w:szCs w:val="20"/>
              </w:rPr>
            </w:pPr>
            <w:r w:rsidRPr="000209E3">
              <w:rPr>
                <w:sz w:val="20"/>
                <w:szCs w:val="20"/>
              </w:rPr>
              <w:t>Epidemic peak:</w:t>
            </w:r>
          </w:p>
          <w:p w14:paraId="660315FA" w14:textId="77777777" w:rsidR="00712E68" w:rsidRPr="000209E3" w:rsidRDefault="00712E68" w:rsidP="00712E68">
            <w:pPr>
              <w:spacing w:after="120" w:line="256" w:lineRule="auto"/>
              <w:cnfStyle w:val="000000100000" w:firstRow="0" w:lastRow="0" w:firstColumn="0" w:lastColumn="0" w:oddVBand="0" w:evenVBand="0" w:oddHBand="1" w:evenHBand="0" w:firstRowFirstColumn="0" w:firstRowLastColumn="0" w:lastRowFirstColumn="0" w:lastRowLastColumn="0"/>
              <w:rPr>
                <w:sz w:val="20"/>
                <w:szCs w:val="20"/>
              </w:rPr>
            </w:pPr>
            <w:r w:rsidRPr="000209E3">
              <w:rPr>
                <w:sz w:val="20"/>
                <w:szCs w:val="20"/>
              </w:rPr>
              <w:t>First case:</w:t>
            </w:r>
          </w:p>
        </w:tc>
        <w:tc>
          <w:tcPr>
            <w:tcW w:w="1842" w:type="dxa"/>
            <w:tcBorders>
              <w:bottom w:val="single" w:sz="4" w:space="0" w:color="74C1C9" w:themeColor="accent2" w:themeTint="99"/>
            </w:tcBorders>
            <w:hideMark/>
          </w:tcPr>
          <w:p w14:paraId="1F6EFFF9" w14:textId="77777777" w:rsidR="00712E68" w:rsidRPr="000209E3" w:rsidRDefault="00712E68" w:rsidP="00712E68">
            <w:pPr>
              <w:spacing w:after="120" w:line="256" w:lineRule="auto"/>
              <w:cnfStyle w:val="000000100000" w:firstRow="0" w:lastRow="0" w:firstColumn="0" w:lastColumn="0" w:oddVBand="0" w:evenVBand="0" w:oddHBand="1" w:evenHBand="0" w:firstRowFirstColumn="0" w:firstRowLastColumn="0" w:lastRowFirstColumn="0" w:lastRowLastColumn="0"/>
              <w:rPr>
                <w:sz w:val="20"/>
                <w:szCs w:val="20"/>
              </w:rPr>
            </w:pPr>
            <w:r w:rsidRPr="000209E3">
              <w:rPr>
                <w:sz w:val="20"/>
                <w:szCs w:val="20"/>
              </w:rPr>
              <w:t>&gt; 48 hours ago</w:t>
            </w:r>
          </w:p>
          <w:p w14:paraId="005EB95F" w14:textId="77777777" w:rsidR="00712E68" w:rsidRPr="000209E3" w:rsidRDefault="00712E68" w:rsidP="00712E68">
            <w:pPr>
              <w:spacing w:after="120" w:line="256" w:lineRule="auto"/>
              <w:cnfStyle w:val="000000100000" w:firstRow="0" w:lastRow="0" w:firstColumn="0" w:lastColumn="0" w:oddVBand="0" w:evenVBand="0" w:oddHBand="1" w:evenHBand="0" w:firstRowFirstColumn="0" w:firstRowLastColumn="0" w:lastRowFirstColumn="0" w:lastRowLastColumn="0"/>
              <w:rPr>
                <w:sz w:val="20"/>
                <w:szCs w:val="20"/>
              </w:rPr>
            </w:pPr>
            <w:r w:rsidRPr="000209E3">
              <w:rPr>
                <w:sz w:val="20"/>
                <w:szCs w:val="20"/>
              </w:rPr>
              <w:t>&gt; 5 days ago</w:t>
            </w:r>
          </w:p>
          <w:p w14:paraId="4CFA10AE" w14:textId="77777777" w:rsidR="00712E68" w:rsidRPr="000209E3" w:rsidRDefault="00712E68" w:rsidP="00712E68">
            <w:pPr>
              <w:spacing w:after="120" w:line="256" w:lineRule="auto"/>
              <w:cnfStyle w:val="000000100000" w:firstRow="0" w:lastRow="0" w:firstColumn="0" w:lastColumn="0" w:oddVBand="0" w:evenVBand="0" w:oddHBand="1" w:evenHBand="0" w:firstRowFirstColumn="0" w:firstRowLastColumn="0" w:lastRowFirstColumn="0" w:lastRowLastColumn="0"/>
              <w:rPr>
                <w:sz w:val="20"/>
                <w:szCs w:val="20"/>
              </w:rPr>
            </w:pPr>
            <w:r w:rsidRPr="000209E3">
              <w:rPr>
                <w:sz w:val="20"/>
                <w:szCs w:val="20"/>
              </w:rPr>
              <w:t>&gt; 10 days ago.</w:t>
            </w:r>
          </w:p>
        </w:tc>
        <w:tc>
          <w:tcPr>
            <w:tcW w:w="1843" w:type="dxa"/>
            <w:tcBorders>
              <w:bottom w:val="single" w:sz="4" w:space="0" w:color="74C1C9" w:themeColor="accent2" w:themeTint="99"/>
            </w:tcBorders>
            <w:hideMark/>
          </w:tcPr>
          <w:p w14:paraId="305ED2A2" w14:textId="77777777" w:rsidR="00712E68" w:rsidRPr="000209E3" w:rsidRDefault="00712E68" w:rsidP="00712E68">
            <w:pPr>
              <w:spacing w:after="120" w:line="256" w:lineRule="auto"/>
              <w:cnfStyle w:val="000000100000" w:firstRow="0" w:lastRow="0" w:firstColumn="0" w:lastColumn="0" w:oddVBand="0" w:evenVBand="0" w:oddHBand="1" w:evenHBand="0" w:firstRowFirstColumn="0" w:firstRowLastColumn="0" w:lastRowFirstColumn="0" w:lastRowLastColumn="0"/>
              <w:rPr>
                <w:sz w:val="20"/>
                <w:szCs w:val="20"/>
              </w:rPr>
            </w:pPr>
            <w:r w:rsidRPr="000209E3">
              <w:rPr>
                <w:sz w:val="20"/>
                <w:szCs w:val="20"/>
              </w:rPr>
              <w:t>&lt; 48 hours ago</w:t>
            </w:r>
          </w:p>
          <w:p w14:paraId="40C35689" w14:textId="77777777" w:rsidR="00712E68" w:rsidRPr="000209E3" w:rsidRDefault="00712E68" w:rsidP="00712E68">
            <w:pPr>
              <w:spacing w:after="120" w:line="256" w:lineRule="auto"/>
              <w:cnfStyle w:val="000000100000" w:firstRow="0" w:lastRow="0" w:firstColumn="0" w:lastColumn="0" w:oddVBand="0" w:evenVBand="0" w:oddHBand="1" w:evenHBand="0" w:firstRowFirstColumn="0" w:firstRowLastColumn="0" w:lastRowFirstColumn="0" w:lastRowLastColumn="0"/>
              <w:rPr>
                <w:sz w:val="20"/>
                <w:szCs w:val="20"/>
              </w:rPr>
            </w:pPr>
            <w:r w:rsidRPr="000209E3">
              <w:rPr>
                <w:sz w:val="20"/>
                <w:szCs w:val="20"/>
              </w:rPr>
              <w:t>&lt; 5 days ago</w:t>
            </w:r>
          </w:p>
          <w:p w14:paraId="20DB9CC3" w14:textId="77777777" w:rsidR="00712E68" w:rsidRPr="000209E3" w:rsidRDefault="00712E68" w:rsidP="00712E68">
            <w:pPr>
              <w:spacing w:after="120" w:line="256" w:lineRule="auto"/>
              <w:cnfStyle w:val="000000100000" w:firstRow="0" w:lastRow="0" w:firstColumn="0" w:lastColumn="0" w:oddVBand="0" w:evenVBand="0" w:oddHBand="1" w:evenHBand="0" w:firstRowFirstColumn="0" w:firstRowLastColumn="0" w:lastRowFirstColumn="0" w:lastRowLastColumn="0"/>
              <w:rPr>
                <w:sz w:val="20"/>
                <w:szCs w:val="20"/>
              </w:rPr>
            </w:pPr>
            <w:r w:rsidRPr="000209E3">
              <w:rPr>
                <w:sz w:val="20"/>
                <w:szCs w:val="20"/>
              </w:rPr>
              <w:t>&lt; 10 days ago.</w:t>
            </w:r>
          </w:p>
        </w:tc>
      </w:tr>
      <w:tr w:rsidR="00712E68" w14:paraId="516A9BB4" w14:textId="77777777" w:rsidTr="002F3FD2">
        <w:trPr>
          <w:trHeight w:val="671"/>
        </w:trPr>
        <w:tc>
          <w:tcPr>
            <w:cnfStyle w:val="001000000000" w:firstRow="0" w:lastRow="0" w:firstColumn="1" w:lastColumn="0" w:oddVBand="0" w:evenVBand="0" w:oddHBand="0" w:evenHBand="0" w:firstRowFirstColumn="0" w:firstRowLastColumn="0" w:lastRowFirstColumn="0" w:lastRowLastColumn="0"/>
            <w:tcW w:w="3521" w:type="dxa"/>
            <w:tcBorders>
              <w:bottom w:val="nil"/>
            </w:tcBorders>
            <w:shd w:val="clear" w:color="auto" w:fill="auto"/>
            <w:hideMark/>
          </w:tcPr>
          <w:p w14:paraId="0A0B5284" w14:textId="77777777" w:rsidR="00712E68" w:rsidRPr="000209E3" w:rsidRDefault="00712E68" w:rsidP="00712E68">
            <w:pPr>
              <w:spacing w:after="120" w:line="256" w:lineRule="auto"/>
              <w:rPr>
                <w:b w:val="0"/>
                <w:bCs w:val="0"/>
                <w:sz w:val="20"/>
                <w:szCs w:val="20"/>
              </w:rPr>
            </w:pPr>
            <w:r w:rsidRPr="000209E3">
              <w:rPr>
                <w:b w:val="0"/>
                <w:bCs w:val="0"/>
                <w:sz w:val="20"/>
                <w:szCs w:val="20"/>
              </w:rPr>
              <w:t>Facility characteristics</w:t>
            </w:r>
          </w:p>
        </w:tc>
        <w:tc>
          <w:tcPr>
            <w:tcW w:w="1985" w:type="dxa"/>
            <w:tcBorders>
              <w:bottom w:val="nil"/>
            </w:tcBorders>
            <w:shd w:val="clear" w:color="auto" w:fill="auto"/>
            <w:hideMark/>
          </w:tcPr>
          <w:p w14:paraId="36796909" w14:textId="0C8458FA" w:rsidR="00712E68" w:rsidRPr="000209E3" w:rsidRDefault="00712E68" w:rsidP="00712E68">
            <w:pPr>
              <w:spacing w:after="120" w:line="256" w:lineRule="auto"/>
              <w:cnfStyle w:val="000000000000" w:firstRow="0" w:lastRow="0" w:firstColumn="0" w:lastColumn="0" w:oddVBand="0" w:evenVBand="0" w:oddHBand="0" w:evenHBand="0" w:firstRowFirstColumn="0" w:firstRowLastColumn="0" w:lastRowFirstColumn="0" w:lastRowLastColumn="0"/>
              <w:rPr>
                <w:sz w:val="20"/>
                <w:szCs w:val="20"/>
              </w:rPr>
            </w:pPr>
            <w:r w:rsidRPr="000209E3">
              <w:rPr>
                <w:sz w:val="20"/>
                <w:szCs w:val="20"/>
              </w:rPr>
              <w:t>Staff vaccination coverage:</w:t>
            </w:r>
          </w:p>
          <w:p w14:paraId="6ABF5A0E" w14:textId="34E39959" w:rsidR="00712E68" w:rsidRPr="000209E3" w:rsidRDefault="00712E68" w:rsidP="00712E68">
            <w:pPr>
              <w:spacing w:after="120" w:line="25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842" w:type="dxa"/>
            <w:tcBorders>
              <w:bottom w:val="nil"/>
            </w:tcBorders>
            <w:shd w:val="clear" w:color="auto" w:fill="auto"/>
            <w:hideMark/>
          </w:tcPr>
          <w:p w14:paraId="49EEB87B" w14:textId="77777777" w:rsidR="00712E68" w:rsidRPr="000209E3" w:rsidRDefault="00712E68" w:rsidP="00712E68">
            <w:pPr>
              <w:spacing w:after="120" w:line="256" w:lineRule="auto"/>
              <w:cnfStyle w:val="000000000000" w:firstRow="0" w:lastRow="0" w:firstColumn="0" w:lastColumn="0" w:oddVBand="0" w:evenVBand="0" w:oddHBand="0" w:evenHBand="0" w:firstRowFirstColumn="0" w:firstRowLastColumn="0" w:lastRowFirstColumn="0" w:lastRowLastColumn="0"/>
              <w:rPr>
                <w:sz w:val="20"/>
                <w:szCs w:val="20"/>
              </w:rPr>
            </w:pPr>
            <w:r w:rsidRPr="000209E3">
              <w:rPr>
                <w:sz w:val="20"/>
                <w:szCs w:val="20"/>
              </w:rPr>
              <w:t>Good</w:t>
            </w:r>
          </w:p>
          <w:p w14:paraId="0D1575AE" w14:textId="77777777" w:rsidR="002F3FD2" w:rsidRDefault="002F3FD2" w:rsidP="00712E68">
            <w:pPr>
              <w:spacing w:after="120" w:line="256" w:lineRule="auto"/>
              <w:cnfStyle w:val="000000000000" w:firstRow="0" w:lastRow="0" w:firstColumn="0" w:lastColumn="0" w:oddVBand="0" w:evenVBand="0" w:oddHBand="0" w:evenHBand="0" w:firstRowFirstColumn="0" w:firstRowLastColumn="0" w:lastRowFirstColumn="0" w:lastRowLastColumn="0"/>
              <w:rPr>
                <w:sz w:val="20"/>
                <w:szCs w:val="20"/>
              </w:rPr>
            </w:pPr>
          </w:p>
          <w:p w14:paraId="2D93F96C" w14:textId="710E364D" w:rsidR="00712E68" w:rsidRPr="000209E3" w:rsidRDefault="00712E68" w:rsidP="00712E68">
            <w:pPr>
              <w:spacing w:after="120" w:line="25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843" w:type="dxa"/>
            <w:tcBorders>
              <w:bottom w:val="nil"/>
            </w:tcBorders>
            <w:shd w:val="clear" w:color="auto" w:fill="auto"/>
            <w:hideMark/>
          </w:tcPr>
          <w:p w14:paraId="20D46127" w14:textId="77777777" w:rsidR="00712E68" w:rsidRPr="000209E3" w:rsidRDefault="00712E68" w:rsidP="00712E68">
            <w:pPr>
              <w:spacing w:after="120" w:line="256" w:lineRule="auto"/>
              <w:cnfStyle w:val="000000000000" w:firstRow="0" w:lastRow="0" w:firstColumn="0" w:lastColumn="0" w:oddVBand="0" w:evenVBand="0" w:oddHBand="0" w:evenHBand="0" w:firstRowFirstColumn="0" w:firstRowLastColumn="0" w:lastRowFirstColumn="0" w:lastRowLastColumn="0"/>
              <w:rPr>
                <w:sz w:val="20"/>
                <w:szCs w:val="20"/>
              </w:rPr>
            </w:pPr>
            <w:r w:rsidRPr="000209E3">
              <w:rPr>
                <w:sz w:val="20"/>
                <w:szCs w:val="20"/>
              </w:rPr>
              <w:t>Poor</w:t>
            </w:r>
          </w:p>
          <w:p w14:paraId="3FF15877" w14:textId="77777777" w:rsidR="002F3FD2" w:rsidRDefault="002F3FD2" w:rsidP="00712E68">
            <w:pPr>
              <w:spacing w:after="120" w:line="256" w:lineRule="auto"/>
              <w:cnfStyle w:val="000000000000" w:firstRow="0" w:lastRow="0" w:firstColumn="0" w:lastColumn="0" w:oddVBand="0" w:evenVBand="0" w:oddHBand="0" w:evenHBand="0" w:firstRowFirstColumn="0" w:firstRowLastColumn="0" w:lastRowFirstColumn="0" w:lastRowLastColumn="0"/>
              <w:rPr>
                <w:sz w:val="20"/>
                <w:szCs w:val="20"/>
              </w:rPr>
            </w:pPr>
          </w:p>
          <w:p w14:paraId="26C0E6FF" w14:textId="5717534D" w:rsidR="00712E68" w:rsidRPr="000209E3" w:rsidRDefault="00712E68" w:rsidP="00712E68">
            <w:pPr>
              <w:spacing w:after="120" w:line="25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2F3FD2" w14:paraId="0A45D532" w14:textId="77777777" w:rsidTr="002F3F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1" w:type="dxa"/>
            <w:tcBorders>
              <w:top w:val="nil"/>
              <w:bottom w:val="single" w:sz="4" w:space="0" w:color="74C1C9" w:themeColor="accent2" w:themeTint="99"/>
            </w:tcBorders>
            <w:shd w:val="clear" w:color="auto" w:fill="auto"/>
          </w:tcPr>
          <w:p w14:paraId="3B517148" w14:textId="77777777" w:rsidR="002F3FD2" w:rsidRPr="000209E3" w:rsidRDefault="002F3FD2" w:rsidP="00712E68">
            <w:pPr>
              <w:spacing w:after="120" w:line="256" w:lineRule="auto"/>
              <w:rPr>
                <w:b w:val="0"/>
                <w:bCs w:val="0"/>
                <w:sz w:val="20"/>
                <w:szCs w:val="20"/>
              </w:rPr>
            </w:pPr>
          </w:p>
        </w:tc>
        <w:tc>
          <w:tcPr>
            <w:tcW w:w="1985" w:type="dxa"/>
            <w:tcBorders>
              <w:top w:val="nil"/>
              <w:bottom w:val="single" w:sz="4" w:space="0" w:color="74C1C9" w:themeColor="accent2" w:themeTint="99"/>
            </w:tcBorders>
            <w:shd w:val="clear" w:color="auto" w:fill="auto"/>
          </w:tcPr>
          <w:p w14:paraId="5B353425" w14:textId="6EA92DA2" w:rsidR="002F3FD2" w:rsidRDefault="002F3FD2" w:rsidP="00712E68">
            <w:pPr>
              <w:spacing w:after="120" w:line="256" w:lineRule="auto"/>
              <w:cnfStyle w:val="000000100000" w:firstRow="0" w:lastRow="0" w:firstColumn="0" w:lastColumn="0" w:oddVBand="0" w:evenVBand="0" w:oddHBand="1" w:evenHBand="0" w:firstRowFirstColumn="0" w:firstRowLastColumn="0" w:lastRowFirstColumn="0" w:lastRowLastColumn="0"/>
              <w:rPr>
                <w:sz w:val="20"/>
                <w:szCs w:val="20"/>
              </w:rPr>
            </w:pPr>
            <w:r w:rsidRPr="000209E3">
              <w:rPr>
                <w:sz w:val="20"/>
                <w:szCs w:val="20"/>
              </w:rPr>
              <w:t>Room setup</w:t>
            </w:r>
            <w:r>
              <w:rPr>
                <w:sz w:val="20"/>
                <w:szCs w:val="20"/>
              </w:rPr>
              <w:t>:</w:t>
            </w:r>
            <w:r w:rsidRPr="000209E3">
              <w:rPr>
                <w:sz w:val="20"/>
                <w:szCs w:val="20"/>
              </w:rPr>
              <w:t xml:space="preserve"> </w:t>
            </w:r>
          </w:p>
          <w:p w14:paraId="3E73A9CD" w14:textId="43241B39" w:rsidR="002F3FD2" w:rsidRPr="000209E3" w:rsidRDefault="002F3FD2" w:rsidP="00712E68">
            <w:pPr>
              <w:spacing w:after="120" w:line="256" w:lineRule="auto"/>
              <w:cnfStyle w:val="000000100000" w:firstRow="0" w:lastRow="0" w:firstColumn="0" w:lastColumn="0" w:oddVBand="0" w:evenVBand="0" w:oddHBand="1" w:evenHBand="0" w:firstRowFirstColumn="0" w:firstRowLastColumn="0" w:lastRowFirstColumn="0" w:lastRowLastColumn="0"/>
              <w:rPr>
                <w:sz w:val="20"/>
                <w:szCs w:val="20"/>
              </w:rPr>
            </w:pPr>
            <w:r w:rsidRPr="000209E3">
              <w:rPr>
                <w:sz w:val="20"/>
                <w:szCs w:val="20"/>
              </w:rPr>
              <w:t>Mixing of residents:</w:t>
            </w:r>
          </w:p>
        </w:tc>
        <w:tc>
          <w:tcPr>
            <w:tcW w:w="1842" w:type="dxa"/>
            <w:tcBorders>
              <w:top w:val="nil"/>
              <w:bottom w:val="single" w:sz="4" w:space="0" w:color="74C1C9" w:themeColor="accent2" w:themeTint="99"/>
            </w:tcBorders>
            <w:shd w:val="clear" w:color="auto" w:fill="auto"/>
          </w:tcPr>
          <w:p w14:paraId="2D60F39F" w14:textId="77777777" w:rsidR="002F3FD2" w:rsidRPr="000209E3" w:rsidRDefault="002F3FD2" w:rsidP="002F3FD2">
            <w:pPr>
              <w:spacing w:after="120" w:line="256" w:lineRule="auto"/>
              <w:cnfStyle w:val="000000100000" w:firstRow="0" w:lastRow="0" w:firstColumn="0" w:lastColumn="0" w:oddVBand="0" w:evenVBand="0" w:oddHBand="1" w:evenHBand="0" w:firstRowFirstColumn="0" w:firstRowLastColumn="0" w:lastRowFirstColumn="0" w:lastRowLastColumn="0"/>
              <w:rPr>
                <w:sz w:val="20"/>
                <w:szCs w:val="20"/>
              </w:rPr>
            </w:pPr>
            <w:r w:rsidRPr="000209E3">
              <w:rPr>
                <w:sz w:val="20"/>
                <w:szCs w:val="20"/>
              </w:rPr>
              <w:t>Single</w:t>
            </w:r>
          </w:p>
          <w:p w14:paraId="764604B9" w14:textId="7A3C7D50" w:rsidR="002F3FD2" w:rsidRPr="000209E3" w:rsidRDefault="002F3FD2" w:rsidP="00712E68">
            <w:pPr>
              <w:spacing w:after="120" w:line="256" w:lineRule="auto"/>
              <w:cnfStyle w:val="000000100000" w:firstRow="0" w:lastRow="0" w:firstColumn="0" w:lastColumn="0" w:oddVBand="0" w:evenVBand="0" w:oddHBand="1" w:evenHBand="0" w:firstRowFirstColumn="0" w:firstRowLastColumn="0" w:lastRowFirstColumn="0" w:lastRowLastColumn="0"/>
              <w:rPr>
                <w:sz w:val="20"/>
                <w:szCs w:val="20"/>
              </w:rPr>
            </w:pPr>
            <w:r w:rsidRPr="000209E3">
              <w:rPr>
                <w:sz w:val="20"/>
                <w:szCs w:val="20"/>
              </w:rPr>
              <w:t>Minimal</w:t>
            </w:r>
          </w:p>
        </w:tc>
        <w:tc>
          <w:tcPr>
            <w:tcW w:w="1843" w:type="dxa"/>
            <w:tcBorders>
              <w:top w:val="nil"/>
              <w:bottom w:val="single" w:sz="4" w:space="0" w:color="74C1C9" w:themeColor="accent2" w:themeTint="99"/>
            </w:tcBorders>
            <w:shd w:val="clear" w:color="auto" w:fill="auto"/>
          </w:tcPr>
          <w:p w14:paraId="5801A2B0" w14:textId="77777777" w:rsidR="002F3FD2" w:rsidRPr="000209E3" w:rsidRDefault="002F3FD2" w:rsidP="002F3FD2">
            <w:pPr>
              <w:spacing w:after="120" w:line="256" w:lineRule="auto"/>
              <w:cnfStyle w:val="000000100000" w:firstRow="0" w:lastRow="0" w:firstColumn="0" w:lastColumn="0" w:oddVBand="0" w:evenVBand="0" w:oddHBand="1" w:evenHBand="0" w:firstRowFirstColumn="0" w:firstRowLastColumn="0" w:lastRowFirstColumn="0" w:lastRowLastColumn="0"/>
              <w:rPr>
                <w:sz w:val="20"/>
                <w:szCs w:val="20"/>
              </w:rPr>
            </w:pPr>
            <w:r w:rsidRPr="000209E3">
              <w:rPr>
                <w:sz w:val="20"/>
                <w:szCs w:val="20"/>
              </w:rPr>
              <w:t>Shared</w:t>
            </w:r>
          </w:p>
          <w:p w14:paraId="77301295" w14:textId="07E87B3E" w:rsidR="002F3FD2" w:rsidRPr="000209E3" w:rsidRDefault="002F3FD2" w:rsidP="00712E68">
            <w:pPr>
              <w:spacing w:after="120" w:line="256" w:lineRule="auto"/>
              <w:cnfStyle w:val="000000100000" w:firstRow="0" w:lastRow="0" w:firstColumn="0" w:lastColumn="0" w:oddVBand="0" w:evenVBand="0" w:oddHBand="1" w:evenHBand="0" w:firstRowFirstColumn="0" w:firstRowLastColumn="0" w:lastRowFirstColumn="0" w:lastRowLastColumn="0"/>
              <w:rPr>
                <w:sz w:val="20"/>
                <w:szCs w:val="20"/>
              </w:rPr>
            </w:pPr>
            <w:r w:rsidRPr="000209E3">
              <w:rPr>
                <w:sz w:val="20"/>
                <w:szCs w:val="20"/>
              </w:rPr>
              <w:t>Shared communal areas</w:t>
            </w:r>
          </w:p>
        </w:tc>
      </w:tr>
      <w:tr w:rsidR="00712E68" w14:paraId="685987A3" w14:textId="77777777" w:rsidTr="002F3FD2">
        <w:tc>
          <w:tcPr>
            <w:cnfStyle w:val="001000000000" w:firstRow="0" w:lastRow="0" w:firstColumn="1" w:lastColumn="0" w:oddVBand="0" w:evenVBand="0" w:oddHBand="0" w:evenHBand="0" w:firstRowFirstColumn="0" w:firstRowLastColumn="0" w:lastRowFirstColumn="0" w:lastRowLastColumn="0"/>
            <w:tcW w:w="3521" w:type="dxa"/>
            <w:tcBorders>
              <w:bottom w:val="single" w:sz="4" w:space="0" w:color="74C1C9" w:themeColor="accent2" w:themeTint="99"/>
            </w:tcBorders>
            <w:shd w:val="clear" w:color="auto" w:fill="D0EAED" w:themeFill="accent2" w:themeFillTint="33"/>
            <w:hideMark/>
          </w:tcPr>
          <w:p w14:paraId="01E424C8" w14:textId="77777777" w:rsidR="00712E68" w:rsidRPr="000209E3" w:rsidRDefault="00712E68" w:rsidP="00712E68">
            <w:pPr>
              <w:spacing w:after="120" w:line="256" w:lineRule="auto"/>
              <w:rPr>
                <w:b w:val="0"/>
                <w:bCs w:val="0"/>
                <w:sz w:val="20"/>
                <w:szCs w:val="20"/>
              </w:rPr>
            </w:pPr>
            <w:r w:rsidRPr="000209E3">
              <w:rPr>
                <w:b w:val="0"/>
                <w:bCs w:val="0"/>
                <w:sz w:val="20"/>
                <w:szCs w:val="20"/>
              </w:rPr>
              <w:t>Clinical resources</w:t>
            </w:r>
          </w:p>
        </w:tc>
        <w:tc>
          <w:tcPr>
            <w:tcW w:w="1985" w:type="dxa"/>
            <w:tcBorders>
              <w:bottom w:val="single" w:sz="4" w:space="0" w:color="74C1C9" w:themeColor="accent2" w:themeTint="99"/>
            </w:tcBorders>
            <w:shd w:val="clear" w:color="auto" w:fill="D0EAED" w:themeFill="accent2" w:themeFillTint="33"/>
            <w:hideMark/>
          </w:tcPr>
          <w:p w14:paraId="2863BEB6" w14:textId="77777777" w:rsidR="00712E68" w:rsidRPr="000209E3" w:rsidRDefault="00712E68" w:rsidP="00712E68">
            <w:pPr>
              <w:spacing w:after="120" w:line="256" w:lineRule="auto"/>
              <w:cnfStyle w:val="000000000000" w:firstRow="0" w:lastRow="0" w:firstColumn="0" w:lastColumn="0" w:oddVBand="0" w:evenVBand="0" w:oddHBand="0" w:evenHBand="0" w:firstRowFirstColumn="0" w:firstRowLastColumn="0" w:lastRowFirstColumn="0" w:lastRowLastColumn="0"/>
              <w:rPr>
                <w:sz w:val="20"/>
                <w:szCs w:val="20"/>
              </w:rPr>
            </w:pPr>
            <w:r w:rsidRPr="000209E3">
              <w:rPr>
                <w:sz w:val="20"/>
                <w:szCs w:val="20"/>
              </w:rPr>
              <w:t>Number of GPs:</w:t>
            </w:r>
          </w:p>
          <w:p w14:paraId="15980C7C" w14:textId="77777777" w:rsidR="00712E68" w:rsidRPr="000209E3" w:rsidRDefault="00712E68" w:rsidP="00712E68">
            <w:pPr>
              <w:spacing w:after="120" w:line="256" w:lineRule="auto"/>
              <w:cnfStyle w:val="000000000000" w:firstRow="0" w:lastRow="0" w:firstColumn="0" w:lastColumn="0" w:oddVBand="0" w:evenVBand="0" w:oddHBand="0" w:evenHBand="0" w:firstRowFirstColumn="0" w:firstRowLastColumn="0" w:lastRowFirstColumn="0" w:lastRowLastColumn="0"/>
              <w:rPr>
                <w:sz w:val="20"/>
                <w:szCs w:val="20"/>
              </w:rPr>
            </w:pPr>
            <w:r w:rsidRPr="000209E3">
              <w:rPr>
                <w:sz w:val="20"/>
                <w:szCs w:val="20"/>
              </w:rPr>
              <w:t>GP engagement:</w:t>
            </w:r>
          </w:p>
          <w:p w14:paraId="0523BCA7" w14:textId="77777777" w:rsidR="00712E68" w:rsidRPr="000209E3" w:rsidRDefault="00712E68" w:rsidP="00712E68">
            <w:pPr>
              <w:spacing w:after="120" w:line="256" w:lineRule="auto"/>
              <w:cnfStyle w:val="000000000000" w:firstRow="0" w:lastRow="0" w:firstColumn="0" w:lastColumn="0" w:oddVBand="0" w:evenVBand="0" w:oddHBand="0" w:evenHBand="0" w:firstRowFirstColumn="0" w:firstRowLastColumn="0" w:lastRowFirstColumn="0" w:lastRowLastColumn="0"/>
              <w:rPr>
                <w:sz w:val="20"/>
                <w:szCs w:val="20"/>
              </w:rPr>
            </w:pPr>
            <w:r w:rsidRPr="000209E3">
              <w:rPr>
                <w:sz w:val="20"/>
                <w:szCs w:val="20"/>
              </w:rPr>
              <w:t>RCF care staff:</w:t>
            </w:r>
          </w:p>
        </w:tc>
        <w:tc>
          <w:tcPr>
            <w:tcW w:w="1842" w:type="dxa"/>
            <w:tcBorders>
              <w:bottom w:val="single" w:sz="4" w:space="0" w:color="74C1C9" w:themeColor="accent2" w:themeTint="99"/>
            </w:tcBorders>
            <w:shd w:val="clear" w:color="auto" w:fill="D0EAED" w:themeFill="accent2" w:themeFillTint="33"/>
            <w:hideMark/>
          </w:tcPr>
          <w:p w14:paraId="470910B5" w14:textId="77777777" w:rsidR="00712E68" w:rsidRPr="000209E3" w:rsidRDefault="00712E68" w:rsidP="00712E68">
            <w:pPr>
              <w:spacing w:after="120" w:line="256" w:lineRule="auto"/>
              <w:cnfStyle w:val="000000000000" w:firstRow="0" w:lastRow="0" w:firstColumn="0" w:lastColumn="0" w:oddVBand="0" w:evenVBand="0" w:oddHBand="0" w:evenHBand="0" w:firstRowFirstColumn="0" w:firstRowLastColumn="0" w:lastRowFirstColumn="0" w:lastRowLastColumn="0"/>
              <w:rPr>
                <w:sz w:val="20"/>
                <w:szCs w:val="20"/>
              </w:rPr>
            </w:pPr>
            <w:r w:rsidRPr="000209E3">
              <w:rPr>
                <w:sz w:val="20"/>
                <w:szCs w:val="20"/>
              </w:rPr>
              <w:t>Large</w:t>
            </w:r>
          </w:p>
          <w:p w14:paraId="41D2D8E1" w14:textId="77777777" w:rsidR="00712E68" w:rsidRPr="000209E3" w:rsidRDefault="00712E68" w:rsidP="00712E68">
            <w:pPr>
              <w:spacing w:after="120" w:line="256" w:lineRule="auto"/>
              <w:cnfStyle w:val="000000000000" w:firstRow="0" w:lastRow="0" w:firstColumn="0" w:lastColumn="0" w:oddVBand="0" w:evenVBand="0" w:oddHBand="0" w:evenHBand="0" w:firstRowFirstColumn="0" w:firstRowLastColumn="0" w:lastRowFirstColumn="0" w:lastRowLastColumn="0"/>
              <w:rPr>
                <w:sz w:val="20"/>
                <w:szCs w:val="20"/>
              </w:rPr>
            </w:pPr>
            <w:r w:rsidRPr="000209E3">
              <w:rPr>
                <w:sz w:val="20"/>
                <w:szCs w:val="20"/>
              </w:rPr>
              <w:t>Low</w:t>
            </w:r>
          </w:p>
          <w:p w14:paraId="50D70382" w14:textId="77777777" w:rsidR="00712E68" w:rsidRPr="000209E3" w:rsidRDefault="00712E68" w:rsidP="00712E68">
            <w:pPr>
              <w:spacing w:after="120" w:line="256" w:lineRule="auto"/>
              <w:cnfStyle w:val="000000000000" w:firstRow="0" w:lastRow="0" w:firstColumn="0" w:lastColumn="0" w:oddVBand="0" w:evenVBand="0" w:oddHBand="0" w:evenHBand="0" w:firstRowFirstColumn="0" w:firstRowLastColumn="0" w:lastRowFirstColumn="0" w:lastRowLastColumn="0"/>
              <w:rPr>
                <w:sz w:val="20"/>
                <w:szCs w:val="20"/>
              </w:rPr>
            </w:pPr>
            <w:r w:rsidRPr="000209E3">
              <w:rPr>
                <w:sz w:val="20"/>
                <w:szCs w:val="20"/>
              </w:rPr>
              <w:t xml:space="preserve">Unfamiliar with dosing &amp; precautions </w:t>
            </w:r>
          </w:p>
        </w:tc>
        <w:tc>
          <w:tcPr>
            <w:tcW w:w="1843" w:type="dxa"/>
            <w:tcBorders>
              <w:bottom w:val="single" w:sz="4" w:space="0" w:color="74C1C9" w:themeColor="accent2" w:themeTint="99"/>
            </w:tcBorders>
            <w:shd w:val="clear" w:color="auto" w:fill="D0EAED" w:themeFill="accent2" w:themeFillTint="33"/>
            <w:hideMark/>
          </w:tcPr>
          <w:p w14:paraId="63AE6EE9" w14:textId="77777777" w:rsidR="00712E68" w:rsidRPr="000209E3" w:rsidRDefault="00712E68" w:rsidP="00712E68">
            <w:pPr>
              <w:spacing w:after="120" w:line="256" w:lineRule="auto"/>
              <w:cnfStyle w:val="000000000000" w:firstRow="0" w:lastRow="0" w:firstColumn="0" w:lastColumn="0" w:oddVBand="0" w:evenVBand="0" w:oddHBand="0" w:evenHBand="0" w:firstRowFirstColumn="0" w:firstRowLastColumn="0" w:lastRowFirstColumn="0" w:lastRowLastColumn="0"/>
              <w:rPr>
                <w:sz w:val="20"/>
                <w:szCs w:val="20"/>
              </w:rPr>
            </w:pPr>
            <w:r w:rsidRPr="000209E3">
              <w:rPr>
                <w:sz w:val="20"/>
                <w:szCs w:val="20"/>
              </w:rPr>
              <w:t>Small</w:t>
            </w:r>
          </w:p>
          <w:p w14:paraId="35E1D4EF" w14:textId="77777777" w:rsidR="00712E68" w:rsidRPr="000209E3" w:rsidRDefault="00712E68" w:rsidP="00712E68">
            <w:pPr>
              <w:spacing w:after="120" w:line="256" w:lineRule="auto"/>
              <w:cnfStyle w:val="000000000000" w:firstRow="0" w:lastRow="0" w:firstColumn="0" w:lastColumn="0" w:oddVBand="0" w:evenVBand="0" w:oddHBand="0" w:evenHBand="0" w:firstRowFirstColumn="0" w:firstRowLastColumn="0" w:lastRowFirstColumn="0" w:lastRowLastColumn="0"/>
              <w:rPr>
                <w:sz w:val="20"/>
                <w:szCs w:val="20"/>
              </w:rPr>
            </w:pPr>
            <w:r w:rsidRPr="000209E3">
              <w:rPr>
                <w:sz w:val="20"/>
                <w:szCs w:val="20"/>
              </w:rPr>
              <w:t>Supportive</w:t>
            </w:r>
          </w:p>
          <w:p w14:paraId="33B2AB11" w14:textId="77777777" w:rsidR="00712E68" w:rsidRPr="000209E3" w:rsidRDefault="00712E68" w:rsidP="00712E68">
            <w:pPr>
              <w:spacing w:after="120" w:line="256" w:lineRule="auto"/>
              <w:cnfStyle w:val="000000000000" w:firstRow="0" w:lastRow="0" w:firstColumn="0" w:lastColumn="0" w:oddVBand="0" w:evenVBand="0" w:oddHBand="0" w:evenHBand="0" w:firstRowFirstColumn="0" w:firstRowLastColumn="0" w:lastRowFirstColumn="0" w:lastRowLastColumn="0"/>
              <w:rPr>
                <w:sz w:val="20"/>
                <w:szCs w:val="20"/>
              </w:rPr>
            </w:pPr>
            <w:r w:rsidRPr="000209E3">
              <w:rPr>
                <w:sz w:val="20"/>
                <w:szCs w:val="20"/>
              </w:rPr>
              <w:t>Supportive</w:t>
            </w:r>
          </w:p>
        </w:tc>
      </w:tr>
      <w:tr w:rsidR="00712E68" w14:paraId="089E2F70" w14:textId="77777777" w:rsidTr="002F3F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1" w:type="dxa"/>
            <w:shd w:val="clear" w:color="auto" w:fill="auto"/>
            <w:hideMark/>
          </w:tcPr>
          <w:p w14:paraId="4DB55799" w14:textId="77777777" w:rsidR="00712E68" w:rsidRPr="000209E3" w:rsidRDefault="00712E68" w:rsidP="00712E68">
            <w:pPr>
              <w:spacing w:after="120" w:line="256" w:lineRule="auto"/>
              <w:rPr>
                <w:b w:val="0"/>
                <w:bCs w:val="0"/>
                <w:sz w:val="20"/>
                <w:szCs w:val="20"/>
              </w:rPr>
            </w:pPr>
            <w:r w:rsidRPr="000209E3">
              <w:rPr>
                <w:b w:val="0"/>
                <w:bCs w:val="0"/>
                <w:sz w:val="20"/>
                <w:szCs w:val="20"/>
              </w:rPr>
              <w:t>Oseltamivir supply</w:t>
            </w:r>
          </w:p>
        </w:tc>
        <w:tc>
          <w:tcPr>
            <w:tcW w:w="1985" w:type="dxa"/>
            <w:shd w:val="clear" w:color="auto" w:fill="auto"/>
            <w:hideMark/>
          </w:tcPr>
          <w:p w14:paraId="40EE6B30" w14:textId="77777777" w:rsidR="00712E68" w:rsidRPr="000209E3" w:rsidRDefault="00712E68" w:rsidP="00712E68">
            <w:pPr>
              <w:spacing w:after="120" w:line="256" w:lineRule="auto"/>
              <w:cnfStyle w:val="000000100000" w:firstRow="0" w:lastRow="0" w:firstColumn="0" w:lastColumn="0" w:oddVBand="0" w:evenVBand="0" w:oddHBand="1" w:evenHBand="0" w:firstRowFirstColumn="0" w:firstRowLastColumn="0" w:lastRowFirstColumn="0" w:lastRowLastColumn="0"/>
              <w:rPr>
                <w:sz w:val="20"/>
                <w:szCs w:val="20"/>
              </w:rPr>
            </w:pPr>
            <w:r w:rsidRPr="000209E3">
              <w:rPr>
                <w:sz w:val="20"/>
                <w:szCs w:val="20"/>
              </w:rPr>
              <w:t>Time to obtain:</w:t>
            </w:r>
          </w:p>
        </w:tc>
        <w:tc>
          <w:tcPr>
            <w:tcW w:w="1842" w:type="dxa"/>
            <w:shd w:val="clear" w:color="auto" w:fill="auto"/>
            <w:hideMark/>
          </w:tcPr>
          <w:p w14:paraId="1592EBC7" w14:textId="77777777" w:rsidR="00712E68" w:rsidRPr="000209E3" w:rsidRDefault="00712E68" w:rsidP="00712E68">
            <w:pPr>
              <w:spacing w:after="120" w:line="256" w:lineRule="auto"/>
              <w:cnfStyle w:val="000000100000" w:firstRow="0" w:lastRow="0" w:firstColumn="0" w:lastColumn="0" w:oddVBand="0" w:evenVBand="0" w:oddHBand="1" w:evenHBand="0" w:firstRowFirstColumn="0" w:firstRowLastColumn="0" w:lastRowFirstColumn="0" w:lastRowLastColumn="0"/>
              <w:rPr>
                <w:sz w:val="20"/>
                <w:szCs w:val="20"/>
              </w:rPr>
            </w:pPr>
            <w:r w:rsidRPr="000209E3">
              <w:rPr>
                <w:sz w:val="20"/>
                <w:szCs w:val="20"/>
              </w:rPr>
              <w:t>&gt; 24 hours</w:t>
            </w:r>
          </w:p>
        </w:tc>
        <w:tc>
          <w:tcPr>
            <w:tcW w:w="1843" w:type="dxa"/>
            <w:shd w:val="clear" w:color="auto" w:fill="auto"/>
            <w:hideMark/>
          </w:tcPr>
          <w:p w14:paraId="406BF4E1" w14:textId="77777777" w:rsidR="00712E68" w:rsidRPr="000209E3" w:rsidRDefault="00712E68" w:rsidP="00712E68">
            <w:pPr>
              <w:spacing w:after="120" w:line="256" w:lineRule="auto"/>
              <w:cnfStyle w:val="000000100000" w:firstRow="0" w:lastRow="0" w:firstColumn="0" w:lastColumn="0" w:oddVBand="0" w:evenVBand="0" w:oddHBand="1" w:evenHBand="0" w:firstRowFirstColumn="0" w:firstRowLastColumn="0" w:lastRowFirstColumn="0" w:lastRowLastColumn="0"/>
              <w:rPr>
                <w:sz w:val="20"/>
                <w:szCs w:val="20"/>
              </w:rPr>
            </w:pPr>
            <w:r w:rsidRPr="000209E3">
              <w:rPr>
                <w:sz w:val="20"/>
                <w:szCs w:val="20"/>
              </w:rPr>
              <w:t>&lt; 24 hours</w:t>
            </w:r>
          </w:p>
        </w:tc>
      </w:tr>
    </w:tbl>
    <w:p w14:paraId="50BD5883" w14:textId="77777777" w:rsidR="00A51044" w:rsidRDefault="00A51044" w:rsidP="00A51044">
      <w:pPr>
        <w:rPr>
          <w:b/>
          <w:bCs/>
        </w:rPr>
      </w:pPr>
    </w:p>
    <w:p w14:paraId="477BFA44" w14:textId="7B252439" w:rsidR="00AB1229" w:rsidRPr="00AB1229" w:rsidRDefault="00A51044" w:rsidP="00AB1229">
      <w:pPr>
        <w:pStyle w:val="Heading2"/>
        <w:rPr>
          <w:color w:val="auto"/>
          <w:sz w:val="22"/>
        </w:rPr>
      </w:pPr>
      <w:r>
        <w:br w:type="page"/>
      </w:r>
      <w:bookmarkStart w:id="71" w:name="_Toc115342407"/>
      <w:r w:rsidR="00AB1229">
        <w:rPr>
          <w:rFonts w:eastAsiaTheme="minorHAnsi"/>
        </w:rPr>
        <w:lastRenderedPageBreak/>
        <w:t>Appendix 3. Key documents and resources</w:t>
      </w:r>
      <w:bookmarkEnd w:id="71"/>
      <w:r w:rsidR="00AB1229">
        <w:rPr>
          <w:rFonts w:eastAsiaTheme="minorHAnsi"/>
        </w:rPr>
        <w:t xml:space="preserve"> </w:t>
      </w:r>
      <w:bookmarkStart w:id="72" w:name="_Toc104904329"/>
      <w:bookmarkStart w:id="73" w:name="_Toc104904459"/>
      <w:bookmarkStart w:id="74" w:name="_Toc104904622"/>
      <w:bookmarkStart w:id="75" w:name="_Toc95318272"/>
    </w:p>
    <w:p w14:paraId="7A3CD160" w14:textId="77777777" w:rsidR="00AB1229" w:rsidRPr="00AB1229" w:rsidRDefault="00AB1229" w:rsidP="00AB1229">
      <w:pPr>
        <w:pStyle w:val="Heading3"/>
        <w:rPr>
          <w:rFonts w:eastAsiaTheme="minorHAnsi"/>
        </w:rPr>
      </w:pPr>
      <w:bookmarkStart w:id="76" w:name="_Toc115342408"/>
      <w:r w:rsidRPr="00AB1229">
        <w:t>Aged Care Quality and Safety Commission</w:t>
      </w:r>
      <w:bookmarkEnd w:id="72"/>
      <w:bookmarkEnd w:id="73"/>
      <w:bookmarkEnd w:id="74"/>
      <w:bookmarkEnd w:id="76"/>
      <w:r w:rsidRPr="00AB1229">
        <w:t xml:space="preserve"> </w:t>
      </w:r>
      <w:bookmarkEnd w:id="75"/>
    </w:p>
    <w:p w14:paraId="0A394571" w14:textId="2CB5D280" w:rsidR="00AB1229" w:rsidRPr="00AB1229" w:rsidRDefault="007D5162" w:rsidP="00AB1229">
      <w:pPr>
        <w:pStyle w:val="Body"/>
        <w:numPr>
          <w:ilvl w:val="0"/>
          <w:numId w:val="43"/>
        </w:numPr>
        <w:rPr>
          <w:sz w:val="20"/>
        </w:rPr>
      </w:pPr>
      <w:hyperlink r:id="rId34" w:history="1">
        <w:r w:rsidR="00B60211" w:rsidRPr="00B60211">
          <w:rPr>
            <w:rStyle w:val="Hyperlink"/>
            <w:sz w:val="20"/>
          </w:rPr>
          <w:t>Aged Care</w:t>
        </w:r>
        <w:r w:rsidR="00B60211" w:rsidRPr="00B60211">
          <w:rPr>
            <w:rStyle w:val="Hyperlink"/>
          </w:rPr>
          <w:t xml:space="preserve"> </w:t>
        </w:r>
        <w:r w:rsidR="00AB1229" w:rsidRPr="00B60211">
          <w:rPr>
            <w:rStyle w:val="Hyperlink"/>
            <w:sz w:val="20"/>
          </w:rPr>
          <w:t>Quality Standards</w:t>
        </w:r>
      </w:hyperlink>
      <w:r w:rsidR="00AB1229" w:rsidRPr="00AB1229">
        <w:rPr>
          <w:sz w:val="20"/>
        </w:rPr>
        <w:t xml:space="preserve"> – The Commission expects organisations providing aged care services in Australia to comply with the Quality Standards</w:t>
      </w:r>
    </w:p>
    <w:p w14:paraId="5229B360" w14:textId="77777777" w:rsidR="00AB1229" w:rsidRPr="00AB1229" w:rsidRDefault="007D5162" w:rsidP="00AB1229">
      <w:pPr>
        <w:pStyle w:val="Body"/>
        <w:numPr>
          <w:ilvl w:val="0"/>
          <w:numId w:val="43"/>
        </w:numPr>
        <w:rPr>
          <w:sz w:val="20"/>
        </w:rPr>
      </w:pPr>
      <w:hyperlink r:id="rId35" w:history="1">
        <w:r w:rsidR="00AB1229" w:rsidRPr="00AB1229">
          <w:rPr>
            <w:rStyle w:val="Hyperlink"/>
            <w:sz w:val="20"/>
          </w:rPr>
          <w:t xml:space="preserve">Outbreak management planning in aged care </w:t>
        </w:r>
      </w:hyperlink>
      <w:r w:rsidR="00AB1229" w:rsidRPr="00AB1229">
        <w:rPr>
          <w:sz w:val="20"/>
          <w:lang w:val="en-GB"/>
        </w:rPr>
        <w:t xml:space="preserve">practical guidance to support COVID-19 outbreak management planning and preparation in residential aged care facilities. </w:t>
      </w:r>
    </w:p>
    <w:p w14:paraId="24D353FA" w14:textId="7E4DAA9B" w:rsidR="00AB1229" w:rsidRDefault="00AB1229" w:rsidP="00AB1229">
      <w:pPr>
        <w:pStyle w:val="Heading3"/>
        <w:rPr>
          <w:sz w:val="20"/>
          <w:szCs w:val="20"/>
        </w:rPr>
      </w:pPr>
      <w:bookmarkStart w:id="77" w:name="_Toc104904330"/>
      <w:bookmarkStart w:id="78" w:name="_Toc104904460"/>
      <w:bookmarkStart w:id="79" w:name="_Toc104904623"/>
      <w:bookmarkStart w:id="80" w:name="_Toc95318273"/>
      <w:bookmarkStart w:id="81" w:name="_Toc115342409"/>
      <w:r>
        <w:t>Australian Government</w:t>
      </w:r>
      <w:bookmarkEnd w:id="77"/>
      <w:bookmarkEnd w:id="78"/>
      <w:bookmarkEnd w:id="79"/>
      <w:r>
        <w:t xml:space="preserve"> </w:t>
      </w:r>
      <w:bookmarkEnd w:id="80"/>
      <w:r w:rsidR="00AB742A">
        <w:t>Department of Health and Aged Care</w:t>
      </w:r>
      <w:bookmarkEnd w:id="81"/>
    </w:p>
    <w:bookmarkStart w:id="82" w:name="_Toc104904624"/>
    <w:bookmarkStart w:id="83" w:name="_Toc104904461"/>
    <w:bookmarkStart w:id="84" w:name="_Toc104904331"/>
    <w:p w14:paraId="5A495916" w14:textId="77777777" w:rsidR="00AB1229" w:rsidRPr="00AB1229" w:rsidRDefault="00AB1229" w:rsidP="00AB1229">
      <w:pPr>
        <w:pStyle w:val="Body"/>
        <w:numPr>
          <w:ilvl w:val="0"/>
          <w:numId w:val="43"/>
        </w:numPr>
        <w:rPr>
          <w:sz w:val="20"/>
          <w:u w:val="dotted"/>
        </w:rPr>
      </w:pPr>
      <w:r w:rsidRPr="00AB1229">
        <w:rPr>
          <w:sz w:val="20"/>
        </w:rPr>
        <w:fldChar w:fldCharType="begin"/>
      </w:r>
      <w:r w:rsidRPr="00AB1229">
        <w:rPr>
          <w:sz w:val="20"/>
        </w:rPr>
        <w:instrText xml:space="preserve"> HYPERLINK "https://www.health.gov.au/node/18602/prevent-and-prepare-for-covid-19-in-residential-aged-care" </w:instrText>
      </w:r>
      <w:r w:rsidRPr="00AB1229">
        <w:rPr>
          <w:sz w:val="20"/>
        </w:rPr>
        <w:fldChar w:fldCharType="separate"/>
      </w:r>
      <w:r w:rsidRPr="00AB1229">
        <w:rPr>
          <w:rStyle w:val="Hyperlink"/>
          <w:sz w:val="20"/>
        </w:rPr>
        <w:t>Prevent and prepare for COVID-19 in residential aged care</w:t>
      </w:r>
      <w:r w:rsidRPr="00AB1229">
        <w:rPr>
          <w:sz w:val="20"/>
        </w:rPr>
        <w:fldChar w:fldCharType="end"/>
      </w:r>
      <w:r w:rsidRPr="00AB1229">
        <w:rPr>
          <w:sz w:val="20"/>
          <w:lang w:val="en-GB"/>
        </w:rPr>
        <w:t xml:space="preserve"> – link to advice and resources for aged care providers.</w:t>
      </w:r>
    </w:p>
    <w:p w14:paraId="4AEB94D5" w14:textId="2BDE47E4" w:rsidR="00AB1229" w:rsidRPr="00AB1229" w:rsidRDefault="007D5162" w:rsidP="00AB1229">
      <w:pPr>
        <w:pStyle w:val="Body"/>
        <w:numPr>
          <w:ilvl w:val="0"/>
          <w:numId w:val="43"/>
        </w:numPr>
        <w:rPr>
          <w:sz w:val="20"/>
        </w:rPr>
      </w:pPr>
      <w:hyperlink r:id="rId36" w:history="1">
        <w:r w:rsidR="00AB1229" w:rsidRPr="00AB1229">
          <w:rPr>
            <w:rStyle w:val="Hyperlink"/>
            <w:sz w:val="20"/>
          </w:rPr>
          <w:t>Emergency PPE and RAT supply for RACF COVID-19 Outbreak or Exposure</w:t>
        </w:r>
      </w:hyperlink>
      <w:r w:rsidR="00AB1229" w:rsidRPr="00AB1229">
        <w:rPr>
          <w:sz w:val="20"/>
        </w:rPr>
        <w:t xml:space="preserve">– link to the Commonwealth </w:t>
      </w:r>
      <w:r w:rsidR="00AB742A">
        <w:rPr>
          <w:sz w:val="20"/>
        </w:rPr>
        <w:t>Department of Health and Aged Care</w:t>
      </w:r>
      <w:r w:rsidR="00AB1229" w:rsidRPr="00AB1229">
        <w:rPr>
          <w:sz w:val="20"/>
        </w:rPr>
        <w:t xml:space="preserve"> ordering form for emergency PPE and RAT supply. </w:t>
      </w:r>
    </w:p>
    <w:p w14:paraId="4AB9822D" w14:textId="77777777" w:rsidR="00AB1229" w:rsidRPr="00AB1229" w:rsidRDefault="007D5162" w:rsidP="00AB1229">
      <w:pPr>
        <w:pStyle w:val="Body"/>
        <w:numPr>
          <w:ilvl w:val="0"/>
          <w:numId w:val="43"/>
        </w:numPr>
        <w:rPr>
          <w:rFonts w:cstheme="minorBidi"/>
          <w:sz w:val="20"/>
        </w:rPr>
      </w:pPr>
      <w:hyperlink r:id="rId37" w:history="1">
        <w:r w:rsidR="00AB1229" w:rsidRPr="00AB1229">
          <w:rPr>
            <w:rStyle w:val="Hyperlink"/>
            <w:sz w:val="20"/>
          </w:rPr>
          <w:t>First 24 hours Checklist</w:t>
        </w:r>
      </w:hyperlink>
      <w:r w:rsidR="00AB1229" w:rsidRPr="00AB1229">
        <w:rPr>
          <w:sz w:val="20"/>
        </w:rPr>
        <w:t>. COVID-19</w:t>
      </w:r>
    </w:p>
    <w:p w14:paraId="49C3C72C" w14:textId="77777777" w:rsidR="00AB1229" w:rsidRPr="00AB1229" w:rsidRDefault="007D5162" w:rsidP="00AB1229">
      <w:pPr>
        <w:pStyle w:val="Body"/>
        <w:numPr>
          <w:ilvl w:val="0"/>
          <w:numId w:val="43"/>
        </w:numPr>
        <w:rPr>
          <w:rStyle w:val="Hyperlink"/>
          <w:sz w:val="20"/>
        </w:rPr>
      </w:pPr>
      <w:hyperlink r:id="rId38" w:history="1">
        <w:r w:rsidR="00AB1229" w:rsidRPr="00AB1229">
          <w:rPr>
            <w:rStyle w:val="Hyperlink"/>
            <w:sz w:val="20"/>
          </w:rPr>
          <w:t xml:space="preserve">Being Prepared Outbreak Checklist. COVID-19  </w:t>
        </w:r>
      </w:hyperlink>
    </w:p>
    <w:p w14:paraId="76BCC01E" w14:textId="77777777" w:rsidR="00AB1229" w:rsidRPr="00AB1229" w:rsidRDefault="007D5162" w:rsidP="00AB1229">
      <w:pPr>
        <w:pStyle w:val="Body"/>
        <w:numPr>
          <w:ilvl w:val="0"/>
          <w:numId w:val="43"/>
        </w:numPr>
        <w:rPr>
          <w:rStyle w:val="Hyperlink"/>
          <w:sz w:val="20"/>
        </w:rPr>
      </w:pPr>
      <w:hyperlink r:id="rId39" w:history="1">
        <w:r w:rsidR="00AB1229" w:rsidRPr="00AB1229">
          <w:rPr>
            <w:rStyle w:val="Hyperlink"/>
            <w:sz w:val="20"/>
          </w:rPr>
          <w:t>Ensuring safe visitor access to residential aged care</w:t>
        </w:r>
      </w:hyperlink>
    </w:p>
    <w:p w14:paraId="422336A2" w14:textId="77777777" w:rsidR="00AB1229" w:rsidRPr="00AB1229" w:rsidRDefault="007D5162" w:rsidP="00AB1229">
      <w:pPr>
        <w:numPr>
          <w:ilvl w:val="0"/>
          <w:numId w:val="43"/>
        </w:numPr>
        <w:spacing w:after="160" w:line="256" w:lineRule="auto"/>
        <w:rPr>
          <w:sz w:val="20"/>
          <w:szCs w:val="20"/>
        </w:rPr>
      </w:pPr>
      <w:hyperlink r:id="rId40" w:history="1">
        <w:bookmarkStart w:id="85" w:name="_Toc104904625"/>
        <w:bookmarkStart w:id="86" w:name="_Toc104904462"/>
        <w:bookmarkStart w:id="87" w:name="_Toc104904332"/>
        <w:r w:rsidR="00AB1229" w:rsidRPr="00AB1229">
          <w:rPr>
            <w:rStyle w:val="Hyperlink"/>
            <w:sz w:val="20"/>
            <w:szCs w:val="20"/>
          </w:rPr>
          <w:t>Infection prevention and control lead/s</w:t>
        </w:r>
        <w:bookmarkEnd w:id="85"/>
        <w:bookmarkEnd w:id="86"/>
        <w:bookmarkEnd w:id="87"/>
      </w:hyperlink>
    </w:p>
    <w:p w14:paraId="5BF3C8E1" w14:textId="77777777" w:rsidR="00AB1229" w:rsidRDefault="00AB1229" w:rsidP="00AB1229">
      <w:pPr>
        <w:pStyle w:val="Heading3"/>
      </w:pPr>
      <w:bookmarkStart w:id="88" w:name="_Toc115342410"/>
      <w:r>
        <w:rPr>
          <w:rFonts w:eastAsia="Times"/>
        </w:rPr>
        <w:t>Communicable Diseases Network Australia National Guidelines for Public Health Units</w:t>
      </w:r>
      <w:bookmarkEnd w:id="88"/>
      <w:r>
        <w:t xml:space="preserve"> </w:t>
      </w:r>
    </w:p>
    <w:p w14:paraId="326E4C63" w14:textId="77777777" w:rsidR="00AB1229" w:rsidRPr="00AB1229" w:rsidRDefault="00AB1229" w:rsidP="00AB1229">
      <w:pPr>
        <w:pStyle w:val="Title"/>
        <w:numPr>
          <w:ilvl w:val="0"/>
          <w:numId w:val="43"/>
        </w:numPr>
        <w:spacing w:before="240"/>
        <w:rPr>
          <w:rFonts w:eastAsia="Times" w:cs="Arial"/>
          <w:b w:val="0"/>
          <w:color w:val="auto"/>
          <w:kern w:val="0"/>
          <w:sz w:val="20"/>
          <w:szCs w:val="20"/>
        </w:rPr>
      </w:pPr>
      <w:r w:rsidRPr="00AB1229">
        <w:rPr>
          <w:rFonts w:eastAsia="Times" w:cs="Arial"/>
          <w:b w:val="0"/>
          <w:color w:val="auto"/>
          <w:kern w:val="0"/>
          <w:sz w:val="20"/>
          <w:szCs w:val="20"/>
        </w:rPr>
        <w:t xml:space="preserve">CDNA National Guidelines for Public Health Units. </w:t>
      </w:r>
      <w:hyperlink r:id="rId41" w:history="1">
        <w:r w:rsidRPr="00AB1229">
          <w:rPr>
            <w:rStyle w:val="Hyperlink"/>
            <w:rFonts w:eastAsia="Times" w:cs="Arial"/>
            <w:b w:val="0"/>
            <w:kern w:val="0"/>
            <w:sz w:val="20"/>
            <w:szCs w:val="20"/>
          </w:rPr>
          <w:t xml:space="preserve">Coronavirus Disease 2019 (COVID-19) </w:t>
        </w:r>
      </w:hyperlink>
    </w:p>
    <w:p w14:paraId="4C7533FA" w14:textId="15EDE3DB" w:rsidR="00AB1229" w:rsidRPr="00AB1229" w:rsidRDefault="00AB1229" w:rsidP="00AB1229">
      <w:pPr>
        <w:pStyle w:val="Body"/>
        <w:numPr>
          <w:ilvl w:val="0"/>
          <w:numId w:val="43"/>
        </w:numPr>
        <w:spacing w:before="240"/>
        <w:rPr>
          <w:rStyle w:val="Hyperlink"/>
          <w:sz w:val="20"/>
        </w:rPr>
      </w:pPr>
      <w:r w:rsidRPr="00AB1229">
        <w:rPr>
          <w:bCs/>
          <w:sz w:val="20"/>
        </w:rPr>
        <w:t>CDNA National Guidelines for Public Health Units.</w:t>
      </w:r>
      <w:r w:rsidRPr="00AB1229">
        <w:rPr>
          <w:b/>
          <w:sz w:val="20"/>
        </w:rPr>
        <w:t xml:space="preserve"> </w:t>
      </w:r>
      <w:r w:rsidRPr="00AB1229">
        <w:rPr>
          <w:rStyle w:val="Hyperlink"/>
          <w:sz w:val="20"/>
        </w:rPr>
        <w:t>Seasonal Influenza Infection</w:t>
      </w:r>
      <w:bookmarkEnd w:id="82"/>
      <w:bookmarkEnd w:id="83"/>
      <w:bookmarkEnd w:id="84"/>
      <w:r w:rsidRPr="00AB1229">
        <w:rPr>
          <w:rStyle w:val="Hyperlink"/>
          <w:sz w:val="20"/>
        </w:rPr>
        <w:t xml:space="preserve"> </w:t>
      </w:r>
    </w:p>
    <w:p w14:paraId="4757D8A2" w14:textId="77777777" w:rsidR="00AB1229" w:rsidRPr="00AB1229" w:rsidRDefault="007D5162" w:rsidP="00AB1229">
      <w:pPr>
        <w:pStyle w:val="Body"/>
        <w:numPr>
          <w:ilvl w:val="0"/>
          <w:numId w:val="43"/>
        </w:numPr>
        <w:spacing w:before="240"/>
        <w:rPr>
          <w:rStyle w:val="Hyperlink"/>
          <w:sz w:val="20"/>
          <w:u w:val="dotted"/>
        </w:rPr>
      </w:pPr>
      <w:hyperlink r:id="rId42" w:history="1">
        <w:r w:rsidR="00AB1229" w:rsidRPr="00AB1229">
          <w:rPr>
            <w:rStyle w:val="Hyperlink"/>
            <w:sz w:val="20"/>
          </w:rPr>
          <w:t>CDNA national guidelines for the prevention and management of COVID-19 outbreaks in disability residential services - The Disability Supplement</w:t>
        </w:r>
      </w:hyperlink>
      <w:r w:rsidR="00AB1229" w:rsidRPr="00AB1229">
        <w:rPr>
          <w:sz w:val="20"/>
          <w:u w:val="dotted"/>
        </w:rPr>
        <w:t xml:space="preserve">. National guidance on the prevention and management of COVID-19 outbreaks in disability residential services. </w:t>
      </w:r>
    </w:p>
    <w:p w14:paraId="101E9E63" w14:textId="77777777" w:rsidR="00AB1229" w:rsidRPr="00AB1229" w:rsidRDefault="00AB1229" w:rsidP="00AB1229">
      <w:pPr>
        <w:pStyle w:val="Body"/>
        <w:numPr>
          <w:ilvl w:val="0"/>
          <w:numId w:val="43"/>
        </w:numPr>
        <w:spacing w:before="240"/>
        <w:rPr>
          <w:sz w:val="20"/>
        </w:rPr>
      </w:pPr>
      <w:r w:rsidRPr="00AB1229">
        <w:rPr>
          <w:sz w:val="20"/>
          <w:u w:val="dotted"/>
        </w:rPr>
        <w:t xml:space="preserve">Superseded Guidelines </w:t>
      </w:r>
    </w:p>
    <w:p w14:paraId="01AF0626" w14:textId="77777777" w:rsidR="00AB1229" w:rsidRPr="00AB1229" w:rsidRDefault="007D5162" w:rsidP="00AB1229">
      <w:pPr>
        <w:pStyle w:val="Body"/>
        <w:numPr>
          <w:ilvl w:val="0"/>
          <w:numId w:val="44"/>
        </w:numPr>
        <w:spacing w:before="240"/>
        <w:rPr>
          <w:sz w:val="20"/>
          <w:u w:val="dotted"/>
        </w:rPr>
      </w:pPr>
      <w:hyperlink r:id="rId43" w:history="1">
        <w:r w:rsidR="00AB1229" w:rsidRPr="00AB1229">
          <w:rPr>
            <w:rStyle w:val="Hyperlink"/>
            <w:sz w:val="20"/>
          </w:rPr>
          <w:t xml:space="preserve">CDNA national guidelines for the prevention, </w:t>
        </w:r>
        <w:proofErr w:type="gramStart"/>
        <w:r w:rsidR="00AB1229" w:rsidRPr="00AB1229">
          <w:rPr>
            <w:rStyle w:val="Hyperlink"/>
            <w:sz w:val="20"/>
          </w:rPr>
          <w:t>control</w:t>
        </w:r>
        <w:proofErr w:type="gramEnd"/>
        <w:r w:rsidR="00AB1229" w:rsidRPr="00AB1229">
          <w:rPr>
            <w:rStyle w:val="Hyperlink"/>
            <w:sz w:val="20"/>
          </w:rPr>
          <w:t xml:space="preserve"> and public health management of COVID-19 outbreaks in residential care facilities in Australia (2022).</w:t>
        </w:r>
      </w:hyperlink>
      <w:r w:rsidR="00AB1229" w:rsidRPr="00AB1229">
        <w:rPr>
          <w:sz w:val="20"/>
          <w:u w:val="dotted"/>
        </w:rPr>
        <w:t xml:space="preserve"> Contains useful background information and resources. </w:t>
      </w:r>
    </w:p>
    <w:p w14:paraId="328B8C8A" w14:textId="77777777" w:rsidR="00AB1229" w:rsidRPr="00AB1229" w:rsidRDefault="007D5162" w:rsidP="00AB1229">
      <w:pPr>
        <w:pStyle w:val="Body"/>
        <w:numPr>
          <w:ilvl w:val="0"/>
          <w:numId w:val="44"/>
        </w:numPr>
        <w:spacing w:before="240"/>
        <w:rPr>
          <w:sz w:val="20"/>
          <w:u w:val="dotted"/>
        </w:rPr>
      </w:pPr>
      <w:hyperlink r:id="rId44" w:history="1">
        <w:r w:rsidR="00AB1229" w:rsidRPr="00AB1229">
          <w:rPr>
            <w:rStyle w:val="Hyperlink"/>
            <w:sz w:val="20"/>
          </w:rPr>
          <w:t>CNDA Guidelines for the Prevention, Control and Public Health Management of Influenza Outbreaks in Residential Care Facilities in Australia</w:t>
        </w:r>
      </w:hyperlink>
      <w:r w:rsidR="00AB1229" w:rsidRPr="00AB1229">
        <w:rPr>
          <w:sz w:val="20"/>
          <w:u w:val="dotted"/>
        </w:rPr>
        <w:t xml:space="preserve"> (2017). Contains useful background information. </w:t>
      </w:r>
    </w:p>
    <w:p w14:paraId="2E9B4E79" w14:textId="77777777" w:rsidR="00AB1229" w:rsidRDefault="00AB1229" w:rsidP="00AB1229">
      <w:pPr>
        <w:pStyle w:val="Heading3"/>
        <w:rPr>
          <w:rFonts w:eastAsia="MS Mincho"/>
          <w:sz w:val="20"/>
          <w:lang w:val="en-GB" w:eastAsia="en-AU"/>
        </w:rPr>
      </w:pPr>
      <w:bookmarkStart w:id="89" w:name="_Toc115342411"/>
      <w:r>
        <w:rPr>
          <w:rFonts w:eastAsia="MS Mincho"/>
          <w:lang w:val="en-GB" w:eastAsia="en-AU"/>
        </w:rPr>
        <w:t>Infection, prevention, and control</w:t>
      </w:r>
      <w:bookmarkEnd w:id="89"/>
    </w:p>
    <w:p w14:paraId="171E3540" w14:textId="77777777" w:rsidR="00AB1229" w:rsidRPr="00AB1229" w:rsidRDefault="007D5162" w:rsidP="00B040EE">
      <w:pPr>
        <w:pStyle w:val="ListParagraph"/>
        <w:numPr>
          <w:ilvl w:val="0"/>
          <w:numId w:val="45"/>
        </w:numPr>
        <w:spacing w:before="240" w:after="120" w:line="480" w:lineRule="auto"/>
        <w:rPr>
          <w:rFonts w:eastAsiaTheme="minorEastAsia" w:cs="Arial"/>
          <w:sz w:val="20"/>
          <w:szCs w:val="20"/>
        </w:rPr>
      </w:pPr>
      <w:hyperlink r:id="rId45" w:history="1">
        <w:r w:rsidR="00AB1229" w:rsidRPr="00AB1229">
          <w:rPr>
            <w:rStyle w:val="Hyperlink"/>
            <w:sz w:val="20"/>
            <w:szCs w:val="20"/>
          </w:rPr>
          <w:t>Australian Guidelines for the Prevention and Control of Infection in Healthcare</w:t>
        </w:r>
      </w:hyperlink>
    </w:p>
    <w:p w14:paraId="7CEDA20D" w14:textId="4F96A79B" w:rsidR="00AB1229" w:rsidRPr="00AB1229" w:rsidRDefault="007D5162" w:rsidP="00B040EE">
      <w:pPr>
        <w:pStyle w:val="ListParagraph"/>
        <w:numPr>
          <w:ilvl w:val="0"/>
          <w:numId w:val="45"/>
        </w:numPr>
        <w:spacing w:before="240" w:after="120" w:line="480" w:lineRule="auto"/>
        <w:rPr>
          <w:sz w:val="20"/>
          <w:szCs w:val="20"/>
        </w:rPr>
      </w:pPr>
      <w:hyperlink r:id="rId46" w:history="1">
        <w:r w:rsidR="00AB1229" w:rsidRPr="00AB1229">
          <w:rPr>
            <w:rStyle w:val="Hyperlink"/>
            <w:sz w:val="20"/>
            <w:szCs w:val="20"/>
          </w:rPr>
          <w:t>Infection Control Expert Group</w:t>
        </w:r>
      </w:hyperlink>
      <w:r w:rsidR="00AB1229" w:rsidRPr="00AB1229">
        <w:rPr>
          <w:sz w:val="20"/>
          <w:szCs w:val="20"/>
        </w:rPr>
        <w:t xml:space="preserve"> (ICEG), endorsed infection prevention and control guidance specifically for RCF, as well as personal protective equipment guidance and advice on environmental cleaning in community settings </w:t>
      </w:r>
    </w:p>
    <w:bookmarkStart w:id="90" w:name="_Hlk64994522"/>
    <w:p w14:paraId="436EC9B4" w14:textId="77777777" w:rsidR="00AB1229" w:rsidRPr="00AB1229" w:rsidRDefault="00AB1229" w:rsidP="00B040EE">
      <w:pPr>
        <w:pStyle w:val="ListParagraph"/>
        <w:numPr>
          <w:ilvl w:val="0"/>
          <w:numId w:val="45"/>
        </w:numPr>
        <w:spacing w:before="240" w:after="120" w:line="480" w:lineRule="auto"/>
        <w:rPr>
          <w:sz w:val="20"/>
          <w:szCs w:val="20"/>
        </w:rPr>
      </w:pPr>
      <w:r w:rsidRPr="00AB1229">
        <w:rPr>
          <w:sz w:val="20"/>
          <w:szCs w:val="20"/>
        </w:rPr>
        <w:fldChar w:fldCharType="begin"/>
      </w:r>
      <w:r w:rsidRPr="00AB1229">
        <w:rPr>
          <w:sz w:val="20"/>
          <w:szCs w:val="20"/>
        </w:rPr>
        <w:instrText xml:space="preserve"> HYPERLINK "https://www.health.gov.au/resources/publications/coronavirus-covid-19-environmental-cleaning-and-disinfection-principles-for-health-and-residential-care-facilities" </w:instrText>
      </w:r>
      <w:r w:rsidRPr="00AB1229">
        <w:rPr>
          <w:sz w:val="20"/>
          <w:szCs w:val="20"/>
        </w:rPr>
        <w:fldChar w:fldCharType="separate"/>
      </w:r>
      <w:r w:rsidRPr="00AB1229">
        <w:rPr>
          <w:rStyle w:val="Hyperlink"/>
          <w:sz w:val="20"/>
          <w:szCs w:val="20"/>
        </w:rPr>
        <w:t>COVID-19 Environmental cleaning and disinfection principles for health and residential care facilities</w:t>
      </w:r>
      <w:bookmarkEnd w:id="90"/>
      <w:r w:rsidRPr="00AB1229">
        <w:rPr>
          <w:rStyle w:val="Hyperlink"/>
          <w:sz w:val="20"/>
          <w:szCs w:val="20"/>
        </w:rPr>
        <w:t xml:space="preserve"> factsheet.</w:t>
      </w:r>
      <w:r w:rsidRPr="00AB1229">
        <w:rPr>
          <w:sz w:val="20"/>
          <w:szCs w:val="20"/>
        </w:rPr>
        <w:fldChar w:fldCharType="end"/>
      </w:r>
      <w:r w:rsidRPr="00AB1229">
        <w:rPr>
          <w:sz w:val="20"/>
          <w:szCs w:val="20"/>
        </w:rPr>
        <w:t xml:space="preserve"> </w:t>
      </w:r>
    </w:p>
    <w:p w14:paraId="6ECA54D2" w14:textId="00CC978D" w:rsidR="00AB1229" w:rsidRPr="00AB1229" w:rsidRDefault="00AB1229" w:rsidP="00B040EE">
      <w:pPr>
        <w:pStyle w:val="ListParagraph"/>
        <w:numPr>
          <w:ilvl w:val="0"/>
          <w:numId w:val="45"/>
        </w:numPr>
        <w:spacing w:before="240" w:after="120" w:line="480" w:lineRule="auto"/>
        <w:rPr>
          <w:rStyle w:val="Hyperlink"/>
          <w:color w:val="auto"/>
          <w:sz w:val="20"/>
          <w:szCs w:val="20"/>
          <w:u w:val="none"/>
        </w:rPr>
      </w:pPr>
      <w:r w:rsidRPr="00AB1229">
        <w:rPr>
          <w:sz w:val="20"/>
          <w:szCs w:val="20"/>
        </w:rPr>
        <w:t xml:space="preserve">Disinfectants registered with the TGA as effective against the virus (SARS-CoV-2) are listed at </w:t>
      </w:r>
      <w:hyperlink r:id="rId47" w:history="1">
        <w:r w:rsidRPr="00AB1229">
          <w:rPr>
            <w:rStyle w:val="Hyperlink"/>
            <w:sz w:val="20"/>
            <w:szCs w:val="20"/>
          </w:rPr>
          <w:t>TGA disinfectants use against COVID-19</w:t>
        </w:r>
      </w:hyperlink>
      <w:r w:rsidRPr="00AB1229">
        <w:rPr>
          <w:sz w:val="20"/>
          <w:szCs w:val="20"/>
        </w:rPr>
        <w:t xml:space="preserve">. </w:t>
      </w:r>
    </w:p>
    <w:p w14:paraId="6324F419" w14:textId="77777777" w:rsidR="00AB1229" w:rsidRPr="00AB1229" w:rsidRDefault="00AB1229" w:rsidP="00AB1229">
      <w:pPr>
        <w:pStyle w:val="Heading3"/>
        <w:rPr>
          <w:rStyle w:val="Hyperlink"/>
          <w:color w:val="358189"/>
          <w:u w:val="none"/>
        </w:rPr>
      </w:pPr>
      <w:bookmarkStart w:id="91" w:name="_Toc115342412"/>
      <w:r w:rsidRPr="00AB1229">
        <w:rPr>
          <w:rFonts w:eastAsia="MS Mincho"/>
        </w:rPr>
        <w:t>Treatment and prophylaxis</w:t>
      </w:r>
      <w:bookmarkEnd w:id="91"/>
    </w:p>
    <w:p w14:paraId="1BB54E02" w14:textId="7A9E4679" w:rsidR="00AB1229" w:rsidRPr="00AB1229" w:rsidRDefault="00AB1229" w:rsidP="00B040EE">
      <w:pPr>
        <w:pStyle w:val="ListParagraph"/>
        <w:numPr>
          <w:ilvl w:val="0"/>
          <w:numId w:val="22"/>
        </w:numPr>
        <w:spacing w:before="240" w:after="120" w:line="480" w:lineRule="auto"/>
        <w:rPr>
          <w:rStyle w:val="Hyperlink"/>
          <w:rFonts w:eastAsiaTheme="minorEastAsia" w:cs="Arial"/>
          <w:sz w:val="20"/>
          <w:szCs w:val="20"/>
        </w:rPr>
      </w:pPr>
      <w:r w:rsidRPr="00AB1229">
        <w:rPr>
          <w:sz w:val="20"/>
          <w:szCs w:val="20"/>
        </w:rPr>
        <w:t xml:space="preserve">Australian Government </w:t>
      </w:r>
      <w:r w:rsidR="00AB742A">
        <w:rPr>
          <w:sz w:val="20"/>
          <w:szCs w:val="20"/>
        </w:rPr>
        <w:t>Department of Health and Aged Care</w:t>
      </w:r>
      <w:r w:rsidRPr="00AB1229">
        <w:rPr>
          <w:sz w:val="20"/>
          <w:szCs w:val="20"/>
        </w:rPr>
        <w:t xml:space="preserve">. </w:t>
      </w:r>
      <w:hyperlink r:id="rId48" w:history="1">
        <w:r w:rsidRPr="00AB1229">
          <w:rPr>
            <w:rStyle w:val="Hyperlink"/>
            <w:sz w:val="20"/>
            <w:szCs w:val="20"/>
          </w:rPr>
          <w:t xml:space="preserve">Use of </w:t>
        </w:r>
        <w:proofErr w:type="spellStart"/>
        <w:r w:rsidRPr="00AB1229">
          <w:rPr>
            <w:rStyle w:val="Hyperlink"/>
            <w:sz w:val="20"/>
            <w:szCs w:val="20"/>
          </w:rPr>
          <w:t>Lagevrio</w:t>
        </w:r>
        <w:proofErr w:type="spellEnd"/>
        <w:r w:rsidRPr="00AB1229">
          <w:rPr>
            <w:rStyle w:val="Hyperlink"/>
            <w:sz w:val="20"/>
            <w:szCs w:val="20"/>
          </w:rPr>
          <w:t xml:space="preserve"> (</w:t>
        </w:r>
        <w:proofErr w:type="spellStart"/>
        <w:r w:rsidRPr="00AB1229">
          <w:rPr>
            <w:rStyle w:val="Hyperlink"/>
            <w:sz w:val="20"/>
            <w:szCs w:val="20"/>
          </w:rPr>
          <w:t>molnupiravir</w:t>
        </w:r>
        <w:proofErr w:type="spellEnd"/>
        <w:r w:rsidRPr="00AB1229">
          <w:rPr>
            <w:rStyle w:val="Hyperlink"/>
            <w:sz w:val="20"/>
            <w:szCs w:val="20"/>
          </w:rPr>
          <w:t xml:space="preserve">) in residential aged care </w:t>
        </w:r>
      </w:hyperlink>
    </w:p>
    <w:p w14:paraId="157E5DEC" w14:textId="77777777" w:rsidR="00AB1229" w:rsidRPr="00AB1229" w:rsidRDefault="00AB1229" w:rsidP="00B040EE">
      <w:pPr>
        <w:pStyle w:val="ListParagraph"/>
        <w:numPr>
          <w:ilvl w:val="0"/>
          <w:numId w:val="22"/>
        </w:numPr>
        <w:spacing w:before="120" w:after="120" w:line="480" w:lineRule="auto"/>
        <w:rPr>
          <w:sz w:val="20"/>
          <w:szCs w:val="20"/>
        </w:rPr>
      </w:pPr>
      <w:r w:rsidRPr="00AB1229">
        <w:rPr>
          <w:sz w:val="20"/>
          <w:szCs w:val="20"/>
        </w:rPr>
        <w:t>Pharmaceutical Benefits Scheme Factsheet</w:t>
      </w:r>
      <w:hyperlink r:id="rId49" w:history="1">
        <w:r w:rsidRPr="00AB1229">
          <w:rPr>
            <w:rStyle w:val="Hyperlink"/>
            <w:rFonts w:cstheme="minorHAnsi"/>
            <w:sz w:val="20"/>
            <w:szCs w:val="20"/>
          </w:rPr>
          <w:t>. Paxlovid.pdf</w:t>
        </w:r>
      </w:hyperlink>
      <w:r w:rsidRPr="00AB1229">
        <w:rPr>
          <w:sz w:val="20"/>
          <w:szCs w:val="20"/>
        </w:rPr>
        <w:t xml:space="preserve"> </w:t>
      </w:r>
    </w:p>
    <w:p w14:paraId="2BE5ED3E" w14:textId="77777777" w:rsidR="00AB1229" w:rsidRPr="00AB1229" w:rsidRDefault="00AB1229" w:rsidP="00B040EE">
      <w:pPr>
        <w:pStyle w:val="ListParagraph"/>
        <w:numPr>
          <w:ilvl w:val="0"/>
          <w:numId w:val="22"/>
        </w:numPr>
        <w:spacing w:before="120" w:after="120" w:line="480" w:lineRule="auto"/>
        <w:rPr>
          <w:sz w:val="20"/>
          <w:szCs w:val="20"/>
        </w:rPr>
      </w:pPr>
      <w:r w:rsidRPr="00AB1229">
        <w:rPr>
          <w:sz w:val="20"/>
          <w:szCs w:val="20"/>
        </w:rPr>
        <w:t xml:space="preserve">National COVID-19 Clinical Evidence Taskforce. </w:t>
      </w:r>
      <w:hyperlink r:id="rId50" w:history="1">
        <w:r w:rsidRPr="00AB1229">
          <w:rPr>
            <w:rStyle w:val="Hyperlink"/>
            <w:sz w:val="20"/>
            <w:szCs w:val="20"/>
          </w:rPr>
          <w:t>COVID-19 living guidelines. Drug treatments.</w:t>
        </w:r>
      </w:hyperlink>
    </w:p>
    <w:p w14:paraId="2ECB3A71" w14:textId="77777777" w:rsidR="00AB1229" w:rsidRPr="00AB1229" w:rsidRDefault="00AB1229" w:rsidP="00B040EE">
      <w:pPr>
        <w:pStyle w:val="ListParagraph"/>
        <w:numPr>
          <w:ilvl w:val="0"/>
          <w:numId w:val="22"/>
        </w:numPr>
        <w:spacing w:before="120" w:after="120" w:line="480" w:lineRule="auto"/>
        <w:rPr>
          <w:rStyle w:val="Hyperlink"/>
          <w:sz w:val="20"/>
          <w:szCs w:val="20"/>
        </w:rPr>
      </w:pPr>
      <w:r w:rsidRPr="00AB1229">
        <w:rPr>
          <w:sz w:val="20"/>
          <w:szCs w:val="20"/>
        </w:rPr>
        <w:t xml:space="preserve">National Prescribing Service. MedicineWise. </w:t>
      </w:r>
      <w:hyperlink r:id="rId51" w:history="1">
        <w:r w:rsidRPr="00AB1229">
          <w:rPr>
            <w:rStyle w:val="Hyperlink"/>
            <w:sz w:val="20"/>
            <w:szCs w:val="20"/>
          </w:rPr>
          <w:t>COVID-19 oral antiviral medicines in residential aged care (nps.org.au)</w:t>
        </w:r>
      </w:hyperlink>
    </w:p>
    <w:p w14:paraId="458DCF80" w14:textId="6AD7CF4D" w:rsidR="00AB1229" w:rsidRPr="00AB1229" w:rsidRDefault="00AB1229" w:rsidP="00B040EE">
      <w:pPr>
        <w:pStyle w:val="ListParagraph"/>
        <w:numPr>
          <w:ilvl w:val="0"/>
          <w:numId w:val="22"/>
        </w:numPr>
        <w:spacing w:before="120" w:after="120" w:line="480" w:lineRule="auto"/>
        <w:rPr>
          <w:sz w:val="20"/>
          <w:szCs w:val="20"/>
        </w:rPr>
      </w:pPr>
      <w:r w:rsidRPr="00AB1229">
        <w:rPr>
          <w:rFonts w:eastAsia="Times" w:cstheme="minorBidi"/>
          <w:sz w:val="20"/>
          <w:szCs w:val="20"/>
        </w:rPr>
        <w:t xml:space="preserve">Australian Government </w:t>
      </w:r>
      <w:r w:rsidR="00AB742A">
        <w:rPr>
          <w:rFonts w:eastAsia="Times" w:cstheme="minorBidi"/>
          <w:sz w:val="20"/>
          <w:szCs w:val="20"/>
        </w:rPr>
        <w:t>Department of Health and Aged Care</w:t>
      </w:r>
      <w:r w:rsidRPr="00AB1229">
        <w:rPr>
          <w:sz w:val="20"/>
          <w:szCs w:val="20"/>
        </w:rPr>
        <w:t xml:space="preserve">. </w:t>
      </w:r>
      <w:hyperlink r:id="rId52" w:history="1">
        <w:r w:rsidRPr="00AB1229">
          <w:rPr>
            <w:rStyle w:val="Hyperlink"/>
            <w:sz w:val="20"/>
            <w:szCs w:val="20"/>
          </w:rPr>
          <w:t xml:space="preserve">Use of Tamiflu in residential aged care  </w:t>
        </w:r>
      </w:hyperlink>
    </w:p>
    <w:p w14:paraId="6C5E4228" w14:textId="77777777" w:rsidR="00AB1229" w:rsidRPr="00AB1229" w:rsidRDefault="00AB1229" w:rsidP="00B040EE">
      <w:pPr>
        <w:pStyle w:val="ListParagraph"/>
        <w:numPr>
          <w:ilvl w:val="0"/>
          <w:numId w:val="22"/>
        </w:numPr>
        <w:spacing w:before="120" w:after="120" w:line="480" w:lineRule="auto"/>
        <w:rPr>
          <w:color w:val="0000FF" w:themeColor="hyperlink"/>
          <w:sz w:val="20"/>
          <w:szCs w:val="20"/>
          <w:u w:val="single"/>
        </w:rPr>
      </w:pPr>
      <w:r w:rsidRPr="00AB1229">
        <w:rPr>
          <w:sz w:val="20"/>
          <w:szCs w:val="20"/>
        </w:rPr>
        <w:t xml:space="preserve">Health Direct. </w:t>
      </w:r>
      <w:hyperlink r:id="rId53" w:history="1">
        <w:r w:rsidRPr="00AB1229">
          <w:rPr>
            <w:rStyle w:val="Hyperlink"/>
            <w:sz w:val="20"/>
            <w:szCs w:val="20"/>
          </w:rPr>
          <w:t>Tamiflu</w:t>
        </w:r>
      </w:hyperlink>
      <w:r w:rsidRPr="00AB1229">
        <w:rPr>
          <w:color w:val="0000FF" w:themeColor="hyperlink"/>
          <w:sz w:val="20"/>
          <w:szCs w:val="20"/>
          <w:u w:val="single"/>
        </w:rPr>
        <w:t xml:space="preserve"> to RACFs</w:t>
      </w:r>
    </w:p>
    <w:p w14:paraId="771CDE81" w14:textId="77777777" w:rsidR="00AB1229" w:rsidRPr="00AB1229" w:rsidRDefault="00AB1229" w:rsidP="00B040EE">
      <w:pPr>
        <w:pStyle w:val="ListParagraph"/>
        <w:numPr>
          <w:ilvl w:val="0"/>
          <w:numId w:val="22"/>
        </w:numPr>
        <w:spacing w:before="120" w:after="120" w:line="480" w:lineRule="auto"/>
        <w:rPr>
          <w:sz w:val="20"/>
          <w:szCs w:val="20"/>
        </w:rPr>
      </w:pPr>
      <w:r w:rsidRPr="00AB1229">
        <w:rPr>
          <w:sz w:val="20"/>
          <w:szCs w:val="20"/>
        </w:rPr>
        <w:t xml:space="preserve">Therapeutic Guidelines. </w:t>
      </w:r>
    </w:p>
    <w:p w14:paraId="2991034F" w14:textId="77777777" w:rsidR="00AB1229" w:rsidRPr="00AB1229" w:rsidRDefault="007D5162" w:rsidP="00B040EE">
      <w:pPr>
        <w:pStyle w:val="ListParagraph"/>
        <w:numPr>
          <w:ilvl w:val="2"/>
          <w:numId w:val="46"/>
        </w:numPr>
        <w:spacing w:before="120" w:after="120" w:line="480" w:lineRule="auto"/>
        <w:rPr>
          <w:rStyle w:val="Hyperlink"/>
          <w:sz w:val="20"/>
          <w:szCs w:val="20"/>
        </w:rPr>
      </w:pPr>
      <w:hyperlink r:id="rId54" w:anchor="toc_d1e222" w:history="1">
        <w:r w:rsidR="00AB1229" w:rsidRPr="00AB1229">
          <w:rPr>
            <w:rStyle w:val="Hyperlink"/>
            <w:sz w:val="20"/>
            <w:szCs w:val="20"/>
          </w:rPr>
          <w:t>Influenza</w:t>
        </w:r>
      </w:hyperlink>
    </w:p>
    <w:p w14:paraId="3B38BEB3" w14:textId="37B12A26" w:rsidR="00AB1229" w:rsidRPr="00537CA2" w:rsidRDefault="007D5162" w:rsidP="00B040EE">
      <w:pPr>
        <w:pStyle w:val="ListParagraph"/>
        <w:numPr>
          <w:ilvl w:val="2"/>
          <w:numId w:val="46"/>
        </w:numPr>
        <w:spacing w:before="120" w:after="120" w:line="480" w:lineRule="auto"/>
        <w:rPr>
          <w:rStyle w:val="Hyperlink"/>
          <w:color w:val="auto"/>
          <w:sz w:val="20"/>
          <w:szCs w:val="20"/>
          <w:u w:val="none"/>
          <w:lang w:val="en-GB" w:eastAsia="en-AU"/>
        </w:rPr>
      </w:pPr>
      <w:hyperlink r:id="rId55" w:anchor="toc_dle947" w:history="1">
        <w:r w:rsidR="00AB1229" w:rsidRPr="00AB1229">
          <w:rPr>
            <w:rStyle w:val="Hyperlink"/>
            <w:sz w:val="20"/>
            <w:szCs w:val="20"/>
            <w:lang w:val="en-GB" w:eastAsia="en-AU"/>
          </w:rPr>
          <w:t>COVID-19</w:t>
        </w:r>
      </w:hyperlink>
    </w:p>
    <w:p w14:paraId="2A37E567" w14:textId="77777777" w:rsidR="005B1658" w:rsidRPr="00537CA2" w:rsidRDefault="005B1658" w:rsidP="00537CA2">
      <w:pPr>
        <w:spacing w:before="120" w:after="120" w:line="480" w:lineRule="auto"/>
        <w:rPr>
          <w:sz w:val="20"/>
          <w:szCs w:val="20"/>
          <w:lang w:val="en-GB" w:eastAsia="en-AU"/>
        </w:rPr>
      </w:pPr>
    </w:p>
    <w:p w14:paraId="0C4D9806" w14:textId="77777777" w:rsidR="0033548A" w:rsidRPr="0033548A" w:rsidRDefault="0033548A" w:rsidP="00B040EE">
      <w:pPr>
        <w:spacing w:line="480" w:lineRule="auto"/>
      </w:pPr>
    </w:p>
    <w:p w14:paraId="5DB45755" w14:textId="55F0C7A0" w:rsidR="0033548A" w:rsidRPr="0033548A" w:rsidRDefault="0033548A" w:rsidP="0033548A">
      <w:pPr>
        <w:tabs>
          <w:tab w:val="left" w:pos="3650"/>
        </w:tabs>
        <w:sectPr w:rsidR="0033548A" w:rsidRPr="0033548A" w:rsidSect="00205A93">
          <w:headerReference w:type="even" r:id="rId56"/>
          <w:headerReference w:type="default" r:id="rId57"/>
          <w:footerReference w:type="even" r:id="rId58"/>
          <w:footerReference w:type="default" r:id="rId59"/>
          <w:headerReference w:type="first" r:id="rId60"/>
          <w:footerReference w:type="first" r:id="rId61"/>
          <w:pgSz w:w="11906" w:h="16838"/>
          <w:pgMar w:top="1701" w:right="1418" w:bottom="1418" w:left="1418" w:header="709" w:footer="709" w:gutter="0"/>
          <w:cols w:space="708"/>
          <w:docGrid w:linePitch="360"/>
        </w:sectPr>
      </w:pPr>
    </w:p>
    <w:p w14:paraId="6A873191" w14:textId="77777777" w:rsidR="00205A93" w:rsidRPr="00205A93" w:rsidRDefault="00205A93" w:rsidP="00205A93">
      <w:pPr>
        <w:pStyle w:val="URL"/>
      </w:pPr>
      <w:r w:rsidRPr="00205A93">
        <w:lastRenderedPageBreak/>
        <w:t>Health.gov.au</w:t>
      </w:r>
    </w:p>
    <w:p w14:paraId="5F8571C6" w14:textId="211C5C22" w:rsidR="00205A93" w:rsidRPr="00CF14A6" w:rsidRDefault="00205A93" w:rsidP="00205A93">
      <w:pPr>
        <w:pStyle w:val="Paragraphtext"/>
        <w:jc w:val="center"/>
      </w:pPr>
      <w:r>
        <w:t xml:space="preserve">All information in this publication is correct as </w:t>
      </w:r>
      <w:proofErr w:type="gramStart"/>
      <w:r>
        <w:t>at</w:t>
      </w:r>
      <w:proofErr w:type="gramEnd"/>
      <w:r>
        <w:t xml:space="preserve"> </w:t>
      </w:r>
      <w:r w:rsidR="00635DF7">
        <w:t>September</w:t>
      </w:r>
      <w:r w:rsidR="00C35FBC">
        <w:t xml:space="preserve"> </w:t>
      </w:r>
      <w:r w:rsidR="00710227">
        <w:t>2022</w:t>
      </w:r>
    </w:p>
    <w:sectPr w:rsidR="00205A93" w:rsidRPr="00CF14A6" w:rsidSect="00205A93">
      <w:headerReference w:type="default" r:id="rId62"/>
      <w:footerReference w:type="default" r:id="rId63"/>
      <w:type w:val="oddPage"/>
      <w:pgSz w:w="11906" w:h="16838"/>
      <w:pgMar w:top="170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499E2" w14:textId="77777777" w:rsidR="009B3CD1" w:rsidRDefault="009B3CD1" w:rsidP="006B56BB">
      <w:r>
        <w:separator/>
      </w:r>
    </w:p>
    <w:p w14:paraId="02102BAD" w14:textId="77777777" w:rsidR="009B3CD1" w:rsidRDefault="009B3CD1"/>
  </w:endnote>
  <w:endnote w:type="continuationSeparator" w:id="0">
    <w:p w14:paraId="581E3BA5" w14:textId="77777777" w:rsidR="009B3CD1" w:rsidRDefault="009B3CD1" w:rsidP="006B56BB">
      <w:r>
        <w:continuationSeparator/>
      </w:r>
    </w:p>
    <w:p w14:paraId="1AE30149" w14:textId="77777777" w:rsidR="009B3CD1" w:rsidRDefault="009B3CD1"/>
  </w:endnote>
  <w:endnote w:type="continuationNotice" w:id="1">
    <w:p w14:paraId="68D71E17" w14:textId="77777777" w:rsidR="009B3CD1" w:rsidRDefault="009B3C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9DA19" w14:textId="77777777" w:rsidR="009B3CD1" w:rsidRDefault="009B3CD1" w:rsidP="008411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CF319" w14:textId="77777777" w:rsidR="009B3CD1" w:rsidRDefault="007D5162" w:rsidP="0033548A">
    <w:pPr>
      <w:tabs>
        <w:tab w:val="right" w:pos="8930"/>
      </w:tabs>
      <w:rPr>
        <w:rFonts w:cs="Arial"/>
        <w:sz w:val="20"/>
      </w:rPr>
    </w:pPr>
    <w:sdt>
      <w:sdtPr>
        <w:rPr>
          <w:rFonts w:ascii="Calibri Light" w:hAnsi="Calibri Light" w:cs="Arial"/>
          <w:sz w:val="21"/>
        </w:rPr>
        <w:id w:val="-304481788"/>
        <w:docPartObj>
          <w:docPartGallery w:val="Page Numbers (Bottom of Page)"/>
          <w:docPartUnique/>
        </w:docPartObj>
      </w:sdtPr>
      <w:sdtEndPr/>
      <w:sdtContent>
        <w:sdt>
          <w:sdtPr>
            <w:rPr>
              <w:rFonts w:cs="Arial"/>
            </w:rPr>
            <w:id w:val="-892733917"/>
            <w:docPartObj>
              <w:docPartGallery w:val="Page Numbers (Top of Page)"/>
              <w:docPartUnique/>
            </w:docPartObj>
          </w:sdtPr>
          <w:sdtEndPr/>
          <w:sdtContent>
            <w:r w:rsidR="009B3CD1">
              <w:rPr>
                <w:rFonts w:cs="Arial"/>
                <w:szCs w:val="20"/>
              </w:rPr>
              <w:tab/>
              <w:t xml:space="preserve">Page </w:t>
            </w:r>
            <w:r w:rsidR="009B3CD1">
              <w:rPr>
                <w:rFonts w:cs="Arial"/>
                <w:b/>
                <w:bCs/>
                <w:szCs w:val="20"/>
              </w:rPr>
              <w:fldChar w:fldCharType="begin"/>
            </w:r>
            <w:r w:rsidR="009B3CD1">
              <w:rPr>
                <w:rFonts w:cs="Arial"/>
                <w:b/>
                <w:bCs/>
                <w:szCs w:val="20"/>
              </w:rPr>
              <w:instrText xml:space="preserve"> PAGE </w:instrText>
            </w:r>
            <w:r w:rsidR="009B3CD1">
              <w:rPr>
                <w:rFonts w:cs="Arial"/>
                <w:b/>
                <w:bCs/>
                <w:szCs w:val="20"/>
              </w:rPr>
              <w:fldChar w:fldCharType="separate"/>
            </w:r>
            <w:r w:rsidR="00AB10CE">
              <w:rPr>
                <w:rFonts w:cs="Arial"/>
                <w:b/>
                <w:bCs/>
                <w:noProof/>
                <w:szCs w:val="20"/>
              </w:rPr>
              <w:t>5</w:t>
            </w:r>
            <w:r w:rsidR="009B3CD1">
              <w:rPr>
                <w:rFonts w:cs="Arial"/>
                <w:b/>
                <w:bCs/>
                <w:szCs w:val="20"/>
              </w:rPr>
              <w:fldChar w:fldCharType="end"/>
            </w:r>
            <w:r w:rsidR="009B3CD1">
              <w:rPr>
                <w:rFonts w:cs="Arial"/>
                <w:szCs w:val="20"/>
              </w:rPr>
              <w:t xml:space="preserve"> of </w:t>
            </w:r>
            <w:r w:rsidR="009B3CD1">
              <w:rPr>
                <w:rFonts w:cs="Arial"/>
                <w:b/>
                <w:bCs/>
                <w:szCs w:val="20"/>
              </w:rPr>
              <w:fldChar w:fldCharType="begin"/>
            </w:r>
            <w:r w:rsidR="009B3CD1">
              <w:rPr>
                <w:rFonts w:cs="Arial"/>
                <w:b/>
                <w:bCs/>
                <w:szCs w:val="20"/>
              </w:rPr>
              <w:instrText xml:space="preserve"> NUMPAGES  </w:instrText>
            </w:r>
            <w:r w:rsidR="009B3CD1">
              <w:rPr>
                <w:rFonts w:cs="Arial"/>
                <w:b/>
                <w:bCs/>
                <w:szCs w:val="20"/>
              </w:rPr>
              <w:fldChar w:fldCharType="separate"/>
            </w:r>
            <w:r w:rsidR="00AB10CE">
              <w:rPr>
                <w:rFonts w:cs="Arial"/>
                <w:b/>
                <w:bCs/>
                <w:noProof/>
                <w:szCs w:val="20"/>
              </w:rPr>
              <w:t>25</w:t>
            </w:r>
            <w:r w:rsidR="009B3CD1">
              <w:rPr>
                <w:rFonts w:cs="Arial"/>
                <w:b/>
                <w:bCs/>
                <w:szCs w:val="20"/>
              </w:rPr>
              <w:fldChar w:fldCharType="end"/>
            </w:r>
          </w:sdtContent>
        </w:sdt>
      </w:sdtContent>
    </w:sdt>
  </w:p>
  <w:p w14:paraId="6FCDAA3C" w14:textId="6AE3728F" w:rsidR="009B3CD1" w:rsidRDefault="009B3CD1" w:rsidP="000D56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95D59" w14:textId="77777777" w:rsidR="009B3CD1" w:rsidRDefault="009B3CD1" w:rsidP="000D56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0D458" w14:textId="77777777" w:rsidR="009B3CD1" w:rsidRDefault="009B3CD1" w:rsidP="00841111">
    <w:pPr>
      <w:pStyle w:val="Footer"/>
    </w:pPr>
    <w:r>
      <w:fldChar w:fldCharType="begin"/>
    </w:r>
    <w:r>
      <w:instrText xml:space="preserve"> PAGE   \* MERGEFORMAT </w:instrText>
    </w:r>
    <w:r>
      <w:fldChar w:fldCharType="separate"/>
    </w:r>
    <w:r>
      <w:rPr>
        <w:noProof/>
      </w:rPr>
      <w:t>20</w:t>
    </w:r>
    <w:r>
      <w:rPr>
        <w:noProof/>
      </w:rPr>
      <w:fldChar w:fldCharType="end"/>
    </w:r>
    <w:r w:rsidRPr="000D56E4">
      <w:tab/>
      <w:t>Insert document title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69D2C" w14:textId="77777777" w:rsidR="009B3CD1" w:rsidRDefault="007D5162" w:rsidP="00DE6820">
    <w:pPr>
      <w:tabs>
        <w:tab w:val="right" w:pos="8930"/>
      </w:tabs>
      <w:rPr>
        <w:rFonts w:cs="Arial"/>
        <w:sz w:val="20"/>
      </w:rPr>
    </w:pPr>
    <w:sdt>
      <w:sdtPr>
        <w:rPr>
          <w:rFonts w:ascii="Calibri Light" w:hAnsi="Calibri Light" w:cs="Arial"/>
          <w:sz w:val="21"/>
        </w:rPr>
        <w:id w:val="232205328"/>
        <w:docPartObj>
          <w:docPartGallery w:val="Page Numbers (Bottom of Page)"/>
          <w:docPartUnique/>
        </w:docPartObj>
      </w:sdtPr>
      <w:sdtEndPr/>
      <w:sdtContent>
        <w:sdt>
          <w:sdtPr>
            <w:rPr>
              <w:rFonts w:cs="Arial"/>
            </w:rPr>
            <w:id w:val="-1323803575"/>
            <w:docPartObj>
              <w:docPartGallery w:val="Page Numbers (Top of Page)"/>
              <w:docPartUnique/>
            </w:docPartObj>
          </w:sdtPr>
          <w:sdtEndPr/>
          <w:sdtContent>
            <w:r w:rsidR="009B3CD1">
              <w:rPr>
                <w:rFonts w:cs="Arial"/>
                <w:szCs w:val="20"/>
              </w:rPr>
              <w:tab/>
              <w:t xml:space="preserve">Page </w:t>
            </w:r>
            <w:r w:rsidR="009B3CD1">
              <w:rPr>
                <w:rFonts w:cs="Arial"/>
                <w:b/>
                <w:bCs/>
                <w:szCs w:val="20"/>
              </w:rPr>
              <w:fldChar w:fldCharType="begin"/>
            </w:r>
            <w:r w:rsidR="009B3CD1">
              <w:rPr>
                <w:rFonts w:cs="Arial"/>
                <w:b/>
                <w:bCs/>
                <w:szCs w:val="20"/>
              </w:rPr>
              <w:instrText xml:space="preserve"> PAGE </w:instrText>
            </w:r>
            <w:r w:rsidR="009B3CD1">
              <w:rPr>
                <w:rFonts w:cs="Arial"/>
                <w:b/>
                <w:bCs/>
                <w:szCs w:val="20"/>
              </w:rPr>
              <w:fldChar w:fldCharType="separate"/>
            </w:r>
            <w:r w:rsidR="00AB10CE">
              <w:rPr>
                <w:rFonts w:cs="Arial"/>
                <w:b/>
                <w:bCs/>
                <w:noProof/>
                <w:szCs w:val="20"/>
              </w:rPr>
              <w:t>24</w:t>
            </w:r>
            <w:r w:rsidR="009B3CD1">
              <w:rPr>
                <w:rFonts w:cs="Arial"/>
                <w:b/>
                <w:bCs/>
                <w:szCs w:val="20"/>
              </w:rPr>
              <w:fldChar w:fldCharType="end"/>
            </w:r>
            <w:r w:rsidR="009B3CD1">
              <w:rPr>
                <w:rFonts w:cs="Arial"/>
                <w:szCs w:val="20"/>
              </w:rPr>
              <w:t xml:space="preserve"> of </w:t>
            </w:r>
            <w:r w:rsidR="009B3CD1">
              <w:rPr>
                <w:rFonts w:cs="Arial"/>
                <w:b/>
                <w:bCs/>
                <w:szCs w:val="20"/>
              </w:rPr>
              <w:fldChar w:fldCharType="begin"/>
            </w:r>
            <w:r w:rsidR="009B3CD1">
              <w:rPr>
                <w:rFonts w:cs="Arial"/>
                <w:b/>
                <w:bCs/>
                <w:szCs w:val="20"/>
              </w:rPr>
              <w:instrText xml:space="preserve"> NUMPAGES  </w:instrText>
            </w:r>
            <w:r w:rsidR="009B3CD1">
              <w:rPr>
                <w:rFonts w:cs="Arial"/>
                <w:b/>
                <w:bCs/>
                <w:szCs w:val="20"/>
              </w:rPr>
              <w:fldChar w:fldCharType="separate"/>
            </w:r>
            <w:r w:rsidR="00AB10CE">
              <w:rPr>
                <w:rFonts w:cs="Arial"/>
                <w:b/>
                <w:bCs/>
                <w:noProof/>
                <w:szCs w:val="20"/>
              </w:rPr>
              <w:t>25</w:t>
            </w:r>
            <w:r w:rsidR="009B3CD1">
              <w:rPr>
                <w:rFonts w:cs="Arial"/>
                <w:b/>
                <w:bCs/>
                <w:szCs w:val="20"/>
              </w:rPr>
              <w:fldChar w:fldCharType="end"/>
            </w:r>
          </w:sdtContent>
        </w:sdt>
      </w:sdtContent>
    </w:sdt>
  </w:p>
  <w:p w14:paraId="2ED3878A" w14:textId="7C66983E" w:rsidR="009B3CD1" w:rsidRPr="00DE6820" w:rsidRDefault="009B3CD1" w:rsidP="00DE682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169317"/>
      <w:docPartObj>
        <w:docPartGallery w:val="Page Numbers (Bottom of Page)"/>
        <w:docPartUnique/>
      </w:docPartObj>
    </w:sdtPr>
    <w:sdtEndPr>
      <w:rPr>
        <w:noProof/>
      </w:rPr>
    </w:sdtEndPr>
    <w:sdtContent>
      <w:p w14:paraId="2F57EDC4" w14:textId="77777777" w:rsidR="009B3CD1" w:rsidRDefault="009B3CD1" w:rsidP="000D56E4">
        <w:pPr>
          <w:pStyle w:val="Footer"/>
        </w:pPr>
        <w:r>
          <w:t>Insert document title</w:t>
        </w:r>
        <w:r>
          <w:tab/>
        </w:r>
        <w:r>
          <w:fldChar w:fldCharType="begin"/>
        </w:r>
        <w:r>
          <w:instrText xml:space="preserve"> PAGE   \* MERGEFORMAT </w:instrText>
        </w:r>
        <w:r>
          <w:fldChar w:fldCharType="separate"/>
        </w:r>
        <w:r>
          <w:rPr>
            <w:noProof/>
          </w:rPr>
          <w:t>1</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0CFC1" w14:textId="77777777" w:rsidR="009B3CD1" w:rsidRDefault="009B3CD1" w:rsidP="000D5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DEDD8" w14:textId="77777777" w:rsidR="009B3CD1" w:rsidRDefault="009B3CD1" w:rsidP="006B56BB">
      <w:r>
        <w:separator/>
      </w:r>
    </w:p>
    <w:p w14:paraId="5FDA3DD3" w14:textId="77777777" w:rsidR="009B3CD1" w:rsidRDefault="009B3CD1"/>
  </w:footnote>
  <w:footnote w:type="continuationSeparator" w:id="0">
    <w:p w14:paraId="7BB32B53" w14:textId="77777777" w:rsidR="009B3CD1" w:rsidRDefault="009B3CD1" w:rsidP="006B56BB">
      <w:r>
        <w:continuationSeparator/>
      </w:r>
    </w:p>
    <w:p w14:paraId="2392156D" w14:textId="77777777" w:rsidR="009B3CD1" w:rsidRDefault="009B3CD1"/>
  </w:footnote>
  <w:footnote w:type="continuationNotice" w:id="1">
    <w:p w14:paraId="39054B78" w14:textId="77777777" w:rsidR="009B3CD1" w:rsidRDefault="009B3CD1"/>
  </w:footnote>
  <w:footnote w:id="2">
    <w:p w14:paraId="0658E8B8" w14:textId="4177982E" w:rsidR="009B3CD1" w:rsidRDefault="009B3CD1">
      <w:pPr>
        <w:pStyle w:val="FootnoteText"/>
      </w:pPr>
      <w:r>
        <w:rPr>
          <w:rStyle w:val="FootnoteReference"/>
        </w:rPr>
        <w:footnoteRef/>
      </w:r>
      <w:r>
        <w:t xml:space="preserve"> </w:t>
      </w:r>
      <w:hyperlink r:id="rId1" w:history="1">
        <w:r>
          <w:rPr>
            <w:rStyle w:val="Hyperlink"/>
          </w:rPr>
          <w:t>Australian Technical Advisory Group on Immunisation (ATAGI) | Australian Government Department of Health</w:t>
        </w:r>
      </w:hyperlink>
    </w:p>
  </w:footnote>
  <w:footnote w:id="3">
    <w:p w14:paraId="75280027" w14:textId="40B5BDEA" w:rsidR="009B3CD1" w:rsidRDefault="009B3CD1">
      <w:pPr>
        <w:pStyle w:val="FootnoteText"/>
      </w:pPr>
      <w:r>
        <w:rPr>
          <w:rStyle w:val="FootnoteReference"/>
        </w:rPr>
        <w:footnoteRef/>
      </w:r>
      <w:r w:rsidRPr="00B040EE">
        <w:rPr>
          <w:rStyle w:val="normaltextrun"/>
          <w:color w:val="000000"/>
          <w:sz w:val="18"/>
          <w:szCs w:val="18"/>
          <w:shd w:val="clear" w:color="auto" w:fill="FFFFFF"/>
        </w:rPr>
        <w:t>This minimum standard aims to balance this risk with the impact of prolonged isolation on individuals and communities. A small proportion of cases may still be infectious when released from isolation</w:t>
      </w:r>
      <w:r w:rsidRPr="00B040EE">
        <w:rPr>
          <w:sz w:val="18"/>
          <w:szCs w:val="18"/>
        </w:rPr>
        <w:t>.</w:t>
      </w:r>
    </w:p>
  </w:footnote>
  <w:footnote w:id="4">
    <w:p w14:paraId="74B6D1ED" w14:textId="3831B2D5" w:rsidR="009B3CD1" w:rsidRDefault="009B3CD1">
      <w:pPr>
        <w:pStyle w:val="FootnoteText"/>
      </w:pPr>
      <w:r>
        <w:rPr>
          <w:rStyle w:val="FootnoteReference"/>
        </w:rPr>
        <w:footnoteRef/>
      </w:r>
      <w:r>
        <w:t xml:space="preserve"> </w:t>
      </w:r>
      <w:r>
        <w:rPr>
          <w:sz w:val="14"/>
          <w:szCs w:val="14"/>
        </w:rPr>
        <w:t>Jurisdiction may require the testing of exposed residents prior to leaving their room.</w:t>
      </w:r>
    </w:p>
  </w:footnote>
  <w:footnote w:id="5">
    <w:p w14:paraId="75920CC7" w14:textId="6BE40582" w:rsidR="009B3CD1" w:rsidRDefault="009B3CD1">
      <w:pPr>
        <w:pStyle w:val="FootnoteText"/>
      </w:pPr>
      <w:r>
        <w:rPr>
          <w:rStyle w:val="FootnoteReference"/>
        </w:rPr>
        <w:footnoteRef/>
      </w:r>
      <w:r>
        <w:t xml:space="preserve"> </w:t>
      </w:r>
      <w:r>
        <w:rPr>
          <w:sz w:val="14"/>
          <w:szCs w:val="14"/>
        </w:rPr>
        <w:t>As per ‘Ensuring safe visitor access to residential aged care’. Aged Care Quality and Safety Commission.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69ABF" w14:textId="77777777" w:rsidR="009B0478" w:rsidRDefault="009B0478" w:rsidP="008E0C77">
    <w:pPr>
      <w:pStyle w:val="Headertext"/>
      <w:spacing w:after="180"/>
      <w:jc w:val="left"/>
    </w:pPr>
    <w:r>
      <w:rPr>
        <w:noProof/>
        <w:lang w:eastAsia="en-AU"/>
      </w:rPr>
      <w:drawing>
        <wp:anchor distT="0" distB="0" distL="114300" distR="114300" simplePos="0" relativeHeight="251665408" behindDoc="1" locked="0" layoutInCell="1" allowOverlap="1" wp14:anchorId="0172CE51" wp14:editId="2C61BD03">
          <wp:simplePos x="0" y="0"/>
          <wp:positionH relativeFrom="page">
            <wp:align>center</wp:align>
          </wp:positionH>
          <wp:positionV relativeFrom="page">
            <wp:align>center</wp:align>
          </wp:positionV>
          <wp:extent cx="7560000" cy="10692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8B17B" w14:textId="77777777" w:rsidR="009B0478" w:rsidRDefault="009B0478" w:rsidP="00205A93">
    <w:pPr>
      <w:pStyle w:val="Header"/>
      <w:tabs>
        <w:tab w:val="clear" w:pos="4513"/>
        <w:tab w:val="clear" w:pos="9026"/>
        <w:tab w:val="center" w:pos="4535"/>
      </w:tabs>
    </w:pPr>
    <w:r>
      <w:rPr>
        <w:noProof/>
        <w:lang w:eastAsia="en-AU"/>
      </w:rPr>
      <w:drawing>
        <wp:anchor distT="0" distB="0" distL="114300" distR="114300" simplePos="0" relativeHeight="251666432" behindDoc="1" locked="0" layoutInCell="1" allowOverlap="1" wp14:anchorId="3C9CEFC9" wp14:editId="6BA7D33D">
          <wp:simplePos x="0" y="0"/>
          <wp:positionH relativeFrom="page">
            <wp:align>center</wp:align>
          </wp:positionH>
          <wp:positionV relativeFrom="page">
            <wp:align>center</wp:align>
          </wp:positionV>
          <wp:extent cx="7558768" cy="10692000"/>
          <wp:effectExtent l="0" t="0" r="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AC65F" w14:textId="77777777" w:rsidR="009B3CD1" w:rsidRDefault="009B3CD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B1B74" w14:textId="5B5F73BD" w:rsidR="009B3CD1" w:rsidRPr="0076754C" w:rsidRDefault="009B3CD1" w:rsidP="0076754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16B5B" w14:textId="77777777" w:rsidR="009B3CD1" w:rsidRDefault="009B3CD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ECCE7" w14:textId="77777777" w:rsidR="009B3CD1" w:rsidRDefault="009B3CD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CEEC9" w14:textId="77777777" w:rsidR="009B3CD1" w:rsidRDefault="009B3CD1" w:rsidP="008E0C77">
    <w:pPr>
      <w:pStyle w:val="Headertext"/>
      <w:spacing w:after="18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1E38A" w14:textId="77777777" w:rsidR="009B3CD1" w:rsidRDefault="009B3CD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A9376" w14:textId="77777777" w:rsidR="009B3CD1" w:rsidRDefault="009B3CD1" w:rsidP="008E0C77">
    <w:pPr>
      <w:pStyle w:val="Headertext"/>
      <w:spacing w:after="180"/>
      <w:jc w:val="left"/>
    </w:pPr>
    <w:r>
      <w:rPr>
        <w:noProof/>
        <w:lang w:eastAsia="en-AU"/>
      </w:rPr>
      <w:drawing>
        <wp:anchor distT="0" distB="0" distL="114300" distR="114300" simplePos="0" relativeHeight="251663360" behindDoc="1" locked="0" layoutInCell="1" allowOverlap="1" wp14:anchorId="0C865E5B" wp14:editId="19DE87B4">
          <wp:simplePos x="0" y="0"/>
          <wp:positionH relativeFrom="page">
            <wp:posOffset>0</wp:posOffset>
          </wp:positionH>
          <wp:positionV relativeFrom="page">
            <wp:posOffset>3458210</wp:posOffset>
          </wp:positionV>
          <wp:extent cx="7559040" cy="7232650"/>
          <wp:effectExtent l="0" t="0" r="3810" b="6350"/>
          <wp:wrapNone/>
          <wp:docPr id="7" name="Picture 7"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Cover.jpg"/>
                  <pic:cNvPicPr/>
                </pic:nvPicPr>
                <pic:blipFill rotWithShape="1">
                  <a:blip r:embed="rId1" cstate="print">
                    <a:extLst>
                      <a:ext uri="{28A0092B-C50C-407E-A947-70E740481C1C}">
                        <a14:useLocalDpi xmlns:a14="http://schemas.microsoft.com/office/drawing/2010/main" val="0"/>
                      </a:ext>
                    </a:extLst>
                  </a:blip>
                  <a:srcRect t="32351"/>
                  <a:stretch/>
                </pic:blipFill>
                <pic:spPr bwMode="auto">
                  <a:xfrm>
                    <a:off x="0" y="0"/>
                    <a:ext cx="7559040" cy="723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F03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ECC2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F1E210A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4A8A6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93E0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FBB62610"/>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D71547"/>
    <w:multiLevelType w:val="hybridMultilevel"/>
    <w:tmpl w:val="EE6665C0"/>
    <w:lvl w:ilvl="0" w:tplc="DBD61FE6">
      <w:start w:val="2"/>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6941368"/>
    <w:multiLevelType w:val="hybridMultilevel"/>
    <w:tmpl w:val="4B4630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0936201F"/>
    <w:multiLevelType w:val="hybridMultilevel"/>
    <w:tmpl w:val="E23E09CA"/>
    <w:lvl w:ilvl="0" w:tplc="E57EA2F6">
      <w:start w:val="1"/>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E99375B"/>
    <w:multiLevelType w:val="hybridMultilevel"/>
    <w:tmpl w:val="B5F648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10387121"/>
    <w:multiLevelType w:val="hybridMultilevel"/>
    <w:tmpl w:val="BB1A7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7E0334B"/>
    <w:multiLevelType w:val="hybridMultilevel"/>
    <w:tmpl w:val="F5EA99EC"/>
    <w:lvl w:ilvl="0" w:tplc="6D46957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19824CD4"/>
    <w:multiLevelType w:val="hybridMultilevel"/>
    <w:tmpl w:val="4F04DF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1E8B7067"/>
    <w:multiLevelType w:val="hybridMultilevel"/>
    <w:tmpl w:val="E378F7FA"/>
    <w:lvl w:ilvl="0" w:tplc="E57EA2F6">
      <w:start w:val="1"/>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F315A41"/>
    <w:multiLevelType w:val="hybridMultilevel"/>
    <w:tmpl w:val="28B04016"/>
    <w:lvl w:ilvl="0" w:tplc="F3186BF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23291534"/>
    <w:multiLevelType w:val="hybridMultilevel"/>
    <w:tmpl w:val="19C01C70"/>
    <w:lvl w:ilvl="0" w:tplc="DA6C251C">
      <w:start w:val="2"/>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241F7FB9"/>
    <w:multiLevelType w:val="hybridMultilevel"/>
    <w:tmpl w:val="5762C532"/>
    <w:lvl w:ilvl="0" w:tplc="E57EA2F6">
      <w:start w:val="1"/>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25932CB4"/>
    <w:multiLevelType w:val="hybridMultilevel"/>
    <w:tmpl w:val="53D482A0"/>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4" w15:restartNumberingAfterBreak="0">
    <w:nsid w:val="2B505F9F"/>
    <w:multiLevelType w:val="hybridMultilevel"/>
    <w:tmpl w:val="4F40993E"/>
    <w:lvl w:ilvl="0" w:tplc="E57EA2F6">
      <w:start w:val="1"/>
      <w:numFmt w:val="bullet"/>
      <w:lvlText w:val="-"/>
      <w:lvlJc w:val="left"/>
      <w:pPr>
        <w:ind w:left="720" w:hanging="360"/>
      </w:pPr>
      <w:rPr>
        <w:rFonts w:ascii="Calibri" w:eastAsia="Times New Roman" w:hAnsi="Calibri" w:hint="default"/>
      </w:rPr>
    </w:lvl>
    <w:lvl w:ilvl="1" w:tplc="0C090003">
      <w:start w:val="1"/>
      <w:numFmt w:val="bullet"/>
      <w:lvlText w:val="o"/>
      <w:lvlJc w:val="left"/>
      <w:pPr>
        <w:ind w:left="1440" w:hanging="360"/>
      </w:pPr>
      <w:rPr>
        <w:rFonts w:ascii="Courier New" w:hAnsi="Courier New" w:cs="Courier New" w:hint="default"/>
      </w:rPr>
    </w:lvl>
    <w:lvl w:ilvl="2" w:tplc="73B68E08">
      <w:start w:val="1"/>
      <w:numFmt w:val="bullet"/>
      <w:lvlText w:val="o"/>
      <w:lvlJc w:val="left"/>
      <w:pPr>
        <w:ind w:left="2160" w:hanging="360"/>
      </w:pPr>
      <w:rPr>
        <w:rFonts w:ascii="Courier New" w:hAnsi="Courier New" w:cs="Courier New" w:hint="default"/>
        <w:color w:val="auto"/>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2C18596A"/>
    <w:multiLevelType w:val="hybridMultilevel"/>
    <w:tmpl w:val="F56CC3F2"/>
    <w:lvl w:ilvl="0" w:tplc="E57EA2F6">
      <w:start w:val="1"/>
      <w:numFmt w:val="bullet"/>
      <w:lvlText w:val="-"/>
      <w:lvlJc w:val="left"/>
      <w:pPr>
        <w:ind w:left="720" w:hanging="360"/>
      </w:pPr>
      <w:rPr>
        <w:rFonts w:ascii="Calibri" w:eastAsia="Times New Roman" w:hAnsi="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30893B8F"/>
    <w:multiLevelType w:val="hybridMultilevel"/>
    <w:tmpl w:val="912CC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8" w15:restartNumberingAfterBreak="0">
    <w:nsid w:val="3820646C"/>
    <w:multiLevelType w:val="hybridMultilevel"/>
    <w:tmpl w:val="9656D4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427C4265"/>
    <w:multiLevelType w:val="hybridMultilevel"/>
    <w:tmpl w:val="C248FB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31" w15:restartNumberingAfterBreak="0">
    <w:nsid w:val="504355F0"/>
    <w:multiLevelType w:val="hybridMultilevel"/>
    <w:tmpl w:val="3E964AC0"/>
    <w:lvl w:ilvl="0" w:tplc="E57EA2F6">
      <w:start w:val="1"/>
      <w:numFmt w:val="bullet"/>
      <w:lvlText w:val="-"/>
      <w:lvlJc w:val="left"/>
      <w:pPr>
        <w:ind w:left="720" w:hanging="360"/>
      </w:pPr>
      <w:rPr>
        <w:rFonts w:ascii="Calibri" w:eastAsia="Times New Roman" w:hAnsi="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73D778B"/>
    <w:multiLevelType w:val="hybridMultilevel"/>
    <w:tmpl w:val="BB30BB98"/>
    <w:lvl w:ilvl="0" w:tplc="E57EA2F6">
      <w:start w:val="1"/>
      <w:numFmt w:val="bullet"/>
      <w:lvlText w:val="-"/>
      <w:lvlJc w:val="left"/>
      <w:pPr>
        <w:ind w:left="720" w:hanging="360"/>
      </w:pPr>
      <w:rPr>
        <w:rFonts w:ascii="Calibri" w:eastAsia="Times New Roman" w:hAnsi="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5CBB333D"/>
    <w:multiLevelType w:val="hybridMultilevel"/>
    <w:tmpl w:val="61904100"/>
    <w:lvl w:ilvl="0" w:tplc="0C090003">
      <w:start w:val="1"/>
      <w:numFmt w:val="bullet"/>
      <w:lvlText w:val="o"/>
      <w:lvlJc w:val="left"/>
      <w:pPr>
        <w:ind w:left="1440" w:hanging="360"/>
      </w:pPr>
      <w:rPr>
        <w:rFonts w:ascii="Courier New" w:hAnsi="Courier New" w:cs="Courier New" w:hint="default"/>
        <w:color w:val="auto"/>
      </w:rPr>
    </w:lvl>
    <w:lvl w:ilvl="1" w:tplc="0C090005">
      <w:start w:val="1"/>
      <w:numFmt w:val="bullet"/>
      <w:lvlText w:val=""/>
      <w:lvlJc w:val="left"/>
      <w:pPr>
        <w:ind w:left="2160" w:hanging="360"/>
      </w:pPr>
      <w:rPr>
        <w:rFonts w:ascii="Wingdings" w:hAnsi="Wingdings"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5" w15:restartNumberingAfterBreak="0">
    <w:nsid w:val="5F31181E"/>
    <w:multiLevelType w:val="hybridMultilevel"/>
    <w:tmpl w:val="B9FA2014"/>
    <w:lvl w:ilvl="0" w:tplc="0C090005">
      <w:start w:val="1"/>
      <w:numFmt w:val="bullet"/>
      <w:lvlText w:val=""/>
      <w:lvlJc w:val="left"/>
      <w:pPr>
        <w:ind w:left="2520" w:hanging="360"/>
      </w:pPr>
      <w:rPr>
        <w:rFonts w:ascii="Wingdings" w:hAnsi="Wingdings" w:hint="default"/>
        <w:color w:val="auto"/>
      </w:rPr>
    </w:lvl>
    <w:lvl w:ilvl="1" w:tplc="0C090003">
      <w:start w:val="1"/>
      <w:numFmt w:val="bullet"/>
      <w:lvlText w:val="o"/>
      <w:lvlJc w:val="left"/>
      <w:pPr>
        <w:ind w:left="3240" w:hanging="360"/>
      </w:pPr>
      <w:rPr>
        <w:rFonts w:ascii="Courier New" w:hAnsi="Courier New" w:cs="Courier New" w:hint="default"/>
      </w:rPr>
    </w:lvl>
    <w:lvl w:ilvl="2" w:tplc="0C090005">
      <w:start w:val="1"/>
      <w:numFmt w:val="bullet"/>
      <w:lvlText w:val=""/>
      <w:lvlJc w:val="left"/>
      <w:pPr>
        <w:ind w:left="3960" w:hanging="360"/>
      </w:pPr>
      <w:rPr>
        <w:rFonts w:ascii="Wingdings" w:hAnsi="Wingdings" w:hint="default"/>
      </w:rPr>
    </w:lvl>
    <w:lvl w:ilvl="3" w:tplc="0C090001">
      <w:start w:val="1"/>
      <w:numFmt w:val="bullet"/>
      <w:lvlText w:val=""/>
      <w:lvlJc w:val="left"/>
      <w:pPr>
        <w:ind w:left="4680" w:hanging="360"/>
      </w:pPr>
      <w:rPr>
        <w:rFonts w:ascii="Symbol" w:hAnsi="Symbol" w:hint="default"/>
      </w:rPr>
    </w:lvl>
    <w:lvl w:ilvl="4" w:tplc="0C090003">
      <w:start w:val="1"/>
      <w:numFmt w:val="bullet"/>
      <w:lvlText w:val="o"/>
      <w:lvlJc w:val="left"/>
      <w:pPr>
        <w:ind w:left="5400" w:hanging="360"/>
      </w:pPr>
      <w:rPr>
        <w:rFonts w:ascii="Courier New" w:hAnsi="Courier New" w:cs="Courier New" w:hint="default"/>
      </w:rPr>
    </w:lvl>
    <w:lvl w:ilvl="5" w:tplc="0C090005">
      <w:start w:val="1"/>
      <w:numFmt w:val="bullet"/>
      <w:lvlText w:val=""/>
      <w:lvlJc w:val="left"/>
      <w:pPr>
        <w:ind w:left="6120" w:hanging="360"/>
      </w:pPr>
      <w:rPr>
        <w:rFonts w:ascii="Wingdings" w:hAnsi="Wingdings" w:hint="default"/>
      </w:rPr>
    </w:lvl>
    <w:lvl w:ilvl="6" w:tplc="0C090001">
      <w:start w:val="1"/>
      <w:numFmt w:val="bullet"/>
      <w:lvlText w:val=""/>
      <w:lvlJc w:val="left"/>
      <w:pPr>
        <w:ind w:left="6840" w:hanging="360"/>
      </w:pPr>
      <w:rPr>
        <w:rFonts w:ascii="Symbol" w:hAnsi="Symbol" w:hint="default"/>
      </w:rPr>
    </w:lvl>
    <w:lvl w:ilvl="7" w:tplc="0C090003">
      <w:start w:val="1"/>
      <w:numFmt w:val="bullet"/>
      <w:lvlText w:val="o"/>
      <w:lvlJc w:val="left"/>
      <w:pPr>
        <w:ind w:left="7560" w:hanging="360"/>
      </w:pPr>
      <w:rPr>
        <w:rFonts w:ascii="Courier New" w:hAnsi="Courier New" w:cs="Courier New" w:hint="default"/>
      </w:rPr>
    </w:lvl>
    <w:lvl w:ilvl="8" w:tplc="0C090005">
      <w:start w:val="1"/>
      <w:numFmt w:val="bullet"/>
      <w:lvlText w:val=""/>
      <w:lvlJc w:val="left"/>
      <w:pPr>
        <w:ind w:left="8280" w:hanging="360"/>
      </w:pPr>
      <w:rPr>
        <w:rFonts w:ascii="Wingdings" w:hAnsi="Wingdings" w:hint="default"/>
      </w:rPr>
    </w:lvl>
  </w:abstractNum>
  <w:abstractNum w:abstractNumId="3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90B0991"/>
    <w:multiLevelType w:val="hybridMultilevel"/>
    <w:tmpl w:val="A022D202"/>
    <w:lvl w:ilvl="0" w:tplc="1CB00B88">
      <w:start w:val="8"/>
      <w:numFmt w:val="bullet"/>
      <w:pStyle w:val="ListContinue"/>
      <w:lvlText w:val="-"/>
      <w:lvlJc w:val="left"/>
      <w:pPr>
        <w:ind w:left="1497" w:hanging="360"/>
      </w:pPr>
      <w:rPr>
        <w:rFonts w:ascii="Arial" w:eastAsiaTheme="minorHAnsi" w:hAnsi="Arial" w:cs="Arial" w:hint="default"/>
      </w:rPr>
    </w:lvl>
    <w:lvl w:ilvl="1" w:tplc="0C090003" w:tentative="1">
      <w:start w:val="1"/>
      <w:numFmt w:val="bullet"/>
      <w:lvlText w:val="o"/>
      <w:lvlJc w:val="left"/>
      <w:pPr>
        <w:ind w:left="2217" w:hanging="360"/>
      </w:pPr>
      <w:rPr>
        <w:rFonts w:ascii="Courier New" w:hAnsi="Courier New" w:cs="Courier New" w:hint="default"/>
      </w:rPr>
    </w:lvl>
    <w:lvl w:ilvl="2" w:tplc="0C090005" w:tentative="1">
      <w:start w:val="1"/>
      <w:numFmt w:val="bullet"/>
      <w:lvlText w:val=""/>
      <w:lvlJc w:val="left"/>
      <w:pPr>
        <w:ind w:left="2937" w:hanging="360"/>
      </w:pPr>
      <w:rPr>
        <w:rFonts w:ascii="Wingdings" w:hAnsi="Wingdings" w:hint="default"/>
      </w:rPr>
    </w:lvl>
    <w:lvl w:ilvl="3" w:tplc="0C090001" w:tentative="1">
      <w:start w:val="1"/>
      <w:numFmt w:val="bullet"/>
      <w:lvlText w:val=""/>
      <w:lvlJc w:val="left"/>
      <w:pPr>
        <w:ind w:left="3657" w:hanging="360"/>
      </w:pPr>
      <w:rPr>
        <w:rFonts w:ascii="Symbol" w:hAnsi="Symbol" w:hint="default"/>
      </w:rPr>
    </w:lvl>
    <w:lvl w:ilvl="4" w:tplc="0C090003" w:tentative="1">
      <w:start w:val="1"/>
      <w:numFmt w:val="bullet"/>
      <w:lvlText w:val="o"/>
      <w:lvlJc w:val="left"/>
      <w:pPr>
        <w:ind w:left="4377" w:hanging="360"/>
      </w:pPr>
      <w:rPr>
        <w:rFonts w:ascii="Courier New" w:hAnsi="Courier New" w:cs="Courier New" w:hint="default"/>
      </w:rPr>
    </w:lvl>
    <w:lvl w:ilvl="5" w:tplc="0C090005" w:tentative="1">
      <w:start w:val="1"/>
      <w:numFmt w:val="bullet"/>
      <w:lvlText w:val=""/>
      <w:lvlJc w:val="left"/>
      <w:pPr>
        <w:ind w:left="5097" w:hanging="360"/>
      </w:pPr>
      <w:rPr>
        <w:rFonts w:ascii="Wingdings" w:hAnsi="Wingdings" w:hint="default"/>
      </w:rPr>
    </w:lvl>
    <w:lvl w:ilvl="6" w:tplc="0C090001" w:tentative="1">
      <w:start w:val="1"/>
      <w:numFmt w:val="bullet"/>
      <w:lvlText w:val=""/>
      <w:lvlJc w:val="left"/>
      <w:pPr>
        <w:ind w:left="5817" w:hanging="360"/>
      </w:pPr>
      <w:rPr>
        <w:rFonts w:ascii="Symbol" w:hAnsi="Symbol" w:hint="default"/>
      </w:rPr>
    </w:lvl>
    <w:lvl w:ilvl="7" w:tplc="0C090003" w:tentative="1">
      <w:start w:val="1"/>
      <w:numFmt w:val="bullet"/>
      <w:lvlText w:val="o"/>
      <w:lvlJc w:val="left"/>
      <w:pPr>
        <w:ind w:left="6537" w:hanging="360"/>
      </w:pPr>
      <w:rPr>
        <w:rFonts w:ascii="Courier New" w:hAnsi="Courier New" w:cs="Courier New" w:hint="default"/>
      </w:rPr>
    </w:lvl>
    <w:lvl w:ilvl="8" w:tplc="0C090005" w:tentative="1">
      <w:start w:val="1"/>
      <w:numFmt w:val="bullet"/>
      <w:lvlText w:val=""/>
      <w:lvlJc w:val="left"/>
      <w:pPr>
        <w:ind w:left="7257" w:hanging="360"/>
      </w:pPr>
      <w:rPr>
        <w:rFonts w:ascii="Wingdings" w:hAnsi="Wingdings" w:hint="default"/>
      </w:rPr>
    </w:lvl>
  </w:abstractNum>
  <w:abstractNum w:abstractNumId="38"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D407149"/>
    <w:multiLevelType w:val="hybridMultilevel"/>
    <w:tmpl w:val="949221F8"/>
    <w:lvl w:ilvl="0" w:tplc="0C090003">
      <w:start w:val="1"/>
      <w:numFmt w:val="bullet"/>
      <w:lvlText w:val="o"/>
      <w:lvlJc w:val="left"/>
      <w:pPr>
        <w:ind w:left="2160" w:hanging="360"/>
      </w:pPr>
      <w:rPr>
        <w:rFonts w:ascii="Courier New" w:hAnsi="Courier New" w:cs="Courier New"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40" w15:restartNumberingAfterBreak="0">
    <w:nsid w:val="72420D60"/>
    <w:multiLevelType w:val="hybridMultilevel"/>
    <w:tmpl w:val="6D4EB042"/>
    <w:lvl w:ilvl="0" w:tplc="B516835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27490D"/>
    <w:multiLevelType w:val="hybridMultilevel"/>
    <w:tmpl w:val="6534DA62"/>
    <w:lvl w:ilvl="0" w:tplc="E57EA2F6">
      <w:start w:val="1"/>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0">
    <w:nsid w:val="7A91639E"/>
    <w:multiLevelType w:val="hybridMultilevel"/>
    <w:tmpl w:val="5A5CEDC4"/>
    <w:lvl w:ilvl="0" w:tplc="0C090001">
      <w:start w:val="1"/>
      <w:numFmt w:val="bullet"/>
      <w:lvlText w:val=""/>
      <w:lvlJc w:val="left"/>
      <w:pPr>
        <w:ind w:left="890" w:hanging="360"/>
      </w:pPr>
      <w:rPr>
        <w:rFonts w:ascii="Symbol" w:hAnsi="Symbol" w:hint="default"/>
      </w:rPr>
    </w:lvl>
    <w:lvl w:ilvl="1" w:tplc="0C090003">
      <w:start w:val="1"/>
      <w:numFmt w:val="bullet"/>
      <w:lvlText w:val="o"/>
      <w:lvlJc w:val="left"/>
      <w:pPr>
        <w:ind w:left="1610" w:hanging="360"/>
      </w:pPr>
      <w:rPr>
        <w:rFonts w:ascii="Courier New" w:hAnsi="Courier New" w:cs="Courier New" w:hint="default"/>
      </w:rPr>
    </w:lvl>
    <w:lvl w:ilvl="2" w:tplc="0C090005">
      <w:start w:val="1"/>
      <w:numFmt w:val="bullet"/>
      <w:lvlText w:val=""/>
      <w:lvlJc w:val="left"/>
      <w:pPr>
        <w:ind w:left="2330" w:hanging="360"/>
      </w:pPr>
      <w:rPr>
        <w:rFonts w:ascii="Wingdings" w:hAnsi="Wingdings" w:hint="default"/>
      </w:rPr>
    </w:lvl>
    <w:lvl w:ilvl="3" w:tplc="0C090001">
      <w:start w:val="1"/>
      <w:numFmt w:val="bullet"/>
      <w:lvlText w:val=""/>
      <w:lvlJc w:val="left"/>
      <w:pPr>
        <w:ind w:left="3050" w:hanging="360"/>
      </w:pPr>
      <w:rPr>
        <w:rFonts w:ascii="Symbol" w:hAnsi="Symbol" w:hint="default"/>
      </w:rPr>
    </w:lvl>
    <w:lvl w:ilvl="4" w:tplc="0C090003">
      <w:start w:val="1"/>
      <w:numFmt w:val="bullet"/>
      <w:lvlText w:val="o"/>
      <w:lvlJc w:val="left"/>
      <w:pPr>
        <w:ind w:left="3770" w:hanging="360"/>
      </w:pPr>
      <w:rPr>
        <w:rFonts w:ascii="Courier New" w:hAnsi="Courier New" w:cs="Courier New" w:hint="default"/>
      </w:rPr>
    </w:lvl>
    <w:lvl w:ilvl="5" w:tplc="0C090005">
      <w:start w:val="1"/>
      <w:numFmt w:val="bullet"/>
      <w:lvlText w:val=""/>
      <w:lvlJc w:val="left"/>
      <w:pPr>
        <w:ind w:left="4490" w:hanging="360"/>
      </w:pPr>
      <w:rPr>
        <w:rFonts w:ascii="Wingdings" w:hAnsi="Wingdings" w:hint="default"/>
      </w:rPr>
    </w:lvl>
    <w:lvl w:ilvl="6" w:tplc="0C090001">
      <w:start w:val="1"/>
      <w:numFmt w:val="bullet"/>
      <w:lvlText w:val=""/>
      <w:lvlJc w:val="left"/>
      <w:pPr>
        <w:ind w:left="5210" w:hanging="360"/>
      </w:pPr>
      <w:rPr>
        <w:rFonts w:ascii="Symbol" w:hAnsi="Symbol" w:hint="default"/>
      </w:rPr>
    </w:lvl>
    <w:lvl w:ilvl="7" w:tplc="0C090003">
      <w:start w:val="1"/>
      <w:numFmt w:val="bullet"/>
      <w:lvlText w:val="o"/>
      <w:lvlJc w:val="left"/>
      <w:pPr>
        <w:ind w:left="5930" w:hanging="360"/>
      </w:pPr>
      <w:rPr>
        <w:rFonts w:ascii="Courier New" w:hAnsi="Courier New" w:cs="Courier New" w:hint="default"/>
      </w:rPr>
    </w:lvl>
    <w:lvl w:ilvl="8" w:tplc="0C090005">
      <w:start w:val="1"/>
      <w:numFmt w:val="bullet"/>
      <w:lvlText w:val=""/>
      <w:lvlJc w:val="left"/>
      <w:pPr>
        <w:ind w:left="6650" w:hanging="360"/>
      </w:pPr>
      <w:rPr>
        <w:rFonts w:ascii="Wingdings" w:hAnsi="Wingdings" w:hint="default"/>
      </w:rPr>
    </w:lvl>
  </w:abstractNum>
  <w:abstractNum w:abstractNumId="43"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32"/>
  </w:num>
  <w:num w:numId="3">
    <w:abstractNumId w:val="38"/>
  </w:num>
  <w:num w:numId="4">
    <w:abstractNumId w:val="9"/>
  </w:num>
  <w:num w:numId="5">
    <w:abstractNumId w:val="9"/>
    <w:lvlOverride w:ilvl="0">
      <w:startOverride w:val="1"/>
    </w:lvlOverride>
  </w:num>
  <w:num w:numId="6">
    <w:abstractNumId w:val="12"/>
  </w:num>
  <w:num w:numId="7">
    <w:abstractNumId w:val="30"/>
  </w:num>
  <w:num w:numId="8">
    <w:abstractNumId w:val="36"/>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43"/>
  </w:num>
  <w:num w:numId="17">
    <w:abstractNumId w:val="15"/>
  </w:num>
  <w:num w:numId="18">
    <w:abstractNumId w:val="19"/>
  </w:num>
  <w:num w:numId="19">
    <w:abstractNumId w:val="27"/>
  </w:num>
  <w:num w:numId="20">
    <w:abstractNumId w:val="28"/>
  </w:num>
  <w:num w:numId="21">
    <w:abstractNumId w:val="17"/>
  </w:num>
  <w:num w:numId="22">
    <w:abstractNumId w:val="16"/>
  </w:num>
  <w:num w:numId="23">
    <w:abstractNumId w:val="42"/>
  </w:num>
  <w:num w:numId="24">
    <w:abstractNumId w:val="10"/>
  </w:num>
  <w:num w:numId="25">
    <w:abstractNumId w:val="34"/>
  </w:num>
  <w:num w:numId="26">
    <w:abstractNumId w:val="10"/>
  </w:num>
  <w:num w:numId="27">
    <w:abstractNumId w:val="26"/>
  </w:num>
  <w:num w:numId="28">
    <w:abstractNumId w:val="35"/>
  </w:num>
  <w:num w:numId="29">
    <w:abstractNumId w:val="39"/>
  </w:num>
  <w:num w:numId="30">
    <w:abstractNumId w:val="34"/>
  </w:num>
  <w:num w:numId="31">
    <w:abstractNumId w:val="21"/>
  </w:num>
  <w:num w:numId="32">
    <w:abstractNumId w:val="29"/>
  </w:num>
  <w:num w:numId="33">
    <w:abstractNumId w:val="8"/>
  </w:num>
  <w:num w:numId="34">
    <w:abstractNumId w:val="18"/>
  </w:num>
  <w:num w:numId="35">
    <w:abstractNumId w:val="22"/>
  </w:num>
  <w:num w:numId="36">
    <w:abstractNumId w:val="41"/>
  </w:num>
  <w:num w:numId="37">
    <w:abstractNumId w:val="11"/>
  </w:num>
  <w:num w:numId="38">
    <w:abstractNumId w:val="15"/>
  </w:num>
  <w:num w:numId="39">
    <w:abstractNumId w:val="31"/>
  </w:num>
  <w:num w:numId="40">
    <w:abstractNumId w:val="33"/>
  </w:num>
  <w:num w:numId="41">
    <w:abstractNumId w:val="25"/>
  </w:num>
  <w:num w:numId="42">
    <w:abstractNumId w:val="8"/>
  </w:num>
  <w:num w:numId="43">
    <w:abstractNumId w:val="20"/>
  </w:num>
  <w:num w:numId="44">
    <w:abstractNumId w:val="23"/>
  </w:num>
  <w:num w:numId="45">
    <w:abstractNumId w:val="13"/>
  </w:num>
  <w:num w:numId="46">
    <w:abstractNumId w:val="24"/>
  </w:num>
  <w:num w:numId="47">
    <w:abstractNumId w:val="14"/>
  </w:num>
  <w:num w:numId="48">
    <w:abstractNumId w:val="40"/>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151"/>
    <w:rsid w:val="00003743"/>
    <w:rsid w:val="000047B4"/>
    <w:rsid w:val="00005712"/>
    <w:rsid w:val="00007FD8"/>
    <w:rsid w:val="000117F8"/>
    <w:rsid w:val="000209E3"/>
    <w:rsid w:val="00026139"/>
    <w:rsid w:val="00027071"/>
    <w:rsid w:val="00027601"/>
    <w:rsid w:val="00031151"/>
    <w:rsid w:val="00032BF8"/>
    <w:rsid w:val="00033321"/>
    <w:rsid w:val="000338E5"/>
    <w:rsid w:val="00033ECC"/>
    <w:rsid w:val="0003422F"/>
    <w:rsid w:val="0004677E"/>
    <w:rsid w:val="00046FF0"/>
    <w:rsid w:val="00047C73"/>
    <w:rsid w:val="00050176"/>
    <w:rsid w:val="00055451"/>
    <w:rsid w:val="00062B65"/>
    <w:rsid w:val="00065974"/>
    <w:rsid w:val="00067456"/>
    <w:rsid w:val="00071506"/>
    <w:rsid w:val="0007154F"/>
    <w:rsid w:val="00081AB1"/>
    <w:rsid w:val="00090316"/>
    <w:rsid w:val="00093981"/>
    <w:rsid w:val="00093CD9"/>
    <w:rsid w:val="000B067A"/>
    <w:rsid w:val="000B1540"/>
    <w:rsid w:val="000B33FD"/>
    <w:rsid w:val="000B4ABA"/>
    <w:rsid w:val="000C4B16"/>
    <w:rsid w:val="000C50C3"/>
    <w:rsid w:val="000D21F6"/>
    <w:rsid w:val="000D42C3"/>
    <w:rsid w:val="000D4500"/>
    <w:rsid w:val="000D56E4"/>
    <w:rsid w:val="000D7AEA"/>
    <w:rsid w:val="000E01A9"/>
    <w:rsid w:val="000E0AAD"/>
    <w:rsid w:val="000E2C66"/>
    <w:rsid w:val="000E6E7D"/>
    <w:rsid w:val="000F123C"/>
    <w:rsid w:val="000F2FED"/>
    <w:rsid w:val="00100F6D"/>
    <w:rsid w:val="0010616D"/>
    <w:rsid w:val="00110478"/>
    <w:rsid w:val="0011711B"/>
    <w:rsid w:val="00117F8A"/>
    <w:rsid w:val="00121B9B"/>
    <w:rsid w:val="00122ADC"/>
    <w:rsid w:val="001256EE"/>
    <w:rsid w:val="001307FF"/>
    <w:rsid w:val="00130F59"/>
    <w:rsid w:val="00133EC0"/>
    <w:rsid w:val="001409A0"/>
    <w:rsid w:val="00141CE5"/>
    <w:rsid w:val="00144908"/>
    <w:rsid w:val="001571C7"/>
    <w:rsid w:val="00161094"/>
    <w:rsid w:val="00172A55"/>
    <w:rsid w:val="00173CCC"/>
    <w:rsid w:val="001758CD"/>
    <w:rsid w:val="0017665C"/>
    <w:rsid w:val="00177AD2"/>
    <w:rsid w:val="001815A8"/>
    <w:rsid w:val="001840FA"/>
    <w:rsid w:val="00190079"/>
    <w:rsid w:val="0019622E"/>
    <w:rsid w:val="001966A7"/>
    <w:rsid w:val="00196F2B"/>
    <w:rsid w:val="001A4627"/>
    <w:rsid w:val="001A4979"/>
    <w:rsid w:val="001B15D3"/>
    <w:rsid w:val="001B3443"/>
    <w:rsid w:val="001C0326"/>
    <w:rsid w:val="001C192F"/>
    <w:rsid w:val="001C3C42"/>
    <w:rsid w:val="001D70F8"/>
    <w:rsid w:val="001D7869"/>
    <w:rsid w:val="001F2F78"/>
    <w:rsid w:val="002026CD"/>
    <w:rsid w:val="002033FC"/>
    <w:rsid w:val="002044BB"/>
    <w:rsid w:val="00205A93"/>
    <w:rsid w:val="00210B09"/>
    <w:rsid w:val="00210C9E"/>
    <w:rsid w:val="00211840"/>
    <w:rsid w:val="00213053"/>
    <w:rsid w:val="00220E5F"/>
    <w:rsid w:val="002212B5"/>
    <w:rsid w:val="00226668"/>
    <w:rsid w:val="00233809"/>
    <w:rsid w:val="00236073"/>
    <w:rsid w:val="00240046"/>
    <w:rsid w:val="0024797F"/>
    <w:rsid w:val="0025119E"/>
    <w:rsid w:val="00251269"/>
    <w:rsid w:val="002535C0"/>
    <w:rsid w:val="002579FE"/>
    <w:rsid w:val="0026311C"/>
    <w:rsid w:val="00263238"/>
    <w:rsid w:val="002665BA"/>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CDD"/>
    <w:rsid w:val="002C261E"/>
    <w:rsid w:val="002D3024"/>
    <w:rsid w:val="002E0DD5"/>
    <w:rsid w:val="002E1A1D"/>
    <w:rsid w:val="002E4081"/>
    <w:rsid w:val="002E5B78"/>
    <w:rsid w:val="002F3AE3"/>
    <w:rsid w:val="002F3FD2"/>
    <w:rsid w:val="00303EDC"/>
    <w:rsid w:val="0030464B"/>
    <w:rsid w:val="0030786C"/>
    <w:rsid w:val="00322DB1"/>
    <w:rsid w:val="003233DE"/>
    <w:rsid w:val="0032466B"/>
    <w:rsid w:val="00327B44"/>
    <w:rsid w:val="00332119"/>
    <w:rsid w:val="003330EB"/>
    <w:rsid w:val="0033548A"/>
    <w:rsid w:val="00336605"/>
    <w:rsid w:val="003415FD"/>
    <w:rsid w:val="003429F0"/>
    <w:rsid w:val="0035097A"/>
    <w:rsid w:val="003540A4"/>
    <w:rsid w:val="00360E4E"/>
    <w:rsid w:val="00370AAA"/>
    <w:rsid w:val="00375F77"/>
    <w:rsid w:val="00377A78"/>
    <w:rsid w:val="00381BBE"/>
    <w:rsid w:val="00382903"/>
    <w:rsid w:val="003846FF"/>
    <w:rsid w:val="00385AD4"/>
    <w:rsid w:val="00387924"/>
    <w:rsid w:val="0039384D"/>
    <w:rsid w:val="00395C23"/>
    <w:rsid w:val="003962B1"/>
    <w:rsid w:val="003A2E4F"/>
    <w:rsid w:val="003A4438"/>
    <w:rsid w:val="003A464C"/>
    <w:rsid w:val="003A5013"/>
    <w:rsid w:val="003A5078"/>
    <w:rsid w:val="003A62DD"/>
    <w:rsid w:val="003A775A"/>
    <w:rsid w:val="003B0DAB"/>
    <w:rsid w:val="003B1C8B"/>
    <w:rsid w:val="003B213A"/>
    <w:rsid w:val="003B43AD"/>
    <w:rsid w:val="003C0FEC"/>
    <w:rsid w:val="003C15B8"/>
    <w:rsid w:val="003C2AC8"/>
    <w:rsid w:val="003D17F9"/>
    <w:rsid w:val="003D2D88"/>
    <w:rsid w:val="003D41EA"/>
    <w:rsid w:val="003D4850"/>
    <w:rsid w:val="003D535A"/>
    <w:rsid w:val="003E10B8"/>
    <w:rsid w:val="003E5265"/>
    <w:rsid w:val="003F0955"/>
    <w:rsid w:val="003F36A2"/>
    <w:rsid w:val="003F6FE1"/>
    <w:rsid w:val="00400F00"/>
    <w:rsid w:val="00404F8B"/>
    <w:rsid w:val="00405256"/>
    <w:rsid w:val="00410031"/>
    <w:rsid w:val="004115A2"/>
    <w:rsid w:val="00415C81"/>
    <w:rsid w:val="00416731"/>
    <w:rsid w:val="00422EA9"/>
    <w:rsid w:val="00432378"/>
    <w:rsid w:val="00436CE5"/>
    <w:rsid w:val="00440D65"/>
    <w:rsid w:val="00441CBC"/>
    <w:rsid w:val="004435E6"/>
    <w:rsid w:val="00447E31"/>
    <w:rsid w:val="00453923"/>
    <w:rsid w:val="00454B9B"/>
    <w:rsid w:val="00457858"/>
    <w:rsid w:val="00460B0B"/>
    <w:rsid w:val="00461023"/>
    <w:rsid w:val="00462FAC"/>
    <w:rsid w:val="00464631"/>
    <w:rsid w:val="00464B79"/>
    <w:rsid w:val="00467BBF"/>
    <w:rsid w:val="004867E2"/>
    <w:rsid w:val="004929A9"/>
    <w:rsid w:val="004A188D"/>
    <w:rsid w:val="004C2FEC"/>
    <w:rsid w:val="004C6BCF"/>
    <w:rsid w:val="004D13C5"/>
    <w:rsid w:val="004D2C8F"/>
    <w:rsid w:val="004D58BF"/>
    <w:rsid w:val="004D673B"/>
    <w:rsid w:val="004E3FB3"/>
    <w:rsid w:val="004E4335"/>
    <w:rsid w:val="004E5ACF"/>
    <w:rsid w:val="004F13EE"/>
    <w:rsid w:val="004F2022"/>
    <w:rsid w:val="004F7C05"/>
    <w:rsid w:val="00501C94"/>
    <w:rsid w:val="00506432"/>
    <w:rsid w:val="0051242B"/>
    <w:rsid w:val="00517C6F"/>
    <w:rsid w:val="0052051D"/>
    <w:rsid w:val="00525882"/>
    <w:rsid w:val="00526F5C"/>
    <w:rsid w:val="00531D58"/>
    <w:rsid w:val="00532519"/>
    <w:rsid w:val="00537CA2"/>
    <w:rsid w:val="00545EE6"/>
    <w:rsid w:val="005550E7"/>
    <w:rsid w:val="005564FB"/>
    <w:rsid w:val="005572C7"/>
    <w:rsid w:val="00557D5A"/>
    <w:rsid w:val="0056486D"/>
    <w:rsid w:val="005650ED"/>
    <w:rsid w:val="00575754"/>
    <w:rsid w:val="00586E35"/>
    <w:rsid w:val="00591E20"/>
    <w:rsid w:val="00592FAE"/>
    <w:rsid w:val="0059420E"/>
    <w:rsid w:val="00595408"/>
    <w:rsid w:val="00595E84"/>
    <w:rsid w:val="005A0C59"/>
    <w:rsid w:val="005A48EB"/>
    <w:rsid w:val="005A6CFB"/>
    <w:rsid w:val="005B1658"/>
    <w:rsid w:val="005C1CB3"/>
    <w:rsid w:val="005C5AEB"/>
    <w:rsid w:val="005E0A3F"/>
    <w:rsid w:val="005E6883"/>
    <w:rsid w:val="005E772F"/>
    <w:rsid w:val="005F4ECA"/>
    <w:rsid w:val="006041BE"/>
    <w:rsid w:val="006043C7"/>
    <w:rsid w:val="00624B52"/>
    <w:rsid w:val="00631DF4"/>
    <w:rsid w:val="00634175"/>
    <w:rsid w:val="00635DF7"/>
    <w:rsid w:val="0064058A"/>
    <w:rsid w:val="006408AC"/>
    <w:rsid w:val="006511B6"/>
    <w:rsid w:val="00652742"/>
    <w:rsid w:val="00657FF8"/>
    <w:rsid w:val="006668BE"/>
    <w:rsid w:val="00670D99"/>
    <w:rsid w:val="00670E2B"/>
    <w:rsid w:val="006734BB"/>
    <w:rsid w:val="00673620"/>
    <w:rsid w:val="006751B8"/>
    <w:rsid w:val="00681A34"/>
    <w:rsid w:val="006821EB"/>
    <w:rsid w:val="00683847"/>
    <w:rsid w:val="006A480A"/>
    <w:rsid w:val="006B2286"/>
    <w:rsid w:val="006B2709"/>
    <w:rsid w:val="006B2D4F"/>
    <w:rsid w:val="006B56BB"/>
    <w:rsid w:val="006C19E8"/>
    <w:rsid w:val="006C3F06"/>
    <w:rsid w:val="006C77A8"/>
    <w:rsid w:val="006D0759"/>
    <w:rsid w:val="006D4098"/>
    <w:rsid w:val="006D7681"/>
    <w:rsid w:val="006D7B2E"/>
    <w:rsid w:val="006D7F73"/>
    <w:rsid w:val="006E02EA"/>
    <w:rsid w:val="006E0968"/>
    <w:rsid w:val="006E2AF6"/>
    <w:rsid w:val="00701275"/>
    <w:rsid w:val="00707B46"/>
    <w:rsid w:val="00707F56"/>
    <w:rsid w:val="00710227"/>
    <w:rsid w:val="00712E68"/>
    <w:rsid w:val="00713558"/>
    <w:rsid w:val="00717293"/>
    <w:rsid w:val="00720D08"/>
    <w:rsid w:val="007263B9"/>
    <w:rsid w:val="007334F8"/>
    <w:rsid w:val="007339CD"/>
    <w:rsid w:val="007359D8"/>
    <w:rsid w:val="007362D4"/>
    <w:rsid w:val="00751A23"/>
    <w:rsid w:val="00766252"/>
    <w:rsid w:val="0076672A"/>
    <w:rsid w:val="0076754C"/>
    <w:rsid w:val="00770A39"/>
    <w:rsid w:val="00775E45"/>
    <w:rsid w:val="00776E74"/>
    <w:rsid w:val="00785169"/>
    <w:rsid w:val="0079185D"/>
    <w:rsid w:val="00793984"/>
    <w:rsid w:val="007954AB"/>
    <w:rsid w:val="00796AA6"/>
    <w:rsid w:val="007A14C5"/>
    <w:rsid w:val="007A3E38"/>
    <w:rsid w:val="007A4A10"/>
    <w:rsid w:val="007A724B"/>
    <w:rsid w:val="007B1760"/>
    <w:rsid w:val="007B5AFC"/>
    <w:rsid w:val="007C0FE1"/>
    <w:rsid w:val="007C4512"/>
    <w:rsid w:val="007C6D9C"/>
    <w:rsid w:val="007C7DDB"/>
    <w:rsid w:val="007D2CC7"/>
    <w:rsid w:val="007D5162"/>
    <w:rsid w:val="007D673D"/>
    <w:rsid w:val="007F2220"/>
    <w:rsid w:val="007F4B3E"/>
    <w:rsid w:val="007F4B70"/>
    <w:rsid w:val="007F588A"/>
    <w:rsid w:val="00802871"/>
    <w:rsid w:val="008127AF"/>
    <w:rsid w:val="00812B46"/>
    <w:rsid w:val="00815700"/>
    <w:rsid w:val="00817B70"/>
    <w:rsid w:val="008264EB"/>
    <w:rsid w:val="00826B8F"/>
    <w:rsid w:val="00831E8A"/>
    <w:rsid w:val="00835C76"/>
    <w:rsid w:val="00841111"/>
    <w:rsid w:val="00843049"/>
    <w:rsid w:val="0085209B"/>
    <w:rsid w:val="00856B66"/>
    <w:rsid w:val="00857146"/>
    <w:rsid w:val="00861A5F"/>
    <w:rsid w:val="00862FA9"/>
    <w:rsid w:val="008644AD"/>
    <w:rsid w:val="00865735"/>
    <w:rsid w:val="00865DDB"/>
    <w:rsid w:val="00867538"/>
    <w:rsid w:val="00873D90"/>
    <w:rsid w:val="00873FC8"/>
    <w:rsid w:val="00884C63"/>
    <w:rsid w:val="00885908"/>
    <w:rsid w:val="008864B7"/>
    <w:rsid w:val="0089677E"/>
    <w:rsid w:val="00896E8C"/>
    <w:rsid w:val="008A7438"/>
    <w:rsid w:val="008B1334"/>
    <w:rsid w:val="008C0278"/>
    <w:rsid w:val="008C24E9"/>
    <w:rsid w:val="008D0533"/>
    <w:rsid w:val="008D42CB"/>
    <w:rsid w:val="008D48C9"/>
    <w:rsid w:val="008D5B79"/>
    <w:rsid w:val="008D6381"/>
    <w:rsid w:val="008D755F"/>
    <w:rsid w:val="008E0C77"/>
    <w:rsid w:val="008E625F"/>
    <w:rsid w:val="008E7D1B"/>
    <w:rsid w:val="008F264D"/>
    <w:rsid w:val="009074E1"/>
    <w:rsid w:val="009112F7"/>
    <w:rsid w:val="009122AF"/>
    <w:rsid w:val="009127BC"/>
    <w:rsid w:val="00912D54"/>
    <w:rsid w:val="0091389F"/>
    <w:rsid w:val="009208F7"/>
    <w:rsid w:val="00922517"/>
    <w:rsid w:val="00922722"/>
    <w:rsid w:val="00924F5A"/>
    <w:rsid w:val="009261E6"/>
    <w:rsid w:val="009268E1"/>
    <w:rsid w:val="00927D40"/>
    <w:rsid w:val="00945E7F"/>
    <w:rsid w:val="009557C1"/>
    <w:rsid w:val="00957F7F"/>
    <w:rsid w:val="00960D6E"/>
    <w:rsid w:val="00972BC1"/>
    <w:rsid w:val="00974B59"/>
    <w:rsid w:val="0098340B"/>
    <w:rsid w:val="00986830"/>
    <w:rsid w:val="009924C3"/>
    <w:rsid w:val="00993102"/>
    <w:rsid w:val="009A7C92"/>
    <w:rsid w:val="009B0478"/>
    <w:rsid w:val="009B3CD1"/>
    <w:rsid w:val="009C3517"/>
    <w:rsid w:val="009C4A39"/>
    <w:rsid w:val="009C6F10"/>
    <w:rsid w:val="009D07D9"/>
    <w:rsid w:val="009D148F"/>
    <w:rsid w:val="009D3D70"/>
    <w:rsid w:val="009E0600"/>
    <w:rsid w:val="009E6F7E"/>
    <w:rsid w:val="009E7A57"/>
    <w:rsid w:val="009F4F6A"/>
    <w:rsid w:val="00A04084"/>
    <w:rsid w:val="00A1019D"/>
    <w:rsid w:val="00A16E36"/>
    <w:rsid w:val="00A24961"/>
    <w:rsid w:val="00A24B10"/>
    <w:rsid w:val="00A30E9B"/>
    <w:rsid w:val="00A4512D"/>
    <w:rsid w:val="00A50244"/>
    <w:rsid w:val="00A51044"/>
    <w:rsid w:val="00A514C9"/>
    <w:rsid w:val="00A56F17"/>
    <w:rsid w:val="00A627D7"/>
    <w:rsid w:val="00A656C7"/>
    <w:rsid w:val="00A705AF"/>
    <w:rsid w:val="00A72454"/>
    <w:rsid w:val="00A73196"/>
    <w:rsid w:val="00A77696"/>
    <w:rsid w:val="00A80557"/>
    <w:rsid w:val="00A81D33"/>
    <w:rsid w:val="00A930AE"/>
    <w:rsid w:val="00AA1A95"/>
    <w:rsid w:val="00AA260F"/>
    <w:rsid w:val="00AA763F"/>
    <w:rsid w:val="00AB10CE"/>
    <w:rsid w:val="00AB1229"/>
    <w:rsid w:val="00AB1EE7"/>
    <w:rsid w:val="00AB4B37"/>
    <w:rsid w:val="00AB4CEA"/>
    <w:rsid w:val="00AB5762"/>
    <w:rsid w:val="00AB742A"/>
    <w:rsid w:val="00AC0C70"/>
    <w:rsid w:val="00AC2679"/>
    <w:rsid w:val="00AC4BE4"/>
    <w:rsid w:val="00AC6B5F"/>
    <w:rsid w:val="00AC6BF9"/>
    <w:rsid w:val="00AD05E6"/>
    <w:rsid w:val="00AD0D3F"/>
    <w:rsid w:val="00AE1D7D"/>
    <w:rsid w:val="00AE2A8B"/>
    <w:rsid w:val="00AE3F64"/>
    <w:rsid w:val="00AF4959"/>
    <w:rsid w:val="00AF7386"/>
    <w:rsid w:val="00AF7934"/>
    <w:rsid w:val="00B00B81"/>
    <w:rsid w:val="00B040EE"/>
    <w:rsid w:val="00B04580"/>
    <w:rsid w:val="00B04B09"/>
    <w:rsid w:val="00B101FA"/>
    <w:rsid w:val="00B16A51"/>
    <w:rsid w:val="00B25440"/>
    <w:rsid w:val="00B32222"/>
    <w:rsid w:val="00B3618D"/>
    <w:rsid w:val="00B36233"/>
    <w:rsid w:val="00B42851"/>
    <w:rsid w:val="00B44A6A"/>
    <w:rsid w:val="00B45AC7"/>
    <w:rsid w:val="00B5037B"/>
    <w:rsid w:val="00B5372F"/>
    <w:rsid w:val="00B60211"/>
    <w:rsid w:val="00B61129"/>
    <w:rsid w:val="00B67E7F"/>
    <w:rsid w:val="00B75A04"/>
    <w:rsid w:val="00B82CFC"/>
    <w:rsid w:val="00B839B2"/>
    <w:rsid w:val="00B85547"/>
    <w:rsid w:val="00B90293"/>
    <w:rsid w:val="00B94252"/>
    <w:rsid w:val="00B94828"/>
    <w:rsid w:val="00B9715A"/>
    <w:rsid w:val="00BA14BE"/>
    <w:rsid w:val="00BA2732"/>
    <w:rsid w:val="00BA293D"/>
    <w:rsid w:val="00BA49BC"/>
    <w:rsid w:val="00BA56B7"/>
    <w:rsid w:val="00BA7A1E"/>
    <w:rsid w:val="00BA7CA9"/>
    <w:rsid w:val="00BB2F6C"/>
    <w:rsid w:val="00BB3875"/>
    <w:rsid w:val="00BB5860"/>
    <w:rsid w:val="00BB6AAD"/>
    <w:rsid w:val="00BC0D92"/>
    <w:rsid w:val="00BC1300"/>
    <w:rsid w:val="00BC1AC9"/>
    <w:rsid w:val="00BC4A19"/>
    <w:rsid w:val="00BC4E6D"/>
    <w:rsid w:val="00BD0617"/>
    <w:rsid w:val="00BD0A1C"/>
    <w:rsid w:val="00BD19D6"/>
    <w:rsid w:val="00BD1F2D"/>
    <w:rsid w:val="00BD2E9B"/>
    <w:rsid w:val="00BE2B8E"/>
    <w:rsid w:val="00C00930"/>
    <w:rsid w:val="00C060AD"/>
    <w:rsid w:val="00C0670D"/>
    <w:rsid w:val="00C113BF"/>
    <w:rsid w:val="00C2176E"/>
    <w:rsid w:val="00C23430"/>
    <w:rsid w:val="00C27D67"/>
    <w:rsid w:val="00C34705"/>
    <w:rsid w:val="00C35FBC"/>
    <w:rsid w:val="00C4631F"/>
    <w:rsid w:val="00C50E16"/>
    <w:rsid w:val="00C55258"/>
    <w:rsid w:val="00C65BD9"/>
    <w:rsid w:val="00C82EEB"/>
    <w:rsid w:val="00C971DC"/>
    <w:rsid w:val="00CA16B7"/>
    <w:rsid w:val="00CA4BE3"/>
    <w:rsid w:val="00CA5DA6"/>
    <w:rsid w:val="00CA62AE"/>
    <w:rsid w:val="00CA6DC8"/>
    <w:rsid w:val="00CA79CF"/>
    <w:rsid w:val="00CB5B1A"/>
    <w:rsid w:val="00CC220B"/>
    <w:rsid w:val="00CC5C43"/>
    <w:rsid w:val="00CD02AE"/>
    <w:rsid w:val="00CD2A4F"/>
    <w:rsid w:val="00CE03CA"/>
    <w:rsid w:val="00CE22F1"/>
    <w:rsid w:val="00CE50F2"/>
    <w:rsid w:val="00CE6502"/>
    <w:rsid w:val="00CF14A6"/>
    <w:rsid w:val="00CF7D3C"/>
    <w:rsid w:val="00D078D1"/>
    <w:rsid w:val="00D147EB"/>
    <w:rsid w:val="00D14C00"/>
    <w:rsid w:val="00D34667"/>
    <w:rsid w:val="00D401E1"/>
    <w:rsid w:val="00D408B4"/>
    <w:rsid w:val="00D456D3"/>
    <w:rsid w:val="00D45D94"/>
    <w:rsid w:val="00D524C8"/>
    <w:rsid w:val="00D53030"/>
    <w:rsid w:val="00D55FE1"/>
    <w:rsid w:val="00D60E25"/>
    <w:rsid w:val="00D64ADD"/>
    <w:rsid w:val="00D70E24"/>
    <w:rsid w:val="00D716B3"/>
    <w:rsid w:val="00D72B61"/>
    <w:rsid w:val="00D847C2"/>
    <w:rsid w:val="00D937DE"/>
    <w:rsid w:val="00D961EB"/>
    <w:rsid w:val="00DA3D1D"/>
    <w:rsid w:val="00DB0138"/>
    <w:rsid w:val="00DB6286"/>
    <w:rsid w:val="00DB645F"/>
    <w:rsid w:val="00DB76E9"/>
    <w:rsid w:val="00DC0A67"/>
    <w:rsid w:val="00DC1D5E"/>
    <w:rsid w:val="00DC2313"/>
    <w:rsid w:val="00DC5220"/>
    <w:rsid w:val="00DC7910"/>
    <w:rsid w:val="00DD2061"/>
    <w:rsid w:val="00DD7DAB"/>
    <w:rsid w:val="00DE3355"/>
    <w:rsid w:val="00DE6820"/>
    <w:rsid w:val="00DF4855"/>
    <w:rsid w:val="00DF486F"/>
    <w:rsid w:val="00DF5B5B"/>
    <w:rsid w:val="00DF7619"/>
    <w:rsid w:val="00E042D8"/>
    <w:rsid w:val="00E07EE7"/>
    <w:rsid w:val="00E1103B"/>
    <w:rsid w:val="00E17B44"/>
    <w:rsid w:val="00E2477B"/>
    <w:rsid w:val="00E27FEA"/>
    <w:rsid w:val="00E31FE3"/>
    <w:rsid w:val="00E4086F"/>
    <w:rsid w:val="00E43B3C"/>
    <w:rsid w:val="00E46283"/>
    <w:rsid w:val="00E477A6"/>
    <w:rsid w:val="00E50188"/>
    <w:rsid w:val="00E515CB"/>
    <w:rsid w:val="00E51901"/>
    <w:rsid w:val="00E52260"/>
    <w:rsid w:val="00E627C6"/>
    <w:rsid w:val="00E639B6"/>
    <w:rsid w:val="00E6434B"/>
    <w:rsid w:val="00E6463D"/>
    <w:rsid w:val="00E72E9B"/>
    <w:rsid w:val="00E849DA"/>
    <w:rsid w:val="00E84D30"/>
    <w:rsid w:val="00E90691"/>
    <w:rsid w:val="00E911F2"/>
    <w:rsid w:val="00E9462E"/>
    <w:rsid w:val="00EA470E"/>
    <w:rsid w:val="00EA47A7"/>
    <w:rsid w:val="00EA57EB"/>
    <w:rsid w:val="00EB3226"/>
    <w:rsid w:val="00EC213A"/>
    <w:rsid w:val="00EC6603"/>
    <w:rsid w:val="00EC7744"/>
    <w:rsid w:val="00ED0DAD"/>
    <w:rsid w:val="00ED0F46"/>
    <w:rsid w:val="00ED2373"/>
    <w:rsid w:val="00ED555F"/>
    <w:rsid w:val="00ED74D5"/>
    <w:rsid w:val="00EE3E8A"/>
    <w:rsid w:val="00EF4370"/>
    <w:rsid w:val="00EF47EF"/>
    <w:rsid w:val="00EF6ECA"/>
    <w:rsid w:val="00F024E1"/>
    <w:rsid w:val="00F06C10"/>
    <w:rsid w:val="00F1096F"/>
    <w:rsid w:val="00F12589"/>
    <w:rsid w:val="00F12595"/>
    <w:rsid w:val="00F134D9"/>
    <w:rsid w:val="00F1403D"/>
    <w:rsid w:val="00F1463F"/>
    <w:rsid w:val="00F21302"/>
    <w:rsid w:val="00F321DE"/>
    <w:rsid w:val="00F33777"/>
    <w:rsid w:val="00F40648"/>
    <w:rsid w:val="00F47DA2"/>
    <w:rsid w:val="00F519FC"/>
    <w:rsid w:val="00F6239D"/>
    <w:rsid w:val="00F637ED"/>
    <w:rsid w:val="00F715D2"/>
    <w:rsid w:val="00F7274F"/>
    <w:rsid w:val="00F76FA8"/>
    <w:rsid w:val="00F83049"/>
    <w:rsid w:val="00F93F08"/>
    <w:rsid w:val="00F94CED"/>
    <w:rsid w:val="00F97BD5"/>
    <w:rsid w:val="00FA2CEE"/>
    <w:rsid w:val="00FA318C"/>
    <w:rsid w:val="00FB1B6C"/>
    <w:rsid w:val="00FB6F92"/>
    <w:rsid w:val="00FC026E"/>
    <w:rsid w:val="00FC5124"/>
    <w:rsid w:val="00FD4731"/>
    <w:rsid w:val="00FE2E8A"/>
    <w:rsid w:val="00FF0AB0"/>
    <w:rsid w:val="00FF150A"/>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9FD58A3"/>
  <w15:docId w15:val="{B12BAAF2-1703-42BE-BD38-041AC25BB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qFormat="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911F2"/>
    <w:rPr>
      <w:rFonts w:ascii="Arial" w:hAnsi="Arial"/>
      <w:sz w:val="22"/>
      <w:szCs w:val="24"/>
      <w:lang w:eastAsia="en-US"/>
    </w:rPr>
  </w:style>
  <w:style w:type="paragraph" w:styleId="Heading1">
    <w:name w:val="heading 1"/>
    <w:basedOn w:val="Normal"/>
    <w:next w:val="Paragraphtext"/>
    <w:qFormat/>
    <w:rsid w:val="007F4B70"/>
    <w:pPr>
      <w:keepNext/>
      <w:spacing w:before="240" w:after="60"/>
      <w:outlineLvl w:val="0"/>
    </w:pPr>
    <w:rPr>
      <w:rFonts w:cs="Arial"/>
      <w:b/>
      <w:bCs/>
      <w:color w:val="3F4A75"/>
      <w:kern w:val="28"/>
      <w:sz w:val="36"/>
      <w:szCs w:val="36"/>
    </w:rPr>
  </w:style>
  <w:style w:type="paragraph" w:styleId="Heading2">
    <w:name w:val="heading 2"/>
    <w:next w:val="Paragraphtext"/>
    <w:qFormat/>
    <w:rsid w:val="007F4B70"/>
    <w:pPr>
      <w:keepNext/>
      <w:spacing w:before="240" w:after="60"/>
      <w:outlineLvl w:val="1"/>
    </w:pPr>
    <w:rPr>
      <w:rFonts w:ascii="Arial" w:hAnsi="Arial" w:cs="Arial"/>
      <w:b/>
      <w:bCs/>
      <w:iCs/>
      <w:color w:val="358189"/>
      <w:sz w:val="32"/>
      <w:szCs w:val="28"/>
      <w:lang w:eastAsia="en-US"/>
    </w:rPr>
  </w:style>
  <w:style w:type="paragraph" w:styleId="Heading3">
    <w:name w:val="heading 3"/>
    <w:next w:val="Normal"/>
    <w:qFormat/>
    <w:rsid w:val="009127BC"/>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027071"/>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751A23"/>
    <w:pPr>
      <w:spacing w:before="2160" w:after="120"/>
      <w:contextualSpacing/>
    </w:pPr>
    <w:rPr>
      <w:rFonts w:eastAsiaTheme="majorEastAsia" w:cstheme="majorBidi"/>
      <w:b/>
      <w:color w:val="3F4A75"/>
      <w:kern w:val="28"/>
      <w:sz w:val="48"/>
      <w:szCs w:val="52"/>
    </w:rPr>
  </w:style>
  <w:style w:type="character" w:customStyle="1" w:styleId="TitleChar">
    <w:name w:val="Title Char"/>
    <w:basedOn w:val="DefaultParagraphFont"/>
    <w:link w:val="Title"/>
    <w:rsid w:val="00751A23"/>
    <w:rPr>
      <w:rFonts w:ascii="Arial" w:eastAsiaTheme="majorEastAsia" w:hAnsi="Arial" w:cstheme="majorBidi"/>
      <w:b/>
      <w:color w:val="3F4A75"/>
      <w:kern w:val="28"/>
      <w:sz w:val="48"/>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rsid w:val="00A4512D"/>
    <w:pPr>
      <w:pBdr>
        <w:bottom w:val="single" w:sz="4" w:space="4" w:color="3F4A75" w:themeColor="accent1"/>
      </w:pBdr>
      <w:spacing w:before="200" w:after="280"/>
      <w:ind w:left="936" w:right="936"/>
    </w:pPr>
    <w:rPr>
      <w:b/>
      <w:bCs/>
      <w:i/>
      <w:iCs/>
      <w:color w:val="3F4A75" w:themeColor="accent1"/>
    </w:rPr>
  </w:style>
  <w:style w:type="character" w:customStyle="1" w:styleId="IntenseQuoteChar">
    <w:name w:val="Intense Quote Char"/>
    <w:basedOn w:val="DefaultParagraphFont"/>
    <w:link w:val="IntenseQuote"/>
    <w:uiPriority w:val="30"/>
    <w:rsid w:val="00A4512D"/>
    <w:rPr>
      <w:b/>
      <w:bCs/>
      <w:i/>
      <w:iCs/>
      <w:color w:val="3F4A75" w:themeColor="accent1"/>
      <w:sz w:val="24"/>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aliases w:val="Table header text"/>
    <w:basedOn w:val="DefaultParagraphFont"/>
    <w:uiPriority w:val="32"/>
    <w:qFormat/>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A56F17"/>
    <w:pPr>
      <w:numPr>
        <w:numId w:val="19"/>
      </w:numPr>
    </w:pPr>
  </w:style>
  <w:style w:type="paragraph" w:styleId="ListBullet">
    <w:name w:val="List Bullet"/>
    <w:basedOn w:val="Normal"/>
    <w:qFormat/>
    <w:rsid w:val="00A56F17"/>
    <w:pPr>
      <w:numPr>
        <w:numId w:val="17"/>
      </w:numPr>
      <w:spacing w:before="60" w:after="60"/>
    </w:pPr>
    <w:rPr>
      <w:color w:val="000000" w:themeColor="text1"/>
      <w:sz w:val="21"/>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uiPriority w:val="39"/>
    <w:qFormat/>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9127BC"/>
    <w:pPr>
      <w:spacing w:before="60" w:after="60"/>
    </w:pPr>
    <w:rPr>
      <w:rFonts w:ascii="Arial" w:hAnsi="Arial"/>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841111"/>
    <w:pPr>
      <w:tabs>
        <w:tab w:val="center" w:pos="0"/>
        <w:tab w:val="right" w:pos="9026"/>
      </w:tabs>
      <w:jc w:val="right"/>
    </w:pPr>
    <w:rPr>
      <w:sz w:val="20"/>
    </w:rPr>
  </w:style>
  <w:style w:type="character" w:customStyle="1" w:styleId="FooterChar">
    <w:name w:val="Footer Char"/>
    <w:basedOn w:val="DefaultParagraphFont"/>
    <w:link w:val="Footer"/>
    <w:uiPriority w:val="99"/>
    <w:rsid w:val="00841111"/>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110478"/>
    <w:pPr>
      <w:numPr>
        <w:numId w:val="3"/>
      </w:numPr>
      <w:ind w:left="284" w:hanging="284"/>
    </w:pPr>
    <w:rPr>
      <w:szCs w:val="20"/>
    </w:rPr>
  </w:style>
  <w:style w:type="paragraph" w:customStyle="1" w:styleId="Tablelistnumber">
    <w:name w:val="Table list number"/>
    <w:basedOn w:val="Tabletextleft"/>
    <w:qFormat/>
    <w:rsid w:val="00DD2061"/>
    <w:pPr>
      <w:numPr>
        <w:numId w:val="4"/>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uiPriority w:val="99"/>
    <w:qFormat/>
    <w:rsid w:val="00A24961"/>
    <w:rPr>
      <w:sz w:val="20"/>
      <w:szCs w:val="20"/>
    </w:rPr>
  </w:style>
  <w:style w:type="character" w:customStyle="1" w:styleId="FootnoteTextChar">
    <w:name w:val="Footnote Text Char"/>
    <w:basedOn w:val="DefaultParagraphFont"/>
    <w:link w:val="FootnoteText"/>
    <w:uiPriority w:val="99"/>
    <w:qFormat/>
    <w:rsid w:val="00A24961"/>
    <w:rPr>
      <w:rFonts w:ascii="Arial" w:hAnsi="Arial"/>
      <w:lang w:eastAsia="en-US"/>
    </w:rPr>
  </w:style>
  <w:style w:type="paragraph" w:styleId="Caption">
    <w:name w:val="caption"/>
    <w:basedOn w:val="Normal"/>
    <w:next w:val="Normal"/>
    <w:uiPriority w:val="35"/>
    <w:unhideWhenUsed/>
    <w:qFormat/>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Paragraphtext"/>
    <w:next w:val="Paragraphtext"/>
    <w:qFormat/>
    <w:rsid w:val="009127BC"/>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qFormat/>
    <w:rsid w:val="00CA4BE3"/>
    <w:pPr>
      <w:spacing w:before="240"/>
    </w:pPr>
    <w:rPr>
      <w:rFonts w:cs="Times New Roman"/>
      <w:b/>
      <w:bCs/>
      <w:caps/>
      <w:color w:val="358189"/>
      <w:szCs w:val="20"/>
    </w:rPr>
  </w:style>
  <w:style w:type="paragraph" w:customStyle="1" w:styleId="Boxtype">
    <w:name w:val="Box type"/>
    <w:next w:val="Normal"/>
    <w:qFormat/>
    <w:rsid w:val="00CA4BE3"/>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Footerrightpage">
    <w:name w:val="Footer right page"/>
    <w:basedOn w:val="Footer"/>
    <w:rsid w:val="00841111"/>
  </w:style>
  <w:style w:type="paragraph" w:customStyle="1" w:styleId="URL">
    <w:name w:val="URL"/>
    <w:basedOn w:val="Paragraphtext"/>
    <w:rsid w:val="00205A93"/>
    <w:pPr>
      <w:spacing w:before="3120"/>
      <w:jc w:val="center"/>
    </w:pPr>
    <w:rPr>
      <w:b/>
      <w:bCs/>
      <w:sz w:val="24"/>
      <w:szCs w:val="20"/>
    </w:rPr>
  </w:style>
  <w:style w:type="paragraph" w:styleId="BodyText">
    <w:name w:val="Body Text"/>
    <w:basedOn w:val="Normal"/>
    <w:link w:val="BodyTextChar"/>
    <w:semiHidden/>
    <w:unhideWhenUsed/>
    <w:rsid w:val="00B94828"/>
    <w:pPr>
      <w:spacing w:after="120"/>
    </w:pPr>
  </w:style>
  <w:style w:type="character" w:customStyle="1" w:styleId="BodyTextChar">
    <w:name w:val="Body Text Char"/>
    <w:basedOn w:val="DefaultParagraphFont"/>
    <w:link w:val="BodyText"/>
    <w:semiHidden/>
    <w:rsid w:val="00B94828"/>
    <w:rPr>
      <w:rFonts w:ascii="Arial" w:hAnsi="Arial"/>
      <w:sz w:val="22"/>
      <w:szCs w:val="24"/>
      <w:lang w:eastAsia="en-US"/>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710227"/>
    <w:rPr>
      <w:rFonts w:ascii="Arial" w:hAnsi="Arial"/>
      <w:sz w:val="22"/>
      <w:szCs w:val="24"/>
      <w:lang w:eastAsia="en-US"/>
    </w:rPr>
  </w:style>
  <w:style w:type="character" w:styleId="FootnoteReference">
    <w:name w:val="footnote reference"/>
    <w:basedOn w:val="DefaultParagraphFont"/>
    <w:uiPriority w:val="99"/>
    <w:semiHidden/>
    <w:unhideWhenUsed/>
    <w:rsid w:val="004E3FB3"/>
    <w:rPr>
      <w:vertAlign w:val="superscript"/>
    </w:rPr>
  </w:style>
  <w:style w:type="table" w:styleId="ListTable4-Accent2">
    <w:name w:val="List Table 4 Accent 2"/>
    <w:basedOn w:val="TableNormal"/>
    <w:uiPriority w:val="49"/>
    <w:rsid w:val="00712E68"/>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tcBorders>
        <w:shd w:val="clear" w:color="auto" w:fill="358189" w:themeFill="accent2"/>
      </w:tcPr>
    </w:tblStylePr>
    <w:tblStylePr w:type="lastRow">
      <w:rPr>
        <w:b/>
        <w:bCs/>
      </w:rPr>
      <w:tblPr/>
      <w:tcPr>
        <w:tcBorders>
          <w:top w:val="double" w:sz="4" w:space="0" w:color="74C1C9" w:themeColor="accent2" w:themeTint="99"/>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character" w:customStyle="1" w:styleId="BodyChar">
    <w:name w:val="Body Char"/>
    <w:basedOn w:val="DefaultParagraphFont"/>
    <w:link w:val="Body"/>
    <w:locked/>
    <w:rsid w:val="00AB1229"/>
    <w:rPr>
      <w:rFonts w:ascii="Arial" w:eastAsia="Times" w:hAnsi="Arial" w:cs="Arial"/>
      <w:sz w:val="21"/>
    </w:rPr>
  </w:style>
  <w:style w:type="paragraph" w:customStyle="1" w:styleId="Body">
    <w:name w:val="Body"/>
    <w:link w:val="BodyChar"/>
    <w:qFormat/>
    <w:rsid w:val="00AB1229"/>
    <w:pPr>
      <w:spacing w:after="120" w:line="280" w:lineRule="atLeast"/>
    </w:pPr>
    <w:rPr>
      <w:rFonts w:ascii="Arial" w:eastAsia="Times" w:hAnsi="Arial" w:cs="Arial"/>
      <w:sz w:val="21"/>
    </w:rPr>
  </w:style>
  <w:style w:type="paragraph" w:styleId="TOC1">
    <w:name w:val="toc 1"/>
    <w:basedOn w:val="Normal"/>
    <w:next w:val="Normal"/>
    <w:autoRedefine/>
    <w:uiPriority w:val="39"/>
    <w:unhideWhenUsed/>
    <w:rsid w:val="00E84D30"/>
    <w:pPr>
      <w:spacing w:after="100"/>
    </w:pPr>
  </w:style>
  <w:style w:type="paragraph" w:styleId="TOC2">
    <w:name w:val="toc 2"/>
    <w:basedOn w:val="Normal"/>
    <w:next w:val="Normal"/>
    <w:autoRedefine/>
    <w:uiPriority w:val="39"/>
    <w:unhideWhenUsed/>
    <w:rsid w:val="00E84D30"/>
    <w:pPr>
      <w:spacing w:after="100"/>
      <w:ind w:left="220"/>
    </w:pPr>
  </w:style>
  <w:style w:type="character" w:styleId="CommentReference">
    <w:name w:val="annotation reference"/>
    <w:basedOn w:val="DefaultParagraphFont"/>
    <w:semiHidden/>
    <w:unhideWhenUsed/>
    <w:rsid w:val="00683847"/>
    <w:rPr>
      <w:sz w:val="16"/>
      <w:szCs w:val="16"/>
    </w:rPr>
  </w:style>
  <w:style w:type="paragraph" w:styleId="CommentText">
    <w:name w:val="annotation text"/>
    <w:basedOn w:val="Normal"/>
    <w:link w:val="CommentTextChar"/>
    <w:semiHidden/>
    <w:unhideWhenUsed/>
    <w:rsid w:val="00683847"/>
    <w:rPr>
      <w:sz w:val="20"/>
      <w:szCs w:val="20"/>
    </w:rPr>
  </w:style>
  <w:style w:type="character" w:customStyle="1" w:styleId="CommentTextChar">
    <w:name w:val="Comment Text Char"/>
    <w:basedOn w:val="DefaultParagraphFont"/>
    <w:link w:val="CommentText"/>
    <w:semiHidden/>
    <w:rsid w:val="00683847"/>
    <w:rPr>
      <w:rFonts w:ascii="Arial" w:hAnsi="Arial"/>
      <w:lang w:eastAsia="en-US"/>
    </w:rPr>
  </w:style>
  <w:style w:type="paragraph" w:styleId="CommentSubject">
    <w:name w:val="annotation subject"/>
    <w:basedOn w:val="CommentText"/>
    <w:next w:val="CommentText"/>
    <w:link w:val="CommentSubjectChar"/>
    <w:semiHidden/>
    <w:unhideWhenUsed/>
    <w:rsid w:val="00683847"/>
    <w:rPr>
      <w:b/>
      <w:bCs/>
    </w:rPr>
  </w:style>
  <w:style w:type="character" w:customStyle="1" w:styleId="CommentSubjectChar">
    <w:name w:val="Comment Subject Char"/>
    <w:basedOn w:val="CommentTextChar"/>
    <w:link w:val="CommentSubject"/>
    <w:semiHidden/>
    <w:rsid w:val="00683847"/>
    <w:rPr>
      <w:rFonts w:ascii="Arial" w:hAnsi="Arial"/>
      <w:b/>
      <w:bCs/>
      <w:lang w:eastAsia="en-US"/>
    </w:rPr>
  </w:style>
  <w:style w:type="character" w:customStyle="1" w:styleId="normaltextrun">
    <w:name w:val="normaltextrun"/>
    <w:basedOn w:val="DefaultParagraphFont"/>
    <w:rsid w:val="00B040EE"/>
  </w:style>
  <w:style w:type="character" w:customStyle="1" w:styleId="UnresolvedMention1">
    <w:name w:val="Unresolved Mention1"/>
    <w:basedOn w:val="DefaultParagraphFont"/>
    <w:uiPriority w:val="99"/>
    <w:semiHidden/>
    <w:unhideWhenUsed/>
    <w:rsid w:val="004D13C5"/>
    <w:rPr>
      <w:color w:val="605E5C"/>
      <w:shd w:val="clear" w:color="auto" w:fill="E1DFDD"/>
    </w:rPr>
  </w:style>
  <w:style w:type="character" w:styleId="FollowedHyperlink">
    <w:name w:val="FollowedHyperlink"/>
    <w:basedOn w:val="DefaultParagraphFont"/>
    <w:semiHidden/>
    <w:unhideWhenUsed/>
    <w:rsid w:val="004D673B"/>
    <w:rPr>
      <w:color w:val="800080" w:themeColor="followedHyperlink"/>
      <w:u w:val="single"/>
    </w:rPr>
  </w:style>
  <w:style w:type="character" w:customStyle="1" w:styleId="UnresolvedMention2">
    <w:name w:val="Unresolved Mention2"/>
    <w:basedOn w:val="DefaultParagraphFont"/>
    <w:uiPriority w:val="99"/>
    <w:semiHidden/>
    <w:unhideWhenUsed/>
    <w:rsid w:val="00303EDC"/>
    <w:rPr>
      <w:color w:val="605E5C"/>
      <w:shd w:val="clear" w:color="auto" w:fill="E1DFDD"/>
    </w:rPr>
  </w:style>
  <w:style w:type="character" w:customStyle="1" w:styleId="UnresolvedMention3">
    <w:name w:val="Unresolved Mention3"/>
    <w:basedOn w:val="DefaultParagraphFont"/>
    <w:uiPriority w:val="99"/>
    <w:semiHidden/>
    <w:unhideWhenUsed/>
    <w:rsid w:val="00196F2B"/>
    <w:rPr>
      <w:color w:val="605E5C"/>
      <w:shd w:val="clear" w:color="auto" w:fill="E1DFDD"/>
    </w:rPr>
  </w:style>
  <w:style w:type="paragraph" w:styleId="TOC4">
    <w:name w:val="toc 4"/>
    <w:basedOn w:val="Normal"/>
    <w:next w:val="Normal"/>
    <w:autoRedefine/>
    <w:uiPriority w:val="39"/>
    <w:unhideWhenUsed/>
    <w:rsid w:val="0059420E"/>
    <w:pPr>
      <w:spacing w:after="100"/>
      <w:ind w:left="660"/>
    </w:pPr>
  </w:style>
  <w:style w:type="paragraph" w:styleId="TOC3">
    <w:name w:val="toc 3"/>
    <w:basedOn w:val="Normal"/>
    <w:next w:val="Normal"/>
    <w:autoRedefine/>
    <w:uiPriority w:val="39"/>
    <w:unhideWhenUsed/>
    <w:rsid w:val="0059420E"/>
    <w:pPr>
      <w:spacing w:after="100"/>
      <w:ind w:left="440"/>
    </w:pPr>
  </w:style>
  <w:style w:type="paragraph" w:styleId="ListContinue">
    <w:name w:val="List Continue"/>
    <w:basedOn w:val="Paragraphtext"/>
    <w:unhideWhenUsed/>
    <w:rsid w:val="0059420E"/>
    <w:pPr>
      <w:numPr>
        <w:numId w:val="49"/>
      </w:numPr>
      <w:spacing w:before="60"/>
    </w:pPr>
    <w:rPr>
      <w:rFonts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7455">
      <w:bodyDiv w:val="1"/>
      <w:marLeft w:val="0"/>
      <w:marRight w:val="0"/>
      <w:marTop w:val="0"/>
      <w:marBottom w:val="0"/>
      <w:divBdr>
        <w:top w:val="none" w:sz="0" w:space="0" w:color="auto"/>
        <w:left w:val="none" w:sz="0" w:space="0" w:color="auto"/>
        <w:bottom w:val="none" w:sz="0" w:space="0" w:color="auto"/>
        <w:right w:val="none" w:sz="0" w:space="0" w:color="auto"/>
      </w:divBdr>
    </w:div>
    <w:div w:id="15468433">
      <w:bodyDiv w:val="1"/>
      <w:marLeft w:val="0"/>
      <w:marRight w:val="0"/>
      <w:marTop w:val="0"/>
      <w:marBottom w:val="0"/>
      <w:divBdr>
        <w:top w:val="none" w:sz="0" w:space="0" w:color="auto"/>
        <w:left w:val="none" w:sz="0" w:space="0" w:color="auto"/>
        <w:bottom w:val="none" w:sz="0" w:space="0" w:color="auto"/>
        <w:right w:val="none" w:sz="0" w:space="0" w:color="auto"/>
      </w:divBdr>
    </w:div>
    <w:div w:id="240718598">
      <w:bodyDiv w:val="1"/>
      <w:marLeft w:val="0"/>
      <w:marRight w:val="0"/>
      <w:marTop w:val="0"/>
      <w:marBottom w:val="0"/>
      <w:divBdr>
        <w:top w:val="none" w:sz="0" w:space="0" w:color="auto"/>
        <w:left w:val="none" w:sz="0" w:space="0" w:color="auto"/>
        <w:bottom w:val="none" w:sz="0" w:space="0" w:color="auto"/>
        <w:right w:val="none" w:sz="0" w:space="0" w:color="auto"/>
      </w:divBdr>
    </w:div>
    <w:div w:id="246352160">
      <w:bodyDiv w:val="1"/>
      <w:marLeft w:val="0"/>
      <w:marRight w:val="0"/>
      <w:marTop w:val="0"/>
      <w:marBottom w:val="0"/>
      <w:divBdr>
        <w:top w:val="none" w:sz="0" w:space="0" w:color="auto"/>
        <w:left w:val="none" w:sz="0" w:space="0" w:color="auto"/>
        <w:bottom w:val="none" w:sz="0" w:space="0" w:color="auto"/>
        <w:right w:val="none" w:sz="0" w:space="0" w:color="auto"/>
      </w:divBdr>
    </w:div>
    <w:div w:id="258685442">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45925713">
      <w:bodyDiv w:val="1"/>
      <w:marLeft w:val="0"/>
      <w:marRight w:val="0"/>
      <w:marTop w:val="0"/>
      <w:marBottom w:val="0"/>
      <w:divBdr>
        <w:top w:val="none" w:sz="0" w:space="0" w:color="auto"/>
        <w:left w:val="none" w:sz="0" w:space="0" w:color="auto"/>
        <w:bottom w:val="none" w:sz="0" w:space="0" w:color="auto"/>
        <w:right w:val="none" w:sz="0" w:space="0" w:color="auto"/>
      </w:divBdr>
    </w:div>
    <w:div w:id="547181675">
      <w:bodyDiv w:val="1"/>
      <w:marLeft w:val="0"/>
      <w:marRight w:val="0"/>
      <w:marTop w:val="0"/>
      <w:marBottom w:val="0"/>
      <w:divBdr>
        <w:top w:val="none" w:sz="0" w:space="0" w:color="auto"/>
        <w:left w:val="none" w:sz="0" w:space="0" w:color="auto"/>
        <w:bottom w:val="none" w:sz="0" w:space="0" w:color="auto"/>
        <w:right w:val="none" w:sz="0" w:space="0" w:color="auto"/>
      </w:divBdr>
    </w:div>
    <w:div w:id="555552941">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24852167">
      <w:bodyDiv w:val="1"/>
      <w:marLeft w:val="0"/>
      <w:marRight w:val="0"/>
      <w:marTop w:val="0"/>
      <w:marBottom w:val="0"/>
      <w:divBdr>
        <w:top w:val="none" w:sz="0" w:space="0" w:color="auto"/>
        <w:left w:val="none" w:sz="0" w:space="0" w:color="auto"/>
        <w:bottom w:val="none" w:sz="0" w:space="0" w:color="auto"/>
        <w:right w:val="none" w:sz="0" w:space="0" w:color="auto"/>
      </w:divBdr>
    </w:div>
    <w:div w:id="643048752">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46195626">
      <w:bodyDiv w:val="1"/>
      <w:marLeft w:val="0"/>
      <w:marRight w:val="0"/>
      <w:marTop w:val="0"/>
      <w:marBottom w:val="0"/>
      <w:divBdr>
        <w:top w:val="none" w:sz="0" w:space="0" w:color="auto"/>
        <w:left w:val="none" w:sz="0" w:space="0" w:color="auto"/>
        <w:bottom w:val="none" w:sz="0" w:space="0" w:color="auto"/>
        <w:right w:val="none" w:sz="0" w:space="0" w:color="auto"/>
      </w:divBdr>
    </w:div>
    <w:div w:id="987713532">
      <w:bodyDiv w:val="1"/>
      <w:marLeft w:val="0"/>
      <w:marRight w:val="0"/>
      <w:marTop w:val="0"/>
      <w:marBottom w:val="0"/>
      <w:divBdr>
        <w:top w:val="none" w:sz="0" w:space="0" w:color="auto"/>
        <w:left w:val="none" w:sz="0" w:space="0" w:color="auto"/>
        <w:bottom w:val="none" w:sz="0" w:space="0" w:color="auto"/>
        <w:right w:val="none" w:sz="0" w:space="0" w:color="auto"/>
      </w:divBdr>
    </w:div>
    <w:div w:id="1025981129">
      <w:bodyDiv w:val="1"/>
      <w:marLeft w:val="0"/>
      <w:marRight w:val="0"/>
      <w:marTop w:val="0"/>
      <w:marBottom w:val="0"/>
      <w:divBdr>
        <w:top w:val="none" w:sz="0" w:space="0" w:color="auto"/>
        <w:left w:val="none" w:sz="0" w:space="0" w:color="auto"/>
        <w:bottom w:val="none" w:sz="0" w:space="0" w:color="auto"/>
        <w:right w:val="none" w:sz="0" w:space="0" w:color="auto"/>
      </w:divBdr>
    </w:div>
    <w:div w:id="1116022359">
      <w:bodyDiv w:val="1"/>
      <w:marLeft w:val="0"/>
      <w:marRight w:val="0"/>
      <w:marTop w:val="0"/>
      <w:marBottom w:val="0"/>
      <w:divBdr>
        <w:top w:val="none" w:sz="0" w:space="0" w:color="auto"/>
        <w:left w:val="none" w:sz="0" w:space="0" w:color="auto"/>
        <w:bottom w:val="none" w:sz="0" w:space="0" w:color="auto"/>
        <w:right w:val="none" w:sz="0" w:space="0" w:color="auto"/>
      </w:divBdr>
    </w:div>
    <w:div w:id="1202788572">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47299809">
      <w:bodyDiv w:val="1"/>
      <w:marLeft w:val="0"/>
      <w:marRight w:val="0"/>
      <w:marTop w:val="0"/>
      <w:marBottom w:val="0"/>
      <w:divBdr>
        <w:top w:val="none" w:sz="0" w:space="0" w:color="auto"/>
        <w:left w:val="none" w:sz="0" w:space="0" w:color="auto"/>
        <w:bottom w:val="none" w:sz="0" w:space="0" w:color="auto"/>
        <w:right w:val="none" w:sz="0" w:space="0" w:color="auto"/>
      </w:divBdr>
    </w:div>
    <w:div w:id="1312442596">
      <w:bodyDiv w:val="1"/>
      <w:marLeft w:val="0"/>
      <w:marRight w:val="0"/>
      <w:marTop w:val="0"/>
      <w:marBottom w:val="0"/>
      <w:divBdr>
        <w:top w:val="none" w:sz="0" w:space="0" w:color="auto"/>
        <w:left w:val="none" w:sz="0" w:space="0" w:color="auto"/>
        <w:bottom w:val="none" w:sz="0" w:space="0" w:color="auto"/>
        <w:right w:val="none" w:sz="0" w:space="0" w:color="auto"/>
      </w:divBdr>
    </w:div>
    <w:div w:id="1337464793">
      <w:bodyDiv w:val="1"/>
      <w:marLeft w:val="0"/>
      <w:marRight w:val="0"/>
      <w:marTop w:val="0"/>
      <w:marBottom w:val="0"/>
      <w:divBdr>
        <w:top w:val="none" w:sz="0" w:space="0" w:color="auto"/>
        <w:left w:val="none" w:sz="0" w:space="0" w:color="auto"/>
        <w:bottom w:val="none" w:sz="0" w:space="0" w:color="auto"/>
        <w:right w:val="none" w:sz="0" w:space="0" w:color="auto"/>
      </w:divBdr>
    </w:div>
    <w:div w:id="1699313452">
      <w:bodyDiv w:val="1"/>
      <w:marLeft w:val="0"/>
      <w:marRight w:val="0"/>
      <w:marTop w:val="0"/>
      <w:marBottom w:val="0"/>
      <w:divBdr>
        <w:top w:val="none" w:sz="0" w:space="0" w:color="auto"/>
        <w:left w:val="none" w:sz="0" w:space="0" w:color="auto"/>
        <w:bottom w:val="none" w:sz="0" w:space="0" w:color="auto"/>
        <w:right w:val="none" w:sz="0" w:space="0" w:color="auto"/>
      </w:divBdr>
    </w:div>
    <w:div w:id="1727601484">
      <w:bodyDiv w:val="1"/>
      <w:marLeft w:val="0"/>
      <w:marRight w:val="0"/>
      <w:marTop w:val="0"/>
      <w:marBottom w:val="0"/>
      <w:divBdr>
        <w:top w:val="none" w:sz="0" w:space="0" w:color="auto"/>
        <w:left w:val="none" w:sz="0" w:space="0" w:color="auto"/>
        <w:bottom w:val="none" w:sz="0" w:space="0" w:color="auto"/>
        <w:right w:val="none" w:sz="0" w:space="0" w:color="auto"/>
      </w:divBdr>
    </w:div>
    <w:div w:id="1732924218">
      <w:bodyDiv w:val="1"/>
      <w:marLeft w:val="0"/>
      <w:marRight w:val="0"/>
      <w:marTop w:val="0"/>
      <w:marBottom w:val="0"/>
      <w:divBdr>
        <w:top w:val="none" w:sz="0" w:space="0" w:color="auto"/>
        <w:left w:val="none" w:sz="0" w:space="0" w:color="auto"/>
        <w:bottom w:val="none" w:sz="0" w:space="0" w:color="auto"/>
        <w:right w:val="none" w:sz="0" w:space="0" w:color="auto"/>
      </w:divBdr>
    </w:div>
    <w:div w:id="1777942453">
      <w:bodyDiv w:val="1"/>
      <w:marLeft w:val="0"/>
      <w:marRight w:val="0"/>
      <w:marTop w:val="0"/>
      <w:marBottom w:val="0"/>
      <w:divBdr>
        <w:top w:val="none" w:sz="0" w:space="0" w:color="auto"/>
        <w:left w:val="none" w:sz="0" w:space="0" w:color="auto"/>
        <w:bottom w:val="none" w:sz="0" w:space="0" w:color="auto"/>
        <w:right w:val="none" w:sz="0" w:space="0" w:color="auto"/>
      </w:divBdr>
    </w:div>
    <w:div w:id="1827429692">
      <w:bodyDiv w:val="1"/>
      <w:marLeft w:val="0"/>
      <w:marRight w:val="0"/>
      <w:marTop w:val="0"/>
      <w:marBottom w:val="0"/>
      <w:divBdr>
        <w:top w:val="none" w:sz="0" w:space="0" w:color="auto"/>
        <w:left w:val="none" w:sz="0" w:space="0" w:color="auto"/>
        <w:bottom w:val="none" w:sz="0" w:space="0" w:color="auto"/>
        <w:right w:val="none" w:sz="0" w:space="0" w:color="auto"/>
      </w:divBdr>
    </w:div>
    <w:div w:id="1920288366">
      <w:bodyDiv w:val="1"/>
      <w:marLeft w:val="0"/>
      <w:marRight w:val="0"/>
      <w:marTop w:val="0"/>
      <w:marBottom w:val="0"/>
      <w:divBdr>
        <w:top w:val="none" w:sz="0" w:space="0" w:color="auto"/>
        <w:left w:val="none" w:sz="0" w:space="0" w:color="auto"/>
        <w:bottom w:val="none" w:sz="0" w:space="0" w:color="auto"/>
        <w:right w:val="none" w:sz="0" w:space="0" w:color="auto"/>
      </w:divBdr>
    </w:div>
    <w:div w:id="1985038737">
      <w:bodyDiv w:val="1"/>
      <w:marLeft w:val="0"/>
      <w:marRight w:val="0"/>
      <w:marTop w:val="0"/>
      <w:marBottom w:val="0"/>
      <w:divBdr>
        <w:top w:val="none" w:sz="0" w:space="0" w:color="auto"/>
        <w:left w:val="none" w:sz="0" w:space="0" w:color="auto"/>
        <w:bottom w:val="none" w:sz="0" w:space="0" w:color="auto"/>
        <w:right w:val="none" w:sz="0" w:space="0" w:color="auto"/>
      </w:divBdr>
    </w:div>
    <w:div w:id="2055689356">
      <w:bodyDiv w:val="1"/>
      <w:marLeft w:val="0"/>
      <w:marRight w:val="0"/>
      <w:marTop w:val="0"/>
      <w:marBottom w:val="0"/>
      <w:divBdr>
        <w:top w:val="none" w:sz="0" w:space="0" w:color="auto"/>
        <w:left w:val="none" w:sz="0" w:space="0" w:color="auto"/>
        <w:bottom w:val="none" w:sz="0" w:space="0" w:color="auto"/>
        <w:right w:val="none" w:sz="0" w:space="0" w:color="auto"/>
      </w:divBdr>
    </w:div>
    <w:div w:id="208583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publications-and-resources/resource-library/australian-guidelines-prevention-and-control-infection-healthcare" TargetMode="External"/><Relationship Id="rId18" Type="http://schemas.openxmlformats.org/officeDocument/2006/relationships/footer" Target="footer2.xml"/><Relationship Id="rId26" Type="http://schemas.openxmlformats.org/officeDocument/2006/relationships/hyperlink" Target="https://www.pbs.gov.au/publication/factsheets/covid-19-treatments/factsheet-lagevrio-july-2022.pdf" TargetMode="External"/><Relationship Id="rId39" Type="http://schemas.openxmlformats.org/officeDocument/2006/relationships/hyperlink" Target="https://www.agedcarequality.gov.au/sites/default/files/media/fact-sheet-ensuring-safe-visitor-access-to-residential-aged-care_0.pdf" TargetMode="External"/><Relationship Id="rId21" Type="http://schemas.openxmlformats.org/officeDocument/2006/relationships/image" Target="media/image3.png"/><Relationship Id="rId34" Type="http://schemas.openxmlformats.org/officeDocument/2006/relationships/hyperlink" Target="https://www.agedcarequality.gov.au/providers/standards" TargetMode="External"/><Relationship Id="rId42" Type="http://schemas.openxmlformats.org/officeDocument/2006/relationships/hyperlink" Target="https://www.health.gov.au/resources/publications/cdna-national-guidelines-for-the-prevention-and-management-of-covid-19-outbreaks-in-disability-residential-services-the-disability-supplement" TargetMode="External"/><Relationship Id="rId47" Type="http://schemas.openxmlformats.org/officeDocument/2006/relationships/hyperlink" Target="ttps://www.tga.gov.au/disinfectants-use-against-covid-19-artg-legal-supply-australia" TargetMode="External"/><Relationship Id="rId50" Type="http://schemas.openxmlformats.org/officeDocument/2006/relationships/hyperlink" Target="https://covid19evidence.net.au/" TargetMode="External"/><Relationship Id="rId55" Type="http://schemas.openxmlformats.org/officeDocument/2006/relationships/hyperlink" Target="https://tgldcdp.tg.org.au/viewTopic?etgAccess=true&amp;guidelinePage=Other&amp;topicfile=coronavirus&amp;guidelinename=Other&amp;sectionId=toc_dle947" TargetMode="External"/><Relationship Id="rId63" Type="http://schemas.openxmlformats.org/officeDocument/2006/relationships/footer" Target="footer7.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3.xml"/><Relationship Id="rId29" Type="http://schemas.openxmlformats.org/officeDocument/2006/relationships/hyperlink" Target="https://www.nps.org.au/coronavirus/faqs-covid-19-antivirals-in-racfs" TargetMode="External"/><Relationship Id="rId41" Type="http://schemas.openxmlformats.org/officeDocument/2006/relationships/hyperlink" Target="https://www1.health.gov.au/internet/main/publishing.nsf/Content/cdna-song-novel-coronavirus.htm" TargetMode="External"/><Relationship Id="rId54" Type="http://schemas.openxmlformats.org/officeDocument/2006/relationships/hyperlink" Target="https://tgldcdp.tg.org.au/viewTopic?topicfile=influenza&amp;guidelineName=Antibiotic" TargetMode="External"/><Relationship Id="rId62"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agedcarequality.gov.au/providers/standards" TargetMode="External"/><Relationship Id="rId32" Type="http://schemas.openxmlformats.org/officeDocument/2006/relationships/hyperlink" Target="https://www.ebs.tga.gov.au/ebs/picmi/picmirepository.nsf/pdf?OpenAgent&amp;id=CP-2012-PI-02051-3" TargetMode="External"/><Relationship Id="rId37" Type="http://schemas.openxmlformats.org/officeDocument/2006/relationships/hyperlink" Target="https://www.health.gov.au/sites/default/files/documents/2022/02/first-24-hours-managing-covid-19-in-a-residential-aged-care-facility-first-24-hours-managing-covid-19-in-a-residential-aged-care-facility_0.pdf" TargetMode="External"/><Relationship Id="rId40" Type="http://schemas.openxmlformats.org/officeDocument/2006/relationships/hyperlink" Target="https://www.health.gov.au/initiatives-and-programs/infection-prevention-and-control-leads" TargetMode="External"/><Relationship Id="rId45" Type="http://schemas.openxmlformats.org/officeDocument/2006/relationships/hyperlink" Target="https://www.nhmrc.gov.au/about-us/publications/australian-guidelines-prevention-and-control-infection-healthcare-2019" TargetMode="External"/><Relationship Id="rId53" Type="http://schemas.openxmlformats.org/officeDocument/2006/relationships/hyperlink" Target="https://www.healthdirect.gov.au/medicines/brand/amt,39602011000036100/tamiflu" TargetMode="External"/><Relationship Id="rId58"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health.gov.au/committees-and-groups/infection-prevention-and-control-expert-group-iceg" TargetMode="External"/><Relationship Id="rId28" Type="http://schemas.openxmlformats.org/officeDocument/2006/relationships/hyperlink" Target="https://www.pbs.gov.au/news/2022/04/files/Factsheet%20Paxlovid.pdf" TargetMode="External"/><Relationship Id="rId36" Type="http://schemas.openxmlformats.org/officeDocument/2006/relationships/hyperlink" Target="https://consultations.health.gov.au/health-grants-and-network/03c624b7/" TargetMode="External"/><Relationship Id="rId49" Type="http://schemas.openxmlformats.org/officeDocument/2006/relationships/hyperlink" Target="https://www.pbs.gov.au/news/2022/04/files/Factsheet%20Paxlovid.pdf" TargetMode="External"/><Relationship Id="rId57" Type="http://schemas.openxmlformats.org/officeDocument/2006/relationships/header" Target="header7.xml"/><Relationship Id="rId61"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https://www.health.gov.au/sites/default/files/documents/2022/05/use-of-tamiflu-in-residential-aged-care.pdf" TargetMode="External"/><Relationship Id="rId44" Type="http://schemas.openxmlformats.org/officeDocument/2006/relationships/hyperlink" Target="https://www1.health.gov.au/internet/main/publishing.nsf/Content/cdna-flu-guidelines.htm" TargetMode="External"/><Relationship Id="rId52" Type="http://schemas.openxmlformats.org/officeDocument/2006/relationships/hyperlink" Target="https://www.health.gov.au/resources/publications/use-of-tamiflu-in-residential-aged-care" TargetMode="External"/><Relationship Id="rId60" Type="http://schemas.openxmlformats.org/officeDocument/2006/relationships/header" Target="header8.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resources/publications/cdna-national-guidelines-for-the-prevention-and-management-of-covid-19-outbreaks-in-disability-residential-services-the-disability-supplement" TargetMode="External"/><Relationship Id="rId22" Type="http://schemas.openxmlformats.org/officeDocument/2006/relationships/hyperlink" Target="https://thirdparty-2.myac.gov.au/adfs/ls/?wa=wsignin1.0&amp;wtrealm=https%3a%2f%2fmyagedcare-serviceproviderportal.health.gov.au%2f&amp;wctx=rm%3d0%26id%3dpassive%26ru%3d%252f&amp;wct=2022-02-25T04%3a53%3a23Z" TargetMode="External"/><Relationship Id="rId27" Type="http://schemas.openxmlformats.org/officeDocument/2006/relationships/hyperlink" Target="https://www.nps.org.au/coronavirus/faqs-covid-19-antivirals-in-racfs" TargetMode="External"/><Relationship Id="rId30" Type="http://schemas.openxmlformats.org/officeDocument/2006/relationships/hyperlink" Target="https://www.ebs.tga.gov.au/ebs/picmi/picmirepository.nsf/pdf?OpenAgent&amp;id=CP-2012-PI-02051-3" TargetMode="External"/><Relationship Id="rId35" Type="http://schemas.openxmlformats.org/officeDocument/2006/relationships/hyperlink" Target="https://www.agedcarequality.gov.au/resources/outbreak-management-planning-aged-care" TargetMode="External"/><Relationship Id="rId43" Type="http://schemas.openxmlformats.org/officeDocument/2006/relationships/hyperlink" Target="https://www.health.gov.au/resources/publications/cdna-national-guidelines-for-the-prevention-control-and-public-health-management-of-covid-19-outbreaks-in-residential-care-facilities-in-australia" TargetMode="External"/><Relationship Id="rId48" Type="http://schemas.openxmlformats.org/officeDocument/2006/relationships/hyperlink" Target="https://www.health.gov.au/sites/default/files/documents/2022/03/coronavirus-covid-19-use-of-lagevrio-molnupiravir-in-residential-aged-care.pdf" TargetMode="External"/><Relationship Id="rId56" Type="http://schemas.openxmlformats.org/officeDocument/2006/relationships/header" Target="header6.xm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nps.org.au/coronavirus/faqs-covid-19-antivirals-in-racfs"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footer" Target="footer1.xml"/><Relationship Id="rId25" Type="http://schemas.openxmlformats.org/officeDocument/2006/relationships/hyperlink" Target="https://covid19evidence.net.au/" TargetMode="External"/><Relationship Id="rId33" Type="http://schemas.openxmlformats.org/officeDocument/2006/relationships/hyperlink" Target="https://www.ebs.tga.gov.au/ebs/picmi/picmirepository.nsf/pdf?OpenAgent&amp;id=CP-2012-PI-02051-3" TargetMode="External"/><Relationship Id="rId38" Type="http://schemas.openxmlformats.org/officeDocument/2006/relationships/hyperlink" Target="https://www.health.gov.au/sites/default/files/documents/2021/12/outbreak-preparedness-checklist.docx" TargetMode="External"/><Relationship Id="rId46" Type="http://schemas.openxmlformats.org/officeDocument/2006/relationships/hyperlink" Target="https://www.health.gov.au/committees-and-groups/infection-prevention-and-control-expert-group-iceg" TargetMode="External"/><Relationship Id="rId59"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s://www.health.gov.au/committees-and-groups/australian-technical-advisory-group-on-immunisation-atag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AE5D55D2855249BDE6284DECF3A812" ma:contentTypeVersion="1" ma:contentTypeDescription="Create a new document." ma:contentTypeScope="" ma:versionID="9f8c2a13d8772c794cad9e180fc8884a">
  <xsd:schema xmlns:xsd="http://www.w3.org/2001/XMLSchema" xmlns:xs="http://www.w3.org/2001/XMLSchema" xmlns:p="http://schemas.microsoft.com/office/2006/metadata/properties" xmlns:ns1="http://schemas.microsoft.com/sharepoint/v3" targetNamespace="http://schemas.microsoft.com/office/2006/metadata/properties" ma:root="true" ma:fieldsID="7a905017a9aa3b0c875ea481d4b6b51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74768F-4E52-4D71-BC3B-1BD4E074364A}">
  <ds:schemaRefs>
    <ds:schemaRef ds:uri="http://schemas.openxmlformats.org/officeDocument/2006/bibliography"/>
  </ds:schemaRefs>
</ds:datastoreItem>
</file>

<file path=customXml/itemProps2.xml><?xml version="1.0" encoding="utf-8"?>
<ds:datastoreItem xmlns:ds="http://schemas.openxmlformats.org/officeDocument/2006/customXml" ds:itemID="{42F4B08F-6C22-4548-8A1E-0B66C9BDF291}">
  <ds:schemaRef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CE45AA0D-DC12-43FD-857B-3C0E8B2E2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26</Pages>
  <Words>6795</Words>
  <Characters>44330</Characters>
  <Application>Microsoft Office Word</Application>
  <DocSecurity>0</DocSecurity>
  <Lines>369</Lines>
  <Paragraphs>102</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51023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IOHARA, Sami</dc:creator>
  <cp:lastModifiedBy>POLKINGHORNE, Ben</cp:lastModifiedBy>
  <cp:revision>9</cp:revision>
  <cp:lastPrinted>2022-07-07T04:32:00Z</cp:lastPrinted>
  <dcterms:created xsi:type="dcterms:W3CDTF">2022-09-27T01:47:00Z</dcterms:created>
  <dcterms:modified xsi:type="dcterms:W3CDTF">2022-09-29T01:13:00Z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0x010100A6AE5D55D2855249BDE6284DECF3A812</vt:lpwstr>
  </property>
</Properties>
</file>