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D2FE" w14:textId="77777777" w:rsidR="00751A23" w:rsidRDefault="00CA4DF2" w:rsidP="00751A23">
      <w:pPr>
        <w:pStyle w:val="Title"/>
      </w:pPr>
      <w:r>
        <w:t>National Eye and Tissue Sector Framework</w:t>
      </w:r>
    </w:p>
    <w:p w14:paraId="4A492C2B" w14:textId="7F96FD4F" w:rsidR="00CA79CF" w:rsidRDefault="006C41BA" w:rsidP="00CA79CF">
      <w:pPr>
        <w:pStyle w:val="Subtitle"/>
      </w:pPr>
      <w:r>
        <w:t>August</w:t>
      </w:r>
      <w:r w:rsidR="00161E49">
        <w:t xml:space="preserve"> </w:t>
      </w:r>
      <w:r w:rsidR="00134AF9">
        <w:t>202</w:t>
      </w:r>
      <w:r w:rsidR="00161E49">
        <w:t>2</w:t>
      </w:r>
    </w:p>
    <w:p w14:paraId="74305BEA"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sdt>
      <w:sdtPr>
        <w:rPr>
          <w:rFonts w:ascii="Arial" w:eastAsia="Times New Roman" w:hAnsi="Arial" w:cs="Times New Roman"/>
          <w:color w:val="auto"/>
          <w:sz w:val="22"/>
          <w:szCs w:val="24"/>
          <w:lang w:val="en-AU"/>
        </w:rPr>
        <w:id w:val="-1407609362"/>
        <w:docPartObj>
          <w:docPartGallery w:val="Table of Contents"/>
          <w:docPartUnique/>
        </w:docPartObj>
      </w:sdtPr>
      <w:sdtEndPr>
        <w:rPr>
          <w:b/>
          <w:bCs/>
          <w:noProof/>
        </w:rPr>
      </w:sdtEndPr>
      <w:sdtContent>
        <w:p w14:paraId="7E43083B" w14:textId="77777777" w:rsidR="00693A97" w:rsidRPr="00447710" w:rsidRDefault="00693A97">
          <w:pPr>
            <w:pStyle w:val="TOCHeading"/>
            <w:rPr>
              <w:rFonts w:ascii="Arial" w:hAnsi="Arial"/>
            </w:rPr>
          </w:pPr>
          <w:r w:rsidRPr="00447710">
            <w:rPr>
              <w:rFonts w:ascii="Arial" w:hAnsi="Arial"/>
            </w:rPr>
            <w:t>Contents</w:t>
          </w:r>
        </w:p>
        <w:p w14:paraId="4A298FCB" w14:textId="3636470B" w:rsidR="00447710" w:rsidRDefault="00693A97">
          <w:pPr>
            <w:pStyle w:val="TOC1"/>
            <w:rPr>
              <w:rFonts w:cstheme="minorBidi"/>
              <w:noProof/>
              <w:lang w:val="en-AU" w:eastAsia="en-AU"/>
            </w:rPr>
          </w:pPr>
          <w:r w:rsidRPr="002F53CA">
            <w:fldChar w:fldCharType="begin"/>
          </w:r>
          <w:r w:rsidRPr="002F53CA">
            <w:instrText xml:space="preserve"> TOC \o "1-3" \h \z \u </w:instrText>
          </w:r>
          <w:r w:rsidRPr="002F53CA">
            <w:fldChar w:fldCharType="separate"/>
          </w:r>
          <w:hyperlink w:anchor="_Toc109209848" w:history="1">
            <w:r w:rsidR="00447710" w:rsidRPr="00670121">
              <w:rPr>
                <w:rStyle w:val="Hyperlink"/>
                <w:noProof/>
              </w:rPr>
              <w:t>Preamble</w:t>
            </w:r>
            <w:r w:rsidR="00447710">
              <w:rPr>
                <w:noProof/>
                <w:webHidden/>
              </w:rPr>
              <w:tab/>
            </w:r>
            <w:r w:rsidR="00447710">
              <w:rPr>
                <w:noProof/>
                <w:webHidden/>
              </w:rPr>
              <w:fldChar w:fldCharType="begin"/>
            </w:r>
            <w:r w:rsidR="00447710">
              <w:rPr>
                <w:noProof/>
                <w:webHidden/>
              </w:rPr>
              <w:instrText xml:space="preserve"> PAGEREF _Toc109209848 \h </w:instrText>
            </w:r>
            <w:r w:rsidR="00447710">
              <w:rPr>
                <w:noProof/>
                <w:webHidden/>
              </w:rPr>
            </w:r>
            <w:r w:rsidR="00447710">
              <w:rPr>
                <w:noProof/>
                <w:webHidden/>
              </w:rPr>
              <w:fldChar w:fldCharType="separate"/>
            </w:r>
            <w:r w:rsidR="00447710">
              <w:rPr>
                <w:noProof/>
                <w:webHidden/>
              </w:rPr>
              <w:t>1</w:t>
            </w:r>
            <w:r w:rsidR="00447710">
              <w:rPr>
                <w:noProof/>
                <w:webHidden/>
              </w:rPr>
              <w:fldChar w:fldCharType="end"/>
            </w:r>
          </w:hyperlink>
        </w:p>
        <w:p w14:paraId="377E3716" w14:textId="708F540C" w:rsidR="00447710" w:rsidRDefault="004A3BD5">
          <w:pPr>
            <w:pStyle w:val="TOC1"/>
            <w:rPr>
              <w:rFonts w:cstheme="minorBidi"/>
              <w:noProof/>
              <w:lang w:val="en-AU" w:eastAsia="en-AU"/>
            </w:rPr>
          </w:pPr>
          <w:hyperlink w:anchor="_Toc109209849" w:history="1">
            <w:r w:rsidR="00447710" w:rsidRPr="00670121">
              <w:rPr>
                <w:rStyle w:val="Hyperlink"/>
                <w:noProof/>
              </w:rPr>
              <w:t>Acknowledgements</w:t>
            </w:r>
            <w:r w:rsidR="00447710">
              <w:rPr>
                <w:noProof/>
                <w:webHidden/>
              </w:rPr>
              <w:tab/>
            </w:r>
            <w:r w:rsidR="00447710">
              <w:rPr>
                <w:noProof/>
                <w:webHidden/>
              </w:rPr>
              <w:fldChar w:fldCharType="begin"/>
            </w:r>
            <w:r w:rsidR="00447710">
              <w:rPr>
                <w:noProof/>
                <w:webHidden/>
              </w:rPr>
              <w:instrText xml:space="preserve"> PAGEREF _Toc109209849 \h </w:instrText>
            </w:r>
            <w:r w:rsidR="00447710">
              <w:rPr>
                <w:noProof/>
                <w:webHidden/>
              </w:rPr>
            </w:r>
            <w:r w:rsidR="00447710">
              <w:rPr>
                <w:noProof/>
                <w:webHidden/>
              </w:rPr>
              <w:fldChar w:fldCharType="separate"/>
            </w:r>
            <w:r w:rsidR="00447710">
              <w:rPr>
                <w:noProof/>
                <w:webHidden/>
              </w:rPr>
              <w:t>1</w:t>
            </w:r>
            <w:r w:rsidR="00447710">
              <w:rPr>
                <w:noProof/>
                <w:webHidden/>
              </w:rPr>
              <w:fldChar w:fldCharType="end"/>
            </w:r>
          </w:hyperlink>
        </w:p>
        <w:p w14:paraId="001426C1" w14:textId="45A64307" w:rsidR="00447710" w:rsidRDefault="004A3BD5">
          <w:pPr>
            <w:pStyle w:val="TOC1"/>
            <w:rPr>
              <w:rFonts w:cstheme="minorBidi"/>
              <w:noProof/>
              <w:lang w:val="en-AU" w:eastAsia="en-AU"/>
            </w:rPr>
          </w:pPr>
          <w:hyperlink w:anchor="_Toc109209850" w:history="1">
            <w:r w:rsidR="00447710" w:rsidRPr="00670121">
              <w:rPr>
                <w:rStyle w:val="Hyperlink"/>
                <w:noProof/>
              </w:rPr>
              <w:t>Strategic Context</w:t>
            </w:r>
            <w:r w:rsidR="00447710">
              <w:rPr>
                <w:noProof/>
                <w:webHidden/>
              </w:rPr>
              <w:tab/>
            </w:r>
            <w:r w:rsidR="00447710">
              <w:rPr>
                <w:noProof/>
                <w:webHidden/>
              </w:rPr>
              <w:fldChar w:fldCharType="begin"/>
            </w:r>
            <w:r w:rsidR="00447710">
              <w:rPr>
                <w:noProof/>
                <w:webHidden/>
              </w:rPr>
              <w:instrText xml:space="preserve"> PAGEREF _Toc109209850 \h </w:instrText>
            </w:r>
            <w:r w:rsidR="00447710">
              <w:rPr>
                <w:noProof/>
                <w:webHidden/>
              </w:rPr>
            </w:r>
            <w:r w:rsidR="00447710">
              <w:rPr>
                <w:noProof/>
                <w:webHidden/>
              </w:rPr>
              <w:fldChar w:fldCharType="separate"/>
            </w:r>
            <w:r w:rsidR="00447710">
              <w:rPr>
                <w:noProof/>
                <w:webHidden/>
              </w:rPr>
              <w:t>3</w:t>
            </w:r>
            <w:r w:rsidR="00447710">
              <w:rPr>
                <w:noProof/>
                <w:webHidden/>
              </w:rPr>
              <w:fldChar w:fldCharType="end"/>
            </w:r>
          </w:hyperlink>
        </w:p>
        <w:p w14:paraId="201F72D6" w14:textId="5694D936" w:rsidR="00447710" w:rsidRDefault="004A3BD5">
          <w:pPr>
            <w:pStyle w:val="TOC3"/>
            <w:rPr>
              <w:rFonts w:cstheme="minorBidi"/>
              <w:noProof/>
              <w:lang w:val="en-AU" w:eastAsia="en-AU"/>
            </w:rPr>
          </w:pPr>
          <w:hyperlink w:anchor="_Toc109209851" w:history="1">
            <w:r w:rsidR="00447710" w:rsidRPr="00670121">
              <w:rPr>
                <w:rStyle w:val="Hyperlink"/>
                <w:noProof/>
              </w:rPr>
              <w:t>PricewaterhouseCoopers Report: Analysis of the Australian Tissue Sector</w:t>
            </w:r>
            <w:r w:rsidR="00447710">
              <w:rPr>
                <w:noProof/>
                <w:webHidden/>
              </w:rPr>
              <w:tab/>
            </w:r>
            <w:r w:rsidR="00447710">
              <w:rPr>
                <w:noProof/>
                <w:webHidden/>
              </w:rPr>
              <w:fldChar w:fldCharType="begin"/>
            </w:r>
            <w:r w:rsidR="00447710">
              <w:rPr>
                <w:noProof/>
                <w:webHidden/>
              </w:rPr>
              <w:instrText xml:space="preserve"> PAGEREF _Toc109209851 \h </w:instrText>
            </w:r>
            <w:r w:rsidR="00447710">
              <w:rPr>
                <w:noProof/>
                <w:webHidden/>
              </w:rPr>
            </w:r>
            <w:r w:rsidR="00447710">
              <w:rPr>
                <w:noProof/>
                <w:webHidden/>
              </w:rPr>
              <w:fldChar w:fldCharType="separate"/>
            </w:r>
            <w:r w:rsidR="00447710">
              <w:rPr>
                <w:noProof/>
                <w:webHidden/>
              </w:rPr>
              <w:t>4</w:t>
            </w:r>
            <w:r w:rsidR="00447710">
              <w:rPr>
                <w:noProof/>
                <w:webHidden/>
              </w:rPr>
              <w:fldChar w:fldCharType="end"/>
            </w:r>
          </w:hyperlink>
        </w:p>
        <w:p w14:paraId="71854279" w14:textId="2B03D9A1" w:rsidR="00447710" w:rsidRDefault="004A3BD5">
          <w:pPr>
            <w:pStyle w:val="TOC1"/>
            <w:rPr>
              <w:rFonts w:cstheme="minorBidi"/>
              <w:noProof/>
              <w:lang w:val="en-AU" w:eastAsia="en-AU"/>
            </w:rPr>
          </w:pPr>
          <w:hyperlink w:anchor="_Toc109209852" w:history="1">
            <w:r w:rsidR="00447710" w:rsidRPr="00670121">
              <w:rPr>
                <w:rStyle w:val="Hyperlink"/>
                <w:noProof/>
              </w:rPr>
              <w:t>The National Eye and Tissue Sector Framework</w:t>
            </w:r>
            <w:r w:rsidR="00447710">
              <w:rPr>
                <w:noProof/>
                <w:webHidden/>
              </w:rPr>
              <w:tab/>
            </w:r>
            <w:r w:rsidR="00447710">
              <w:rPr>
                <w:noProof/>
                <w:webHidden/>
              </w:rPr>
              <w:fldChar w:fldCharType="begin"/>
            </w:r>
            <w:r w:rsidR="00447710">
              <w:rPr>
                <w:noProof/>
                <w:webHidden/>
              </w:rPr>
              <w:instrText xml:space="preserve"> PAGEREF _Toc109209852 \h </w:instrText>
            </w:r>
            <w:r w:rsidR="00447710">
              <w:rPr>
                <w:noProof/>
                <w:webHidden/>
              </w:rPr>
            </w:r>
            <w:r w:rsidR="00447710">
              <w:rPr>
                <w:noProof/>
                <w:webHidden/>
              </w:rPr>
              <w:fldChar w:fldCharType="separate"/>
            </w:r>
            <w:r w:rsidR="00447710">
              <w:rPr>
                <w:noProof/>
                <w:webHidden/>
              </w:rPr>
              <w:t>5</w:t>
            </w:r>
            <w:r w:rsidR="00447710">
              <w:rPr>
                <w:noProof/>
                <w:webHidden/>
              </w:rPr>
              <w:fldChar w:fldCharType="end"/>
            </w:r>
          </w:hyperlink>
        </w:p>
        <w:p w14:paraId="2054156B" w14:textId="0DC32C38" w:rsidR="00447710" w:rsidRDefault="004A3BD5">
          <w:pPr>
            <w:pStyle w:val="TOC2"/>
            <w:tabs>
              <w:tab w:val="right" w:leader="dot" w:pos="9060"/>
            </w:tabs>
            <w:rPr>
              <w:rFonts w:cstheme="minorBidi"/>
              <w:noProof/>
              <w:lang w:val="en-AU" w:eastAsia="en-AU"/>
            </w:rPr>
          </w:pPr>
          <w:hyperlink w:anchor="_Toc109209853" w:history="1">
            <w:r w:rsidR="00447710" w:rsidRPr="00670121">
              <w:rPr>
                <w:rStyle w:val="Hyperlink"/>
                <w:noProof/>
              </w:rPr>
              <w:t>Vision</w:t>
            </w:r>
            <w:r w:rsidR="00447710">
              <w:rPr>
                <w:noProof/>
                <w:webHidden/>
              </w:rPr>
              <w:tab/>
            </w:r>
            <w:r w:rsidR="00447710">
              <w:rPr>
                <w:noProof/>
                <w:webHidden/>
              </w:rPr>
              <w:fldChar w:fldCharType="begin"/>
            </w:r>
            <w:r w:rsidR="00447710">
              <w:rPr>
                <w:noProof/>
                <w:webHidden/>
              </w:rPr>
              <w:instrText xml:space="preserve"> PAGEREF _Toc109209853 \h </w:instrText>
            </w:r>
            <w:r w:rsidR="00447710">
              <w:rPr>
                <w:noProof/>
                <w:webHidden/>
              </w:rPr>
            </w:r>
            <w:r w:rsidR="00447710">
              <w:rPr>
                <w:noProof/>
                <w:webHidden/>
              </w:rPr>
              <w:fldChar w:fldCharType="separate"/>
            </w:r>
            <w:r w:rsidR="00447710">
              <w:rPr>
                <w:noProof/>
                <w:webHidden/>
              </w:rPr>
              <w:t>5</w:t>
            </w:r>
            <w:r w:rsidR="00447710">
              <w:rPr>
                <w:noProof/>
                <w:webHidden/>
              </w:rPr>
              <w:fldChar w:fldCharType="end"/>
            </w:r>
          </w:hyperlink>
        </w:p>
        <w:p w14:paraId="54C66E48" w14:textId="4394555F" w:rsidR="00447710" w:rsidRDefault="004A3BD5">
          <w:pPr>
            <w:pStyle w:val="TOC2"/>
            <w:tabs>
              <w:tab w:val="right" w:leader="dot" w:pos="9060"/>
            </w:tabs>
            <w:rPr>
              <w:rFonts w:cstheme="minorBidi"/>
              <w:noProof/>
              <w:lang w:val="en-AU" w:eastAsia="en-AU"/>
            </w:rPr>
          </w:pPr>
          <w:hyperlink w:anchor="_Toc109209854" w:history="1">
            <w:r w:rsidR="00447710" w:rsidRPr="00670121">
              <w:rPr>
                <w:rStyle w:val="Hyperlink"/>
                <w:noProof/>
              </w:rPr>
              <w:t>Objectives</w:t>
            </w:r>
            <w:r w:rsidR="00447710">
              <w:rPr>
                <w:noProof/>
                <w:webHidden/>
              </w:rPr>
              <w:tab/>
            </w:r>
            <w:r w:rsidR="00447710">
              <w:rPr>
                <w:noProof/>
                <w:webHidden/>
              </w:rPr>
              <w:fldChar w:fldCharType="begin"/>
            </w:r>
            <w:r w:rsidR="00447710">
              <w:rPr>
                <w:noProof/>
                <w:webHidden/>
              </w:rPr>
              <w:instrText xml:space="preserve"> PAGEREF _Toc109209854 \h </w:instrText>
            </w:r>
            <w:r w:rsidR="00447710">
              <w:rPr>
                <w:noProof/>
                <w:webHidden/>
              </w:rPr>
            </w:r>
            <w:r w:rsidR="00447710">
              <w:rPr>
                <w:noProof/>
                <w:webHidden/>
              </w:rPr>
              <w:fldChar w:fldCharType="separate"/>
            </w:r>
            <w:r w:rsidR="00447710">
              <w:rPr>
                <w:noProof/>
                <w:webHidden/>
              </w:rPr>
              <w:t>5</w:t>
            </w:r>
            <w:r w:rsidR="00447710">
              <w:rPr>
                <w:noProof/>
                <w:webHidden/>
              </w:rPr>
              <w:fldChar w:fldCharType="end"/>
            </w:r>
          </w:hyperlink>
        </w:p>
        <w:p w14:paraId="5B8193C6" w14:textId="4CEC0700" w:rsidR="00447710" w:rsidRDefault="004A3BD5">
          <w:pPr>
            <w:pStyle w:val="TOC2"/>
            <w:tabs>
              <w:tab w:val="right" w:leader="dot" w:pos="9060"/>
            </w:tabs>
            <w:rPr>
              <w:rFonts w:cstheme="minorBidi"/>
              <w:noProof/>
              <w:lang w:val="en-AU" w:eastAsia="en-AU"/>
            </w:rPr>
          </w:pPr>
          <w:hyperlink w:anchor="_Toc109209855" w:history="1">
            <w:r w:rsidR="00447710" w:rsidRPr="00670121">
              <w:rPr>
                <w:rStyle w:val="Hyperlink"/>
                <w:noProof/>
              </w:rPr>
              <w:t>Guiding Principles</w:t>
            </w:r>
            <w:r w:rsidR="00447710">
              <w:rPr>
                <w:noProof/>
                <w:webHidden/>
              </w:rPr>
              <w:tab/>
            </w:r>
            <w:r w:rsidR="00447710">
              <w:rPr>
                <w:noProof/>
                <w:webHidden/>
              </w:rPr>
              <w:fldChar w:fldCharType="begin"/>
            </w:r>
            <w:r w:rsidR="00447710">
              <w:rPr>
                <w:noProof/>
                <w:webHidden/>
              </w:rPr>
              <w:instrText xml:space="preserve"> PAGEREF _Toc109209855 \h </w:instrText>
            </w:r>
            <w:r w:rsidR="00447710">
              <w:rPr>
                <w:noProof/>
                <w:webHidden/>
              </w:rPr>
            </w:r>
            <w:r w:rsidR="00447710">
              <w:rPr>
                <w:noProof/>
                <w:webHidden/>
              </w:rPr>
              <w:fldChar w:fldCharType="separate"/>
            </w:r>
            <w:r w:rsidR="00447710">
              <w:rPr>
                <w:noProof/>
                <w:webHidden/>
              </w:rPr>
              <w:t>5</w:t>
            </w:r>
            <w:r w:rsidR="00447710">
              <w:rPr>
                <w:noProof/>
                <w:webHidden/>
              </w:rPr>
              <w:fldChar w:fldCharType="end"/>
            </w:r>
          </w:hyperlink>
        </w:p>
        <w:p w14:paraId="150F080C" w14:textId="5C0D1826" w:rsidR="00447710" w:rsidRDefault="004A3BD5">
          <w:pPr>
            <w:pStyle w:val="TOC2"/>
            <w:tabs>
              <w:tab w:val="right" w:leader="dot" w:pos="9060"/>
            </w:tabs>
            <w:rPr>
              <w:rFonts w:cstheme="minorBidi"/>
              <w:noProof/>
              <w:lang w:val="en-AU" w:eastAsia="en-AU"/>
            </w:rPr>
          </w:pPr>
          <w:hyperlink w:anchor="_Toc109209856" w:history="1">
            <w:r w:rsidR="00447710" w:rsidRPr="00670121">
              <w:rPr>
                <w:rStyle w:val="Hyperlink"/>
                <w:noProof/>
              </w:rPr>
              <w:t>Stakeholders</w:t>
            </w:r>
            <w:r w:rsidR="00447710">
              <w:rPr>
                <w:noProof/>
                <w:webHidden/>
              </w:rPr>
              <w:tab/>
            </w:r>
            <w:r w:rsidR="00447710">
              <w:rPr>
                <w:noProof/>
                <w:webHidden/>
              </w:rPr>
              <w:fldChar w:fldCharType="begin"/>
            </w:r>
            <w:r w:rsidR="00447710">
              <w:rPr>
                <w:noProof/>
                <w:webHidden/>
              </w:rPr>
              <w:instrText xml:space="preserve"> PAGEREF _Toc109209856 \h </w:instrText>
            </w:r>
            <w:r w:rsidR="00447710">
              <w:rPr>
                <w:noProof/>
                <w:webHidden/>
              </w:rPr>
            </w:r>
            <w:r w:rsidR="00447710">
              <w:rPr>
                <w:noProof/>
                <w:webHidden/>
              </w:rPr>
              <w:fldChar w:fldCharType="separate"/>
            </w:r>
            <w:r w:rsidR="00447710">
              <w:rPr>
                <w:noProof/>
                <w:webHidden/>
              </w:rPr>
              <w:t>6</w:t>
            </w:r>
            <w:r w:rsidR="00447710">
              <w:rPr>
                <w:noProof/>
                <w:webHidden/>
              </w:rPr>
              <w:fldChar w:fldCharType="end"/>
            </w:r>
          </w:hyperlink>
        </w:p>
        <w:p w14:paraId="7CB46429" w14:textId="54F6A650" w:rsidR="00447710" w:rsidRDefault="004A3BD5">
          <w:pPr>
            <w:pStyle w:val="TOC1"/>
            <w:rPr>
              <w:rFonts w:cstheme="minorBidi"/>
              <w:noProof/>
              <w:lang w:val="en-AU" w:eastAsia="en-AU"/>
            </w:rPr>
          </w:pPr>
          <w:hyperlink w:anchor="_Toc109209857" w:history="1">
            <w:r w:rsidR="00447710" w:rsidRPr="00670121">
              <w:rPr>
                <w:rStyle w:val="Hyperlink"/>
                <w:noProof/>
              </w:rPr>
              <w:t>The National Framework</w:t>
            </w:r>
            <w:r w:rsidR="00447710">
              <w:rPr>
                <w:noProof/>
                <w:webHidden/>
              </w:rPr>
              <w:tab/>
            </w:r>
            <w:r w:rsidR="00447710">
              <w:rPr>
                <w:noProof/>
                <w:webHidden/>
              </w:rPr>
              <w:fldChar w:fldCharType="begin"/>
            </w:r>
            <w:r w:rsidR="00447710">
              <w:rPr>
                <w:noProof/>
                <w:webHidden/>
              </w:rPr>
              <w:instrText xml:space="preserve"> PAGEREF _Toc109209857 \h </w:instrText>
            </w:r>
            <w:r w:rsidR="00447710">
              <w:rPr>
                <w:noProof/>
                <w:webHidden/>
              </w:rPr>
            </w:r>
            <w:r w:rsidR="00447710">
              <w:rPr>
                <w:noProof/>
                <w:webHidden/>
              </w:rPr>
              <w:fldChar w:fldCharType="separate"/>
            </w:r>
            <w:r w:rsidR="00447710">
              <w:rPr>
                <w:noProof/>
                <w:webHidden/>
              </w:rPr>
              <w:t>6</w:t>
            </w:r>
            <w:r w:rsidR="00447710">
              <w:rPr>
                <w:noProof/>
                <w:webHidden/>
              </w:rPr>
              <w:fldChar w:fldCharType="end"/>
            </w:r>
          </w:hyperlink>
        </w:p>
        <w:p w14:paraId="2F7374C1" w14:textId="7775CDB8" w:rsidR="00447710" w:rsidRDefault="004A3BD5">
          <w:pPr>
            <w:pStyle w:val="TOC2"/>
            <w:tabs>
              <w:tab w:val="left" w:pos="660"/>
              <w:tab w:val="right" w:leader="dot" w:pos="9060"/>
            </w:tabs>
            <w:rPr>
              <w:rFonts w:cstheme="minorBidi"/>
              <w:noProof/>
              <w:lang w:val="en-AU" w:eastAsia="en-AU"/>
            </w:rPr>
          </w:pPr>
          <w:hyperlink w:anchor="_Toc109209858" w:history="1">
            <w:r w:rsidR="00447710" w:rsidRPr="00670121">
              <w:rPr>
                <w:rStyle w:val="Hyperlink"/>
                <w:noProof/>
              </w:rPr>
              <w:t>1.</w:t>
            </w:r>
            <w:r w:rsidR="00447710">
              <w:rPr>
                <w:rFonts w:cstheme="minorBidi"/>
                <w:noProof/>
                <w:lang w:val="en-AU" w:eastAsia="en-AU"/>
              </w:rPr>
              <w:tab/>
            </w:r>
            <w:r w:rsidR="00447710" w:rsidRPr="00670121">
              <w:rPr>
                <w:rStyle w:val="Hyperlink"/>
                <w:noProof/>
              </w:rPr>
              <w:t>Scope</w:t>
            </w:r>
            <w:r w:rsidR="00447710">
              <w:rPr>
                <w:noProof/>
                <w:webHidden/>
              </w:rPr>
              <w:tab/>
            </w:r>
            <w:r w:rsidR="00447710">
              <w:rPr>
                <w:noProof/>
                <w:webHidden/>
              </w:rPr>
              <w:fldChar w:fldCharType="begin"/>
            </w:r>
            <w:r w:rsidR="00447710">
              <w:rPr>
                <w:noProof/>
                <w:webHidden/>
              </w:rPr>
              <w:instrText xml:space="preserve"> PAGEREF _Toc109209858 \h </w:instrText>
            </w:r>
            <w:r w:rsidR="00447710">
              <w:rPr>
                <w:noProof/>
                <w:webHidden/>
              </w:rPr>
            </w:r>
            <w:r w:rsidR="00447710">
              <w:rPr>
                <w:noProof/>
                <w:webHidden/>
              </w:rPr>
              <w:fldChar w:fldCharType="separate"/>
            </w:r>
            <w:r w:rsidR="00447710">
              <w:rPr>
                <w:noProof/>
                <w:webHidden/>
              </w:rPr>
              <w:t>7</w:t>
            </w:r>
            <w:r w:rsidR="00447710">
              <w:rPr>
                <w:noProof/>
                <w:webHidden/>
              </w:rPr>
              <w:fldChar w:fldCharType="end"/>
            </w:r>
          </w:hyperlink>
        </w:p>
        <w:p w14:paraId="7B52CD54" w14:textId="68CF0989" w:rsidR="00447710" w:rsidRDefault="004A3BD5">
          <w:pPr>
            <w:pStyle w:val="TOC2"/>
            <w:tabs>
              <w:tab w:val="left" w:pos="660"/>
              <w:tab w:val="right" w:leader="dot" w:pos="9060"/>
            </w:tabs>
            <w:rPr>
              <w:rFonts w:cstheme="minorBidi"/>
              <w:noProof/>
              <w:lang w:val="en-AU" w:eastAsia="en-AU"/>
            </w:rPr>
          </w:pPr>
          <w:hyperlink w:anchor="_Toc109209859" w:history="1">
            <w:r w:rsidR="00447710" w:rsidRPr="00670121">
              <w:rPr>
                <w:rStyle w:val="Hyperlink"/>
                <w:noProof/>
              </w:rPr>
              <w:t>2.</w:t>
            </w:r>
            <w:r w:rsidR="00447710">
              <w:rPr>
                <w:rFonts w:cstheme="minorBidi"/>
                <w:noProof/>
                <w:lang w:val="en-AU" w:eastAsia="en-AU"/>
              </w:rPr>
              <w:tab/>
            </w:r>
            <w:r w:rsidR="00447710" w:rsidRPr="00670121">
              <w:rPr>
                <w:rStyle w:val="Hyperlink"/>
                <w:noProof/>
              </w:rPr>
              <w:t>Purpose</w:t>
            </w:r>
            <w:r w:rsidR="00447710">
              <w:rPr>
                <w:noProof/>
                <w:webHidden/>
              </w:rPr>
              <w:tab/>
            </w:r>
            <w:r w:rsidR="00447710">
              <w:rPr>
                <w:noProof/>
                <w:webHidden/>
              </w:rPr>
              <w:fldChar w:fldCharType="begin"/>
            </w:r>
            <w:r w:rsidR="00447710">
              <w:rPr>
                <w:noProof/>
                <w:webHidden/>
              </w:rPr>
              <w:instrText xml:space="preserve"> PAGEREF _Toc109209859 \h </w:instrText>
            </w:r>
            <w:r w:rsidR="00447710">
              <w:rPr>
                <w:noProof/>
                <w:webHidden/>
              </w:rPr>
            </w:r>
            <w:r w:rsidR="00447710">
              <w:rPr>
                <w:noProof/>
                <w:webHidden/>
              </w:rPr>
              <w:fldChar w:fldCharType="separate"/>
            </w:r>
            <w:r w:rsidR="00447710">
              <w:rPr>
                <w:noProof/>
                <w:webHidden/>
              </w:rPr>
              <w:t>8</w:t>
            </w:r>
            <w:r w:rsidR="00447710">
              <w:rPr>
                <w:noProof/>
                <w:webHidden/>
              </w:rPr>
              <w:fldChar w:fldCharType="end"/>
            </w:r>
          </w:hyperlink>
        </w:p>
        <w:p w14:paraId="329BF8B7" w14:textId="615DDB3B" w:rsidR="00447710" w:rsidRDefault="004A3BD5">
          <w:pPr>
            <w:pStyle w:val="TOC2"/>
            <w:tabs>
              <w:tab w:val="left" w:pos="660"/>
              <w:tab w:val="right" w:leader="dot" w:pos="9060"/>
            </w:tabs>
            <w:rPr>
              <w:rFonts w:cstheme="minorBidi"/>
              <w:noProof/>
              <w:lang w:val="en-AU" w:eastAsia="en-AU"/>
            </w:rPr>
          </w:pPr>
          <w:hyperlink w:anchor="_Toc109209860" w:history="1">
            <w:r w:rsidR="00447710" w:rsidRPr="00670121">
              <w:rPr>
                <w:rStyle w:val="Hyperlink"/>
                <w:noProof/>
              </w:rPr>
              <w:t>3.</w:t>
            </w:r>
            <w:r w:rsidR="00447710">
              <w:rPr>
                <w:rFonts w:cstheme="minorBidi"/>
                <w:noProof/>
                <w:lang w:val="en-AU" w:eastAsia="en-AU"/>
              </w:rPr>
              <w:tab/>
            </w:r>
            <w:r w:rsidR="00447710" w:rsidRPr="00670121">
              <w:rPr>
                <w:rStyle w:val="Hyperlink"/>
                <w:noProof/>
              </w:rPr>
              <w:t>Governance and oversight</w:t>
            </w:r>
            <w:r w:rsidR="00447710">
              <w:rPr>
                <w:noProof/>
                <w:webHidden/>
              </w:rPr>
              <w:tab/>
            </w:r>
            <w:r w:rsidR="00447710">
              <w:rPr>
                <w:noProof/>
                <w:webHidden/>
              </w:rPr>
              <w:fldChar w:fldCharType="begin"/>
            </w:r>
            <w:r w:rsidR="00447710">
              <w:rPr>
                <w:noProof/>
                <w:webHidden/>
              </w:rPr>
              <w:instrText xml:space="preserve"> PAGEREF _Toc109209860 \h </w:instrText>
            </w:r>
            <w:r w:rsidR="00447710">
              <w:rPr>
                <w:noProof/>
                <w:webHidden/>
              </w:rPr>
            </w:r>
            <w:r w:rsidR="00447710">
              <w:rPr>
                <w:noProof/>
                <w:webHidden/>
              </w:rPr>
              <w:fldChar w:fldCharType="separate"/>
            </w:r>
            <w:r w:rsidR="00447710">
              <w:rPr>
                <w:noProof/>
                <w:webHidden/>
              </w:rPr>
              <w:t>8</w:t>
            </w:r>
            <w:r w:rsidR="00447710">
              <w:rPr>
                <w:noProof/>
                <w:webHidden/>
              </w:rPr>
              <w:fldChar w:fldCharType="end"/>
            </w:r>
          </w:hyperlink>
        </w:p>
        <w:p w14:paraId="24A15F38" w14:textId="5BDEAA89" w:rsidR="00447710" w:rsidRDefault="004A3BD5">
          <w:pPr>
            <w:pStyle w:val="TOC2"/>
            <w:tabs>
              <w:tab w:val="left" w:pos="660"/>
              <w:tab w:val="right" w:leader="dot" w:pos="9060"/>
            </w:tabs>
            <w:rPr>
              <w:rFonts w:cstheme="minorBidi"/>
              <w:noProof/>
              <w:lang w:val="en-AU" w:eastAsia="en-AU"/>
            </w:rPr>
          </w:pPr>
          <w:hyperlink w:anchor="_Toc109209861" w:history="1">
            <w:r w:rsidR="00447710" w:rsidRPr="00670121">
              <w:rPr>
                <w:rStyle w:val="Hyperlink"/>
                <w:noProof/>
              </w:rPr>
              <w:t>4.</w:t>
            </w:r>
            <w:r w:rsidR="00447710">
              <w:rPr>
                <w:rFonts w:cstheme="minorBidi"/>
                <w:noProof/>
                <w:lang w:val="en-AU" w:eastAsia="en-AU"/>
              </w:rPr>
              <w:tab/>
            </w:r>
            <w:r w:rsidR="00447710" w:rsidRPr="00670121">
              <w:rPr>
                <w:rStyle w:val="Hyperlink"/>
                <w:noProof/>
              </w:rPr>
              <w:t>Self-sufficiency, importation and exportation of tissues and tissue-based products</w:t>
            </w:r>
            <w:r w:rsidR="00447710">
              <w:rPr>
                <w:noProof/>
                <w:webHidden/>
              </w:rPr>
              <w:tab/>
            </w:r>
            <w:r w:rsidR="00447710">
              <w:rPr>
                <w:noProof/>
                <w:webHidden/>
              </w:rPr>
              <w:fldChar w:fldCharType="begin"/>
            </w:r>
            <w:r w:rsidR="00447710">
              <w:rPr>
                <w:noProof/>
                <w:webHidden/>
              </w:rPr>
              <w:instrText xml:space="preserve"> PAGEREF _Toc109209861 \h </w:instrText>
            </w:r>
            <w:r w:rsidR="00447710">
              <w:rPr>
                <w:noProof/>
                <w:webHidden/>
              </w:rPr>
            </w:r>
            <w:r w:rsidR="00447710">
              <w:rPr>
                <w:noProof/>
                <w:webHidden/>
              </w:rPr>
              <w:fldChar w:fldCharType="separate"/>
            </w:r>
            <w:r w:rsidR="00447710">
              <w:rPr>
                <w:noProof/>
                <w:webHidden/>
              </w:rPr>
              <w:t>9</w:t>
            </w:r>
            <w:r w:rsidR="00447710">
              <w:rPr>
                <w:noProof/>
                <w:webHidden/>
              </w:rPr>
              <w:fldChar w:fldCharType="end"/>
            </w:r>
          </w:hyperlink>
        </w:p>
        <w:p w14:paraId="5DCEBFE8" w14:textId="0DAB155A" w:rsidR="00447710" w:rsidRDefault="004A3BD5">
          <w:pPr>
            <w:pStyle w:val="TOC2"/>
            <w:tabs>
              <w:tab w:val="left" w:pos="660"/>
              <w:tab w:val="right" w:leader="dot" w:pos="9060"/>
            </w:tabs>
            <w:rPr>
              <w:rFonts w:cstheme="minorBidi"/>
              <w:noProof/>
              <w:lang w:val="en-AU" w:eastAsia="en-AU"/>
            </w:rPr>
          </w:pPr>
          <w:hyperlink w:anchor="_Toc109209862" w:history="1">
            <w:r w:rsidR="00447710" w:rsidRPr="00670121">
              <w:rPr>
                <w:rStyle w:val="Hyperlink"/>
                <w:noProof/>
              </w:rPr>
              <w:t>5.</w:t>
            </w:r>
            <w:r w:rsidR="00447710">
              <w:rPr>
                <w:rFonts w:cstheme="minorBidi"/>
                <w:noProof/>
                <w:lang w:val="en-AU" w:eastAsia="en-AU"/>
              </w:rPr>
              <w:tab/>
            </w:r>
            <w:r w:rsidR="00447710" w:rsidRPr="00670121">
              <w:rPr>
                <w:rStyle w:val="Hyperlink"/>
                <w:noProof/>
              </w:rPr>
              <w:t>Tissue supply costs</w:t>
            </w:r>
            <w:r w:rsidR="00447710">
              <w:rPr>
                <w:noProof/>
                <w:webHidden/>
              </w:rPr>
              <w:tab/>
            </w:r>
            <w:r w:rsidR="00447710">
              <w:rPr>
                <w:noProof/>
                <w:webHidden/>
              </w:rPr>
              <w:fldChar w:fldCharType="begin"/>
            </w:r>
            <w:r w:rsidR="00447710">
              <w:rPr>
                <w:noProof/>
                <w:webHidden/>
              </w:rPr>
              <w:instrText xml:space="preserve"> PAGEREF _Toc109209862 \h </w:instrText>
            </w:r>
            <w:r w:rsidR="00447710">
              <w:rPr>
                <w:noProof/>
                <w:webHidden/>
              </w:rPr>
            </w:r>
            <w:r w:rsidR="00447710">
              <w:rPr>
                <w:noProof/>
                <w:webHidden/>
              </w:rPr>
              <w:fldChar w:fldCharType="separate"/>
            </w:r>
            <w:r w:rsidR="00447710">
              <w:rPr>
                <w:noProof/>
                <w:webHidden/>
              </w:rPr>
              <w:t>10</w:t>
            </w:r>
            <w:r w:rsidR="00447710">
              <w:rPr>
                <w:noProof/>
                <w:webHidden/>
              </w:rPr>
              <w:fldChar w:fldCharType="end"/>
            </w:r>
          </w:hyperlink>
        </w:p>
        <w:p w14:paraId="5FA51BF1" w14:textId="541D5DEE" w:rsidR="00447710" w:rsidRDefault="004A3BD5">
          <w:pPr>
            <w:pStyle w:val="TOC2"/>
            <w:tabs>
              <w:tab w:val="left" w:pos="660"/>
              <w:tab w:val="right" w:leader="dot" w:pos="9060"/>
            </w:tabs>
            <w:rPr>
              <w:rFonts w:cstheme="minorBidi"/>
              <w:noProof/>
              <w:lang w:val="en-AU" w:eastAsia="en-AU"/>
            </w:rPr>
          </w:pPr>
          <w:hyperlink w:anchor="_Toc109209863" w:history="1">
            <w:r w:rsidR="00447710" w:rsidRPr="00670121">
              <w:rPr>
                <w:rStyle w:val="Hyperlink"/>
                <w:noProof/>
              </w:rPr>
              <w:t>6.</w:t>
            </w:r>
            <w:r w:rsidR="00447710">
              <w:rPr>
                <w:rFonts w:cstheme="minorBidi"/>
                <w:noProof/>
                <w:lang w:val="en-AU" w:eastAsia="en-AU"/>
              </w:rPr>
              <w:tab/>
            </w:r>
            <w:r w:rsidR="00447710" w:rsidRPr="00670121">
              <w:rPr>
                <w:rStyle w:val="Hyperlink"/>
                <w:noProof/>
              </w:rPr>
              <w:t>Stakeholder engagement</w:t>
            </w:r>
            <w:r w:rsidR="00447710">
              <w:rPr>
                <w:noProof/>
                <w:webHidden/>
              </w:rPr>
              <w:tab/>
            </w:r>
            <w:r w:rsidR="00447710">
              <w:rPr>
                <w:noProof/>
                <w:webHidden/>
              </w:rPr>
              <w:fldChar w:fldCharType="begin"/>
            </w:r>
            <w:r w:rsidR="00447710">
              <w:rPr>
                <w:noProof/>
                <w:webHidden/>
              </w:rPr>
              <w:instrText xml:space="preserve"> PAGEREF _Toc109209863 \h </w:instrText>
            </w:r>
            <w:r w:rsidR="00447710">
              <w:rPr>
                <w:noProof/>
                <w:webHidden/>
              </w:rPr>
            </w:r>
            <w:r w:rsidR="00447710">
              <w:rPr>
                <w:noProof/>
                <w:webHidden/>
              </w:rPr>
              <w:fldChar w:fldCharType="separate"/>
            </w:r>
            <w:r w:rsidR="00447710">
              <w:rPr>
                <w:noProof/>
                <w:webHidden/>
              </w:rPr>
              <w:t>11</w:t>
            </w:r>
            <w:r w:rsidR="00447710">
              <w:rPr>
                <w:noProof/>
                <w:webHidden/>
              </w:rPr>
              <w:fldChar w:fldCharType="end"/>
            </w:r>
          </w:hyperlink>
        </w:p>
        <w:p w14:paraId="5C2DE5A2" w14:textId="06EA9A69" w:rsidR="00447710" w:rsidRDefault="004A3BD5">
          <w:pPr>
            <w:pStyle w:val="TOC2"/>
            <w:tabs>
              <w:tab w:val="left" w:pos="660"/>
              <w:tab w:val="right" w:leader="dot" w:pos="9060"/>
            </w:tabs>
            <w:rPr>
              <w:rFonts w:cstheme="minorBidi"/>
              <w:noProof/>
              <w:lang w:val="en-AU" w:eastAsia="en-AU"/>
            </w:rPr>
          </w:pPr>
          <w:hyperlink w:anchor="_Toc109209864" w:history="1">
            <w:r w:rsidR="00447710" w:rsidRPr="00670121">
              <w:rPr>
                <w:rStyle w:val="Hyperlink"/>
                <w:noProof/>
              </w:rPr>
              <w:t>7.</w:t>
            </w:r>
            <w:r w:rsidR="00447710">
              <w:rPr>
                <w:rFonts w:cstheme="minorBidi"/>
                <w:noProof/>
                <w:lang w:val="en-AU" w:eastAsia="en-AU"/>
              </w:rPr>
              <w:tab/>
            </w:r>
            <w:r w:rsidR="00447710" w:rsidRPr="00670121">
              <w:rPr>
                <w:rStyle w:val="Hyperlink"/>
                <w:noProof/>
              </w:rPr>
              <w:t>Research</w:t>
            </w:r>
            <w:r w:rsidR="00447710">
              <w:rPr>
                <w:noProof/>
                <w:webHidden/>
              </w:rPr>
              <w:tab/>
            </w:r>
            <w:r w:rsidR="00447710">
              <w:rPr>
                <w:noProof/>
                <w:webHidden/>
              </w:rPr>
              <w:fldChar w:fldCharType="begin"/>
            </w:r>
            <w:r w:rsidR="00447710">
              <w:rPr>
                <w:noProof/>
                <w:webHidden/>
              </w:rPr>
              <w:instrText xml:space="preserve"> PAGEREF _Toc109209864 \h </w:instrText>
            </w:r>
            <w:r w:rsidR="00447710">
              <w:rPr>
                <w:noProof/>
                <w:webHidden/>
              </w:rPr>
            </w:r>
            <w:r w:rsidR="00447710">
              <w:rPr>
                <w:noProof/>
                <w:webHidden/>
              </w:rPr>
              <w:fldChar w:fldCharType="separate"/>
            </w:r>
            <w:r w:rsidR="00447710">
              <w:rPr>
                <w:noProof/>
                <w:webHidden/>
              </w:rPr>
              <w:t>11</w:t>
            </w:r>
            <w:r w:rsidR="00447710">
              <w:rPr>
                <w:noProof/>
                <w:webHidden/>
              </w:rPr>
              <w:fldChar w:fldCharType="end"/>
            </w:r>
          </w:hyperlink>
        </w:p>
        <w:p w14:paraId="67CF6612" w14:textId="78959D6E" w:rsidR="00447710" w:rsidRDefault="004A3BD5">
          <w:pPr>
            <w:pStyle w:val="TOC2"/>
            <w:tabs>
              <w:tab w:val="left" w:pos="660"/>
              <w:tab w:val="right" w:leader="dot" w:pos="9060"/>
            </w:tabs>
            <w:rPr>
              <w:rFonts w:cstheme="minorBidi"/>
              <w:noProof/>
              <w:lang w:val="en-AU" w:eastAsia="en-AU"/>
            </w:rPr>
          </w:pPr>
          <w:hyperlink w:anchor="_Toc109209865" w:history="1">
            <w:r w:rsidR="00447710" w:rsidRPr="00670121">
              <w:rPr>
                <w:rStyle w:val="Hyperlink"/>
                <w:noProof/>
              </w:rPr>
              <w:t>8.</w:t>
            </w:r>
            <w:r w:rsidR="00447710">
              <w:rPr>
                <w:rFonts w:cstheme="minorBidi"/>
                <w:noProof/>
                <w:lang w:val="en-AU" w:eastAsia="en-AU"/>
              </w:rPr>
              <w:tab/>
            </w:r>
            <w:r w:rsidR="00447710" w:rsidRPr="00670121">
              <w:rPr>
                <w:rStyle w:val="Hyperlink"/>
                <w:noProof/>
              </w:rPr>
              <w:t>Data and reporting</w:t>
            </w:r>
            <w:r w:rsidR="00447710">
              <w:rPr>
                <w:noProof/>
                <w:webHidden/>
              </w:rPr>
              <w:tab/>
            </w:r>
            <w:r w:rsidR="00447710">
              <w:rPr>
                <w:noProof/>
                <w:webHidden/>
              </w:rPr>
              <w:fldChar w:fldCharType="begin"/>
            </w:r>
            <w:r w:rsidR="00447710">
              <w:rPr>
                <w:noProof/>
                <w:webHidden/>
              </w:rPr>
              <w:instrText xml:space="preserve"> PAGEREF _Toc109209865 \h </w:instrText>
            </w:r>
            <w:r w:rsidR="00447710">
              <w:rPr>
                <w:noProof/>
                <w:webHidden/>
              </w:rPr>
            </w:r>
            <w:r w:rsidR="00447710">
              <w:rPr>
                <w:noProof/>
                <w:webHidden/>
              </w:rPr>
              <w:fldChar w:fldCharType="separate"/>
            </w:r>
            <w:r w:rsidR="00447710">
              <w:rPr>
                <w:noProof/>
                <w:webHidden/>
              </w:rPr>
              <w:t>12</w:t>
            </w:r>
            <w:r w:rsidR="00447710">
              <w:rPr>
                <w:noProof/>
                <w:webHidden/>
              </w:rPr>
              <w:fldChar w:fldCharType="end"/>
            </w:r>
          </w:hyperlink>
        </w:p>
        <w:p w14:paraId="1A8BA1CC" w14:textId="0B65733D" w:rsidR="00447710" w:rsidRDefault="004A3BD5">
          <w:pPr>
            <w:pStyle w:val="TOC1"/>
            <w:rPr>
              <w:rFonts w:cstheme="minorBidi"/>
              <w:noProof/>
              <w:lang w:val="en-AU" w:eastAsia="en-AU"/>
            </w:rPr>
          </w:pPr>
          <w:hyperlink w:anchor="_Toc109209866" w:history="1">
            <w:r w:rsidR="00447710" w:rsidRPr="00670121">
              <w:rPr>
                <w:rStyle w:val="Hyperlink"/>
                <w:noProof/>
              </w:rPr>
              <w:t>Progressing the Framework</w:t>
            </w:r>
            <w:r w:rsidR="00447710">
              <w:rPr>
                <w:noProof/>
                <w:webHidden/>
              </w:rPr>
              <w:tab/>
            </w:r>
            <w:r w:rsidR="00447710">
              <w:rPr>
                <w:noProof/>
                <w:webHidden/>
              </w:rPr>
              <w:fldChar w:fldCharType="begin"/>
            </w:r>
            <w:r w:rsidR="00447710">
              <w:rPr>
                <w:noProof/>
                <w:webHidden/>
              </w:rPr>
              <w:instrText xml:space="preserve"> PAGEREF _Toc109209866 \h </w:instrText>
            </w:r>
            <w:r w:rsidR="00447710">
              <w:rPr>
                <w:noProof/>
                <w:webHidden/>
              </w:rPr>
            </w:r>
            <w:r w:rsidR="00447710">
              <w:rPr>
                <w:noProof/>
                <w:webHidden/>
              </w:rPr>
              <w:fldChar w:fldCharType="separate"/>
            </w:r>
            <w:r w:rsidR="00447710">
              <w:rPr>
                <w:noProof/>
                <w:webHidden/>
              </w:rPr>
              <w:t>12</w:t>
            </w:r>
            <w:r w:rsidR="00447710">
              <w:rPr>
                <w:noProof/>
                <w:webHidden/>
              </w:rPr>
              <w:fldChar w:fldCharType="end"/>
            </w:r>
          </w:hyperlink>
        </w:p>
        <w:p w14:paraId="79CAE01B" w14:textId="4DEE9461" w:rsidR="00447710" w:rsidRDefault="004A3BD5">
          <w:pPr>
            <w:pStyle w:val="TOC3"/>
            <w:rPr>
              <w:rFonts w:cstheme="minorBidi"/>
              <w:noProof/>
              <w:lang w:val="en-AU" w:eastAsia="en-AU"/>
            </w:rPr>
          </w:pPr>
          <w:hyperlink w:anchor="_Toc109209867" w:history="1">
            <w:r w:rsidR="00447710" w:rsidRPr="00670121">
              <w:rPr>
                <w:rStyle w:val="Hyperlink"/>
                <w:noProof/>
              </w:rPr>
              <w:t>Ongoing Review</w:t>
            </w:r>
            <w:r w:rsidR="00447710">
              <w:rPr>
                <w:noProof/>
                <w:webHidden/>
              </w:rPr>
              <w:tab/>
            </w:r>
            <w:r w:rsidR="00447710">
              <w:rPr>
                <w:noProof/>
                <w:webHidden/>
              </w:rPr>
              <w:fldChar w:fldCharType="begin"/>
            </w:r>
            <w:r w:rsidR="00447710">
              <w:rPr>
                <w:noProof/>
                <w:webHidden/>
              </w:rPr>
              <w:instrText xml:space="preserve"> PAGEREF _Toc109209867 \h </w:instrText>
            </w:r>
            <w:r w:rsidR="00447710">
              <w:rPr>
                <w:noProof/>
                <w:webHidden/>
              </w:rPr>
            </w:r>
            <w:r w:rsidR="00447710">
              <w:rPr>
                <w:noProof/>
                <w:webHidden/>
              </w:rPr>
              <w:fldChar w:fldCharType="separate"/>
            </w:r>
            <w:r w:rsidR="00447710">
              <w:rPr>
                <w:noProof/>
                <w:webHidden/>
              </w:rPr>
              <w:t>13</w:t>
            </w:r>
            <w:r w:rsidR="00447710">
              <w:rPr>
                <w:noProof/>
                <w:webHidden/>
              </w:rPr>
              <w:fldChar w:fldCharType="end"/>
            </w:r>
          </w:hyperlink>
        </w:p>
        <w:p w14:paraId="77045335" w14:textId="6908E090" w:rsidR="00447710" w:rsidRDefault="004A3BD5">
          <w:pPr>
            <w:pStyle w:val="TOC1"/>
            <w:rPr>
              <w:rFonts w:cstheme="minorBidi"/>
              <w:noProof/>
              <w:lang w:val="en-AU" w:eastAsia="en-AU"/>
            </w:rPr>
          </w:pPr>
          <w:hyperlink w:anchor="_Toc109209868" w:history="1">
            <w:r w:rsidR="00447710" w:rsidRPr="00670121">
              <w:rPr>
                <w:rStyle w:val="Hyperlink"/>
                <w:noProof/>
              </w:rPr>
              <w:t>Appendices</w:t>
            </w:r>
            <w:r w:rsidR="00447710">
              <w:rPr>
                <w:noProof/>
                <w:webHidden/>
              </w:rPr>
              <w:tab/>
            </w:r>
            <w:r w:rsidR="00447710">
              <w:rPr>
                <w:noProof/>
                <w:webHidden/>
              </w:rPr>
              <w:fldChar w:fldCharType="begin"/>
            </w:r>
            <w:r w:rsidR="00447710">
              <w:rPr>
                <w:noProof/>
                <w:webHidden/>
              </w:rPr>
              <w:instrText xml:space="preserve"> PAGEREF _Toc109209868 \h </w:instrText>
            </w:r>
            <w:r w:rsidR="00447710">
              <w:rPr>
                <w:noProof/>
                <w:webHidden/>
              </w:rPr>
            </w:r>
            <w:r w:rsidR="00447710">
              <w:rPr>
                <w:noProof/>
                <w:webHidden/>
              </w:rPr>
              <w:fldChar w:fldCharType="separate"/>
            </w:r>
            <w:r w:rsidR="00447710">
              <w:rPr>
                <w:noProof/>
                <w:webHidden/>
              </w:rPr>
              <w:t>14</w:t>
            </w:r>
            <w:r w:rsidR="00447710">
              <w:rPr>
                <w:noProof/>
                <w:webHidden/>
              </w:rPr>
              <w:fldChar w:fldCharType="end"/>
            </w:r>
          </w:hyperlink>
        </w:p>
        <w:p w14:paraId="7BF90B91" w14:textId="0C478ADC" w:rsidR="00447710" w:rsidRDefault="004A3BD5">
          <w:pPr>
            <w:pStyle w:val="TOC1"/>
            <w:rPr>
              <w:rFonts w:cstheme="minorBidi"/>
              <w:noProof/>
              <w:lang w:val="en-AU" w:eastAsia="en-AU"/>
            </w:rPr>
          </w:pPr>
          <w:hyperlink w:anchor="_Toc109209869" w:history="1">
            <w:r w:rsidR="00447710" w:rsidRPr="00670121">
              <w:rPr>
                <w:rStyle w:val="Hyperlink"/>
                <w:noProof/>
              </w:rPr>
              <w:t>Appendix A – The Australian Eye and Tissue Sector</w:t>
            </w:r>
            <w:r w:rsidR="00447710">
              <w:rPr>
                <w:noProof/>
                <w:webHidden/>
              </w:rPr>
              <w:tab/>
            </w:r>
            <w:r w:rsidR="00447710">
              <w:rPr>
                <w:noProof/>
                <w:webHidden/>
              </w:rPr>
              <w:fldChar w:fldCharType="begin"/>
            </w:r>
            <w:r w:rsidR="00447710">
              <w:rPr>
                <w:noProof/>
                <w:webHidden/>
              </w:rPr>
              <w:instrText xml:space="preserve"> PAGEREF _Toc109209869 \h </w:instrText>
            </w:r>
            <w:r w:rsidR="00447710">
              <w:rPr>
                <w:noProof/>
                <w:webHidden/>
              </w:rPr>
            </w:r>
            <w:r w:rsidR="00447710">
              <w:rPr>
                <w:noProof/>
                <w:webHidden/>
              </w:rPr>
              <w:fldChar w:fldCharType="separate"/>
            </w:r>
            <w:r w:rsidR="00447710">
              <w:rPr>
                <w:noProof/>
                <w:webHidden/>
              </w:rPr>
              <w:t>14</w:t>
            </w:r>
            <w:r w:rsidR="00447710">
              <w:rPr>
                <w:noProof/>
                <w:webHidden/>
              </w:rPr>
              <w:fldChar w:fldCharType="end"/>
            </w:r>
          </w:hyperlink>
        </w:p>
        <w:p w14:paraId="1C3DA87F" w14:textId="6F5F6DEE" w:rsidR="00447710" w:rsidRDefault="004A3BD5">
          <w:pPr>
            <w:pStyle w:val="TOC3"/>
            <w:rPr>
              <w:rFonts w:cstheme="minorBidi"/>
              <w:noProof/>
              <w:lang w:val="en-AU" w:eastAsia="en-AU"/>
            </w:rPr>
          </w:pPr>
          <w:hyperlink w:anchor="_Toc109209870" w:history="1">
            <w:r w:rsidR="00447710" w:rsidRPr="00670121">
              <w:rPr>
                <w:rStyle w:val="Hyperlink"/>
                <w:noProof/>
              </w:rPr>
              <w:t>Legislative Framework</w:t>
            </w:r>
            <w:r w:rsidR="00447710">
              <w:rPr>
                <w:noProof/>
                <w:webHidden/>
              </w:rPr>
              <w:tab/>
            </w:r>
            <w:r w:rsidR="00447710">
              <w:rPr>
                <w:noProof/>
                <w:webHidden/>
              </w:rPr>
              <w:fldChar w:fldCharType="begin"/>
            </w:r>
            <w:r w:rsidR="00447710">
              <w:rPr>
                <w:noProof/>
                <w:webHidden/>
              </w:rPr>
              <w:instrText xml:space="preserve"> PAGEREF _Toc109209870 \h </w:instrText>
            </w:r>
            <w:r w:rsidR="00447710">
              <w:rPr>
                <w:noProof/>
                <w:webHidden/>
              </w:rPr>
            </w:r>
            <w:r w:rsidR="00447710">
              <w:rPr>
                <w:noProof/>
                <w:webHidden/>
              </w:rPr>
              <w:fldChar w:fldCharType="separate"/>
            </w:r>
            <w:r w:rsidR="00447710">
              <w:rPr>
                <w:noProof/>
                <w:webHidden/>
              </w:rPr>
              <w:t>14</w:t>
            </w:r>
            <w:r w:rsidR="00447710">
              <w:rPr>
                <w:noProof/>
                <w:webHidden/>
              </w:rPr>
              <w:fldChar w:fldCharType="end"/>
            </w:r>
          </w:hyperlink>
        </w:p>
        <w:p w14:paraId="0475DC7E" w14:textId="2FA5C390" w:rsidR="00447710" w:rsidRDefault="004A3BD5">
          <w:pPr>
            <w:pStyle w:val="TOC3"/>
            <w:rPr>
              <w:rFonts w:cstheme="minorBidi"/>
              <w:noProof/>
              <w:lang w:val="en-AU" w:eastAsia="en-AU"/>
            </w:rPr>
          </w:pPr>
          <w:hyperlink w:anchor="_Toc109209871" w:history="1">
            <w:r w:rsidR="00447710" w:rsidRPr="00670121">
              <w:rPr>
                <w:rStyle w:val="Hyperlink"/>
                <w:noProof/>
              </w:rPr>
              <w:t>Eye donation and transplantation</w:t>
            </w:r>
            <w:r w:rsidR="00447710">
              <w:rPr>
                <w:noProof/>
                <w:webHidden/>
              </w:rPr>
              <w:tab/>
            </w:r>
            <w:r w:rsidR="00447710">
              <w:rPr>
                <w:noProof/>
                <w:webHidden/>
              </w:rPr>
              <w:fldChar w:fldCharType="begin"/>
            </w:r>
            <w:r w:rsidR="00447710">
              <w:rPr>
                <w:noProof/>
                <w:webHidden/>
              </w:rPr>
              <w:instrText xml:space="preserve"> PAGEREF _Toc109209871 \h </w:instrText>
            </w:r>
            <w:r w:rsidR="00447710">
              <w:rPr>
                <w:noProof/>
                <w:webHidden/>
              </w:rPr>
            </w:r>
            <w:r w:rsidR="00447710">
              <w:rPr>
                <w:noProof/>
                <w:webHidden/>
              </w:rPr>
              <w:fldChar w:fldCharType="separate"/>
            </w:r>
            <w:r w:rsidR="00447710">
              <w:rPr>
                <w:noProof/>
                <w:webHidden/>
              </w:rPr>
              <w:t>15</w:t>
            </w:r>
            <w:r w:rsidR="00447710">
              <w:rPr>
                <w:noProof/>
                <w:webHidden/>
              </w:rPr>
              <w:fldChar w:fldCharType="end"/>
            </w:r>
          </w:hyperlink>
        </w:p>
        <w:p w14:paraId="389884C6" w14:textId="45324793" w:rsidR="00447710" w:rsidRDefault="004A3BD5">
          <w:pPr>
            <w:pStyle w:val="TOC3"/>
            <w:rPr>
              <w:rFonts w:cstheme="minorBidi"/>
              <w:noProof/>
              <w:lang w:val="en-AU" w:eastAsia="en-AU"/>
            </w:rPr>
          </w:pPr>
          <w:hyperlink w:anchor="_Toc109209872" w:history="1">
            <w:r w:rsidR="00447710" w:rsidRPr="00670121">
              <w:rPr>
                <w:rStyle w:val="Hyperlink"/>
                <w:noProof/>
              </w:rPr>
              <w:t>Tissue donation and transplantation</w:t>
            </w:r>
            <w:r w:rsidR="00447710">
              <w:rPr>
                <w:noProof/>
                <w:webHidden/>
              </w:rPr>
              <w:tab/>
            </w:r>
            <w:r w:rsidR="00447710">
              <w:rPr>
                <w:noProof/>
                <w:webHidden/>
              </w:rPr>
              <w:fldChar w:fldCharType="begin"/>
            </w:r>
            <w:r w:rsidR="00447710">
              <w:rPr>
                <w:noProof/>
                <w:webHidden/>
              </w:rPr>
              <w:instrText xml:space="preserve"> PAGEREF _Toc109209872 \h </w:instrText>
            </w:r>
            <w:r w:rsidR="00447710">
              <w:rPr>
                <w:noProof/>
                <w:webHidden/>
              </w:rPr>
            </w:r>
            <w:r w:rsidR="00447710">
              <w:rPr>
                <w:noProof/>
                <w:webHidden/>
              </w:rPr>
              <w:fldChar w:fldCharType="separate"/>
            </w:r>
            <w:r w:rsidR="00447710">
              <w:rPr>
                <w:noProof/>
                <w:webHidden/>
              </w:rPr>
              <w:t>16</w:t>
            </w:r>
            <w:r w:rsidR="00447710">
              <w:rPr>
                <w:noProof/>
                <w:webHidden/>
              </w:rPr>
              <w:fldChar w:fldCharType="end"/>
            </w:r>
          </w:hyperlink>
        </w:p>
        <w:p w14:paraId="4E2A5FD8" w14:textId="50C2F382" w:rsidR="00447710" w:rsidRDefault="004A3BD5">
          <w:pPr>
            <w:pStyle w:val="TOC1"/>
            <w:rPr>
              <w:rFonts w:cstheme="minorBidi"/>
              <w:noProof/>
              <w:lang w:val="en-AU" w:eastAsia="en-AU"/>
            </w:rPr>
          </w:pPr>
          <w:hyperlink w:anchor="_Toc109209873" w:history="1">
            <w:r w:rsidR="00447710" w:rsidRPr="00670121">
              <w:rPr>
                <w:rStyle w:val="Hyperlink"/>
                <w:noProof/>
              </w:rPr>
              <w:t>Appendix B: All Governments’ Statement (June 2017)</w:t>
            </w:r>
            <w:r w:rsidR="00447710">
              <w:rPr>
                <w:noProof/>
                <w:webHidden/>
              </w:rPr>
              <w:tab/>
            </w:r>
            <w:r w:rsidR="00447710">
              <w:rPr>
                <w:noProof/>
                <w:webHidden/>
              </w:rPr>
              <w:fldChar w:fldCharType="begin"/>
            </w:r>
            <w:r w:rsidR="00447710">
              <w:rPr>
                <w:noProof/>
                <w:webHidden/>
              </w:rPr>
              <w:instrText xml:space="preserve"> PAGEREF _Toc109209873 \h </w:instrText>
            </w:r>
            <w:r w:rsidR="00447710">
              <w:rPr>
                <w:noProof/>
                <w:webHidden/>
              </w:rPr>
            </w:r>
            <w:r w:rsidR="00447710">
              <w:rPr>
                <w:noProof/>
                <w:webHidden/>
              </w:rPr>
              <w:fldChar w:fldCharType="separate"/>
            </w:r>
            <w:r w:rsidR="00447710">
              <w:rPr>
                <w:noProof/>
                <w:webHidden/>
              </w:rPr>
              <w:t>18</w:t>
            </w:r>
            <w:r w:rsidR="00447710">
              <w:rPr>
                <w:noProof/>
                <w:webHidden/>
              </w:rPr>
              <w:fldChar w:fldCharType="end"/>
            </w:r>
          </w:hyperlink>
        </w:p>
        <w:p w14:paraId="0BF5DC7E" w14:textId="4AABB8FC" w:rsidR="00CF14A6" w:rsidRDefault="00693A97" w:rsidP="002527A5">
          <w:pPr>
            <w:sectPr w:rsidR="00CF14A6"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r w:rsidRPr="002F53CA">
            <w:rPr>
              <w:rFonts w:cs="Arial"/>
              <w:b/>
              <w:bCs/>
              <w:noProof/>
            </w:rPr>
            <w:fldChar w:fldCharType="end"/>
          </w:r>
        </w:p>
      </w:sdtContent>
    </w:sdt>
    <w:p w14:paraId="72188837" w14:textId="77777777" w:rsidR="00100F6D" w:rsidRDefault="00CA4DF2" w:rsidP="00CF14A6">
      <w:pPr>
        <w:pStyle w:val="Heading1"/>
      </w:pPr>
      <w:bookmarkStart w:id="0" w:name="_Toc80966434"/>
      <w:bookmarkStart w:id="1" w:name="_Toc109209848"/>
      <w:r>
        <w:lastRenderedPageBreak/>
        <w:t>Preambl</w:t>
      </w:r>
      <w:r w:rsidR="00CF14A6">
        <w:t>e</w:t>
      </w:r>
      <w:bookmarkEnd w:id="0"/>
      <w:bookmarkEnd w:id="1"/>
    </w:p>
    <w:p w14:paraId="322E99E5" w14:textId="77777777" w:rsidR="00CA4DF2" w:rsidRPr="00671897" w:rsidRDefault="00CA4DF2" w:rsidP="00CA4DF2">
      <w:pPr>
        <w:spacing w:before="120" w:after="120"/>
        <w:rPr>
          <w:sz w:val="21"/>
        </w:rPr>
      </w:pPr>
      <w:r w:rsidRPr="00671897">
        <w:rPr>
          <w:sz w:val="21"/>
        </w:rPr>
        <w:t>The National Eye and Tissue Sector Framework (the Framework) provides the future directions for the Australian eye and tissue sector. The Framework sets the national objectives to achieve the vision that all Australians</w:t>
      </w:r>
      <w:r w:rsidR="00B6275D">
        <w:rPr>
          <w:rStyle w:val="FootnoteReference"/>
          <w:sz w:val="21"/>
        </w:rPr>
        <w:footnoteReference w:id="2"/>
      </w:r>
      <w:r w:rsidRPr="00671897">
        <w:rPr>
          <w:sz w:val="21"/>
        </w:rPr>
        <w:t xml:space="preserve"> have safe, equitable and ethical access to life</w:t>
      </w:r>
      <w:r w:rsidRPr="00671897">
        <w:rPr>
          <w:sz w:val="21"/>
        </w:rPr>
        <w:noBreakHyphen/>
        <w:t>altering and/or life</w:t>
      </w:r>
      <w:r w:rsidRPr="00671897">
        <w:rPr>
          <w:sz w:val="21"/>
        </w:rPr>
        <w:noBreakHyphen/>
        <w:t xml:space="preserve">saving tissue transplantation, through a strong and effective Australian eye and tissue donation for transplantation sector. </w:t>
      </w:r>
    </w:p>
    <w:p w14:paraId="40D2C008" w14:textId="77777777" w:rsidR="00CA4DF2" w:rsidRPr="00671897" w:rsidRDefault="00CA4DF2" w:rsidP="00CA4DF2">
      <w:pPr>
        <w:spacing w:before="120" w:after="120"/>
        <w:rPr>
          <w:sz w:val="21"/>
        </w:rPr>
      </w:pPr>
      <w:r w:rsidRPr="00671897">
        <w:rPr>
          <w:sz w:val="21"/>
        </w:rPr>
        <w:t xml:space="preserve">The Framework forms the response of all Australian governments to the </w:t>
      </w:r>
      <w:r w:rsidR="00D87B9C" w:rsidRPr="00A06299">
        <w:rPr>
          <w:i/>
          <w:sz w:val="21"/>
        </w:rPr>
        <w:t>Analysis of the Australian Tissue Sector</w:t>
      </w:r>
      <w:r w:rsidR="00D87B9C" w:rsidRPr="00671897">
        <w:rPr>
          <w:sz w:val="21"/>
          <w:vertAlign w:val="superscript"/>
        </w:rPr>
        <w:footnoteReference w:id="3"/>
      </w:r>
      <w:r w:rsidR="00D87B9C" w:rsidRPr="00671897">
        <w:rPr>
          <w:sz w:val="21"/>
        </w:rPr>
        <w:t xml:space="preserve"> </w:t>
      </w:r>
      <w:r w:rsidR="00D87B9C">
        <w:rPr>
          <w:sz w:val="21"/>
        </w:rPr>
        <w:t>undertaken by PricewaterhouseCoopers (PwC)</w:t>
      </w:r>
      <w:r w:rsidR="00D87B9C" w:rsidRPr="00671897">
        <w:rPr>
          <w:sz w:val="21"/>
        </w:rPr>
        <w:t>: (the PwC Report)</w:t>
      </w:r>
      <w:r w:rsidRPr="00671897">
        <w:rPr>
          <w:sz w:val="21"/>
        </w:rPr>
        <w:t xml:space="preserve">. It seeks to: </w:t>
      </w:r>
    </w:p>
    <w:p w14:paraId="701DC493" w14:textId="77777777" w:rsidR="00CA4DF2" w:rsidRPr="00671897" w:rsidRDefault="00CA4DF2" w:rsidP="00CA4DF2">
      <w:pPr>
        <w:pStyle w:val="ListParagraph"/>
        <w:widowControl w:val="0"/>
        <w:numPr>
          <w:ilvl w:val="0"/>
          <w:numId w:val="20"/>
        </w:numPr>
        <w:spacing w:before="120" w:after="120"/>
        <w:ind w:left="567"/>
        <w:contextualSpacing w:val="0"/>
        <w:rPr>
          <w:sz w:val="21"/>
        </w:rPr>
      </w:pPr>
      <w:r w:rsidRPr="00671897">
        <w:rPr>
          <w:sz w:val="21"/>
        </w:rPr>
        <w:t>acknowledge the role of the Australian eye and tissue sector in the broader health system</w:t>
      </w:r>
    </w:p>
    <w:p w14:paraId="410B3B28" w14:textId="77777777" w:rsidR="00CA4DF2" w:rsidRPr="00671897" w:rsidRDefault="00CA4DF2" w:rsidP="00CA4DF2">
      <w:pPr>
        <w:pStyle w:val="ListParagraph"/>
        <w:widowControl w:val="0"/>
        <w:numPr>
          <w:ilvl w:val="0"/>
          <w:numId w:val="20"/>
        </w:numPr>
        <w:spacing w:before="120" w:after="120"/>
        <w:ind w:left="567"/>
        <w:contextualSpacing w:val="0"/>
        <w:rPr>
          <w:sz w:val="21"/>
        </w:rPr>
      </w:pPr>
      <w:r w:rsidRPr="00671897">
        <w:rPr>
          <w:sz w:val="21"/>
        </w:rPr>
        <w:t>support better coordination and consistency of actions across the health system to ensure continued and sustainable access to tissues and tissue-based products</w:t>
      </w:r>
    </w:p>
    <w:p w14:paraId="66E93BD4" w14:textId="77777777" w:rsidR="00CA4DF2" w:rsidRPr="00671897" w:rsidRDefault="00CA4DF2" w:rsidP="00CA4DF2">
      <w:pPr>
        <w:pStyle w:val="ListParagraph"/>
        <w:widowControl w:val="0"/>
        <w:numPr>
          <w:ilvl w:val="0"/>
          <w:numId w:val="20"/>
        </w:numPr>
        <w:spacing w:before="120" w:after="120"/>
        <w:ind w:left="567"/>
        <w:contextualSpacing w:val="0"/>
        <w:rPr>
          <w:sz w:val="21"/>
        </w:rPr>
      </w:pPr>
      <w:r w:rsidRPr="00671897">
        <w:rPr>
          <w:sz w:val="21"/>
        </w:rPr>
        <w:t>support and strengthen what currently works well in the sector</w:t>
      </w:r>
      <w:r w:rsidRPr="00671897" w:rsidDel="00312124">
        <w:rPr>
          <w:sz w:val="21"/>
        </w:rPr>
        <w:t xml:space="preserve"> </w:t>
      </w:r>
    </w:p>
    <w:p w14:paraId="1CA92D1A" w14:textId="77777777" w:rsidR="00CA4DF2" w:rsidRPr="00671897" w:rsidRDefault="00CA4DF2" w:rsidP="00CA4DF2">
      <w:pPr>
        <w:pStyle w:val="ListParagraph"/>
        <w:widowControl w:val="0"/>
        <w:numPr>
          <w:ilvl w:val="0"/>
          <w:numId w:val="20"/>
        </w:numPr>
        <w:spacing w:before="120" w:after="120"/>
        <w:ind w:left="567"/>
        <w:contextualSpacing w:val="0"/>
        <w:rPr>
          <w:sz w:val="21"/>
        </w:rPr>
      </w:pPr>
      <w:r w:rsidRPr="00671897">
        <w:rPr>
          <w:sz w:val="21"/>
        </w:rPr>
        <w:t>provide flexibility to accommodate future and emerging priorities and allow for innovation</w:t>
      </w:r>
    </w:p>
    <w:p w14:paraId="2134064E" w14:textId="77777777" w:rsidR="00CA4DF2" w:rsidRPr="00671897" w:rsidRDefault="00CA4DF2" w:rsidP="00CA4DF2">
      <w:pPr>
        <w:pStyle w:val="BodyText"/>
        <w:widowControl w:val="0"/>
        <w:numPr>
          <w:ilvl w:val="0"/>
          <w:numId w:val="20"/>
        </w:numPr>
        <w:spacing w:before="120"/>
        <w:ind w:left="567"/>
        <w:rPr>
          <w:sz w:val="21"/>
        </w:rPr>
      </w:pPr>
      <w:r w:rsidRPr="00671897">
        <w:rPr>
          <w:sz w:val="21"/>
        </w:rPr>
        <w:t>complement and accommodate relevant state-based, national and international policies.</w:t>
      </w:r>
    </w:p>
    <w:p w14:paraId="63E2993A" w14:textId="7EB6EC07" w:rsidR="00CA4DF2" w:rsidRPr="00671897" w:rsidRDefault="00CA4DF2" w:rsidP="00CA4DF2">
      <w:pPr>
        <w:pStyle w:val="BodyText"/>
        <w:spacing w:before="120"/>
        <w:rPr>
          <w:sz w:val="21"/>
        </w:rPr>
      </w:pPr>
      <w:r w:rsidRPr="00671897">
        <w:rPr>
          <w:sz w:val="21"/>
        </w:rPr>
        <w:t>The Framework need</w:t>
      </w:r>
      <w:r w:rsidR="00D87B9C">
        <w:rPr>
          <w:sz w:val="21"/>
        </w:rPr>
        <w:t>s</w:t>
      </w:r>
      <w:r w:rsidRPr="00671897">
        <w:rPr>
          <w:sz w:val="21"/>
        </w:rPr>
        <w:t xml:space="preserve"> to align with </w:t>
      </w:r>
      <w:r w:rsidR="007F65C0">
        <w:rPr>
          <w:sz w:val="21"/>
        </w:rPr>
        <w:t xml:space="preserve">the </w:t>
      </w:r>
      <w:r w:rsidRPr="00671897">
        <w:rPr>
          <w:sz w:val="21"/>
        </w:rPr>
        <w:t>revised ethical guidelines for living and deceased eye and tissue donation for transplantation</w:t>
      </w:r>
      <w:r w:rsidR="00D87B9C">
        <w:rPr>
          <w:sz w:val="21"/>
        </w:rPr>
        <w:t>. It</w:t>
      </w:r>
      <w:r w:rsidRPr="00671897">
        <w:rPr>
          <w:sz w:val="21"/>
        </w:rPr>
        <w:t xml:space="preserve"> will be updated following the release of the revised guidelines by the National Health and Medical Research Council (NHMRC) (expected in 202</w:t>
      </w:r>
      <w:r w:rsidR="00E523F0">
        <w:rPr>
          <w:sz w:val="21"/>
        </w:rPr>
        <w:t>2</w:t>
      </w:r>
      <w:r w:rsidRPr="00671897">
        <w:rPr>
          <w:sz w:val="21"/>
        </w:rPr>
        <w:t>).</w:t>
      </w:r>
    </w:p>
    <w:p w14:paraId="071D3D6F" w14:textId="77777777" w:rsidR="00DF183A" w:rsidRDefault="00CA4DF2" w:rsidP="00AF39F2">
      <w:pPr>
        <w:pStyle w:val="BodyText"/>
        <w:rPr>
          <w:rFonts w:ascii="Calibri" w:hAnsi="Calibri"/>
          <w:szCs w:val="22"/>
        </w:rPr>
      </w:pPr>
      <w:r w:rsidRPr="00671897">
        <w:rPr>
          <w:sz w:val="21"/>
        </w:rPr>
        <w:t xml:space="preserve">This Framework provides governments, the non-government sector, professional associations, health service providers, eye and tissue service providers and the community with a clear understanding of </w:t>
      </w:r>
      <w:r w:rsidR="007F65C0">
        <w:rPr>
          <w:sz w:val="21"/>
        </w:rPr>
        <w:t xml:space="preserve">the principles for </w:t>
      </w:r>
      <w:r w:rsidRPr="00671897">
        <w:rPr>
          <w:sz w:val="21"/>
        </w:rPr>
        <w:t xml:space="preserve">how the Australian eye and tissue sector </w:t>
      </w:r>
      <w:r w:rsidR="007F65C0">
        <w:rPr>
          <w:sz w:val="21"/>
        </w:rPr>
        <w:t>needs to</w:t>
      </w:r>
      <w:r w:rsidRPr="00671897">
        <w:rPr>
          <w:sz w:val="21"/>
        </w:rPr>
        <w:t xml:space="preserve"> operate to support patient access to donated tissue and tissue</w:t>
      </w:r>
      <w:r w:rsidRPr="00671897">
        <w:rPr>
          <w:sz w:val="21"/>
        </w:rPr>
        <w:noBreakHyphen/>
        <w:t xml:space="preserve">based products. </w:t>
      </w:r>
      <w:r w:rsidR="00DF183A">
        <w:rPr>
          <w:sz w:val="21"/>
          <w:szCs w:val="21"/>
        </w:rPr>
        <w:t>The Framework</w:t>
      </w:r>
      <w:r w:rsidR="0010014A">
        <w:rPr>
          <w:sz w:val="21"/>
          <w:szCs w:val="21"/>
        </w:rPr>
        <w:t xml:space="preserve"> </w:t>
      </w:r>
      <w:r w:rsidR="007F65C0">
        <w:rPr>
          <w:sz w:val="21"/>
          <w:szCs w:val="21"/>
        </w:rPr>
        <w:t xml:space="preserve">also </w:t>
      </w:r>
      <w:r w:rsidR="0010014A">
        <w:rPr>
          <w:sz w:val="21"/>
          <w:szCs w:val="21"/>
        </w:rPr>
        <w:t xml:space="preserve">considers </w:t>
      </w:r>
      <w:r w:rsidR="00DF183A">
        <w:rPr>
          <w:sz w:val="21"/>
          <w:szCs w:val="21"/>
        </w:rPr>
        <w:t>impacts of the COVID-19 pandemic</w:t>
      </w:r>
      <w:r w:rsidR="007F65C0">
        <w:rPr>
          <w:sz w:val="21"/>
          <w:szCs w:val="21"/>
        </w:rPr>
        <w:t xml:space="preserve"> on the sector</w:t>
      </w:r>
      <w:r w:rsidR="00DF183A">
        <w:rPr>
          <w:sz w:val="21"/>
          <w:szCs w:val="21"/>
        </w:rPr>
        <w:t xml:space="preserve">. </w:t>
      </w:r>
    </w:p>
    <w:p w14:paraId="07CA8C5E" w14:textId="77777777" w:rsidR="00CA4DF2" w:rsidRPr="00671897" w:rsidRDefault="00D87B9C" w:rsidP="00CA4DF2">
      <w:pPr>
        <w:pStyle w:val="BodyText"/>
        <w:spacing w:before="120"/>
        <w:rPr>
          <w:rFonts w:ascii="Calibri"/>
          <w:b/>
          <w:color w:val="3F4A75" w:themeColor="accent1"/>
          <w:spacing w:val="-1"/>
          <w:sz w:val="36"/>
        </w:rPr>
      </w:pPr>
      <w:r w:rsidRPr="00671897">
        <w:rPr>
          <w:sz w:val="21"/>
        </w:rPr>
        <w:t xml:space="preserve">Implementation of the Framework will be </w:t>
      </w:r>
      <w:r w:rsidRPr="007F65C0">
        <w:rPr>
          <w:sz w:val="21"/>
          <w:szCs w:val="21"/>
        </w:rPr>
        <w:t xml:space="preserve">considered by all governments. Implementation needs to be considered alongside the more recent </w:t>
      </w:r>
      <w:r w:rsidRPr="007F65C0">
        <w:rPr>
          <w:rFonts w:cs="Arial"/>
          <w:i/>
          <w:sz w:val="21"/>
          <w:szCs w:val="21"/>
        </w:rPr>
        <w:t>R</w:t>
      </w:r>
      <w:r w:rsidRPr="007F65C0">
        <w:rPr>
          <w:rStyle w:val="Emphasis"/>
          <w:rFonts w:cs="Arial"/>
          <w:color w:val="192228"/>
          <w:sz w:val="21"/>
          <w:szCs w:val="21"/>
        </w:rPr>
        <w:t>eview of the Australian organ donation, retrieval and transplantation system Final Report</w:t>
      </w:r>
      <w:r>
        <w:rPr>
          <w:rStyle w:val="Emphasis"/>
          <w:rFonts w:cs="Arial"/>
          <w:color w:val="192228"/>
          <w:sz w:val="21"/>
          <w:szCs w:val="21"/>
        </w:rPr>
        <w:t>,</w:t>
      </w:r>
      <w:r w:rsidRPr="007F65C0">
        <w:rPr>
          <w:rStyle w:val="Emphasis"/>
          <w:rFonts w:cs="Arial"/>
          <w:i w:val="0"/>
          <w:color w:val="192228"/>
          <w:sz w:val="21"/>
          <w:szCs w:val="21"/>
        </w:rPr>
        <w:t xml:space="preserve"> </w:t>
      </w:r>
      <w:r>
        <w:rPr>
          <w:rStyle w:val="Emphasis"/>
          <w:rFonts w:cs="Arial"/>
          <w:i w:val="0"/>
          <w:color w:val="192228"/>
          <w:sz w:val="21"/>
          <w:szCs w:val="21"/>
        </w:rPr>
        <w:t xml:space="preserve">released in early 2020. All governments remain committed to making improvements to the organ and tissue sector to the benefit all Australians. </w:t>
      </w:r>
    </w:p>
    <w:p w14:paraId="007798BE" w14:textId="77777777" w:rsidR="00CF14A6" w:rsidRPr="00671897" w:rsidRDefault="00CF14A6" w:rsidP="00CF14A6">
      <w:pPr>
        <w:pStyle w:val="Heading1"/>
      </w:pPr>
      <w:bookmarkStart w:id="2" w:name="_Toc80966435"/>
      <w:bookmarkStart w:id="3" w:name="_Toc109209849"/>
      <w:r w:rsidRPr="00671897">
        <w:t>Acknowledgements</w:t>
      </w:r>
      <w:bookmarkEnd w:id="2"/>
      <w:bookmarkEnd w:id="3"/>
    </w:p>
    <w:p w14:paraId="072B530B" w14:textId="77777777" w:rsidR="00865A8B" w:rsidRPr="00671897" w:rsidRDefault="00865A8B" w:rsidP="00865A8B">
      <w:pPr>
        <w:spacing w:before="120" w:after="120"/>
        <w:rPr>
          <w:sz w:val="21"/>
        </w:rPr>
      </w:pPr>
      <w:r w:rsidRPr="00671897">
        <w:rPr>
          <w:sz w:val="21"/>
        </w:rPr>
        <w:t>Many individuals and organisations have given their time and expertise to the development of the Framework. Advice from a range of subject matter experts</w:t>
      </w:r>
      <w:r w:rsidR="002213C0">
        <w:rPr>
          <w:sz w:val="21"/>
        </w:rPr>
        <w:t>,</w:t>
      </w:r>
      <w:r w:rsidRPr="00671897">
        <w:rPr>
          <w:sz w:val="21"/>
        </w:rPr>
        <w:t xml:space="preserve"> </w:t>
      </w:r>
      <w:r w:rsidR="002213C0" w:rsidRPr="00671897">
        <w:rPr>
          <w:sz w:val="21"/>
        </w:rPr>
        <w:t xml:space="preserve">in particular </w:t>
      </w:r>
      <w:r w:rsidR="002213C0">
        <w:rPr>
          <w:sz w:val="21"/>
        </w:rPr>
        <w:t xml:space="preserve">from </w:t>
      </w:r>
      <w:r w:rsidR="002213C0" w:rsidRPr="00671897">
        <w:rPr>
          <w:sz w:val="21"/>
        </w:rPr>
        <w:t>the Australian eye and tissue sector</w:t>
      </w:r>
      <w:r w:rsidR="002213C0">
        <w:rPr>
          <w:sz w:val="21"/>
        </w:rPr>
        <w:t>,</w:t>
      </w:r>
      <w:r w:rsidR="002213C0" w:rsidRPr="00671897">
        <w:rPr>
          <w:sz w:val="21"/>
        </w:rPr>
        <w:t xml:space="preserve"> </w:t>
      </w:r>
      <w:r w:rsidRPr="00671897">
        <w:rPr>
          <w:sz w:val="21"/>
        </w:rPr>
        <w:t>informed development. All governments would like to thank organisations and individuals involved in consultations.</w:t>
      </w:r>
    </w:p>
    <w:p w14:paraId="241D924F" w14:textId="77157ECA" w:rsidR="00865A8B" w:rsidRPr="00671897" w:rsidRDefault="00865A8B" w:rsidP="00865A8B">
      <w:pPr>
        <w:spacing w:before="120" w:after="120"/>
        <w:rPr>
          <w:sz w:val="21"/>
        </w:rPr>
      </w:pPr>
      <w:r w:rsidRPr="00671897">
        <w:rPr>
          <w:sz w:val="21"/>
        </w:rPr>
        <w:t>This Framework has been developed collaboratively by the Jurisdictional Eye and Tissue Steering Committee (JETSC), established to oversee the response to the PwC Report. The JETSC is chaired by the Commonwealth and includes state and territory health department officials and representatives from the Organ and Tissue Authority (OTA) and Therapeutic Goods Administration (TGA). The JETSC Stakeholder Reference Group, comprising a range of sector stakeholders, has provided valuable input that has supported the development of this Framework.</w:t>
      </w:r>
    </w:p>
    <w:p w14:paraId="1D82A05A" w14:textId="77777777" w:rsidR="00CF14A6" w:rsidRPr="00671897" w:rsidRDefault="00CF14A6" w:rsidP="00100F6D">
      <w:pPr>
        <w:pStyle w:val="Paragraphtext"/>
        <w:sectPr w:rsidR="00CF14A6" w:rsidRPr="00671897" w:rsidSect="00D86300">
          <w:pgSz w:w="11906" w:h="16838"/>
          <w:pgMar w:top="1701" w:right="1418" w:bottom="1418" w:left="1418" w:header="709" w:footer="709" w:gutter="0"/>
          <w:pgNumType w:start="1"/>
          <w:cols w:space="708"/>
          <w:docGrid w:linePitch="360"/>
        </w:sectPr>
      </w:pPr>
    </w:p>
    <w:p w14:paraId="374E6F01" w14:textId="77777777" w:rsidR="009F5327" w:rsidRPr="00671897" w:rsidRDefault="009F5327" w:rsidP="009F5327">
      <w:pPr>
        <w:pStyle w:val="Heading1"/>
      </w:pPr>
      <w:bookmarkStart w:id="4" w:name="_Toc80966436"/>
      <w:bookmarkStart w:id="5" w:name="_Toc109209850"/>
      <w:r w:rsidRPr="00671897">
        <w:lastRenderedPageBreak/>
        <w:t>Strategic Context</w:t>
      </w:r>
      <w:bookmarkEnd w:id="4"/>
      <w:bookmarkEnd w:id="5"/>
    </w:p>
    <w:p w14:paraId="57055470" w14:textId="77777777" w:rsidR="009F5327" w:rsidRPr="00671897" w:rsidRDefault="009F5327" w:rsidP="009F5327">
      <w:pPr>
        <w:spacing w:before="120" w:after="120"/>
        <w:rPr>
          <w:sz w:val="21"/>
        </w:rPr>
      </w:pPr>
      <w:r w:rsidRPr="00671897">
        <w:rPr>
          <w:sz w:val="21"/>
        </w:rPr>
        <w:t xml:space="preserve">The Australian eye and tissue sector is the largest donation and transplantation sector in Australia, with a significantly higher number of donations and transplantations compared to solid organs. </w:t>
      </w:r>
    </w:p>
    <w:p w14:paraId="02853165" w14:textId="77777777" w:rsidR="009F5327" w:rsidRPr="00671897" w:rsidRDefault="009F5327" w:rsidP="009F5327">
      <w:pPr>
        <w:spacing w:before="120" w:after="120"/>
        <w:rPr>
          <w:sz w:val="21"/>
        </w:rPr>
      </w:pPr>
      <w:r w:rsidRPr="00671897">
        <w:rPr>
          <w:sz w:val="21"/>
        </w:rPr>
        <w:t>For the purposes of the Framework, tissues and tissue-based products comprise ocular (eye), skin, musculoskeletal, cardiovascular and amniotic tissues listed as Class II and Class III within the TGA’s Regulatory Framework for Biologicals</w:t>
      </w:r>
      <w:r w:rsidR="0011771D" w:rsidRPr="00671897">
        <w:rPr>
          <w:sz w:val="21"/>
        </w:rPr>
        <w:t>.</w:t>
      </w:r>
      <w:r w:rsidRPr="00671897">
        <w:rPr>
          <w:sz w:val="21"/>
          <w:vertAlign w:val="superscript"/>
        </w:rPr>
        <w:footnoteReference w:id="4"/>
      </w:r>
    </w:p>
    <w:p w14:paraId="4AC4A7F6" w14:textId="77777777" w:rsidR="009F5327" w:rsidRPr="00671897" w:rsidRDefault="009F5327" w:rsidP="009F5327">
      <w:pPr>
        <w:spacing w:before="120" w:after="120"/>
        <w:rPr>
          <w:sz w:val="21"/>
        </w:rPr>
      </w:pPr>
      <w:r w:rsidRPr="00671897">
        <w:rPr>
          <w:sz w:val="21"/>
        </w:rPr>
        <w:t xml:space="preserve">Eye and tissue donation facilitates the transplantation of tissue and tissue-based products that enhance and transform the lives of recipients. </w:t>
      </w:r>
      <w:r w:rsidR="002213C0">
        <w:rPr>
          <w:sz w:val="21"/>
        </w:rPr>
        <w:t>T</w:t>
      </w:r>
      <w:r w:rsidRPr="00671897">
        <w:rPr>
          <w:sz w:val="21"/>
        </w:rPr>
        <w:t xml:space="preserve">he ongoing generosity of those that donate, and the work of Australian eye and tissue sector, are of significant value to the Australian community. </w:t>
      </w:r>
    </w:p>
    <w:p w14:paraId="756C7204" w14:textId="236EDCA5" w:rsidR="009F5327" w:rsidRPr="00671897" w:rsidRDefault="009F5327" w:rsidP="009F5327">
      <w:pPr>
        <w:spacing w:before="120" w:after="120"/>
        <w:rPr>
          <w:sz w:val="21"/>
        </w:rPr>
      </w:pPr>
      <w:r w:rsidRPr="00671897">
        <w:rPr>
          <w:sz w:val="21"/>
        </w:rPr>
        <w:t xml:space="preserve">Australia is seeing an increasing number of tissue donations and transplants of tissues and tissue-based products. </w:t>
      </w:r>
      <w:r w:rsidR="00E523F0" w:rsidRPr="00671897">
        <w:rPr>
          <w:sz w:val="21"/>
        </w:rPr>
        <w:t>In 20</w:t>
      </w:r>
      <w:r w:rsidR="00E523F0">
        <w:rPr>
          <w:sz w:val="21"/>
        </w:rPr>
        <w:t>20</w:t>
      </w:r>
      <w:r w:rsidR="00E523F0" w:rsidRPr="00671897">
        <w:rPr>
          <w:sz w:val="21"/>
        </w:rPr>
        <w:t xml:space="preserve">, </w:t>
      </w:r>
      <w:r w:rsidR="00E523F0">
        <w:rPr>
          <w:sz w:val="21"/>
        </w:rPr>
        <w:t>10,817</w:t>
      </w:r>
      <w:r w:rsidR="00E523F0" w:rsidRPr="00671897">
        <w:rPr>
          <w:sz w:val="21"/>
        </w:rPr>
        <w:t xml:space="preserve"> recipients received a tissue or tissue-based product transplant from altruistic donations by</w:t>
      </w:r>
      <w:r w:rsidR="002F53CA">
        <w:rPr>
          <w:sz w:val="21"/>
        </w:rPr>
        <w:t xml:space="preserve"> </w:t>
      </w:r>
      <w:r w:rsidR="00E523F0">
        <w:rPr>
          <w:sz w:val="21"/>
        </w:rPr>
        <w:t>3,018</w:t>
      </w:r>
      <w:r w:rsidR="00E523F0" w:rsidRPr="00671897">
        <w:rPr>
          <w:sz w:val="21"/>
        </w:rPr>
        <w:t xml:space="preserve"> tissue donors, including </w:t>
      </w:r>
      <w:r w:rsidR="00E523F0">
        <w:rPr>
          <w:sz w:val="21"/>
        </w:rPr>
        <w:t>2,728</w:t>
      </w:r>
      <w:r w:rsidR="00E523F0" w:rsidRPr="00671897">
        <w:rPr>
          <w:sz w:val="21"/>
        </w:rPr>
        <w:t xml:space="preserve"> living tissue donors and </w:t>
      </w:r>
      <w:r w:rsidR="00E523F0">
        <w:rPr>
          <w:sz w:val="21"/>
        </w:rPr>
        <w:t>290</w:t>
      </w:r>
      <w:r w:rsidR="00E523F0" w:rsidRPr="00671897">
        <w:rPr>
          <w:sz w:val="21"/>
        </w:rPr>
        <w:t xml:space="preserve"> deceased tissue donors.</w:t>
      </w:r>
      <w:r w:rsidRPr="00671897">
        <w:rPr>
          <w:sz w:val="21"/>
        </w:rPr>
        <w:t xml:space="preserve"> This represents more than double the number of tissue graft recipients compared with 2013 (the first year that data was available). </w:t>
      </w:r>
    </w:p>
    <w:p w14:paraId="427588B7" w14:textId="5AC1365F" w:rsidR="009F5327" w:rsidRPr="00671897" w:rsidRDefault="00E523F0" w:rsidP="009F5327">
      <w:pPr>
        <w:spacing w:before="120" w:after="120"/>
        <w:rPr>
          <w:sz w:val="21"/>
        </w:rPr>
      </w:pPr>
      <w:r w:rsidRPr="00671897">
        <w:rPr>
          <w:sz w:val="21"/>
        </w:rPr>
        <w:t>There were 1,</w:t>
      </w:r>
      <w:r>
        <w:rPr>
          <w:sz w:val="21"/>
        </w:rPr>
        <w:t>318</w:t>
      </w:r>
      <w:r w:rsidRPr="00671897">
        <w:rPr>
          <w:sz w:val="21"/>
        </w:rPr>
        <w:t xml:space="preserve"> eye donors and 2,</w:t>
      </w:r>
      <w:r>
        <w:rPr>
          <w:sz w:val="21"/>
        </w:rPr>
        <w:t>277</w:t>
      </w:r>
      <w:r w:rsidRPr="00671897">
        <w:rPr>
          <w:sz w:val="21"/>
        </w:rPr>
        <w:t xml:space="preserve"> corneal transplants. Since 2009, more than </w:t>
      </w:r>
      <w:r w:rsidRPr="003C2474">
        <w:rPr>
          <w:sz w:val="21"/>
        </w:rPr>
        <w:t>23,500</w:t>
      </w:r>
      <w:r>
        <w:rPr>
          <w:sz w:val="21"/>
        </w:rPr>
        <w:t xml:space="preserve"> </w:t>
      </w:r>
      <w:r w:rsidRPr="00671897">
        <w:rPr>
          <w:sz w:val="21"/>
        </w:rPr>
        <w:t xml:space="preserve">Australians have received a corneal </w:t>
      </w:r>
      <w:r w:rsidR="00161E49" w:rsidRPr="00671897">
        <w:rPr>
          <w:sz w:val="21"/>
        </w:rPr>
        <w:t>transplant</w:t>
      </w:r>
      <w:r w:rsidR="00161E49">
        <w:rPr>
          <w:sz w:val="21"/>
        </w:rPr>
        <w:t>.</w:t>
      </w:r>
      <w:r w:rsidR="00326D60">
        <w:rPr>
          <w:sz w:val="21"/>
        </w:rPr>
        <w:t xml:space="preserve"> </w:t>
      </w:r>
      <w:r w:rsidR="00161E49">
        <w:rPr>
          <w:sz w:val="21"/>
        </w:rPr>
        <w:t>The</w:t>
      </w:r>
      <w:r w:rsidR="009F5327" w:rsidRPr="00671897">
        <w:rPr>
          <w:sz w:val="21"/>
        </w:rPr>
        <w:t xml:space="preserve"> eye and tissue sector comprises all providers, manufacturers and users of tissue-based products in Australia, as well as those involved in obtaining or delivery of overseas supply where required. The work of the sector crosses over both health service delivery, in its work with clinicians to deliver tissues to consumers that support health outcomes, and manufacturing and supply of tissue products. Some stakeholders feel strongly that the provision of tissue must be recognised as part of the health care system, not as a manufacturing sector.</w:t>
      </w:r>
    </w:p>
    <w:p w14:paraId="320AA5DB" w14:textId="77777777" w:rsidR="009F5327" w:rsidRPr="00671897" w:rsidRDefault="009F5327" w:rsidP="009F5327">
      <w:pPr>
        <w:spacing w:before="120" w:after="120"/>
        <w:rPr>
          <w:sz w:val="21"/>
        </w:rPr>
      </w:pPr>
      <w:r w:rsidRPr="00671897">
        <w:rPr>
          <w:sz w:val="21"/>
        </w:rPr>
        <w:t xml:space="preserve">The sector is diverse and is undergoing rapid change. Australian tissue banks operate under a range of organisational structures and have different scopes of activity. The legislative and regulatory framework for eye and tissue donation is complex, with banking and transplantation governed by each state and territory </w:t>
      </w:r>
      <w:r w:rsidR="00693A97" w:rsidRPr="00671897">
        <w:rPr>
          <w:sz w:val="21"/>
        </w:rPr>
        <w:t xml:space="preserve">human tissue act </w:t>
      </w:r>
      <w:r w:rsidRPr="00671897">
        <w:rPr>
          <w:sz w:val="21"/>
        </w:rPr>
        <w:t xml:space="preserve">(or equivalent legislation), while safety, quality and efficacy of tissues and tissue products </w:t>
      </w:r>
      <w:r w:rsidR="005D6DB5">
        <w:rPr>
          <w:sz w:val="21"/>
        </w:rPr>
        <w:t>are</w:t>
      </w:r>
      <w:r w:rsidR="005D6DB5" w:rsidRPr="00671897">
        <w:rPr>
          <w:sz w:val="21"/>
        </w:rPr>
        <w:t xml:space="preserve"> </w:t>
      </w:r>
      <w:r w:rsidR="00693A97" w:rsidRPr="00671897">
        <w:rPr>
          <w:sz w:val="21"/>
        </w:rPr>
        <w:t xml:space="preserve">regulated </w:t>
      </w:r>
      <w:r w:rsidRPr="00671897">
        <w:rPr>
          <w:sz w:val="21"/>
        </w:rPr>
        <w:t xml:space="preserve">by the TGA according to the </w:t>
      </w:r>
      <w:r w:rsidRPr="00A06299">
        <w:rPr>
          <w:i/>
          <w:sz w:val="21"/>
        </w:rPr>
        <w:t>Therapeutic Goods Act 1989</w:t>
      </w:r>
      <w:r w:rsidRPr="00671897">
        <w:rPr>
          <w:sz w:val="21"/>
        </w:rPr>
        <w:t xml:space="preserve">. (See </w:t>
      </w:r>
      <w:r w:rsidRPr="00671897">
        <w:rPr>
          <w:sz w:val="21"/>
          <w:u w:val="single"/>
        </w:rPr>
        <w:t>Appendix A</w:t>
      </w:r>
      <w:r w:rsidRPr="00671897">
        <w:rPr>
          <w:sz w:val="21"/>
        </w:rPr>
        <w:t xml:space="preserve"> for more information about the sector.)</w:t>
      </w:r>
    </w:p>
    <w:p w14:paraId="5D898013" w14:textId="77777777" w:rsidR="009F5327" w:rsidRPr="00671897" w:rsidRDefault="009F5327" w:rsidP="009F5327">
      <w:pPr>
        <w:spacing w:before="120" w:after="120"/>
        <w:rPr>
          <w:sz w:val="21"/>
        </w:rPr>
      </w:pPr>
      <w:r w:rsidRPr="00671897">
        <w:rPr>
          <w:sz w:val="21"/>
        </w:rPr>
        <w:t>All Australian governments recognise the challenges presented by the diversity and pace of change in the sector, and that without a national strategic approach there is a risk that efficiency and effectiveness of the sector could be compromised. Changes in the sector include the increasing use of imported tissue from overseas commercial providers, which presents challenges for some long</w:t>
      </w:r>
      <w:r w:rsidRPr="00671897">
        <w:rPr>
          <w:sz w:val="21"/>
        </w:rPr>
        <w:noBreakHyphen/>
        <w:t xml:space="preserve">standing, not-for-profit Australian tissue banks. The PwC Report sets out these challenges and recommendations for reform, as outlined below. </w:t>
      </w:r>
    </w:p>
    <w:p w14:paraId="7F03379C" w14:textId="77777777" w:rsidR="009F5327" w:rsidRPr="00671897" w:rsidRDefault="009F5327" w:rsidP="009F5327">
      <w:pPr>
        <w:spacing w:before="120" w:after="120"/>
        <w:rPr>
          <w:sz w:val="21"/>
        </w:rPr>
      </w:pPr>
      <w:r w:rsidRPr="00671897">
        <w:rPr>
          <w:sz w:val="21"/>
        </w:rPr>
        <w:t xml:space="preserve">The development of this Framework has occurred alongside work on the response of all governments to the Review of the Australian Organ Donation, Retrieval and Transplantation System. </w:t>
      </w:r>
    </w:p>
    <w:p w14:paraId="5466004B" w14:textId="77777777" w:rsidR="00326D60" w:rsidRPr="00671897" w:rsidRDefault="009F5327" w:rsidP="00326D60">
      <w:pPr>
        <w:pStyle w:val="Heading3"/>
      </w:pPr>
      <w:r w:rsidRPr="00671897">
        <w:br w:type="page"/>
      </w:r>
      <w:bookmarkStart w:id="6" w:name="_Toc34387836"/>
      <w:bookmarkStart w:id="7" w:name="_Toc109209851"/>
      <w:r w:rsidR="00326D60" w:rsidRPr="00671897">
        <w:lastRenderedPageBreak/>
        <w:t>PricewaterhouseCoopers Report: Analysis of the Australian Tissue Sector</w:t>
      </w:r>
      <w:bookmarkEnd w:id="6"/>
      <w:bookmarkEnd w:id="7"/>
    </w:p>
    <w:p w14:paraId="61DEE65C" w14:textId="682627A4" w:rsidR="009F5327" w:rsidRPr="00865A8B" w:rsidRDefault="009F5327" w:rsidP="00326D60">
      <w:pPr>
        <w:rPr>
          <w:rFonts w:cs="Arial"/>
          <w:spacing w:val="-1"/>
          <w:sz w:val="21"/>
          <w:szCs w:val="21"/>
        </w:rPr>
      </w:pPr>
      <w:r w:rsidRPr="00865A8B">
        <w:rPr>
          <w:rFonts w:cs="Arial"/>
          <w:spacing w:val="-1"/>
          <w:sz w:val="21"/>
          <w:szCs w:val="21"/>
        </w:rPr>
        <w:t xml:space="preserve">In June 2015, at the request of the Commonwealth and state and territory governments, PwC undertook a review of the Australian eye and tissue sector, informed by consultation with tissue banking, eye banking, government and clinical sector stakeholders. </w:t>
      </w:r>
    </w:p>
    <w:p w14:paraId="3F3846D7" w14:textId="77777777" w:rsidR="009F5327" w:rsidRPr="00865A8B" w:rsidRDefault="009F5327" w:rsidP="009F5327">
      <w:pPr>
        <w:pStyle w:val="BodyText"/>
        <w:spacing w:before="120"/>
        <w:rPr>
          <w:rFonts w:cs="Arial"/>
          <w:spacing w:val="-1"/>
          <w:sz w:val="21"/>
          <w:szCs w:val="21"/>
        </w:rPr>
      </w:pPr>
      <w:r w:rsidRPr="00865A8B">
        <w:rPr>
          <w:rFonts w:cs="Arial"/>
          <w:spacing w:val="-1"/>
          <w:sz w:val="21"/>
          <w:szCs w:val="21"/>
        </w:rPr>
        <w:t>The PwC Report’s scope was limited to donated eye and tissue products for transplantation in Australia. This included ocular, musculoskeletal, cardiovascular and skin tissue.</w:t>
      </w:r>
    </w:p>
    <w:p w14:paraId="6D0283C3" w14:textId="77777777" w:rsidR="009F5327" w:rsidRPr="00865A8B" w:rsidRDefault="009F5327" w:rsidP="009F5327">
      <w:pPr>
        <w:pStyle w:val="BodyText"/>
        <w:keepNext/>
        <w:keepLines/>
        <w:spacing w:before="120"/>
        <w:rPr>
          <w:rFonts w:cs="Arial"/>
          <w:spacing w:val="-1"/>
          <w:sz w:val="21"/>
          <w:szCs w:val="21"/>
        </w:rPr>
      </w:pPr>
      <w:r w:rsidRPr="00865A8B">
        <w:rPr>
          <w:rFonts w:cs="Arial"/>
          <w:spacing w:val="-1"/>
          <w:sz w:val="21"/>
          <w:szCs w:val="21"/>
        </w:rPr>
        <w:t>The PwC Report found that:</w:t>
      </w:r>
    </w:p>
    <w:p w14:paraId="1485D1FE" w14:textId="77777777" w:rsidR="009F5327" w:rsidRPr="00865A8B" w:rsidRDefault="009F5327" w:rsidP="009F5327">
      <w:pPr>
        <w:pStyle w:val="BodyText"/>
        <w:keepNext/>
        <w:keepLines/>
        <w:widowControl w:val="0"/>
        <w:numPr>
          <w:ilvl w:val="0"/>
          <w:numId w:val="21"/>
        </w:numPr>
        <w:spacing w:before="120"/>
        <w:ind w:left="643"/>
        <w:rPr>
          <w:rFonts w:cs="Arial"/>
          <w:spacing w:val="-1"/>
          <w:sz w:val="21"/>
          <w:szCs w:val="21"/>
        </w:rPr>
      </w:pPr>
      <w:r w:rsidRPr="00865A8B">
        <w:rPr>
          <w:rFonts w:cs="Arial"/>
          <w:spacing w:val="-1"/>
          <w:sz w:val="21"/>
          <w:szCs w:val="21"/>
        </w:rPr>
        <w:t>The Australian eye and tissue sector is diverse and undergoing rapid change.</w:t>
      </w:r>
    </w:p>
    <w:p w14:paraId="6CD5C461" w14:textId="77777777" w:rsidR="009F5327" w:rsidRPr="00865A8B" w:rsidRDefault="009F5327" w:rsidP="009F5327">
      <w:pPr>
        <w:pStyle w:val="BodyText"/>
        <w:keepNext/>
        <w:keepLines/>
        <w:widowControl w:val="0"/>
        <w:numPr>
          <w:ilvl w:val="0"/>
          <w:numId w:val="21"/>
        </w:numPr>
        <w:spacing w:before="120"/>
        <w:ind w:left="643"/>
        <w:rPr>
          <w:rFonts w:cs="Arial"/>
          <w:spacing w:val="-1"/>
          <w:sz w:val="21"/>
          <w:szCs w:val="21"/>
        </w:rPr>
      </w:pPr>
      <w:r w:rsidRPr="00865A8B">
        <w:rPr>
          <w:rFonts w:cs="Arial"/>
          <w:spacing w:val="-1"/>
          <w:sz w:val="21"/>
          <w:szCs w:val="21"/>
        </w:rPr>
        <w:t>Eye tissue banking is working effectively, transparently and inclusively. Domestic supply meets current demand and the participants are well-placed to ensure that supply sustainably meets future demand.</w:t>
      </w:r>
    </w:p>
    <w:p w14:paraId="5FDBA589" w14:textId="77777777" w:rsidR="009F5327" w:rsidRPr="00865A8B" w:rsidRDefault="009F5327" w:rsidP="009F5327">
      <w:pPr>
        <w:pStyle w:val="BodyText"/>
        <w:keepNext/>
        <w:keepLines/>
        <w:widowControl w:val="0"/>
        <w:numPr>
          <w:ilvl w:val="0"/>
          <w:numId w:val="21"/>
        </w:numPr>
        <w:spacing w:before="120"/>
        <w:ind w:left="643"/>
        <w:rPr>
          <w:rFonts w:cs="Arial"/>
          <w:spacing w:val="-1"/>
          <w:sz w:val="21"/>
          <w:szCs w:val="21"/>
        </w:rPr>
      </w:pPr>
      <w:r w:rsidRPr="00865A8B">
        <w:rPr>
          <w:rFonts w:cs="Arial"/>
          <w:spacing w:val="-1"/>
          <w:sz w:val="21"/>
          <w:szCs w:val="21"/>
        </w:rPr>
        <w:t>Tissue transplant activity has increased significantly and demand is not met locally.</w:t>
      </w:r>
    </w:p>
    <w:p w14:paraId="086A72FB" w14:textId="77777777" w:rsidR="009F5327" w:rsidRPr="00865A8B" w:rsidRDefault="009F5327" w:rsidP="009F5327">
      <w:pPr>
        <w:pStyle w:val="BodyText"/>
        <w:widowControl w:val="0"/>
        <w:numPr>
          <w:ilvl w:val="0"/>
          <w:numId w:val="21"/>
        </w:numPr>
        <w:spacing w:before="120"/>
        <w:ind w:left="643"/>
        <w:rPr>
          <w:rFonts w:cs="Arial"/>
          <w:spacing w:val="-1"/>
          <w:sz w:val="21"/>
          <w:szCs w:val="21"/>
        </w:rPr>
      </w:pPr>
      <w:r w:rsidRPr="00865A8B">
        <w:rPr>
          <w:rFonts w:cs="Arial"/>
          <w:spacing w:val="-1"/>
          <w:sz w:val="21"/>
          <w:szCs w:val="21"/>
        </w:rPr>
        <w:t>The nature of demand differs by tissue type. Understanding the supply and demand nuances of each tissue type, and accounting for this during any change, is critical to targeting the areas of greatest need while preserving the well</w:t>
      </w:r>
      <w:r w:rsidRPr="00865A8B">
        <w:rPr>
          <w:rFonts w:cs="Arial"/>
          <w:spacing w:val="-1"/>
          <w:sz w:val="21"/>
          <w:szCs w:val="21"/>
        </w:rPr>
        <w:noBreakHyphen/>
        <w:t>functioning components of the sector.</w:t>
      </w:r>
    </w:p>
    <w:p w14:paraId="76C9C479" w14:textId="77777777" w:rsidR="009F5327" w:rsidRPr="00865A8B" w:rsidRDefault="009F5327" w:rsidP="009F5327">
      <w:pPr>
        <w:pStyle w:val="BodyText"/>
        <w:widowControl w:val="0"/>
        <w:numPr>
          <w:ilvl w:val="0"/>
          <w:numId w:val="21"/>
        </w:numPr>
        <w:spacing w:before="120"/>
        <w:ind w:left="643"/>
        <w:rPr>
          <w:rFonts w:cs="Arial"/>
          <w:spacing w:val="-1"/>
          <w:sz w:val="21"/>
          <w:szCs w:val="21"/>
        </w:rPr>
      </w:pPr>
      <w:r w:rsidRPr="00865A8B">
        <w:rPr>
          <w:rFonts w:cs="Arial"/>
          <w:spacing w:val="-1"/>
          <w:sz w:val="21"/>
          <w:szCs w:val="21"/>
        </w:rPr>
        <w:t>Innovation in the development of new types of tissue for transplantation has impacted tissue availability and the structure and function of the sector.</w:t>
      </w:r>
    </w:p>
    <w:p w14:paraId="35834620" w14:textId="77777777" w:rsidR="009F5327" w:rsidRPr="00865A8B" w:rsidRDefault="009F5327" w:rsidP="009F5327">
      <w:pPr>
        <w:pStyle w:val="BodyText"/>
        <w:widowControl w:val="0"/>
        <w:numPr>
          <w:ilvl w:val="0"/>
          <w:numId w:val="21"/>
        </w:numPr>
        <w:spacing w:before="120"/>
        <w:ind w:left="643"/>
        <w:rPr>
          <w:rFonts w:cs="Arial"/>
          <w:sz w:val="21"/>
          <w:szCs w:val="21"/>
        </w:rPr>
      </w:pPr>
      <w:r w:rsidRPr="00865A8B">
        <w:rPr>
          <w:rFonts w:cs="Arial"/>
          <w:spacing w:val="-1"/>
          <w:sz w:val="21"/>
          <w:szCs w:val="21"/>
        </w:rPr>
        <w:t>Awareness of the complexities associated with the changing sector is limited.</w:t>
      </w:r>
    </w:p>
    <w:p w14:paraId="08261052" w14:textId="77777777" w:rsidR="009F5327" w:rsidRPr="00865A8B" w:rsidRDefault="009F5327" w:rsidP="009F5327">
      <w:pPr>
        <w:pStyle w:val="BodyText"/>
        <w:rPr>
          <w:rFonts w:cs="Arial"/>
          <w:sz w:val="21"/>
          <w:szCs w:val="21"/>
        </w:rPr>
      </w:pPr>
      <w:r w:rsidRPr="00865A8B">
        <w:rPr>
          <w:rFonts w:cs="Arial"/>
          <w:sz w:val="21"/>
          <w:szCs w:val="21"/>
        </w:rPr>
        <w:t>The PwC Report recommended:</w:t>
      </w:r>
    </w:p>
    <w:p w14:paraId="374CD356" w14:textId="77777777" w:rsidR="009F5327" w:rsidRPr="00865A8B" w:rsidRDefault="009F5327" w:rsidP="009F5327">
      <w:pPr>
        <w:pStyle w:val="BodyText"/>
        <w:spacing w:before="120"/>
        <w:ind w:left="720"/>
        <w:rPr>
          <w:rFonts w:cs="Arial"/>
          <w:spacing w:val="-1"/>
          <w:sz w:val="21"/>
          <w:szCs w:val="21"/>
        </w:rPr>
      </w:pPr>
      <w:r w:rsidRPr="00865A8B">
        <w:rPr>
          <w:rFonts w:cs="Arial"/>
          <w:b/>
          <w:i/>
          <w:spacing w:val="-1"/>
          <w:sz w:val="21"/>
          <w:szCs w:val="21"/>
        </w:rPr>
        <w:t>1:</w:t>
      </w:r>
      <w:r w:rsidRPr="00865A8B">
        <w:rPr>
          <w:rFonts w:cs="Arial"/>
          <w:spacing w:val="-1"/>
          <w:sz w:val="21"/>
          <w:szCs w:val="21"/>
        </w:rPr>
        <w:t xml:space="preserve"> Governments must recognise that the current operation of the tissue sector will not prove feasible to sustain supply to meet domestic needs over the medium to long term. This recommendation was addressed through the release of the All Governments’ Statement on the PwC Report’s findings (</w:t>
      </w:r>
      <w:r w:rsidRPr="00865A8B">
        <w:rPr>
          <w:rFonts w:cs="Arial"/>
          <w:spacing w:val="-1"/>
          <w:sz w:val="21"/>
          <w:szCs w:val="21"/>
          <w:u w:val="single"/>
        </w:rPr>
        <w:t>Appendix B</w:t>
      </w:r>
      <w:r w:rsidRPr="00865A8B">
        <w:rPr>
          <w:rFonts w:cs="Arial"/>
          <w:spacing w:val="-1"/>
          <w:sz w:val="21"/>
          <w:szCs w:val="21"/>
        </w:rPr>
        <w:t>).</w:t>
      </w:r>
    </w:p>
    <w:p w14:paraId="195450E7" w14:textId="77777777" w:rsidR="009F5327" w:rsidRPr="00865A8B" w:rsidRDefault="009F5327" w:rsidP="009F5327">
      <w:pPr>
        <w:spacing w:before="120" w:after="120"/>
        <w:ind w:left="720"/>
        <w:rPr>
          <w:rFonts w:eastAsia="Calibri Light" w:cs="Arial"/>
          <w:spacing w:val="-1"/>
          <w:sz w:val="21"/>
          <w:szCs w:val="21"/>
        </w:rPr>
      </w:pPr>
      <w:r w:rsidRPr="00865A8B">
        <w:rPr>
          <w:rFonts w:cs="Arial"/>
          <w:b/>
          <w:i/>
          <w:spacing w:val="-1"/>
          <w:sz w:val="21"/>
          <w:szCs w:val="21"/>
        </w:rPr>
        <w:t>2:</w:t>
      </w:r>
      <w:r w:rsidRPr="00865A8B">
        <w:rPr>
          <w:rFonts w:cs="Arial"/>
          <w:spacing w:val="-1"/>
          <w:sz w:val="21"/>
          <w:szCs w:val="21"/>
        </w:rPr>
        <w:t xml:space="preserve"> </w:t>
      </w:r>
      <w:r w:rsidRPr="00865A8B">
        <w:rPr>
          <w:rFonts w:eastAsia="Calibri Light" w:cs="Arial"/>
          <w:spacing w:val="-1"/>
          <w:sz w:val="21"/>
          <w:szCs w:val="21"/>
        </w:rPr>
        <w:t xml:space="preserve">A national policy framework to clearly define the guiding policy principles for the effective operation of the sector should be developed and agreed by all governments. </w:t>
      </w:r>
    </w:p>
    <w:p w14:paraId="52B06C68" w14:textId="77777777" w:rsidR="009F5327" w:rsidRPr="00865A8B" w:rsidRDefault="009F5327" w:rsidP="009F5327">
      <w:pPr>
        <w:pStyle w:val="BodyText"/>
        <w:spacing w:before="120"/>
        <w:ind w:left="720"/>
        <w:rPr>
          <w:rFonts w:cs="Arial"/>
          <w:spacing w:val="-1"/>
          <w:sz w:val="21"/>
          <w:szCs w:val="21"/>
        </w:rPr>
      </w:pPr>
      <w:r w:rsidRPr="00865A8B">
        <w:rPr>
          <w:rFonts w:cs="Arial"/>
          <w:b/>
          <w:i/>
          <w:spacing w:val="-1"/>
          <w:sz w:val="21"/>
          <w:szCs w:val="21"/>
        </w:rPr>
        <w:t>3:</w:t>
      </w:r>
      <w:r w:rsidRPr="00865A8B">
        <w:rPr>
          <w:rFonts w:cs="Arial"/>
          <w:spacing w:val="-1"/>
          <w:sz w:val="21"/>
          <w:szCs w:val="21"/>
        </w:rPr>
        <w:t xml:space="preserve"> Sectoral reform may be required following the implementation of Recommendation 2 in establishing and embedding a clear national policy framework.</w:t>
      </w:r>
    </w:p>
    <w:p w14:paraId="553BBE5A" w14:textId="77777777" w:rsidR="00024CA2" w:rsidRDefault="009F5327" w:rsidP="009F5327">
      <w:pPr>
        <w:pStyle w:val="BodyText"/>
        <w:spacing w:before="120"/>
        <w:rPr>
          <w:rFonts w:cs="Arial"/>
          <w:spacing w:val="-1"/>
          <w:sz w:val="21"/>
          <w:szCs w:val="21"/>
        </w:rPr>
      </w:pPr>
      <w:r w:rsidRPr="00865A8B">
        <w:rPr>
          <w:rFonts w:cs="Arial"/>
          <w:spacing w:val="-1"/>
          <w:sz w:val="21"/>
          <w:szCs w:val="21"/>
        </w:rPr>
        <w:t xml:space="preserve">All governments, through the </w:t>
      </w:r>
      <w:r w:rsidR="00F355B6">
        <w:rPr>
          <w:rFonts w:cs="Arial"/>
          <w:spacing w:val="-1"/>
          <w:sz w:val="21"/>
          <w:szCs w:val="21"/>
        </w:rPr>
        <w:t xml:space="preserve">then </w:t>
      </w:r>
      <w:r w:rsidRPr="00865A8B">
        <w:rPr>
          <w:rFonts w:cs="Arial"/>
          <w:spacing w:val="-1"/>
          <w:sz w:val="21"/>
          <w:szCs w:val="21"/>
        </w:rPr>
        <w:t>Council of Australian Governments</w:t>
      </w:r>
      <w:r w:rsidR="00F355B6">
        <w:rPr>
          <w:rFonts w:cs="Arial"/>
          <w:spacing w:val="-1"/>
          <w:sz w:val="21"/>
          <w:szCs w:val="21"/>
        </w:rPr>
        <w:t xml:space="preserve"> (COAG)</w:t>
      </w:r>
      <w:r w:rsidRPr="00865A8B">
        <w:rPr>
          <w:rFonts w:cs="Arial"/>
          <w:spacing w:val="-1"/>
          <w:sz w:val="21"/>
          <w:szCs w:val="21"/>
        </w:rPr>
        <w:t xml:space="preserve"> Health Council, accepted the recommendations of the PwC Report. </w:t>
      </w:r>
    </w:p>
    <w:p w14:paraId="70026419" w14:textId="77777777" w:rsidR="009F5327" w:rsidRPr="00B744AC" w:rsidRDefault="009F5327" w:rsidP="009F5327">
      <w:pPr>
        <w:pStyle w:val="BodyText"/>
        <w:spacing w:before="120"/>
        <w:rPr>
          <w:rFonts w:ascii="Calibri" w:hAnsi="Calibri"/>
          <w:b/>
          <w:color w:val="001F5F"/>
          <w:sz w:val="36"/>
        </w:rPr>
      </w:pPr>
      <w:r w:rsidRPr="00865A8B">
        <w:rPr>
          <w:rFonts w:cs="Arial"/>
          <w:spacing w:val="-1"/>
          <w:sz w:val="21"/>
          <w:szCs w:val="21"/>
        </w:rPr>
        <w:t>On 2 June 2017, the PwC Report was published on the OTA’s website</w:t>
      </w:r>
      <w:r w:rsidR="00D00738">
        <w:rPr>
          <w:rFonts w:cs="Arial"/>
          <w:spacing w:val="-1"/>
          <w:sz w:val="21"/>
          <w:szCs w:val="21"/>
        </w:rPr>
        <w:t>,</w:t>
      </w:r>
      <w:r w:rsidRPr="00865A8B">
        <w:rPr>
          <w:rFonts w:cs="Arial"/>
          <w:spacing w:val="-1"/>
          <w:sz w:val="21"/>
          <w:szCs w:val="21"/>
        </w:rPr>
        <w:t xml:space="preserve"> and the All Governments’ Statement</w:t>
      </w:r>
      <w:r w:rsidRPr="00865A8B">
        <w:rPr>
          <w:rStyle w:val="FootnoteReference"/>
          <w:rFonts w:cs="Arial"/>
          <w:spacing w:val="-1"/>
          <w:sz w:val="21"/>
          <w:szCs w:val="21"/>
        </w:rPr>
        <w:footnoteReference w:id="5"/>
      </w:r>
      <w:r w:rsidRPr="00865A8B">
        <w:rPr>
          <w:rFonts w:cs="Arial"/>
          <w:spacing w:val="-1"/>
          <w:sz w:val="21"/>
          <w:szCs w:val="21"/>
        </w:rPr>
        <w:t xml:space="preserve"> on the PwC Report’s findings was published on the Department of Health’s website. In the statement, </w:t>
      </w:r>
      <w:r w:rsidRPr="00865A8B">
        <w:rPr>
          <w:rFonts w:cs="Arial"/>
          <w:sz w:val="21"/>
          <w:szCs w:val="21"/>
        </w:rPr>
        <w:t>Commonwealth and state and territory governments acknowledged the issues identified within the sector</w:t>
      </w:r>
      <w:r w:rsidR="00D00738">
        <w:rPr>
          <w:rFonts w:cs="Arial"/>
          <w:sz w:val="21"/>
          <w:szCs w:val="21"/>
        </w:rPr>
        <w:t>,</w:t>
      </w:r>
      <w:r w:rsidRPr="00865A8B">
        <w:rPr>
          <w:rFonts w:cs="Arial"/>
          <w:sz w:val="21"/>
          <w:szCs w:val="21"/>
        </w:rPr>
        <w:t xml:space="preserve"> agreed with the recommendations presented in the PwC Report</w:t>
      </w:r>
      <w:r w:rsidR="00D00738">
        <w:rPr>
          <w:rFonts w:cs="Arial"/>
          <w:sz w:val="21"/>
          <w:szCs w:val="21"/>
        </w:rPr>
        <w:t>,</w:t>
      </w:r>
      <w:r w:rsidRPr="00865A8B">
        <w:rPr>
          <w:rFonts w:cs="Arial"/>
          <w:sz w:val="21"/>
          <w:szCs w:val="21"/>
        </w:rPr>
        <w:t xml:space="preserve"> and committed to work together to develop a national policy framework for the sector.</w:t>
      </w:r>
      <w:r w:rsidRPr="005914BB">
        <w:t xml:space="preserve"> </w:t>
      </w:r>
      <w:bookmarkStart w:id="8" w:name="_bookmark5"/>
      <w:bookmarkEnd w:id="8"/>
      <w:r w:rsidRPr="00B744AC">
        <w:rPr>
          <w:rFonts w:hAnsi="Calibri"/>
        </w:rPr>
        <w:br w:type="page"/>
      </w:r>
    </w:p>
    <w:p w14:paraId="26C71862" w14:textId="77777777" w:rsidR="009F5327" w:rsidRPr="00865A8B" w:rsidRDefault="009F5327" w:rsidP="009F5327">
      <w:pPr>
        <w:pStyle w:val="Heading1"/>
      </w:pPr>
      <w:bookmarkStart w:id="9" w:name="_Toc80966438"/>
      <w:bookmarkStart w:id="10" w:name="_Toc109209852"/>
      <w:r>
        <w:lastRenderedPageBreak/>
        <w:t>The National Eye and Tissue Sector Framework</w:t>
      </w:r>
      <w:bookmarkEnd w:id="9"/>
      <w:bookmarkEnd w:id="10"/>
    </w:p>
    <w:p w14:paraId="3EFF2079" w14:textId="77777777" w:rsidR="009F5327" w:rsidRPr="00B744AC" w:rsidRDefault="009F5327" w:rsidP="009F5327">
      <w:pPr>
        <w:pStyle w:val="Heading2"/>
      </w:pPr>
      <w:bookmarkStart w:id="11" w:name="_Toc34387838"/>
      <w:bookmarkStart w:id="12" w:name="_Toc80966439"/>
      <w:bookmarkStart w:id="13" w:name="_Toc109209853"/>
      <w:r w:rsidRPr="00B744AC">
        <w:t>Vision</w:t>
      </w:r>
      <w:bookmarkEnd w:id="11"/>
      <w:bookmarkEnd w:id="12"/>
      <w:bookmarkEnd w:id="13"/>
    </w:p>
    <w:p w14:paraId="5C8D96A0" w14:textId="77777777" w:rsidR="009F5327" w:rsidRPr="00865A8B" w:rsidRDefault="009F5327" w:rsidP="009F5327">
      <w:pPr>
        <w:pStyle w:val="BodyText"/>
        <w:shd w:val="clear" w:color="auto" w:fill="F2F2F2" w:themeFill="background1" w:themeFillShade="F2"/>
        <w:spacing w:before="120"/>
        <w:rPr>
          <w:i/>
          <w:sz w:val="21"/>
          <w:szCs w:val="21"/>
        </w:rPr>
      </w:pPr>
      <w:r w:rsidRPr="00865A8B">
        <w:rPr>
          <w:i/>
          <w:sz w:val="21"/>
          <w:szCs w:val="21"/>
        </w:rPr>
        <w:t xml:space="preserve">All Australians have safe, equitable and ethical access to life-altering and/or life-saving tissue transplantation, through a strong and effective Australian eye and tissue donation for transplantation sector. </w:t>
      </w:r>
    </w:p>
    <w:p w14:paraId="3ED85BB5" w14:textId="77777777" w:rsidR="009F5327" w:rsidRPr="004F1BD8" w:rsidRDefault="009F5327" w:rsidP="009F5327">
      <w:pPr>
        <w:pStyle w:val="Heading2"/>
      </w:pPr>
      <w:bookmarkStart w:id="14" w:name="_Toc34387839"/>
      <w:bookmarkStart w:id="15" w:name="_Toc80966440"/>
      <w:bookmarkStart w:id="16" w:name="_Toc109209854"/>
      <w:r w:rsidRPr="004F1BD8">
        <w:t>Objectives</w:t>
      </w:r>
      <w:bookmarkEnd w:id="14"/>
      <w:bookmarkEnd w:id="15"/>
      <w:bookmarkEnd w:id="16"/>
    </w:p>
    <w:p w14:paraId="0D42F198" w14:textId="77777777" w:rsidR="009F5327" w:rsidRPr="00865A8B" w:rsidRDefault="009F5327" w:rsidP="009F5327">
      <w:pPr>
        <w:pStyle w:val="BodyText"/>
        <w:spacing w:before="120"/>
        <w:rPr>
          <w:sz w:val="21"/>
          <w:szCs w:val="21"/>
        </w:rPr>
      </w:pPr>
      <w:r w:rsidRPr="00865A8B">
        <w:rPr>
          <w:spacing w:val="-1"/>
          <w:sz w:val="21"/>
          <w:szCs w:val="21"/>
        </w:rPr>
        <w:t>The vision</w:t>
      </w:r>
      <w:r w:rsidRPr="00865A8B">
        <w:rPr>
          <w:spacing w:val="1"/>
          <w:sz w:val="21"/>
          <w:szCs w:val="21"/>
        </w:rPr>
        <w:t xml:space="preserve"> </w:t>
      </w:r>
      <w:r w:rsidR="003E35AF">
        <w:rPr>
          <w:spacing w:val="1"/>
          <w:sz w:val="21"/>
          <w:szCs w:val="21"/>
        </w:rPr>
        <w:t xml:space="preserve">of the Framework </w:t>
      </w:r>
      <w:r w:rsidRPr="00865A8B">
        <w:rPr>
          <w:spacing w:val="-1"/>
          <w:sz w:val="21"/>
          <w:szCs w:val="21"/>
        </w:rPr>
        <w:t>is</w:t>
      </w:r>
      <w:r w:rsidRPr="00865A8B">
        <w:rPr>
          <w:spacing w:val="-2"/>
          <w:sz w:val="21"/>
          <w:szCs w:val="21"/>
        </w:rPr>
        <w:t xml:space="preserve"> </w:t>
      </w:r>
      <w:r w:rsidRPr="00865A8B">
        <w:rPr>
          <w:spacing w:val="-1"/>
          <w:sz w:val="21"/>
          <w:szCs w:val="21"/>
        </w:rPr>
        <w:t>supported</w:t>
      </w:r>
      <w:r w:rsidRPr="00865A8B">
        <w:rPr>
          <w:spacing w:val="-2"/>
          <w:sz w:val="21"/>
          <w:szCs w:val="21"/>
        </w:rPr>
        <w:t xml:space="preserve"> </w:t>
      </w:r>
      <w:r w:rsidRPr="00865A8B">
        <w:rPr>
          <w:sz w:val="21"/>
          <w:szCs w:val="21"/>
        </w:rPr>
        <w:t>by</w:t>
      </w:r>
      <w:r w:rsidRPr="00865A8B">
        <w:rPr>
          <w:spacing w:val="3"/>
          <w:sz w:val="21"/>
          <w:szCs w:val="21"/>
        </w:rPr>
        <w:t xml:space="preserve"> </w:t>
      </w:r>
      <w:r w:rsidRPr="00865A8B">
        <w:rPr>
          <w:spacing w:val="-1"/>
          <w:sz w:val="21"/>
          <w:szCs w:val="21"/>
        </w:rPr>
        <w:t>three</w:t>
      </w:r>
      <w:r w:rsidRPr="00865A8B">
        <w:rPr>
          <w:spacing w:val="-2"/>
          <w:sz w:val="21"/>
          <w:szCs w:val="21"/>
        </w:rPr>
        <w:t xml:space="preserve"> high-level objectives:</w:t>
      </w:r>
    </w:p>
    <w:p w14:paraId="5C3B0898" w14:textId="77777777" w:rsidR="009F5327" w:rsidRPr="00865A8B" w:rsidRDefault="009F5327" w:rsidP="009F5327">
      <w:pPr>
        <w:pStyle w:val="BodyText"/>
        <w:widowControl w:val="0"/>
        <w:numPr>
          <w:ilvl w:val="0"/>
          <w:numId w:val="22"/>
        </w:numPr>
        <w:tabs>
          <w:tab w:val="left" w:pos="1774"/>
        </w:tabs>
        <w:spacing w:before="120"/>
        <w:ind w:left="638" w:hanging="355"/>
        <w:rPr>
          <w:sz w:val="21"/>
          <w:szCs w:val="21"/>
        </w:rPr>
      </w:pPr>
      <w:r w:rsidRPr="00865A8B">
        <w:rPr>
          <w:spacing w:val="-1"/>
          <w:sz w:val="21"/>
          <w:szCs w:val="21"/>
        </w:rPr>
        <w:t>Safe and equitable access to life-saving and life-altering tissue and tissue-based product transplantation.</w:t>
      </w:r>
    </w:p>
    <w:p w14:paraId="5FC587C8" w14:textId="77777777" w:rsidR="009F5327" w:rsidRPr="00865A8B" w:rsidRDefault="009F5327" w:rsidP="009F5327">
      <w:pPr>
        <w:pStyle w:val="BodyText"/>
        <w:widowControl w:val="0"/>
        <w:numPr>
          <w:ilvl w:val="0"/>
          <w:numId w:val="22"/>
        </w:numPr>
        <w:tabs>
          <w:tab w:val="left" w:pos="1774"/>
        </w:tabs>
        <w:spacing w:before="120"/>
        <w:ind w:left="638" w:hanging="355"/>
        <w:rPr>
          <w:sz w:val="21"/>
          <w:szCs w:val="21"/>
        </w:rPr>
      </w:pPr>
      <w:r w:rsidRPr="00865A8B">
        <w:rPr>
          <w:spacing w:val="-1"/>
          <w:sz w:val="21"/>
          <w:szCs w:val="21"/>
        </w:rPr>
        <w:t>Supply is efficient, effective, ethically sourced and appropriate, and is supported by services that optimise altruistic donation opportunities.</w:t>
      </w:r>
    </w:p>
    <w:p w14:paraId="37F6F852" w14:textId="77777777" w:rsidR="009F5327" w:rsidRPr="00865A8B" w:rsidRDefault="009F5327" w:rsidP="009F5327">
      <w:pPr>
        <w:pStyle w:val="BodyText"/>
        <w:widowControl w:val="0"/>
        <w:numPr>
          <w:ilvl w:val="0"/>
          <w:numId w:val="22"/>
        </w:numPr>
        <w:tabs>
          <w:tab w:val="left" w:pos="1774"/>
        </w:tabs>
        <w:spacing w:before="120"/>
        <w:ind w:left="638" w:hanging="355"/>
        <w:rPr>
          <w:sz w:val="21"/>
          <w:szCs w:val="21"/>
        </w:rPr>
      </w:pPr>
      <w:r w:rsidRPr="00865A8B">
        <w:rPr>
          <w:spacing w:val="-1"/>
          <w:sz w:val="21"/>
          <w:szCs w:val="21"/>
        </w:rPr>
        <w:t>The Australian eye and tissue sector is sustainable into the future.</w:t>
      </w:r>
    </w:p>
    <w:p w14:paraId="18A13483" w14:textId="77777777" w:rsidR="009F5327" w:rsidRPr="004F1BD8" w:rsidRDefault="009F5327" w:rsidP="009F5327">
      <w:pPr>
        <w:pStyle w:val="Heading2"/>
      </w:pPr>
      <w:bookmarkStart w:id="17" w:name="_Toc34387840"/>
      <w:bookmarkStart w:id="18" w:name="_Toc80966441"/>
      <w:bookmarkStart w:id="19" w:name="_Toc109209855"/>
      <w:r w:rsidRPr="004F1BD8">
        <w:t>Guiding Principles</w:t>
      </w:r>
      <w:bookmarkEnd w:id="17"/>
      <w:bookmarkEnd w:id="18"/>
      <w:bookmarkEnd w:id="19"/>
    </w:p>
    <w:p w14:paraId="7B684D71" w14:textId="77777777" w:rsidR="009F5327" w:rsidRPr="00865A8B" w:rsidRDefault="009F5327" w:rsidP="009F5327">
      <w:pPr>
        <w:pStyle w:val="BodyText"/>
        <w:spacing w:before="120"/>
        <w:rPr>
          <w:rFonts w:cs="Arial"/>
          <w:spacing w:val="-1"/>
          <w:sz w:val="21"/>
          <w:szCs w:val="21"/>
        </w:rPr>
      </w:pPr>
      <w:r w:rsidRPr="00865A8B">
        <w:rPr>
          <w:rFonts w:cs="Arial"/>
          <w:spacing w:val="-1"/>
          <w:sz w:val="21"/>
          <w:szCs w:val="21"/>
        </w:rPr>
        <w:t>The Guiding Principles support the design, development, successful and meaningful implementation of the Framework:</w:t>
      </w:r>
    </w:p>
    <w:p w14:paraId="6B6FEFAB"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 xml:space="preserve">Equity </w:t>
      </w:r>
      <w:r w:rsidRPr="00865A8B">
        <w:rPr>
          <w:rFonts w:cs="Arial"/>
          <w:sz w:val="21"/>
          <w:szCs w:val="21"/>
        </w:rPr>
        <w:t>–</w:t>
      </w:r>
      <w:r w:rsidRPr="00865A8B">
        <w:rPr>
          <w:rFonts w:cs="Arial"/>
          <w:spacing w:val="-2"/>
          <w:sz w:val="21"/>
          <w:szCs w:val="21"/>
        </w:rPr>
        <w:t xml:space="preserve"> </w:t>
      </w:r>
      <w:r w:rsidRPr="00865A8B">
        <w:rPr>
          <w:rFonts w:cs="Arial"/>
          <w:spacing w:val="-1"/>
          <w:sz w:val="21"/>
          <w:szCs w:val="21"/>
        </w:rPr>
        <w:t xml:space="preserve">all Australians </w:t>
      </w:r>
      <w:r w:rsidR="003E35AF">
        <w:rPr>
          <w:rFonts w:cs="Arial"/>
          <w:spacing w:val="-1"/>
          <w:sz w:val="21"/>
          <w:szCs w:val="21"/>
        </w:rPr>
        <w:t>have</w:t>
      </w:r>
      <w:r w:rsidR="003E35AF" w:rsidRPr="00865A8B">
        <w:rPr>
          <w:rFonts w:cs="Arial"/>
          <w:spacing w:val="-1"/>
          <w:sz w:val="21"/>
          <w:szCs w:val="21"/>
        </w:rPr>
        <w:t xml:space="preserve"> </w:t>
      </w:r>
      <w:r w:rsidRPr="00865A8B">
        <w:rPr>
          <w:rFonts w:cs="Arial"/>
          <w:spacing w:val="-1"/>
          <w:sz w:val="21"/>
          <w:szCs w:val="21"/>
        </w:rPr>
        <w:t>equitable access to tissue transplantation.</w:t>
      </w:r>
    </w:p>
    <w:p w14:paraId="404A6AA2"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Access</w:t>
      </w:r>
      <w:r w:rsidRPr="00865A8B">
        <w:rPr>
          <w:rFonts w:cs="Arial"/>
          <w:spacing w:val="-1"/>
          <w:sz w:val="21"/>
          <w:szCs w:val="21"/>
        </w:rPr>
        <w:t xml:space="preserve"> </w:t>
      </w:r>
      <w:r w:rsidRPr="00865A8B">
        <w:rPr>
          <w:rFonts w:cs="Arial"/>
          <w:sz w:val="21"/>
          <w:szCs w:val="21"/>
        </w:rPr>
        <w:t>–</w:t>
      </w:r>
      <w:r w:rsidRPr="00865A8B">
        <w:rPr>
          <w:rFonts w:cs="Arial"/>
          <w:spacing w:val="-2"/>
          <w:sz w:val="21"/>
          <w:szCs w:val="21"/>
        </w:rPr>
        <w:t xml:space="preserve"> </w:t>
      </w:r>
      <w:r w:rsidRPr="00865A8B">
        <w:rPr>
          <w:rFonts w:cs="Arial"/>
          <w:spacing w:val="-1"/>
          <w:sz w:val="21"/>
          <w:szCs w:val="21"/>
        </w:rPr>
        <w:t>all Australians have access to affordable, ethically-sourced, high standard products and appropriate services.</w:t>
      </w:r>
    </w:p>
    <w:p w14:paraId="01E997E8"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 xml:space="preserve">Sustainability </w:t>
      </w:r>
      <w:r w:rsidRPr="00865A8B">
        <w:rPr>
          <w:rFonts w:cs="Arial"/>
          <w:sz w:val="21"/>
          <w:szCs w:val="21"/>
        </w:rPr>
        <w:t>–</w:t>
      </w:r>
      <w:r w:rsidRPr="00865A8B">
        <w:rPr>
          <w:rFonts w:cs="Arial"/>
          <w:spacing w:val="-3"/>
          <w:sz w:val="21"/>
          <w:szCs w:val="21"/>
        </w:rPr>
        <w:t xml:space="preserve"> </w:t>
      </w:r>
      <w:r w:rsidRPr="00865A8B">
        <w:rPr>
          <w:rFonts w:cs="Arial"/>
          <w:spacing w:val="-1"/>
          <w:sz w:val="21"/>
          <w:szCs w:val="21"/>
        </w:rPr>
        <w:t>strategic</w:t>
      </w:r>
      <w:r w:rsidRPr="00865A8B">
        <w:rPr>
          <w:rFonts w:cs="Arial"/>
          <w:sz w:val="21"/>
          <w:szCs w:val="21"/>
        </w:rPr>
        <w:t xml:space="preserve"> </w:t>
      </w:r>
      <w:r w:rsidRPr="00865A8B">
        <w:rPr>
          <w:rFonts w:cs="Arial"/>
          <w:spacing w:val="-1"/>
          <w:sz w:val="21"/>
          <w:szCs w:val="21"/>
        </w:rPr>
        <w:t>planning</w:t>
      </w:r>
      <w:r w:rsidRPr="00865A8B">
        <w:rPr>
          <w:rFonts w:cs="Arial"/>
          <w:sz w:val="21"/>
          <w:szCs w:val="21"/>
        </w:rPr>
        <w:t xml:space="preserve"> </w:t>
      </w:r>
      <w:r w:rsidRPr="00865A8B">
        <w:rPr>
          <w:rFonts w:cs="Arial"/>
          <w:spacing w:val="-1"/>
          <w:sz w:val="21"/>
          <w:szCs w:val="21"/>
        </w:rPr>
        <w:t>and</w:t>
      </w:r>
      <w:r w:rsidRPr="00865A8B">
        <w:rPr>
          <w:rFonts w:cs="Arial"/>
          <w:sz w:val="21"/>
          <w:szCs w:val="21"/>
        </w:rPr>
        <w:t xml:space="preserve"> </w:t>
      </w:r>
      <w:r w:rsidRPr="00865A8B">
        <w:rPr>
          <w:rFonts w:cs="Arial"/>
          <w:spacing w:val="-1"/>
          <w:sz w:val="21"/>
          <w:szCs w:val="21"/>
        </w:rPr>
        <w:t>responsible</w:t>
      </w:r>
      <w:r w:rsidRPr="00865A8B">
        <w:rPr>
          <w:rFonts w:cs="Arial"/>
          <w:spacing w:val="-4"/>
          <w:sz w:val="21"/>
          <w:szCs w:val="21"/>
        </w:rPr>
        <w:t xml:space="preserve"> </w:t>
      </w:r>
      <w:r w:rsidRPr="00865A8B">
        <w:rPr>
          <w:rFonts w:cs="Arial"/>
          <w:spacing w:val="-1"/>
          <w:sz w:val="21"/>
          <w:szCs w:val="21"/>
        </w:rPr>
        <w:t>management of</w:t>
      </w:r>
      <w:r w:rsidR="003E35AF">
        <w:rPr>
          <w:rFonts w:cs="Arial"/>
          <w:spacing w:val="-1"/>
          <w:sz w:val="21"/>
          <w:szCs w:val="21"/>
        </w:rPr>
        <w:t xml:space="preserve"> system</w:t>
      </w:r>
      <w:r w:rsidRPr="00865A8B">
        <w:rPr>
          <w:rFonts w:cs="Arial"/>
          <w:spacing w:val="-1"/>
          <w:sz w:val="21"/>
          <w:szCs w:val="21"/>
        </w:rPr>
        <w:t xml:space="preserve"> resources</w:t>
      </w:r>
      <w:r w:rsidRPr="00865A8B">
        <w:rPr>
          <w:rFonts w:cs="Arial"/>
          <w:spacing w:val="-2"/>
          <w:sz w:val="21"/>
          <w:szCs w:val="21"/>
        </w:rPr>
        <w:t xml:space="preserve"> </w:t>
      </w:r>
      <w:r w:rsidR="003E35AF">
        <w:rPr>
          <w:rFonts w:cs="Arial"/>
          <w:spacing w:val="-2"/>
          <w:sz w:val="21"/>
          <w:szCs w:val="21"/>
        </w:rPr>
        <w:t xml:space="preserve">to enable continued </w:t>
      </w:r>
      <w:r w:rsidRPr="00865A8B">
        <w:rPr>
          <w:rFonts w:cs="Arial"/>
          <w:spacing w:val="-1"/>
          <w:sz w:val="21"/>
          <w:szCs w:val="21"/>
        </w:rPr>
        <w:t>deliver</w:t>
      </w:r>
      <w:r w:rsidR="003E35AF">
        <w:rPr>
          <w:rFonts w:cs="Arial"/>
          <w:spacing w:val="-1"/>
          <w:sz w:val="21"/>
          <w:szCs w:val="21"/>
        </w:rPr>
        <w:t>y of</w:t>
      </w:r>
      <w:r w:rsidRPr="00865A8B">
        <w:rPr>
          <w:rFonts w:cs="Arial"/>
          <w:spacing w:val="1"/>
          <w:sz w:val="21"/>
          <w:szCs w:val="21"/>
        </w:rPr>
        <w:t xml:space="preserve"> </w:t>
      </w:r>
      <w:r w:rsidRPr="00865A8B">
        <w:rPr>
          <w:rFonts w:cs="Arial"/>
          <w:sz w:val="21"/>
          <w:szCs w:val="21"/>
        </w:rPr>
        <w:t>long</w:t>
      </w:r>
      <w:r w:rsidR="00D00738">
        <w:rPr>
          <w:rFonts w:cs="Arial"/>
          <w:sz w:val="21"/>
          <w:szCs w:val="21"/>
        </w:rPr>
        <w:noBreakHyphen/>
      </w:r>
      <w:r w:rsidRPr="00865A8B">
        <w:rPr>
          <w:rFonts w:cs="Arial"/>
          <w:spacing w:val="-1"/>
          <w:sz w:val="21"/>
          <w:szCs w:val="21"/>
        </w:rPr>
        <w:t>term,</w:t>
      </w:r>
      <w:r w:rsidRPr="00865A8B">
        <w:rPr>
          <w:rFonts w:cs="Arial"/>
          <w:spacing w:val="1"/>
          <w:sz w:val="21"/>
          <w:szCs w:val="21"/>
        </w:rPr>
        <w:t xml:space="preserve"> </w:t>
      </w:r>
      <w:r w:rsidRPr="00865A8B">
        <w:rPr>
          <w:rFonts w:cs="Arial"/>
          <w:spacing w:val="-1"/>
          <w:sz w:val="21"/>
          <w:szCs w:val="21"/>
        </w:rPr>
        <w:t>improved</w:t>
      </w:r>
      <w:r w:rsidRPr="00865A8B">
        <w:rPr>
          <w:rFonts w:cs="Arial"/>
          <w:sz w:val="21"/>
          <w:szCs w:val="21"/>
        </w:rPr>
        <w:t xml:space="preserve"> </w:t>
      </w:r>
      <w:r w:rsidRPr="00865A8B">
        <w:rPr>
          <w:rFonts w:cs="Arial"/>
          <w:spacing w:val="-1"/>
          <w:sz w:val="21"/>
          <w:szCs w:val="21"/>
        </w:rPr>
        <w:t>health</w:t>
      </w:r>
      <w:r w:rsidRPr="00865A8B">
        <w:rPr>
          <w:rFonts w:cs="Arial"/>
          <w:sz w:val="21"/>
          <w:szCs w:val="21"/>
        </w:rPr>
        <w:t xml:space="preserve"> </w:t>
      </w:r>
      <w:r w:rsidRPr="00865A8B">
        <w:rPr>
          <w:rFonts w:cs="Arial"/>
          <w:spacing w:val="-2"/>
          <w:sz w:val="21"/>
          <w:szCs w:val="21"/>
        </w:rPr>
        <w:t>outcomes for patients.</w:t>
      </w:r>
    </w:p>
    <w:p w14:paraId="79754498"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Evidence-based</w:t>
      </w:r>
      <w:r w:rsidRPr="00865A8B">
        <w:rPr>
          <w:rFonts w:cs="Arial"/>
          <w:spacing w:val="-4"/>
          <w:sz w:val="21"/>
          <w:szCs w:val="21"/>
        </w:rPr>
        <w:t xml:space="preserve"> </w:t>
      </w:r>
      <w:r w:rsidRPr="00865A8B">
        <w:rPr>
          <w:rFonts w:cs="Arial"/>
          <w:sz w:val="21"/>
          <w:szCs w:val="21"/>
        </w:rPr>
        <w:t>–</w:t>
      </w:r>
      <w:r w:rsidRPr="00865A8B">
        <w:rPr>
          <w:rFonts w:cs="Arial"/>
          <w:spacing w:val="-2"/>
          <w:sz w:val="21"/>
          <w:szCs w:val="21"/>
        </w:rPr>
        <w:t xml:space="preserve"> </w:t>
      </w:r>
      <w:r w:rsidRPr="00865A8B">
        <w:rPr>
          <w:rFonts w:cs="Arial"/>
          <w:spacing w:val="-1"/>
          <w:sz w:val="21"/>
          <w:szCs w:val="21"/>
        </w:rPr>
        <w:t>rigorous, relevant</w:t>
      </w:r>
      <w:r w:rsidRPr="00865A8B">
        <w:rPr>
          <w:rFonts w:cs="Arial"/>
          <w:sz w:val="21"/>
          <w:szCs w:val="21"/>
        </w:rPr>
        <w:t xml:space="preserve"> and </w:t>
      </w:r>
      <w:r w:rsidRPr="00865A8B">
        <w:rPr>
          <w:rFonts w:cs="Arial"/>
          <w:spacing w:val="-1"/>
          <w:sz w:val="21"/>
          <w:szCs w:val="21"/>
        </w:rPr>
        <w:t>current evidence informs clinical and operational</w:t>
      </w:r>
      <w:r w:rsidRPr="00865A8B">
        <w:rPr>
          <w:rFonts w:cs="Arial"/>
          <w:sz w:val="21"/>
          <w:szCs w:val="21"/>
        </w:rPr>
        <w:t xml:space="preserve"> </w:t>
      </w:r>
      <w:r w:rsidRPr="00865A8B">
        <w:rPr>
          <w:rFonts w:cs="Arial"/>
          <w:spacing w:val="-1"/>
          <w:sz w:val="21"/>
          <w:szCs w:val="21"/>
        </w:rPr>
        <w:t>best</w:t>
      </w:r>
      <w:r w:rsidRPr="00865A8B">
        <w:rPr>
          <w:rFonts w:cs="Arial"/>
          <w:sz w:val="21"/>
          <w:szCs w:val="21"/>
        </w:rPr>
        <w:t xml:space="preserve"> </w:t>
      </w:r>
      <w:r w:rsidRPr="00865A8B">
        <w:rPr>
          <w:rFonts w:cs="Arial"/>
          <w:spacing w:val="-1"/>
          <w:sz w:val="21"/>
          <w:szCs w:val="21"/>
        </w:rPr>
        <w:t>practice</w:t>
      </w:r>
      <w:r w:rsidR="003E35AF">
        <w:rPr>
          <w:rFonts w:cs="Arial"/>
          <w:spacing w:val="-2"/>
          <w:sz w:val="21"/>
          <w:szCs w:val="21"/>
        </w:rPr>
        <w:t xml:space="preserve">, </w:t>
      </w:r>
      <w:r w:rsidRPr="00865A8B">
        <w:rPr>
          <w:rFonts w:cs="Arial"/>
          <w:spacing w:val="-1"/>
          <w:sz w:val="21"/>
          <w:szCs w:val="21"/>
        </w:rPr>
        <w:t>appropriate funding and governance structures.</w:t>
      </w:r>
    </w:p>
    <w:p w14:paraId="22D56698"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Collaboration and Partnerships</w:t>
      </w:r>
      <w:r w:rsidRPr="00865A8B">
        <w:rPr>
          <w:rFonts w:cs="Arial"/>
          <w:spacing w:val="-1"/>
          <w:sz w:val="21"/>
          <w:szCs w:val="21"/>
        </w:rPr>
        <w:t xml:space="preserve"> </w:t>
      </w:r>
      <w:r w:rsidRPr="00865A8B">
        <w:rPr>
          <w:rFonts w:cs="Arial"/>
          <w:sz w:val="21"/>
          <w:szCs w:val="21"/>
        </w:rPr>
        <w:t xml:space="preserve">– </w:t>
      </w:r>
      <w:r w:rsidRPr="00865A8B">
        <w:rPr>
          <w:rFonts w:cs="Arial"/>
          <w:spacing w:val="-1"/>
          <w:sz w:val="21"/>
          <w:szCs w:val="21"/>
        </w:rPr>
        <w:t>linkages</w:t>
      </w:r>
      <w:r w:rsidRPr="00865A8B">
        <w:rPr>
          <w:rFonts w:cs="Arial"/>
          <w:spacing w:val="-2"/>
          <w:sz w:val="21"/>
          <w:szCs w:val="21"/>
        </w:rPr>
        <w:t xml:space="preserve"> </w:t>
      </w:r>
      <w:r w:rsidRPr="00865A8B">
        <w:rPr>
          <w:rFonts w:cs="Arial"/>
          <w:sz w:val="21"/>
          <w:szCs w:val="21"/>
        </w:rPr>
        <w:t>and</w:t>
      </w:r>
      <w:r w:rsidRPr="00865A8B">
        <w:rPr>
          <w:rFonts w:cs="Arial"/>
          <w:spacing w:val="-2"/>
          <w:sz w:val="21"/>
          <w:szCs w:val="21"/>
        </w:rPr>
        <w:t xml:space="preserve"> </w:t>
      </w:r>
      <w:r w:rsidRPr="00865A8B">
        <w:rPr>
          <w:rFonts w:cs="Arial"/>
          <w:spacing w:val="-1"/>
          <w:sz w:val="21"/>
          <w:szCs w:val="21"/>
        </w:rPr>
        <w:t>opportunities</w:t>
      </w:r>
      <w:r w:rsidRPr="00865A8B">
        <w:rPr>
          <w:rFonts w:cs="Arial"/>
          <w:sz w:val="21"/>
          <w:szCs w:val="21"/>
        </w:rPr>
        <w:t xml:space="preserve"> to cooperate and </w:t>
      </w:r>
      <w:r w:rsidRPr="00865A8B">
        <w:rPr>
          <w:rFonts w:cs="Arial"/>
          <w:spacing w:val="-1"/>
          <w:sz w:val="21"/>
          <w:szCs w:val="21"/>
        </w:rPr>
        <w:t>partner</w:t>
      </w:r>
      <w:r w:rsidRPr="00865A8B">
        <w:rPr>
          <w:rFonts w:cs="Arial"/>
          <w:spacing w:val="-2"/>
          <w:sz w:val="21"/>
          <w:szCs w:val="21"/>
        </w:rPr>
        <w:t xml:space="preserve"> </w:t>
      </w:r>
      <w:r w:rsidRPr="00865A8B">
        <w:rPr>
          <w:rFonts w:cs="Arial"/>
          <w:spacing w:val="-1"/>
          <w:sz w:val="21"/>
          <w:szCs w:val="21"/>
        </w:rPr>
        <w:t>responsibly</w:t>
      </w:r>
      <w:r w:rsidRPr="00865A8B">
        <w:rPr>
          <w:rFonts w:cs="Arial"/>
          <w:spacing w:val="1"/>
          <w:sz w:val="21"/>
          <w:szCs w:val="21"/>
        </w:rPr>
        <w:t xml:space="preserve"> </w:t>
      </w:r>
      <w:r w:rsidR="003E35AF">
        <w:rPr>
          <w:rFonts w:cs="Arial"/>
          <w:spacing w:val="1"/>
          <w:sz w:val="21"/>
          <w:szCs w:val="21"/>
        </w:rPr>
        <w:t xml:space="preserve">to </w:t>
      </w:r>
      <w:r w:rsidRPr="00865A8B">
        <w:rPr>
          <w:rFonts w:cs="Arial"/>
          <w:spacing w:val="-2"/>
          <w:sz w:val="21"/>
          <w:szCs w:val="21"/>
        </w:rPr>
        <w:t>achieve</w:t>
      </w:r>
      <w:r w:rsidRPr="00865A8B">
        <w:rPr>
          <w:rFonts w:cs="Arial"/>
          <w:spacing w:val="-1"/>
          <w:sz w:val="21"/>
          <w:szCs w:val="21"/>
        </w:rPr>
        <w:t xml:space="preserve"> greater</w:t>
      </w:r>
      <w:r w:rsidRPr="00865A8B">
        <w:rPr>
          <w:rFonts w:cs="Arial"/>
          <w:spacing w:val="1"/>
          <w:sz w:val="21"/>
          <w:szCs w:val="21"/>
        </w:rPr>
        <w:t xml:space="preserve"> </w:t>
      </w:r>
      <w:r w:rsidRPr="00865A8B">
        <w:rPr>
          <w:rFonts w:cs="Arial"/>
          <w:spacing w:val="-1"/>
          <w:sz w:val="21"/>
          <w:szCs w:val="21"/>
        </w:rPr>
        <w:t>impacts</w:t>
      </w:r>
      <w:r w:rsidRPr="00865A8B">
        <w:rPr>
          <w:rFonts w:cs="Arial"/>
          <w:sz w:val="21"/>
          <w:szCs w:val="21"/>
        </w:rPr>
        <w:t xml:space="preserve"> </w:t>
      </w:r>
      <w:r w:rsidRPr="00865A8B">
        <w:rPr>
          <w:rFonts w:cs="Arial"/>
          <w:spacing w:val="-1"/>
          <w:sz w:val="21"/>
          <w:szCs w:val="21"/>
        </w:rPr>
        <w:t>than</w:t>
      </w:r>
      <w:r w:rsidRPr="00865A8B">
        <w:rPr>
          <w:rFonts w:cs="Arial"/>
          <w:sz w:val="21"/>
          <w:szCs w:val="21"/>
        </w:rPr>
        <w:t xml:space="preserve"> </w:t>
      </w:r>
      <w:r w:rsidRPr="00865A8B">
        <w:rPr>
          <w:rFonts w:cs="Arial"/>
          <w:spacing w:val="-1"/>
          <w:sz w:val="21"/>
          <w:szCs w:val="21"/>
        </w:rPr>
        <w:t>can</w:t>
      </w:r>
      <w:r w:rsidRPr="00865A8B">
        <w:rPr>
          <w:rFonts w:cs="Arial"/>
          <w:sz w:val="21"/>
          <w:szCs w:val="21"/>
        </w:rPr>
        <w:t xml:space="preserve"> </w:t>
      </w:r>
      <w:r w:rsidRPr="00865A8B">
        <w:rPr>
          <w:rFonts w:cs="Arial"/>
          <w:spacing w:val="-1"/>
          <w:sz w:val="21"/>
          <w:szCs w:val="21"/>
        </w:rPr>
        <w:t>occur</w:t>
      </w:r>
      <w:r w:rsidRPr="00865A8B">
        <w:rPr>
          <w:rFonts w:cs="Arial"/>
          <w:spacing w:val="1"/>
          <w:sz w:val="21"/>
          <w:szCs w:val="21"/>
        </w:rPr>
        <w:t xml:space="preserve"> </w:t>
      </w:r>
      <w:r w:rsidRPr="00865A8B">
        <w:rPr>
          <w:rFonts w:cs="Arial"/>
          <w:spacing w:val="-2"/>
          <w:sz w:val="21"/>
          <w:szCs w:val="21"/>
        </w:rPr>
        <w:t>in</w:t>
      </w:r>
      <w:r w:rsidRPr="00865A8B">
        <w:rPr>
          <w:rFonts w:cs="Arial"/>
          <w:sz w:val="21"/>
          <w:szCs w:val="21"/>
        </w:rPr>
        <w:t xml:space="preserve"> </w:t>
      </w:r>
      <w:r w:rsidRPr="00865A8B">
        <w:rPr>
          <w:rFonts w:cs="Arial"/>
          <w:spacing w:val="-1"/>
          <w:sz w:val="21"/>
          <w:szCs w:val="21"/>
        </w:rPr>
        <w:t xml:space="preserve">isolation. </w:t>
      </w:r>
    </w:p>
    <w:p w14:paraId="6FCDAADC" w14:textId="77777777" w:rsidR="009F5327" w:rsidRPr="00865A8B"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Shared Responsibility</w:t>
      </w:r>
      <w:r w:rsidRPr="00865A8B">
        <w:rPr>
          <w:rFonts w:cs="Arial"/>
          <w:sz w:val="21"/>
          <w:szCs w:val="21"/>
        </w:rPr>
        <w:t xml:space="preserve"> –</w:t>
      </w:r>
      <w:r w:rsidRPr="00865A8B">
        <w:rPr>
          <w:rFonts w:cs="Arial"/>
          <w:spacing w:val="-2"/>
          <w:sz w:val="21"/>
          <w:szCs w:val="21"/>
        </w:rPr>
        <w:t xml:space="preserve"> </w:t>
      </w:r>
      <w:r w:rsidRPr="00865A8B">
        <w:rPr>
          <w:rFonts w:cs="Arial"/>
          <w:spacing w:val="-1"/>
          <w:sz w:val="21"/>
          <w:szCs w:val="21"/>
        </w:rPr>
        <w:t>all parties</w:t>
      </w:r>
      <w:r w:rsidRPr="00865A8B">
        <w:rPr>
          <w:rFonts w:cs="Arial"/>
          <w:sz w:val="21"/>
          <w:szCs w:val="21"/>
        </w:rPr>
        <w:t xml:space="preserve"> </w:t>
      </w:r>
      <w:r w:rsidRPr="00865A8B">
        <w:rPr>
          <w:rFonts w:cs="Arial"/>
          <w:spacing w:val="-1"/>
          <w:sz w:val="21"/>
          <w:szCs w:val="21"/>
        </w:rPr>
        <w:t>understand,</w:t>
      </w:r>
      <w:r w:rsidRPr="00865A8B">
        <w:rPr>
          <w:rFonts w:cs="Arial"/>
          <w:spacing w:val="1"/>
          <w:sz w:val="21"/>
          <w:szCs w:val="21"/>
        </w:rPr>
        <w:t xml:space="preserve"> </w:t>
      </w:r>
      <w:r w:rsidRPr="00865A8B">
        <w:rPr>
          <w:rFonts w:cs="Arial"/>
          <w:spacing w:val="-1"/>
          <w:sz w:val="21"/>
          <w:szCs w:val="21"/>
        </w:rPr>
        <w:t>accept</w:t>
      </w:r>
      <w:r w:rsidRPr="00865A8B">
        <w:rPr>
          <w:rFonts w:cs="Arial"/>
          <w:spacing w:val="-3"/>
          <w:sz w:val="21"/>
          <w:szCs w:val="21"/>
        </w:rPr>
        <w:t xml:space="preserve"> </w:t>
      </w:r>
      <w:r w:rsidRPr="00865A8B">
        <w:rPr>
          <w:rFonts w:cs="Arial"/>
          <w:sz w:val="21"/>
          <w:szCs w:val="21"/>
        </w:rPr>
        <w:t>and</w:t>
      </w:r>
      <w:r w:rsidRPr="00865A8B">
        <w:rPr>
          <w:rFonts w:cs="Arial"/>
          <w:spacing w:val="-2"/>
          <w:sz w:val="21"/>
          <w:szCs w:val="21"/>
        </w:rPr>
        <w:t xml:space="preserve"> </w:t>
      </w:r>
      <w:r w:rsidRPr="00865A8B">
        <w:rPr>
          <w:rFonts w:cs="Arial"/>
          <w:spacing w:val="-1"/>
          <w:sz w:val="21"/>
          <w:szCs w:val="21"/>
        </w:rPr>
        <w:t>fulfil</w:t>
      </w:r>
      <w:r w:rsidRPr="00865A8B">
        <w:rPr>
          <w:rFonts w:cs="Arial"/>
          <w:spacing w:val="2"/>
          <w:sz w:val="21"/>
          <w:szCs w:val="21"/>
        </w:rPr>
        <w:t xml:space="preserve"> </w:t>
      </w:r>
      <w:r w:rsidRPr="00865A8B">
        <w:rPr>
          <w:rFonts w:cs="Arial"/>
          <w:spacing w:val="-1"/>
          <w:sz w:val="21"/>
          <w:szCs w:val="21"/>
        </w:rPr>
        <w:t>their</w:t>
      </w:r>
      <w:r w:rsidRPr="00865A8B">
        <w:rPr>
          <w:rFonts w:cs="Arial"/>
          <w:spacing w:val="-2"/>
          <w:sz w:val="21"/>
          <w:szCs w:val="21"/>
        </w:rPr>
        <w:t xml:space="preserve"> </w:t>
      </w:r>
      <w:r w:rsidRPr="00865A8B">
        <w:rPr>
          <w:rFonts w:cs="Arial"/>
          <w:spacing w:val="-1"/>
          <w:sz w:val="21"/>
          <w:szCs w:val="21"/>
        </w:rPr>
        <w:t>roles</w:t>
      </w:r>
      <w:r w:rsidRPr="00865A8B">
        <w:rPr>
          <w:rFonts w:cs="Arial"/>
          <w:sz w:val="21"/>
          <w:szCs w:val="21"/>
        </w:rPr>
        <w:t xml:space="preserve"> </w:t>
      </w:r>
      <w:r w:rsidRPr="00865A8B">
        <w:rPr>
          <w:rFonts w:cs="Arial"/>
          <w:spacing w:val="-1"/>
          <w:sz w:val="21"/>
          <w:szCs w:val="21"/>
        </w:rPr>
        <w:t>and</w:t>
      </w:r>
      <w:r w:rsidRPr="00865A8B">
        <w:rPr>
          <w:rFonts w:cs="Arial"/>
          <w:spacing w:val="-2"/>
          <w:sz w:val="21"/>
          <w:szCs w:val="21"/>
        </w:rPr>
        <w:t xml:space="preserve"> </w:t>
      </w:r>
      <w:r w:rsidRPr="00865A8B">
        <w:rPr>
          <w:rFonts w:cs="Arial"/>
          <w:spacing w:val="-1"/>
          <w:sz w:val="21"/>
          <w:szCs w:val="21"/>
        </w:rPr>
        <w:t xml:space="preserve">responsibilities </w:t>
      </w:r>
      <w:r w:rsidRPr="00865A8B">
        <w:rPr>
          <w:rFonts w:cs="Arial"/>
          <w:sz w:val="21"/>
          <w:szCs w:val="21"/>
        </w:rPr>
        <w:t xml:space="preserve">to </w:t>
      </w:r>
      <w:r w:rsidRPr="00865A8B">
        <w:rPr>
          <w:rFonts w:cs="Arial"/>
          <w:spacing w:val="-1"/>
          <w:sz w:val="21"/>
          <w:szCs w:val="21"/>
        </w:rPr>
        <w:t>support</w:t>
      </w:r>
      <w:r w:rsidRPr="00865A8B">
        <w:rPr>
          <w:rFonts w:cs="Arial"/>
          <w:sz w:val="21"/>
          <w:szCs w:val="21"/>
        </w:rPr>
        <w:t xml:space="preserve"> </w:t>
      </w:r>
      <w:r w:rsidRPr="00865A8B">
        <w:rPr>
          <w:rFonts w:cs="Arial"/>
          <w:spacing w:val="-1"/>
          <w:sz w:val="21"/>
          <w:szCs w:val="21"/>
        </w:rPr>
        <w:t>enhanced</w:t>
      </w:r>
      <w:r w:rsidRPr="00865A8B">
        <w:rPr>
          <w:rFonts w:cs="Arial"/>
          <w:spacing w:val="-2"/>
          <w:sz w:val="21"/>
          <w:szCs w:val="21"/>
        </w:rPr>
        <w:t xml:space="preserve"> </w:t>
      </w:r>
      <w:r w:rsidRPr="00865A8B">
        <w:rPr>
          <w:rFonts w:cs="Arial"/>
          <w:spacing w:val="-1"/>
          <w:sz w:val="21"/>
          <w:szCs w:val="21"/>
        </w:rPr>
        <w:t>health</w:t>
      </w:r>
      <w:r w:rsidRPr="00865A8B">
        <w:rPr>
          <w:rFonts w:cs="Arial"/>
          <w:spacing w:val="-2"/>
          <w:sz w:val="21"/>
          <w:szCs w:val="21"/>
        </w:rPr>
        <w:t xml:space="preserve"> </w:t>
      </w:r>
      <w:r w:rsidRPr="00865A8B">
        <w:rPr>
          <w:rFonts w:cs="Arial"/>
          <w:spacing w:val="-1"/>
          <w:sz w:val="21"/>
          <w:szCs w:val="21"/>
        </w:rPr>
        <w:t>outcomes</w:t>
      </w:r>
      <w:r w:rsidRPr="00865A8B">
        <w:rPr>
          <w:rFonts w:cs="Arial"/>
          <w:spacing w:val="-2"/>
          <w:sz w:val="21"/>
          <w:szCs w:val="21"/>
        </w:rPr>
        <w:t xml:space="preserve"> </w:t>
      </w:r>
      <w:r w:rsidRPr="00865A8B">
        <w:rPr>
          <w:rFonts w:cs="Arial"/>
          <w:spacing w:val="-1"/>
          <w:sz w:val="21"/>
          <w:szCs w:val="21"/>
        </w:rPr>
        <w:t>for</w:t>
      </w:r>
      <w:r w:rsidRPr="00865A8B">
        <w:rPr>
          <w:rFonts w:cs="Arial"/>
          <w:spacing w:val="1"/>
          <w:sz w:val="21"/>
          <w:szCs w:val="21"/>
        </w:rPr>
        <w:t xml:space="preserve"> </w:t>
      </w:r>
      <w:r w:rsidRPr="00865A8B">
        <w:rPr>
          <w:rFonts w:cs="Arial"/>
          <w:spacing w:val="-1"/>
          <w:sz w:val="21"/>
          <w:szCs w:val="21"/>
        </w:rPr>
        <w:t>all Australians; and</w:t>
      </w:r>
    </w:p>
    <w:p w14:paraId="4020AB5D" w14:textId="77777777" w:rsidR="009F5327" w:rsidRPr="009F5327" w:rsidRDefault="009F5327" w:rsidP="009F5327">
      <w:pPr>
        <w:pStyle w:val="BodyText"/>
        <w:widowControl w:val="0"/>
        <w:numPr>
          <w:ilvl w:val="0"/>
          <w:numId w:val="23"/>
        </w:numPr>
        <w:tabs>
          <w:tab w:val="left" w:pos="1774"/>
        </w:tabs>
        <w:spacing w:before="120"/>
        <w:ind w:left="638" w:hanging="355"/>
        <w:rPr>
          <w:rFonts w:cs="Arial"/>
          <w:sz w:val="21"/>
          <w:szCs w:val="21"/>
        </w:rPr>
      </w:pPr>
      <w:r w:rsidRPr="00865A8B">
        <w:rPr>
          <w:rFonts w:cs="Arial"/>
          <w:b/>
          <w:spacing w:val="-3"/>
          <w:sz w:val="21"/>
          <w:szCs w:val="21"/>
        </w:rPr>
        <w:t>Accountability and Transparency</w:t>
      </w:r>
      <w:r w:rsidRPr="00865A8B">
        <w:rPr>
          <w:rFonts w:cs="Arial"/>
          <w:spacing w:val="-3"/>
          <w:sz w:val="21"/>
          <w:szCs w:val="21"/>
        </w:rPr>
        <w:t xml:space="preserve"> </w:t>
      </w:r>
      <w:r w:rsidRPr="00865A8B">
        <w:rPr>
          <w:rFonts w:cs="Arial"/>
          <w:sz w:val="21"/>
          <w:szCs w:val="21"/>
        </w:rPr>
        <w:t>–</w:t>
      </w:r>
      <w:r w:rsidRPr="00865A8B">
        <w:rPr>
          <w:rFonts w:cs="Arial"/>
          <w:spacing w:val="1"/>
          <w:sz w:val="21"/>
          <w:szCs w:val="21"/>
        </w:rPr>
        <w:t xml:space="preserve"> </w:t>
      </w:r>
      <w:r w:rsidRPr="00865A8B">
        <w:rPr>
          <w:rFonts w:cs="Arial"/>
          <w:spacing w:val="-1"/>
          <w:sz w:val="21"/>
          <w:szCs w:val="21"/>
        </w:rPr>
        <w:t>decisions</w:t>
      </w:r>
      <w:r w:rsidRPr="00865A8B">
        <w:rPr>
          <w:rFonts w:cs="Arial"/>
          <w:spacing w:val="1"/>
          <w:sz w:val="21"/>
          <w:szCs w:val="21"/>
        </w:rPr>
        <w:t xml:space="preserve"> are made </w:t>
      </w:r>
      <w:r w:rsidRPr="00865A8B">
        <w:rPr>
          <w:rFonts w:cs="Arial"/>
          <w:spacing w:val="-1"/>
          <w:sz w:val="21"/>
          <w:szCs w:val="21"/>
        </w:rPr>
        <w:t>and</w:t>
      </w:r>
      <w:r w:rsidRPr="00865A8B">
        <w:rPr>
          <w:rFonts w:cs="Arial"/>
          <w:spacing w:val="-2"/>
          <w:sz w:val="21"/>
          <w:szCs w:val="21"/>
        </w:rPr>
        <w:t xml:space="preserve"> </w:t>
      </w:r>
      <w:r w:rsidRPr="00865A8B">
        <w:rPr>
          <w:rFonts w:cs="Arial"/>
          <w:spacing w:val="-1"/>
          <w:sz w:val="21"/>
          <w:szCs w:val="21"/>
        </w:rPr>
        <w:t>responsibilities</w:t>
      </w:r>
      <w:r w:rsidRPr="00865A8B">
        <w:rPr>
          <w:rFonts w:cs="Arial"/>
          <w:sz w:val="21"/>
          <w:szCs w:val="21"/>
        </w:rPr>
        <w:t xml:space="preserve"> are discharged in a way that is</w:t>
      </w:r>
      <w:r w:rsidRPr="00865A8B">
        <w:rPr>
          <w:rFonts w:cs="Arial"/>
          <w:spacing w:val="-1"/>
          <w:sz w:val="21"/>
          <w:szCs w:val="21"/>
        </w:rPr>
        <w:t xml:space="preserve"> ethical, clearly understood</w:t>
      </w:r>
      <w:r w:rsidRPr="00865A8B">
        <w:rPr>
          <w:rFonts w:cs="Arial"/>
          <w:spacing w:val="3"/>
          <w:sz w:val="21"/>
          <w:szCs w:val="21"/>
        </w:rPr>
        <w:t xml:space="preserve"> </w:t>
      </w:r>
      <w:r w:rsidRPr="00865A8B">
        <w:rPr>
          <w:rFonts w:cs="Arial"/>
          <w:spacing w:val="-1"/>
          <w:sz w:val="21"/>
          <w:szCs w:val="21"/>
        </w:rPr>
        <w:t>and</w:t>
      </w:r>
      <w:r w:rsidRPr="00865A8B">
        <w:rPr>
          <w:rFonts w:cs="Arial"/>
          <w:spacing w:val="-2"/>
          <w:sz w:val="21"/>
          <w:szCs w:val="21"/>
        </w:rPr>
        <w:t xml:space="preserve"> </w:t>
      </w:r>
      <w:r w:rsidRPr="00865A8B">
        <w:rPr>
          <w:rFonts w:cs="Arial"/>
          <w:sz w:val="21"/>
          <w:szCs w:val="21"/>
        </w:rPr>
        <w:t xml:space="preserve">accountable, and </w:t>
      </w:r>
      <w:r w:rsidRPr="00865A8B">
        <w:rPr>
          <w:rFonts w:cs="Arial"/>
          <w:spacing w:val="-1"/>
          <w:sz w:val="21"/>
          <w:szCs w:val="21"/>
        </w:rPr>
        <w:t>achieve</w:t>
      </w:r>
      <w:r w:rsidR="00D00738">
        <w:rPr>
          <w:rFonts w:cs="Arial"/>
          <w:spacing w:val="-1"/>
          <w:sz w:val="21"/>
          <w:szCs w:val="21"/>
        </w:rPr>
        <w:t>s</w:t>
      </w:r>
      <w:r w:rsidRPr="00865A8B">
        <w:rPr>
          <w:rFonts w:cs="Arial"/>
          <w:spacing w:val="-1"/>
          <w:sz w:val="21"/>
          <w:szCs w:val="21"/>
        </w:rPr>
        <w:t xml:space="preserve"> best</w:t>
      </w:r>
      <w:r w:rsidRPr="00865A8B">
        <w:rPr>
          <w:rFonts w:cs="Arial"/>
          <w:sz w:val="21"/>
          <w:szCs w:val="21"/>
        </w:rPr>
        <w:t xml:space="preserve"> </w:t>
      </w:r>
      <w:r w:rsidRPr="00865A8B">
        <w:rPr>
          <w:rFonts w:cs="Arial"/>
          <w:spacing w:val="-1"/>
          <w:sz w:val="21"/>
          <w:szCs w:val="21"/>
        </w:rPr>
        <w:t>value for</w:t>
      </w:r>
      <w:r w:rsidRPr="00865A8B">
        <w:rPr>
          <w:rFonts w:cs="Arial"/>
          <w:spacing w:val="-3"/>
          <w:sz w:val="21"/>
          <w:szCs w:val="21"/>
        </w:rPr>
        <w:t xml:space="preserve"> </w:t>
      </w:r>
      <w:r w:rsidRPr="00865A8B">
        <w:rPr>
          <w:rFonts w:cs="Arial"/>
          <w:spacing w:val="-1"/>
          <w:sz w:val="21"/>
          <w:szCs w:val="21"/>
        </w:rPr>
        <w:t>public</w:t>
      </w:r>
      <w:r w:rsidRPr="00865A8B">
        <w:rPr>
          <w:rFonts w:cs="Arial"/>
          <w:spacing w:val="-3"/>
          <w:sz w:val="21"/>
          <w:szCs w:val="21"/>
        </w:rPr>
        <w:t xml:space="preserve"> </w:t>
      </w:r>
      <w:r w:rsidRPr="00865A8B">
        <w:rPr>
          <w:rFonts w:cs="Arial"/>
          <w:spacing w:val="-1"/>
          <w:sz w:val="21"/>
          <w:szCs w:val="21"/>
        </w:rPr>
        <w:t>resources.</w:t>
      </w:r>
      <w:bookmarkStart w:id="20" w:name="_bookmark17"/>
      <w:bookmarkEnd w:id="20"/>
    </w:p>
    <w:p w14:paraId="7AA69347" w14:textId="77777777" w:rsidR="009F5327" w:rsidRDefault="009F5327">
      <w:pPr>
        <w:rPr>
          <w:rFonts w:cs="Arial"/>
          <w:sz w:val="21"/>
          <w:szCs w:val="21"/>
        </w:rPr>
      </w:pPr>
      <w:r>
        <w:rPr>
          <w:rFonts w:cs="Arial"/>
          <w:sz w:val="21"/>
          <w:szCs w:val="21"/>
        </w:rPr>
        <w:br w:type="page"/>
      </w:r>
    </w:p>
    <w:p w14:paraId="636CFA0F" w14:textId="77777777" w:rsidR="009F5327" w:rsidRPr="004F1BD8" w:rsidRDefault="009F5327" w:rsidP="009F5327">
      <w:pPr>
        <w:pStyle w:val="Heading2"/>
      </w:pPr>
      <w:bookmarkStart w:id="21" w:name="_Toc34387841"/>
      <w:bookmarkStart w:id="22" w:name="_Toc80966442"/>
      <w:bookmarkStart w:id="23" w:name="_Toc109209856"/>
      <w:r w:rsidRPr="004F1BD8">
        <w:lastRenderedPageBreak/>
        <w:t>Stakeholders</w:t>
      </w:r>
      <w:bookmarkEnd w:id="21"/>
      <w:bookmarkEnd w:id="22"/>
      <w:bookmarkEnd w:id="23"/>
    </w:p>
    <w:p w14:paraId="66C2079C" w14:textId="77777777" w:rsidR="009F5327" w:rsidRPr="009F5327" w:rsidRDefault="009F5327" w:rsidP="009F5327">
      <w:pPr>
        <w:pStyle w:val="BodyText"/>
        <w:spacing w:before="120"/>
        <w:rPr>
          <w:rFonts w:cs="Arial"/>
          <w:sz w:val="21"/>
          <w:szCs w:val="21"/>
        </w:rPr>
      </w:pPr>
      <w:r w:rsidRPr="009F5327">
        <w:rPr>
          <w:rFonts w:cs="Arial"/>
          <w:spacing w:val="-1"/>
          <w:sz w:val="21"/>
          <w:szCs w:val="21"/>
        </w:rPr>
        <w:t>The effective operation of the Australian eye and tissue sector is strongly influenced by the contributions made by a wide range of stakeholders and partners, including:</w:t>
      </w:r>
    </w:p>
    <w:p w14:paraId="3CAAD6AC" w14:textId="77777777" w:rsidR="009F5327"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the Australian eye and tissue sector, including public and private tissue and tissue-based product providers</w:t>
      </w:r>
    </w:p>
    <w:p w14:paraId="00FA46A6" w14:textId="77777777" w:rsidR="009F5327"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the public and private health sectors, including end-users</w:t>
      </w:r>
      <w:r w:rsidR="00024CA2" w:rsidRPr="00024CA2">
        <w:rPr>
          <w:rFonts w:cs="Arial"/>
          <w:sz w:val="21"/>
          <w:szCs w:val="21"/>
        </w:rPr>
        <w:t xml:space="preserve"> (clinicians)</w:t>
      </w:r>
    </w:p>
    <w:p w14:paraId="1C7510B2" w14:textId="77777777" w:rsidR="009F5327"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all governments, including regulators</w:t>
      </w:r>
    </w:p>
    <w:p w14:paraId="520E2D98" w14:textId="77777777" w:rsidR="009F5327"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professional associations</w:t>
      </w:r>
    </w:p>
    <w:p w14:paraId="04F7F6A7" w14:textId="77777777" w:rsidR="003E35AF"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researchers and academic institutions</w:t>
      </w:r>
    </w:p>
    <w:p w14:paraId="37BE18F8" w14:textId="77777777" w:rsidR="009F5327" w:rsidRPr="009F5327" w:rsidRDefault="009F5327" w:rsidP="009F5327">
      <w:pPr>
        <w:pStyle w:val="BodyText"/>
        <w:widowControl w:val="0"/>
        <w:numPr>
          <w:ilvl w:val="0"/>
          <w:numId w:val="23"/>
        </w:numPr>
        <w:tabs>
          <w:tab w:val="left" w:pos="1781"/>
        </w:tabs>
        <w:spacing w:before="120"/>
        <w:ind w:left="643"/>
        <w:rPr>
          <w:rFonts w:cs="Arial"/>
          <w:sz w:val="21"/>
          <w:szCs w:val="21"/>
        </w:rPr>
      </w:pPr>
      <w:r w:rsidRPr="009F5327">
        <w:rPr>
          <w:rFonts w:cs="Arial"/>
          <w:sz w:val="21"/>
          <w:szCs w:val="21"/>
        </w:rPr>
        <w:t>the Australian community, including eye and tissue donors and their families.</w:t>
      </w:r>
    </w:p>
    <w:p w14:paraId="12D0B3B2" w14:textId="77777777" w:rsidR="009F5327" w:rsidRPr="009F5327" w:rsidRDefault="00085E6F" w:rsidP="009F5327">
      <w:pPr>
        <w:pStyle w:val="BodyText"/>
        <w:tabs>
          <w:tab w:val="left" w:pos="1781"/>
        </w:tabs>
        <w:spacing w:before="120"/>
        <w:rPr>
          <w:rFonts w:cs="Arial"/>
          <w:b/>
          <w:color w:val="001F5F"/>
          <w:spacing w:val="-1"/>
          <w:sz w:val="21"/>
          <w:szCs w:val="21"/>
        </w:rPr>
      </w:pPr>
      <w:r>
        <w:rPr>
          <w:rFonts w:cs="Arial"/>
          <w:spacing w:val="-1"/>
          <w:sz w:val="21"/>
          <w:szCs w:val="21"/>
        </w:rPr>
        <w:t>S</w:t>
      </w:r>
      <w:r w:rsidR="009F5327" w:rsidRPr="009F5327">
        <w:rPr>
          <w:rFonts w:cs="Arial"/>
          <w:spacing w:val="-1"/>
          <w:sz w:val="21"/>
          <w:szCs w:val="21"/>
        </w:rPr>
        <w:t>takeholders</w:t>
      </w:r>
      <w:r w:rsidR="009F5327" w:rsidRPr="009F5327">
        <w:rPr>
          <w:rFonts w:cs="Arial"/>
          <w:sz w:val="21"/>
          <w:szCs w:val="21"/>
        </w:rPr>
        <w:t xml:space="preserve"> </w:t>
      </w:r>
      <w:r w:rsidR="009F5327" w:rsidRPr="009F5327">
        <w:rPr>
          <w:rFonts w:cs="Arial"/>
          <w:spacing w:val="-1"/>
          <w:sz w:val="21"/>
          <w:szCs w:val="21"/>
        </w:rPr>
        <w:t>have shared</w:t>
      </w:r>
      <w:r w:rsidR="009F5327" w:rsidRPr="009F5327">
        <w:rPr>
          <w:rFonts w:cs="Arial"/>
          <w:spacing w:val="-2"/>
          <w:sz w:val="21"/>
          <w:szCs w:val="21"/>
        </w:rPr>
        <w:t xml:space="preserve"> </w:t>
      </w:r>
      <w:r w:rsidR="009F5327" w:rsidRPr="009F5327">
        <w:rPr>
          <w:rFonts w:cs="Arial"/>
          <w:spacing w:val="-1"/>
          <w:sz w:val="21"/>
          <w:szCs w:val="21"/>
        </w:rPr>
        <w:t>responsibility</w:t>
      </w:r>
      <w:r w:rsidR="009F5327" w:rsidRPr="009F5327">
        <w:rPr>
          <w:rFonts w:cs="Arial"/>
          <w:spacing w:val="-2"/>
          <w:sz w:val="21"/>
          <w:szCs w:val="21"/>
        </w:rPr>
        <w:t xml:space="preserve"> </w:t>
      </w:r>
      <w:r w:rsidR="009F5327" w:rsidRPr="009F5327">
        <w:rPr>
          <w:rFonts w:cs="Arial"/>
          <w:spacing w:val="-1"/>
          <w:sz w:val="21"/>
          <w:szCs w:val="21"/>
        </w:rPr>
        <w:t>for</w:t>
      </w:r>
      <w:r w:rsidR="009F5327" w:rsidRPr="009F5327">
        <w:rPr>
          <w:rFonts w:cs="Arial"/>
          <w:spacing w:val="-2"/>
          <w:sz w:val="21"/>
          <w:szCs w:val="21"/>
        </w:rPr>
        <w:t xml:space="preserve"> </w:t>
      </w:r>
      <w:r w:rsidR="009F5327" w:rsidRPr="009F5327">
        <w:rPr>
          <w:rFonts w:cs="Arial"/>
          <w:spacing w:val="-1"/>
          <w:sz w:val="21"/>
          <w:szCs w:val="21"/>
        </w:rPr>
        <w:t>health</w:t>
      </w:r>
      <w:r w:rsidR="009F5327" w:rsidRPr="009F5327">
        <w:rPr>
          <w:rFonts w:cs="Arial"/>
          <w:sz w:val="21"/>
          <w:szCs w:val="21"/>
        </w:rPr>
        <w:t xml:space="preserve"> </w:t>
      </w:r>
      <w:r w:rsidR="009F5327" w:rsidRPr="009F5327">
        <w:rPr>
          <w:rFonts w:cs="Arial"/>
          <w:spacing w:val="-1"/>
          <w:sz w:val="21"/>
          <w:szCs w:val="21"/>
        </w:rPr>
        <w:t>outcomes through their</w:t>
      </w:r>
      <w:r w:rsidR="009F5327" w:rsidRPr="009F5327">
        <w:rPr>
          <w:rFonts w:cs="Arial"/>
          <w:spacing w:val="-2"/>
          <w:sz w:val="21"/>
          <w:szCs w:val="21"/>
        </w:rPr>
        <w:t xml:space="preserve"> </w:t>
      </w:r>
      <w:r w:rsidR="009F5327" w:rsidRPr="009F5327">
        <w:rPr>
          <w:rFonts w:cs="Arial"/>
          <w:spacing w:val="-1"/>
          <w:sz w:val="21"/>
          <w:szCs w:val="21"/>
        </w:rPr>
        <w:t xml:space="preserve">role </w:t>
      </w:r>
      <w:r w:rsidR="009F5327" w:rsidRPr="009F5327">
        <w:rPr>
          <w:rFonts w:cs="Arial"/>
          <w:sz w:val="21"/>
          <w:szCs w:val="21"/>
        </w:rPr>
        <w:t>and contribution</w:t>
      </w:r>
      <w:r w:rsidR="009F5327" w:rsidRPr="009F5327">
        <w:rPr>
          <w:rFonts w:cs="Arial"/>
          <w:spacing w:val="-1"/>
          <w:sz w:val="21"/>
          <w:szCs w:val="21"/>
        </w:rPr>
        <w:t>. Greater</w:t>
      </w:r>
      <w:r w:rsidR="009F5327" w:rsidRPr="009F5327">
        <w:rPr>
          <w:rFonts w:cs="Arial"/>
          <w:spacing w:val="1"/>
          <w:sz w:val="21"/>
          <w:szCs w:val="21"/>
        </w:rPr>
        <w:t xml:space="preserve"> </w:t>
      </w:r>
      <w:r w:rsidR="009F5327" w:rsidRPr="009F5327">
        <w:rPr>
          <w:rFonts w:cs="Arial"/>
          <w:spacing w:val="-1"/>
          <w:sz w:val="21"/>
          <w:szCs w:val="21"/>
        </w:rPr>
        <w:t>cooperation between</w:t>
      </w:r>
      <w:r w:rsidR="009F5327" w:rsidRPr="009F5327">
        <w:rPr>
          <w:rFonts w:cs="Arial"/>
          <w:sz w:val="21"/>
          <w:szCs w:val="21"/>
        </w:rPr>
        <w:t xml:space="preserve"> </w:t>
      </w:r>
      <w:r w:rsidR="009F5327" w:rsidRPr="009F5327">
        <w:rPr>
          <w:rFonts w:cs="Arial"/>
          <w:spacing w:val="-1"/>
          <w:sz w:val="21"/>
          <w:szCs w:val="21"/>
        </w:rPr>
        <w:t>stakeholders</w:t>
      </w:r>
      <w:r w:rsidR="009F5327" w:rsidRPr="009F5327">
        <w:rPr>
          <w:rFonts w:cs="Arial"/>
          <w:sz w:val="21"/>
          <w:szCs w:val="21"/>
        </w:rPr>
        <w:t xml:space="preserve"> will </w:t>
      </w:r>
      <w:r w:rsidR="009F5327" w:rsidRPr="009F5327">
        <w:rPr>
          <w:rFonts w:cs="Arial"/>
          <w:spacing w:val="-1"/>
          <w:sz w:val="21"/>
          <w:szCs w:val="21"/>
        </w:rPr>
        <w:t>contribute to better overall</w:t>
      </w:r>
      <w:r w:rsidR="009F5327" w:rsidRPr="009F5327">
        <w:rPr>
          <w:rFonts w:cs="Arial"/>
          <w:sz w:val="21"/>
          <w:szCs w:val="21"/>
        </w:rPr>
        <w:t xml:space="preserve"> </w:t>
      </w:r>
      <w:r w:rsidR="009F5327" w:rsidRPr="009F5327">
        <w:rPr>
          <w:rFonts w:cs="Arial"/>
          <w:spacing w:val="-2"/>
          <w:sz w:val="21"/>
          <w:szCs w:val="21"/>
        </w:rPr>
        <w:t xml:space="preserve">outcomes for the sector and the patients who benefit from these transplants. </w:t>
      </w:r>
      <w:bookmarkStart w:id="24" w:name="_bookmark20"/>
      <w:bookmarkStart w:id="25" w:name="_bookmark21"/>
      <w:bookmarkStart w:id="26" w:name="_bookmark22"/>
      <w:bookmarkStart w:id="27" w:name="_Toc5012137"/>
      <w:bookmarkEnd w:id="24"/>
      <w:bookmarkEnd w:id="25"/>
      <w:bookmarkEnd w:id="26"/>
    </w:p>
    <w:p w14:paraId="36870E8E" w14:textId="77777777" w:rsidR="009F5327" w:rsidRPr="004F1BD8" w:rsidRDefault="009F5327" w:rsidP="009F5327">
      <w:pPr>
        <w:pStyle w:val="Heading1"/>
      </w:pPr>
      <w:bookmarkStart w:id="28" w:name="_Toc80966443"/>
      <w:bookmarkStart w:id="29" w:name="_Toc109209857"/>
      <w:bookmarkEnd w:id="27"/>
      <w:r>
        <w:t>The National Framework</w:t>
      </w:r>
      <w:bookmarkEnd w:id="28"/>
      <w:bookmarkEnd w:id="29"/>
    </w:p>
    <w:p w14:paraId="76462909" w14:textId="77777777" w:rsidR="009F5327" w:rsidRPr="009F5327" w:rsidRDefault="009F5327" w:rsidP="009F5327">
      <w:pPr>
        <w:pStyle w:val="BodyText"/>
        <w:spacing w:before="120"/>
        <w:rPr>
          <w:rFonts w:cs="Arial"/>
          <w:sz w:val="21"/>
          <w:szCs w:val="21"/>
        </w:rPr>
      </w:pPr>
      <w:bookmarkStart w:id="30" w:name="_bookmark7"/>
      <w:bookmarkEnd w:id="30"/>
      <w:r w:rsidRPr="009F5327">
        <w:rPr>
          <w:rFonts w:cs="Arial"/>
          <w:sz w:val="21"/>
          <w:szCs w:val="21"/>
        </w:rPr>
        <w:t xml:space="preserve">PwC recommended that all governments should seek to address key issues facing the sector, in effect forming the national policy framework through which the sector should operate. In response, this Framework addresses the following areas: </w:t>
      </w:r>
    </w:p>
    <w:p w14:paraId="7CA13B19"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Scope</w:t>
      </w:r>
    </w:p>
    <w:p w14:paraId="50651F99"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Purpose</w:t>
      </w:r>
    </w:p>
    <w:p w14:paraId="527A119D"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Governance and oversight</w:t>
      </w:r>
    </w:p>
    <w:p w14:paraId="3002967E"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Self-sufficiency, importation and exportation of tissues and tissue-based products</w:t>
      </w:r>
    </w:p>
    <w:p w14:paraId="6E542D2C"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Tissue supply costs</w:t>
      </w:r>
    </w:p>
    <w:p w14:paraId="2E55E32D"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Stakeholder engagement</w:t>
      </w:r>
    </w:p>
    <w:p w14:paraId="2FF9084B"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Research</w:t>
      </w:r>
    </w:p>
    <w:p w14:paraId="7FC00201" w14:textId="77777777" w:rsidR="009F5327" w:rsidRPr="009F5327" w:rsidRDefault="009F5327" w:rsidP="009F5327">
      <w:pPr>
        <w:pStyle w:val="BodyText"/>
        <w:widowControl w:val="0"/>
        <w:numPr>
          <w:ilvl w:val="0"/>
          <w:numId w:val="24"/>
        </w:numPr>
        <w:spacing w:before="120"/>
        <w:ind w:left="643"/>
        <w:rPr>
          <w:rFonts w:cs="Arial"/>
          <w:sz w:val="21"/>
          <w:szCs w:val="21"/>
        </w:rPr>
      </w:pPr>
      <w:r w:rsidRPr="009F5327">
        <w:rPr>
          <w:rFonts w:cs="Arial"/>
          <w:sz w:val="21"/>
          <w:szCs w:val="21"/>
        </w:rPr>
        <w:t>Data and reporting.</w:t>
      </w:r>
    </w:p>
    <w:p w14:paraId="0419DBA0" w14:textId="77777777" w:rsidR="00024CA2" w:rsidRDefault="009F5327" w:rsidP="009F5327">
      <w:pPr>
        <w:pStyle w:val="BodyText"/>
        <w:widowControl w:val="0"/>
        <w:tabs>
          <w:tab w:val="left" w:pos="1774"/>
        </w:tabs>
        <w:spacing w:before="120"/>
        <w:rPr>
          <w:rFonts w:cs="Arial"/>
          <w:sz w:val="21"/>
          <w:szCs w:val="21"/>
        </w:rPr>
      </w:pPr>
      <w:r w:rsidRPr="009F5327">
        <w:rPr>
          <w:rFonts w:cs="Arial"/>
          <w:sz w:val="21"/>
          <w:szCs w:val="21"/>
        </w:rPr>
        <w:t>The 2007 ethical guidelines</w:t>
      </w:r>
      <w:r w:rsidR="003348BE">
        <w:rPr>
          <w:rStyle w:val="FootnoteReference"/>
          <w:rFonts w:cs="Arial"/>
          <w:sz w:val="21"/>
          <w:szCs w:val="21"/>
        </w:rPr>
        <w:footnoteReference w:id="6"/>
      </w:r>
      <w:r w:rsidRPr="009F5327">
        <w:rPr>
          <w:rFonts w:cs="Arial"/>
          <w:sz w:val="21"/>
          <w:szCs w:val="21"/>
        </w:rPr>
        <w:t xml:space="preserve"> developed by the NHMRC relating to eye and tissue donation and transplantation were considered by all Australian governments in developing the policy positions. To further strengthen the ethical guidelines for the eye and tissue sector and address recommendations in the PwC Report, the NHMRC is currently reviewing its current guidance on organ and tissue donation and transplantation. </w:t>
      </w:r>
    </w:p>
    <w:p w14:paraId="6F0B34F5" w14:textId="3B47A367" w:rsidR="009F5327" w:rsidRPr="00865A8B" w:rsidRDefault="009F5327" w:rsidP="009F5327">
      <w:pPr>
        <w:pStyle w:val="BodyText"/>
        <w:widowControl w:val="0"/>
        <w:tabs>
          <w:tab w:val="left" w:pos="1774"/>
        </w:tabs>
        <w:spacing w:before="120"/>
        <w:rPr>
          <w:rFonts w:cs="Arial"/>
          <w:sz w:val="21"/>
          <w:szCs w:val="21"/>
        </w:rPr>
      </w:pPr>
      <w:r w:rsidRPr="009F5327">
        <w:rPr>
          <w:rFonts w:cs="Arial"/>
          <w:sz w:val="21"/>
          <w:szCs w:val="21"/>
        </w:rPr>
        <w:t>Following the release of the updated guidance (expected in 202</w:t>
      </w:r>
      <w:r w:rsidR="00E523F0">
        <w:rPr>
          <w:rFonts w:cs="Arial"/>
          <w:sz w:val="21"/>
          <w:szCs w:val="21"/>
        </w:rPr>
        <w:t>2</w:t>
      </w:r>
      <w:r w:rsidRPr="009F5327">
        <w:rPr>
          <w:rFonts w:cs="Arial"/>
          <w:sz w:val="21"/>
          <w:szCs w:val="21"/>
        </w:rPr>
        <w:t xml:space="preserve">), the Framework will be reviewed and updated, if required, to ensure alignment. The NHMRC’s Organ and Tissue Working Committee prepared an </w:t>
      </w:r>
      <w:r w:rsidRPr="009F5327">
        <w:rPr>
          <w:rFonts w:cs="Arial"/>
          <w:i/>
          <w:sz w:val="21"/>
          <w:szCs w:val="21"/>
        </w:rPr>
        <w:t>Interim ethical position on key issues relating to the Australian Eye and Tissue Sector</w:t>
      </w:r>
      <w:r w:rsidRPr="009F5327">
        <w:rPr>
          <w:rFonts w:cs="Arial"/>
          <w:sz w:val="21"/>
          <w:szCs w:val="21"/>
        </w:rPr>
        <w:t xml:space="preserve"> to support governments to address the PwC Report recommendations. This interim document has been taken into account in the development of the Framework.</w:t>
      </w:r>
      <w:r>
        <w:t xml:space="preserve"> </w:t>
      </w:r>
    </w:p>
    <w:p w14:paraId="1A3CA2F1" w14:textId="77777777" w:rsidR="00CE0EFD" w:rsidRDefault="00CE0EFD">
      <w:pPr>
        <w:rPr>
          <w:rFonts w:cs="Arial"/>
          <w:sz w:val="21"/>
          <w:szCs w:val="21"/>
        </w:rPr>
      </w:pPr>
      <w:r>
        <w:rPr>
          <w:rFonts w:cs="Arial"/>
          <w:sz w:val="21"/>
          <w:szCs w:val="21"/>
        </w:rPr>
        <w:br w:type="page"/>
      </w:r>
    </w:p>
    <w:p w14:paraId="2343C5EE" w14:textId="77777777" w:rsidR="00CE0EFD" w:rsidRPr="004F1BD8" w:rsidRDefault="00CE0EFD" w:rsidP="00447710">
      <w:pPr>
        <w:pStyle w:val="Heading2"/>
        <w:keepNext w:val="0"/>
        <w:widowControl w:val="0"/>
        <w:numPr>
          <w:ilvl w:val="0"/>
          <w:numId w:val="26"/>
        </w:numPr>
        <w:spacing w:before="111" w:after="0"/>
        <w:ind w:left="357" w:hanging="357"/>
        <w:rPr>
          <w:rFonts w:cstheme="minorHAnsi"/>
        </w:rPr>
      </w:pPr>
      <w:bookmarkStart w:id="31" w:name="_Toc34387843"/>
      <w:bookmarkStart w:id="32" w:name="_Toc80966444"/>
      <w:bookmarkStart w:id="33" w:name="_Toc109209858"/>
      <w:r w:rsidRPr="004F1BD8">
        <w:lastRenderedPageBreak/>
        <w:t>Scope</w:t>
      </w:r>
      <w:bookmarkEnd w:id="31"/>
      <w:bookmarkEnd w:id="32"/>
      <w:bookmarkEnd w:id="33"/>
    </w:p>
    <w:p w14:paraId="7A0CEEC9" w14:textId="77777777" w:rsidR="00CE0EFD" w:rsidRPr="00CE0EFD" w:rsidRDefault="00024CA2" w:rsidP="00CE0EFD">
      <w:pPr>
        <w:pStyle w:val="BodyText"/>
        <w:spacing w:before="120"/>
        <w:rPr>
          <w:rFonts w:cs="Arial"/>
          <w:sz w:val="21"/>
          <w:szCs w:val="21"/>
        </w:rPr>
      </w:pPr>
      <w:r>
        <w:rPr>
          <w:rFonts w:cs="Arial"/>
          <w:sz w:val="21"/>
          <w:szCs w:val="21"/>
        </w:rPr>
        <w:t>T</w:t>
      </w:r>
      <w:r w:rsidR="00CE0EFD" w:rsidRPr="00CE0EFD">
        <w:rPr>
          <w:rFonts w:cs="Arial"/>
          <w:sz w:val="21"/>
          <w:szCs w:val="21"/>
        </w:rPr>
        <w:t>issues and tissue-based products comprise ocular (eye), skin, musculoskeletal, cardiovascular and amniotic tissues listed as Class II and Class III within the TGA’s Regulatory Framework for Biologicals.</w:t>
      </w:r>
      <w:r w:rsidR="00CE0EFD" w:rsidRPr="00CE0EFD">
        <w:rPr>
          <w:rStyle w:val="FootnoteReference"/>
          <w:rFonts w:cs="Arial"/>
          <w:sz w:val="21"/>
          <w:szCs w:val="21"/>
        </w:rPr>
        <w:footnoteReference w:id="7"/>
      </w:r>
      <w:r w:rsidR="00CE0EFD" w:rsidRPr="00CE0EFD">
        <w:rPr>
          <w:rFonts w:cs="Arial"/>
          <w:sz w:val="21"/>
          <w:szCs w:val="21"/>
        </w:rPr>
        <w:t xml:space="preserve"> Tissues and tissue-based products must also be listed on the Australian Register of Therapeutic Goods (ARTG) in order to be lawfully supplied in Australia.</w:t>
      </w:r>
      <w:r w:rsidR="00CE0EFD" w:rsidRPr="00CE0EFD">
        <w:rPr>
          <w:rStyle w:val="FootnoteReference"/>
          <w:rFonts w:cs="Arial"/>
          <w:sz w:val="21"/>
          <w:szCs w:val="21"/>
        </w:rPr>
        <w:footnoteReference w:id="8"/>
      </w:r>
      <w:r w:rsidR="00CE0EFD" w:rsidRPr="00CE0EFD">
        <w:rPr>
          <w:rFonts w:cs="Arial"/>
          <w:sz w:val="21"/>
          <w:szCs w:val="21"/>
        </w:rPr>
        <w:t xml:space="preserve"> The scope of this document may be revised in future as required, based on clinical, technological and regulatory changes.</w:t>
      </w:r>
    </w:p>
    <w:p w14:paraId="5D317F1E" w14:textId="77777777" w:rsidR="00024CA2" w:rsidRDefault="00CE0EFD" w:rsidP="00CE0EFD">
      <w:pPr>
        <w:pStyle w:val="BodyText"/>
        <w:spacing w:before="120"/>
        <w:rPr>
          <w:rFonts w:cs="Arial"/>
          <w:sz w:val="21"/>
          <w:szCs w:val="21"/>
        </w:rPr>
      </w:pPr>
      <w:r w:rsidRPr="00CE0EFD">
        <w:rPr>
          <w:rFonts w:cs="Arial"/>
          <w:sz w:val="21"/>
          <w:szCs w:val="21"/>
        </w:rPr>
        <w:t xml:space="preserve">The World Health Organization (WHO) </w:t>
      </w:r>
      <w:r w:rsidRPr="00CE0EFD">
        <w:rPr>
          <w:rFonts w:cs="Arial"/>
          <w:i/>
          <w:sz w:val="21"/>
          <w:szCs w:val="21"/>
        </w:rPr>
        <w:t>Principles for global consensus on the donation and management of blood, blood components and medical products of human origin</w:t>
      </w:r>
      <w:r w:rsidRPr="00CE0EFD">
        <w:rPr>
          <w:rStyle w:val="FootnoteReference"/>
          <w:rFonts w:cs="Arial"/>
          <w:sz w:val="21"/>
          <w:szCs w:val="21"/>
        </w:rPr>
        <w:footnoteReference w:id="9"/>
      </w:r>
      <w:r w:rsidRPr="00CE0EFD">
        <w:rPr>
          <w:rFonts w:cs="Arial"/>
          <w:sz w:val="21"/>
          <w:szCs w:val="21"/>
        </w:rPr>
        <w:t xml:space="preserve"> (</w:t>
      </w:r>
      <w:r w:rsidR="00085E6F">
        <w:rPr>
          <w:rFonts w:cs="Arial"/>
          <w:sz w:val="21"/>
          <w:szCs w:val="21"/>
        </w:rPr>
        <w:t xml:space="preserve">WHO </w:t>
      </w:r>
      <w:r w:rsidRPr="00CE0EFD">
        <w:rPr>
          <w:rFonts w:cs="Arial"/>
          <w:sz w:val="21"/>
          <w:szCs w:val="21"/>
        </w:rPr>
        <w:t xml:space="preserve">Principles for global consensus) and the WHO </w:t>
      </w:r>
      <w:r w:rsidRPr="00CE0EFD">
        <w:rPr>
          <w:rFonts w:cs="Arial"/>
          <w:i/>
          <w:sz w:val="21"/>
          <w:szCs w:val="21"/>
        </w:rPr>
        <w:t>Guiding principles on human cell, tissue and organ transplantation</w:t>
      </w:r>
      <w:r w:rsidRPr="00CE0EFD">
        <w:rPr>
          <w:rStyle w:val="FootnoteReference"/>
          <w:rFonts w:cs="Arial"/>
          <w:sz w:val="21"/>
          <w:szCs w:val="21"/>
        </w:rPr>
        <w:footnoteReference w:id="10"/>
      </w:r>
      <w:r w:rsidRPr="00CE0EFD">
        <w:rPr>
          <w:rFonts w:cs="Arial"/>
          <w:sz w:val="21"/>
          <w:szCs w:val="21"/>
        </w:rPr>
        <w:t xml:space="preserve"> (WHO Guiding Principles) set the context for Australia’s international obligations in relation to eye and tissue donation and transplantation. </w:t>
      </w:r>
    </w:p>
    <w:p w14:paraId="4EE68388" w14:textId="77777777" w:rsidR="00CE0EFD" w:rsidRPr="00CE0EFD" w:rsidRDefault="00CE0EFD" w:rsidP="00CE0EFD">
      <w:pPr>
        <w:pStyle w:val="BodyText"/>
        <w:spacing w:before="120"/>
        <w:rPr>
          <w:rFonts w:cs="Arial"/>
          <w:sz w:val="21"/>
          <w:szCs w:val="21"/>
        </w:rPr>
      </w:pPr>
      <w:r w:rsidRPr="00CE0EFD">
        <w:rPr>
          <w:rFonts w:cs="Arial"/>
          <w:sz w:val="21"/>
          <w:szCs w:val="21"/>
        </w:rPr>
        <w:t>The definition of tissue for the purposes of the Framework is consistent with these documents. The WHO Principles for global consensus</w:t>
      </w:r>
      <w:r w:rsidRPr="00CE0EFD">
        <w:rPr>
          <w:rFonts w:eastAsiaTheme="minorHAnsi" w:cs="Arial"/>
          <w:sz w:val="21"/>
          <w:szCs w:val="21"/>
        </w:rPr>
        <w:t xml:space="preserve"> </w:t>
      </w:r>
      <w:r w:rsidRPr="00CE0EFD">
        <w:rPr>
          <w:rFonts w:cs="Arial"/>
          <w:sz w:val="21"/>
          <w:szCs w:val="21"/>
        </w:rPr>
        <w:t>define medical products of human origin as ‘substances that are derived wholly or in part from the human body and intended for clinical application’, while the WHO Guiding Principles explicitly state that they do not apply to transplantation of gametes, ovarian or testicular tissue, or embryos for reproductive purposes, or to blood or blood constituents (collected for transfusion purposes).</w:t>
      </w:r>
    </w:p>
    <w:p w14:paraId="7C50C5E1" w14:textId="77777777" w:rsidR="00CE0EFD" w:rsidRPr="00CE0EFD" w:rsidRDefault="00CE0EFD" w:rsidP="00CE0EFD">
      <w:pPr>
        <w:rPr>
          <w:rFonts w:cs="Arial"/>
          <w:sz w:val="21"/>
          <w:szCs w:val="21"/>
        </w:rPr>
      </w:pPr>
      <w:r w:rsidRPr="00CE0EFD">
        <w:rPr>
          <w:rFonts w:cs="Arial"/>
          <w:sz w:val="21"/>
          <w:szCs w:val="21"/>
        </w:rPr>
        <w:t>The Australian eye and tissue sector encompasses all related processes and services from the identification of a potential donor to the transplantation of a tissue or tissue</w:t>
      </w:r>
      <w:r w:rsidRPr="00CE0EFD">
        <w:rPr>
          <w:rFonts w:cs="Arial"/>
          <w:sz w:val="21"/>
          <w:szCs w:val="21"/>
        </w:rPr>
        <w:noBreakHyphen/>
        <w:t xml:space="preserve">based product </w:t>
      </w:r>
      <w:r w:rsidR="003E35AF">
        <w:rPr>
          <w:rFonts w:cs="Arial"/>
          <w:sz w:val="21"/>
          <w:szCs w:val="21"/>
        </w:rPr>
        <w:t>for</w:t>
      </w:r>
      <w:r w:rsidR="003E35AF" w:rsidRPr="00CE0EFD">
        <w:rPr>
          <w:rFonts w:cs="Arial"/>
          <w:sz w:val="21"/>
          <w:szCs w:val="21"/>
        </w:rPr>
        <w:t xml:space="preserve"> </w:t>
      </w:r>
      <w:r w:rsidRPr="00CE0EFD">
        <w:rPr>
          <w:rFonts w:cs="Arial"/>
          <w:sz w:val="21"/>
          <w:szCs w:val="21"/>
        </w:rPr>
        <w:t xml:space="preserve">a </w:t>
      </w:r>
      <w:r w:rsidR="003E35AF">
        <w:rPr>
          <w:rFonts w:cs="Arial"/>
          <w:sz w:val="21"/>
          <w:szCs w:val="21"/>
        </w:rPr>
        <w:t>suitable recipient</w:t>
      </w:r>
      <w:r w:rsidRPr="00CE0EFD">
        <w:rPr>
          <w:rFonts w:cs="Arial"/>
          <w:sz w:val="21"/>
          <w:szCs w:val="21"/>
        </w:rPr>
        <w:t>, including:</w:t>
      </w:r>
    </w:p>
    <w:p w14:paraId="41C441E6" w14:textId="77777777" w:rsidR="00CE0EFD" w:rsidRPr="00CE0EFD" w:rsidRDefault="00CE0EFD" w:rsidP="00CE0EFD">
      <w:pPr>
        <w:pStyle w:val="BodyText"/>
        <w:keepNext/>
        <w:keepLines/>
        <w:widowControl w:val="0"/>
        <w:numPr>
          <w:ilvl w:val="0"/>
          <w:numId w:val="25"/>
        </w:numPr>
        <w:spacing w:before="120"/>
        <w:ind w:left="641" w:hanging="357"/>
        <w:rPr>
          <w:rFonts w:cs="Arial"/>
          <w:sz w:val="21"/>
          <w:szCs w:val="21"/>
        </w:rPr>
      </w:pPr>
      <w:r w:rsidRPr="00CE0EFD">
        <w:rPr>
          <w:rFonts w:cs="Arial"/>
          <w:sz w:val="21"/>
          <w:szCs w:val="21"/>
        </w:rPr>
        <w:t>donor identification and assessment</w:t>
      </w:r>
    </w:p>
    <w:p w14:paraId="2120E375" w14:textId="77777777" w:rsidR="00CE0EFD" w:rsidRPr="00CE0EFD" w:rsidRDefault="00CE0EFD" w:rsidP="00CE0EFD">
      <w:pPr>
        <w:pStyle w:val="BodyText"/>
        <w:keepLines/>
        <w:widowControl w:val="0"/>
        <w:numPr>
          <w:ilvl w:val="0"/>
          <w:numId w:val="25"/>
        </w:numPr>
        <w:spacing w:before="120"/>
        <w:ind w:left="641" w:hanging="357"/>
        <w:rPr>
          <w:rFonts w:cs="Arial"/>
          <w:sz w:val="21"/>
          <w:szCs w:val="21"/>
        </w:rPr>
      </w:pPr>
      <w:r w:rsidRPr="00CE0EFD">
        <w:rPr>
          <w:rFonts w:cs="Arial"/>
          <w:sz w:val="21"/>
          <w:szCs w:val="21"/>
        </w:rPr>
        <w:t>eye or tissue retrieval</w:t>
      </w:r>
    </w:p>
    <w:p w14:paraId="05C2BD40" w14:textId="77777777" w:rsidR="00CE0EFD" w:rsidRPr="00CE0EFD" w:rsidRDefault="00CE0EFD" w:rsidP="00CE0EFD">
      <w:pPr>
        <w:pStyle w:val="BodyText"/>
        <w:keepLines/>
        <w:widowControl w:val="0"/>
        <w:numPr>
          <w:ilvl w:val="0"/>
          <w:numId w:val="25"/>
        </w:numPr>
        <w:spacing w:before="120"/>
        <w:ind w:left="641" w:hanging="357"/>
        <w:rPr>
          <w:rFonts w:cs="Arial"/>
          <w:sz w:val="21"/>
          <w:szCs w:val="21"/>
        </w:rPr>
      </w:pPr>
      <w:r w:rsidRPr="00CE0EFD">
        <w:rPr>
          <w:rFonts w:cs="Arial"/>
          <w:sz w:val="21"/>
          <w:szCs w:val="21"/>
        </w:rPr>
        <w:t>processing and/or manufacture of retrieved tissue</w:t>
      </w:r>
    </w:p>
    <w:p w14:paraId="1AE2E724" w14:textId="77777777" w:rsidR="00CE0EFD" w:rsidRPr="00CE0EFD" w:rsidRDefault="00CE0EFD" w:rsidP="00CE0EFD">
      <w:pPr>
        <w:pStyle w:val="BodyText"/>
        <w:keepLines/>
        <w:widowControl w:val="0"/>
        <w:numPr>
          <w:ilvl w:val="0"/>
          <w:numId w:val="25"/>
        </w:numPr>
        <w:spacing w:before="120"/>
        <w:ind w:left="641" w:hanging="357"/>
        <w:rPr>
          <w:rFonts w:cs="Arial"/>
          <w:sz w:val="21"/>
          <w:szCs w:val="21"/>
        </w:rPr>
      </w:pPr>
      <w:r w:rsidRPr="00CE0EFD">
        <w:rPr>
          <w:rFonts w:cs="Arial"/>
          <w:sz w:val="21"/>
          <w:szCs w:val="21"/>
        </w:rPr>
        <w:t>product quality assurance, inventory management and distribution</w:t>
      </w:r>
    </w:p>
    <w:p w14:paraId="0DCA0DF9" w14:textId="77777777" w:rsidR="00441E26" w:rsidRDefault="00CE0EFD" w:rsidP="00CE0EFD">
      <w:pPr>
        <w:pStyle w:val="BodyText"/>
        <w:keepLines/>
        <w:widowControl w:val="0"/>
        <w:numPr>
          <w:ilvl w:val="0"/>
          <w:numId w:val="25"/>
        </w:numPr>
        <w:spacing w:before="120"/>
        <w:ind w:left="641" w:hanging="357"/>
        <w:rPr>
          <w:rFonts w:cs="Arial"/>
          <w:sz w:val="21"/>
          <w:szCs w:val="21"/>
        </w:rPr>
      </w:pPr>
      <w:r w:rsidRPr="00CE0EFD">
        <w:rPr>
          <w:rFonts w:cs="Arial"/>
          <w:sz w:val="21"/>
          <w:szCs w:val="21"/>
        </w:rPr>
        <w:t>transplantation and post-operative processes including adverse event reporting</w:t>
      </w:r>
    </w:p>
    <w:p w14:paraId="1B86BE49" w14:textId="2330EFA4" w:rsidR="00CE0EFD" w:rsidRPr="00441E26" w:rsidRDefault="00441E26" w:rsidP="00441E26">
      <w:pPr>
        <w:pStyle w:val="BodyText"/>
        <w:keepLines/>
        <w:widowControl w:val="0"/>
        <w:numPr>
          <w:ilvl w:val="0"/>
          <w:numId w:val="25"/>
        </w:numPr>
        <w:spacing w:before="120"/>
        <w:ind w:left="641" w:hanging="357"/>
        <w:rPr>
          <w:rFonts w:cs="Arial"/>
          <w:sz w:val="21"/>
          <w:szCs w:val="21"/>
        </w:rPr>
      </w:pPr>
      <w:r>
        <w:rPr>
          <w:rFonts w:cs="Arial"/>
          <w:sz w:val="21"/>
          <w:szCs w:val="21"/>
        </w:rPr>
        <w:t>evaluation and product development in collaboration with clinician end users.</w:t>
      </w:r>
    </w:p>
    <w:p w14:paraId="1B3EAC2C"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States and territories have made significant investments in the sustainability of the Australian eye and tissue sector, to ensure access to quality tissues and tissue-based products in their jurisdictions.  </w:t>
      </w:r>
    </w:p>
    <w:p w14:paraId="4E5FC98F" w14:textId="1EE5CA75" w:rsidR="00CE0EFD" w:rsidRPr="00CE0EFD" w:rsidRDefault="00CE0EFD" w:rsidP="00CE0EFD">
      <w:pPr>
        <w:pStyle w:val="BodyText"/>
        <w:spacing w:before="120"/>
        <w:rPr>
          <w:rFonts w:cs="Arial"/>
          <w:sz w:val="21"/>
          <w:szCs w:val="21"/>
        </w:rPr>
      </w:pPr>
      <w:r w:rsidRPr="00CE0EFD">
        <w:rPr>
          <w:rFonts w:cs="Arial"/>
          <w:sz w:val="21"/>
          <w:szCs w:val="21"/>
        </w:rPr>
        <w:t>The primary legislative frameworks that govern the Australian eye and tissue sector are established by each state and territory’s Human Tissue Act, or equivalent.</w:t>
      </w:r>
      <w:r w:rsidRPr="00CE0EFD">
        <w:rPr>
          <w:rStyle w:val="FootnoteReference"/>
          <w:rFonts w:cs="Arial"/>
          <w:sz w:val="21"/>
          <w:szCs w:val="21"/>
        </w:rPr>
        <w:footnoteReference w:id="11"/>
      </w:r>
      <w:r w:rsidRPr="00CE0EFD">
        <w:rPr>
          <w:rFonts w:cs="Arial"/>
          <w:sz w:val="21"/>
          <w:szCs w:val="21"/>
        </w:rPr>
        <w:t xml:space="preserve"> These Acts differ by jurisdiction and in some cases have a broader definition of tissue than is used in this Framework. </w:t>
      </w:r>
    </w:p>
    <w:p w14:paraId="4BC447EB" w14:textId="77777777" w:rsidR="00CE0EFD" w:rsidRPr="004F1BD8" w:rsidRDefault="00CE0EFD" w:rsidP="00447710">
      <w:pPr>
        <w:pStyle w:val="Heading2"/>
        <w:keepNext w:val="0"/>
        <w:widowControl w:val="0"/>
        <w:numPr>
          <w:ilvl w:val="0"/>
          <w:numId w:val="26"/>
        </w:numPr>
        <w:spacing w:before="111" w:after="0"/>
        <w:ind w:left="357" w:hanging="357"/>
        <w:rPr>
          <w:rFonts w:cstheme="minorHAnsi"/>
        </w:rPr>
      </w:pPr>
      <w:bookmarkStart w:id="35" w:name="_Toc34387844"/>
      <w:bookmarkStart w:id="36" w:name="_Toc80966445"/>
      <w:bookmarkStart w:id="37" w:name="_Toc109209859"/>
      <w:r w:rsidRPr="004F1BD8">
        <w:lastRenderedPageBreak/>
        <w:t>Purpose</w:t>
      </w:r>
      <w:bookmarkEnd w:id="35"/>
      <w:bookmarkEnd w:id="36"/>
      <w:bookmarkEnd w:id="37"/>
    </w:p>
    <w:p w14:paraId="4407DB76"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All Australian governments are committed to an ethical and sustainable Australian eye and tissue sector that: </w:t>
      </w:r>
    </w:p>
    <w:p w14:paraId="7C7B1694" w14:textId="32677A0C" w:rsidR="00CE0EFD" w:rsidRPr="00CE0EFD" w:rsidRDefault="003B7528" w:rsidP="00CE0EFD">
      <w:pPr>
        <w:pStyle w:val="BodyText"/>
        <w:widowControl w:val="0"/>
        <w:numPr>
          <w:ilvl w:val="0"/>
          <w:numId w:val="27"/>
        </w:numPr>
        <w:spacing w:before="120"/>
        <w:ind w:left="643"/>
        <w:rPr>
          <w:rFonts w:cs="Arial"/>
          <w:sz w:val="21"/>
          <w:szCs w:val="21"/>
        </w:rPr>
      </w:pPr>
      <w:r>
        <w:rPr>
          <w:rFonts w:cs="Arial"/>
          <w:sz w:val="21"/>
          <w:szCs w:val="21"/>
        </w:rPr>
        <w:t xml:space="preserve">supports </w:t>
      </w:r>
      <w:r w:rsidR="00CE0EFD" w:rsidRPr="00CE0EFD">
        <w:rPr>
          <w:rFonts w:cs="Arial"/>
          <w:sz w:val="21"/>
          <w:szCs w:val="21"/>
        </w:rPr>
        <w:t xml:space="preserve">Australia </w:t>
      </w:r>
      <w:r>
        <w:rPr>
          <w:rFonts w:cs="Arial"/>
          <w:sz w:val="21"/>
          <w:szCs w:val="21"/>
        </w:rPr>
        <w:t>to be</w:t>
      </w:r>
      <w:r w:rsidRPr="00CE0EFD">
        <w:rPr>
          <w:rFonts w:cs="Arial"/>
          <w:sz w:val="21"/>
          <w:szCs w:val="21"/>
        </w:rPr>
        <w:t xml:space="preserve"> </w:t>
      </w:r>
      <w:r w:rsidR="00CE0EFD" w:rsidRPr="00CE0EFD">
        <w:rPr>
          <w:rFonts w:cs="Arial"/>
          <w:sz w:val="21"/>
          <w:szCs w:val="21"/>
        </w:rPr>
        <w:t>well-positioned to meet the tissue and tissue-based product needs of Australians in a safe, ethical, sustainable and cost-effective manner</w:t>
      </w:r>
    </w:p>
    <w:p w14:paraId="191E2E5E" w14:textId="77777777" w:rsidR="00CE0EFD" w:rsidRPr="00CE0EFD" w:rsidRDefault="00CE0EFD" w:rsidP="00CE0EFD">
      <w:pPr>
        <w:pStyle w:val="BodyText"/>
        <w:widowControl w:val="0"/>
        <w:numPr>
          <w:ilvl w:val="0"/>
          <w:numId w:val="27"/>
        </w:numPr>
        <w:spacing w:before="120"/>
        <w:ind w:left="643"/>
        <w:rPr>
          <w:rFonts w:cs="Arial"/>
          <w:sz w:val="21"/>
          <w:szCs w:val="21"/>
        </w:rPr>
      </w:pPr>
      <w:r w:rsidRPr="00CE0EFD">
        <w:rPr>
          <w:rFonts w:cs="Arial"/>
          <w:sz w:val="21"/>
          <w:szCs w:val="21"/>
        </w:rPr>
        <w:t>optimises potential altruistic donation opportunities to provide tissue-based products for transplantation that deliver the best evidence-based clinical outcomes for Australian patients</w:t>
      </w:r>
    </w:p>
    <w:p w14:paraId="35E596B4" w14:textId="184AA5FF" w:rsidR="00CE0EFD" w:rsidRPr="00CE0EFD" w:rsidRDefault="003B7528" w:rsidP="00CE0EFD">
      <w:pPr>
        <w:pStyle w:val="BodyText"/>
        <w:widowControl w:val="0"/>
        <w:numPr>
          <w:ilvl w:val="0"/>
          <w:numId w:val="27"/>
        </w:numPr>
        <w:spacing w:before="120"/>
        <w:ind w:left="643"/>
        <w:rPr>
          <w:rFonts w:cs="Arial"/>
          <w:sz w:val="21"/>
          <w:szCs w:val="21"/>
        </w:rPr>
      </w:pPr>
      <w:r>
        <w:rPr>
          <w:rFonts w:cs="Arial"/>
          <w:sz w:val="21"/>
          <w:szCs w:val="21"/>
        </w:rPr>
        <w:t>supports</w:t>
      </w:r>
      <w:r w:rsidR="00CE0EFD" w:rsidRPr="00CE0EFD">
        <w:rPr>
          <w:rFonts w:cs="Arial"/>
          <w:sz w:val="21"/>
          <w:szCs w:val="21"/>
        </w:rPr>
        <w:t xml:space="preserve"> </w:t>
      </w:r>
      <w:r w:rsidR="00A60589">
        <w:rPr>
          <w:rFonts w:cs="Arial"/>
          <w:sz w:val="21"/>
          <w:szCs w:val="21"/>
        </w:rPr>
        <w:t xml:space="preserve">the </w:t>
      </w:r>
      <w:r w:rsidR="00CE0EFD" w:rsidRPr="00CE0EFD">
        <w:rPr>
          <w:rFonts w:cs="Arial"/>
          <w:sz w:val="21"/>
          <w:szCs w:val="21"/>
        </w:rPr>
        <w:t xml:space="preserve">supply of tissue and tissue-based products </w:t>
      </w:r>
      <w:r w:rsidR="00A60589">
        <w:rPr>
          <w:rFonts w:cs="Arial"/>
          <w:sz w:val="21"/>
          <w:szCs w:val="21"/>
        </w:rPr>
        <w:t>to be</w:t>
      </w:r>
      <w:r w:rsidR="00A60589" w:rsidRPr="00CE0EFD">
        <w:rPr>
          <w:rFonts w:cs="Arial"/>
          <w:sz w:val="21"/>
          <w:szCs w:val="21"/>
        </w:rPr>
        <w:t xml:space="preserve"> </w:t>
      </w:r>
      <w:r w:rsidR="00CE0EFD" w:rsidRPr="00CE0EFD">
        <w:rPr>
          <w:rFonts w:cs="Arial"/>
          <w:sz w:val="21"/>
          <w:szCs w:val="21"/>
        </w:rPr>
        <w:t>informed by identified clinical need for specific tissues and tissue-based products</w:t>
      </w:r>
    </w:p>
    <w:p w14:paraId="43D346F7" w14:textId="77777777" w:rsidR="00CE0EFD" w:rsidRPr="00CE0EFD" w:rsidRDefault="00CE0EFD" w:rsidP="00CE0EFD">
      <w:pPr>
        <w:pStyle w:val="BodyText"/>
        <w:widowControl w:val="0"/>
        <w:numPr>
          <w:ilvl w:val="0"/>
          <w:numId w:val="27"/>
        </w:numPr>
        <w:spacing w:before="120"/>
        <w:ind w:left="643"/>
        <w:rPr>
          <w:rFonts w:cs="Arial"/>
          <w:sz w:val="21"/>
          <w:szCs w:val="21"/>
        </w:rPr>
      </w:pPr>
      <w:r w:rsidRPr="00CE0EFD">
        <w:rPr>
          <w:rFonts w:cs="Arial"/>
          <w:sz w:val="21"/>
          <w:szCs w:val="21"/>
        </w:rPr>
        <w:t>develops and maintains partnerships and effective engagement with key stakeholders to ensure that the sector is responsive to emerging clinical trends.</w:t>
      </w:r>
    </w:p>
    <w:p w14:paraId="1B5647D3"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These reflect the Guiding Principles set out in this Framework. </w:t>
      </w:r>
    </w:p>
    <w:p w14:paraId="580E382D"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Donated eye and tissue supply should be based on identified clinical need for particular tissues and tissue-based products. Demand is identified through </w:t>
      </w:r>
      <w:r w:rsidR="003E35AF">
        <w:rPr>
          <w:rFonts w:cs="Arial"/>
          <w:sz w:val="21"/>
          <w:szCs w:val="21"/>
        </w:rPr>
        <w:t xml:space="preserve">established </w:t>
      </w:r>
      <w:r w:rsidRPr="00CE0EFD">
        <w:rPr>
          <w:rFonts w:cs="Arial"/>
          <w:sz w:val="21"/>
          <w:szCs w:val="21"/>
        </w:rPr>
        <w:t xml:space="preserve">clinical feedback loops and engagement </w:t>
      </w:r>
      <w:r w:rsidR="00024CA2">
        <w:rPr>
          <w:rFonts w:cs="Arial"/>
          <w:sz w:val="21"/>
          <w:szCs w:val="21"/>
        </w:rPr>
        <w:t xml:space="preserve">is </w:t>
      </w:r>
      <w:r w:rsidRPr="00CE0EFD">
        <w:rPr>
          <w:rFonts w:cs="Arial"/>
          <w:sz w:val="21"/>
          <w:szCs w:val="21"/>
        </w:rPr>
        <w:t>informed and supported by relevant stakeholders including professional associations and consumers.</w:t>
      </w:r>
    </w:p>
    <w:p w14:paraId="348DFDF9"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The Australian eye and tissue sector should focus on delivering tissue and tissue-based products to meet identified patient needs. A donor’s wish to donate should be fulfilled only where domestic need for a tissue or tissue-based product is identified. This means that some donations from potential tissue donors may not progress if demand for those tissues does not exist. </w:t>
      </w:r>
    </w:p>
    <w:p w14:paraId="46551B50" w14:textId="77777777" w:rsidR="00CE0EFD" w:rsidRPr="00CE0EFD" w:rsidRDefault="00CE0EFD" w:rsidP="00CE0EFD">
      <w:pPr>
        <w:rPr>
          <w:rFonts w:eastAsia="Calibri Light" w:cs="Arial"/>
          <w:sz w:val="21"/>
          <w:szCs w:val="21"/>
        </w:rPr>
      </w:pPr>
      <w:r w:rsidRPr="00CE0EFD">
        <w:rPr>
          <w:rFonts w:eastAsia="Calibri Light" w:cs="Arial"/>
          <w:sz w:val="21"/>
          <w:szCs w:val="21"/>
        </w:rPr>
        <w:t xml:space="preserve">The development of new tissues or tissue-based products should </w:t>
      </w:r>
      <w:r w:rsidR="003E35AF">
        <w:rPr>
          <w:rFonts w:eastAsia="Calibri Light" w:cs="Arial"/>
          <w:sz w:val="21"/>
          <w:szCs w:val="21"/>
        </w:rPr>
        <w:t>occur</w:t>
      </w:r>
      <w:r w:rsidR="003E35AF" w:rsidRPr="00CE0EFD">
        <w:rPr>
          <w:rFonts w:eastAsia="Calibri Light" w:cs="Arial"/>
          <w:sz w:val="21"/>
          <w:szCs w:val="21"/>
        </w:rPr>
        <w:t xml:space="preserve"> </w:t>
      </w:r>
      <w:r w:rsidRPr="00CE0EFD">
        <w:rPr>
          <w:rFonts w:eastAsia="Calibri Light" w:cs="Arial"/>
          <w:sz w:val="21"/>
          <w:szCs w:val="21"/>
        </w:rPr>
        <w:t>in response to an identified need, and should reflect the nationally agreed principles.</w:t>
      </w:r>
    </w:p>
    <w:p w14:paraId="4A05AE71" w14:textId="77777777" w:rsidR="00CE0EFD" w:rsidRPr="004F1BD8" w:rsidRDefault="00CE0EFD" w:rsidP="00CE0EFD">
      <w:pPr>
        <w:rPr>
          <w:rFonts w:ascii="Calibri Light" w:eastAsia="Calibri Light" w:hAnsi="Calibri Light"/>
        </w:rPr>
      </w:pPr>
    </w:p>
    <w:p w14:paraId="570211D8" w14:textId="77777777" w:rsidR="00CE0EFD" w:rsidRPr="004F1BD8" w:rsidRDefault="00CE0EFD" w:rsidP="00447710">
      <w:pPr>
        <w:pStyle w:val="Heading2"/>
        <w:keepNext w:val="0"/>
        <w:widowControl w:val="0"/>
        <w:numPr>
          <w:ilvl w:val="0"/>
          <w:numId w:val="26"/>
        </w:numPr>
        <w:spacing w:before="111" w:after="0"/>
        <w:ind w:left="357" w:hanging="357"/>
      </w:pPr>
      <w:bookmarkStart w:id="38" w:name="_Toc7168561"/>
      <w:bookmarkStart w:id="39" w:name="_Toc14094778"/>
      <w:bookmarkStart w:id="40" w:name="_Toc14094810"/>
      <w:bookmarkStart w:id="41" w:name="_Toc34387845"/>
      <w:bookmarkStart w:id="42" w:name="_Toc80966446"/>
      <w:bookmarkStart w:id="43" w:name="_Toc109209860"/>
      <w:bookmarkEnd w:id="38"/>
      <w:bookmarkEnd w:id="39"/>
      <w:bookmarkEnd w:id="40"/>
      <w:r w:rsidRPr="004F1BD8">
        <w:t>Governance and oversight</w:t>
      </w:r>
      <w:bookmarkEnd w:id="41"/>
      <w:bookmarkEnd w:id="42"/>
      <w:bookmarkEnd w:id="43"/>
    </w:p>
    <w:p w14:paraId="057381C9" w14:textId="2F398C3A" w:rsidR="00CE0EFD" w:rsidRPr="00CE0EFD" w:rsidRDefault="00CE0EFD" w:rsidP="00CE0EFD">
      <w:pPr>
        <w:pStyle w:val="BodyText"/>
        <w:spacing w:before="120"/>
        <w:rPr>
          <w:color w:val="000000" w:themeColor="text1"/>
          <w:spacing w:val="-1"/>
          <w:sz w:val="21"/>
          <w:szCs w:val="21"/>
        </w:rPr>
      </w:pPr>
      <w:bookmarkStart w:id="44" w:name="_Toc80966447"/>
      <w:r w:rsidRPr="00CE0EFD">
        <w:rPr>
          <w:color w:val="000000" w:themeColor="text1"/>
          <w:spacing w:val="-1"/>
          <w:sz w:val="21"/>
          <w:szCs w:val="21"/>
        </w:rPr>
        <w:t xml:space="preserve">Improved governance and oversight of the eye and tissue sector will support effective implementation of this </w:t>
      </w:r>
      <w:r w:rsidR="00795FF6">
        <w:rPr>
          <w:color w:val="000000" w:themeColor="text1"/>
          <w:spacing w:val="-1"/>
          <w:sz w:val="21"/>
          <w:szCs w:val="21"/>
        </w:rPr>
        <w:t>F</w:t>
      </w:r>
      <w:r w:rsidRPr="00CE0EFD">
        <w:rPr>
          <w:color w:val="000000" w:themeColor="text1"/>
          <w:spacing w:val="-1"/>
          <w:sz w:val="21"/>
          <w:szCs w:val="21"/>
        </w:rPr>
        <w:t xml:space="preserve">ramework. All Australian </w:t>
      </w:r>
      <w:r w:rsidR="00795FF6">
        <w:rPr>
          <w:color w:val="000000" w:themeColor="text1"/>
          <w:spacing w:val="-1"/>
          <w:sz w:val="21"/>
          <w:szCs w:val="21"/>
        </w:rPr>
        <w:t>g</w:t>
      </w:r>
      <w:r w:rsidRPr="00CE0EFD">
        <w:rPr>
          <w:color w:val="000000" w:themeColor="text1"/>
          <w:spacing w:val="-1"/>
          <w:sz w:val="21"/>
          <w:szCs w:val="21"/>
        </w:rPr>
        <w:t xml:space="preserve">overnments share responsibility </w:t>
      </w:r>
      <w:r w:rsidR="00942C37">
        <w:rPr>
          <w:color w:val="000000" w:themeColor="text1"/>
          <w:spacing w:val="-1"/>
          <w:sz w:val="21"/>
          <w:szCs w:val="21"/>
        </w:rPr>
        <w:t xml:space="preserve">and accountability </w:t>
      </w:r>
      <w:r w:rsidRPr="00CE0EFD">
        <w:rPr>
          <w:color w:val="000000" w:themeColor="text1"/>
          <w:spacing w:val="-1"/>
          <w:sz w:val="21"/>
          <w:szCs w:val="21"/>
        </w:rPr>
        <w:t xml:space="preserve">for </w:t>
      </w:r>
      <w:r w:rsidR="00E523F0">
        <w:rPr>
          <w:color w:val="000000" w:themeColor="text1"/>
          <w:spacing w:val="-1"/>
          <w:sz w:val="21"/>
          <w:szCs w:val="21"/>
        </w:rPr>
        <w:t>having</w:t>
      </w:r>
      <w:r w:rsidRPr="00CE0EFD">
        <w:rPr>
          <w:color w:val="000000" w:themeColor="text1"/>
          <w:spacing w:val="-1"/>
          <w:sz w:val="21"/>
          <w:szCs w:val="21"/>
        </w:rPr>
        <w:t xml:space="preserve"> eye and tissue supplies for Australian patients when they need them. Governance and oversight arrangements should reflect this shared responsibility and accountability.</w:t>
      </w:r>
      <w:r w:rsidR="00A81888">
        <w:rPr>
          <w:color w:val="000000" w:themeColor="text1"/>
          <w:spacing w:val="-1"/>
          <w:sz w:val="21"/>
          <w:szCs w:val="21"/>
        </w:rPr>
        <w:t xml:space="preserve"> </w:t>
      </w:r>
      <w:r w:rsidR="00942C37">
        <w:rPr>
          <w:color w:val="000000" w:themeColor="text1"/>
          <w:spacing w:val="-1"/>
          <w:sz w:val="21"/>
          <w:szCs w:val="21"/>
        </w:rPr>
        <w:t xml:space="preserve">Australian tissue banks vary in operation with different scopes of activity, ownership and organisational structure. The range of these arrangements is unlikely to change into the future. </w:t>
      </w:r>
    </w:p>
    <w:p w14:paraId="3B46A83A" w14:textId="5AA2D5DE" w:rsidR="00AF39F2" w:rsidRDefault="00D27955" w:rsidP="00115410">
      <w:pPr>
        <w:pStyle w:val="BodyText"/>
        <w:spacing w:before="120"/>
        <w:rPr>
          <w:rFonts w:cs="Arial"/>
          <w:color w:val="000000" w:themeColor="text1"/>
          <w:spacing w:val="-1"/>
          <w:sz w:val="21"/>
          <w:szCs w:val="21"/>
        </w:rPr>
      </w:pPr>
      <w:r>
        <w:rPr>
          <w:color w:val="000000" w:themeColor="text1"/>
          <w:spacing w:val="-1"/>
          <w:sz w:val="21"/>
          <w:szCs w:val="21"/>
        </w:rPr>
        <w:t>F</w:t>
      </w:r>
      <w:r w:rsidRPr="00201C4D">
        <w:rPr>
          <w:color w:val="000000" w:themeColor="text1"/>
          <w:spacing w:val="-1"/>
          <w:sz w:val="21"/>
          <w:szCs w:val="21"/>
        </w:rPr>
        <w:t xml:space="preserve">lexibility </w:t>
      </w:r>
      <w:r>
        <w:rPr>
          <w:color w:val="000000" w:themeColor="text1"/>
          <w:spacing w:val="-1"/>
          <w:sz w:val="21"/>
          <w:szCs w:val="21"/>
        </w:rPr>
        <w:t xml:space="preserve">in </w:t>
      </w:r>
      <w:r w:rsidR="00942C37">
        <w:rPr>
          <w:color w:val="000000" w:themeColor="text1"/>
          <w:spacing w:val="-1"/>
          <w:sz w:val="21"/>
          <w:szCs w:val="21"/>
        </w:rPr>
        <w:t xml:space="preserve">any </w:t>
      </w:r>
      <w:r>
        <w:rPr>
          <w:color w:val="000000" w:themeColor="text1"/>
          <w:spacing w:val="-1"/>
          <w:sz w:val="21"/>
          <w:szCs w:val="21"/>
        </w:rPr>
        <w:t xml:space="preserve">new governance arrangements </w:t>
      </w:r>
      <w:r w:rsidR="00942C37">
        <w:rPr>
          <w:color w:val="000000" w:themeColor="text1"/>
          <w:spacing w:val="-1"/>
          <w:sz w:val="21"/>
          <w:szCs w:val="21"/>
        </w:rPr>
        <w:t>must align with current complex policy, legislative and regulatory arrangements</w:t>
      </w:r>
      <w:r w:rsidR="00C7211F">
        <w:rPr>
          <w:color w:val="000000" w:themeColor="text1"/>
          <w:spacing w:val="-1"/>
          <w:sz w:val="21"/>
          <w:szCs w:val="21"/>
        </w:rPr>
        <w:t>. These arrangements should also align with arrangements to be determined in</w:t>
      </w:r>
      <w:r w:rsidR="00942C37">
        <w:rPr>
          <w:color w:val="000000" w:themeColor="text1"/>
          <w:spacing w:val="-1"/>
          <w:sz w:val="21"/>
          <w:szCs w:val="21"/>
        </w:rPr>
        <w:t xml:space="preserve"> </w:t>
      </w:r>
      <w:r w:rsidR="005E75C6">
        <w:rPr>
          <w:color w:val="000000" w:themeColor="text1"/>
          <w:spacing w:val="-1"/>
          <w:sz w:val="21"/>
          <w:szCs w:val="21"/>
        </w:rPr>
        <w:t xml:space="preserve">response to </w:t>
      </w:r>
      <w:r w:rsidRPr="00201C4D">
        <w:rPr>
          <w:color w:val="000000" w:themeColor="text1"/>
          <w:spacing w:val="-1"/>
          <w:sz w:val="21"/>
          <w:szCs w:val="21"/>
        </w:rPr>
        <w:t>the</w:t>
      </w:r>
      <w:r w:rsidR="00D87B9C">
        <w:rPr>
          <w:color w:val="000000" w:themeColor="text1"/>
          <w:spacing w:val="-1"/>
          <w:sz w:val="21"/>
          <w:szCs w:val="21"/>
        </w:rPr>
        <w:t xml:space="preserve"> subsequent</w:t>
      </w:r>
      <w:r w:rsidR="005E75C6">
        <w:rPr>
          <w:color w:val="000000" w:themeColor="text1"/>
          <w:spacing w:val="-1"/>
          <w:sz w:val="21"/>
          <w:szCs w:val="21"/>
        </w:rPr>
        <w:t>ly released</w:t>
      </w:r>
      <w:r w:rsidRPr="00201C4D">
        <w:rPr>
          <w:color w:val="000000" w:themeColor="text1"/>
          <w:spacing w:val="-1"/>
          <w:sz w:val="21"/>
          <w:szCs w:val="21"/>
        </w:rPr>
        <w:t xml:space="preserve"> </w:t>
      </w:r>
      <w:r w:rsidRPr="00DE69AE">
        <w:rPr>
          <w:color w:val="000000" w:themeColor="text1"/>
          <w:spacing w:val="-1"/>
          <w:sz w:val="21"/>
          <w:szCs w:val="21"/>
        </w:rPr>
        <w:t>Review of the Australian Organ Donation, Retrieval and Transplantation System</w:t>
      </w:r>
      <w:r w:rsidRPr="00201C4D">
        <w:rPr>
          <w:color w:val="000000" w:themeColor="text1"/>
          <w:spacing w:val="-1"/>
          <w:sz w:val="21"/>
          <w:szCs w:val="21"/>
        </w:rPr>
        <w:t xml:space="preserve">. </w:t>
      </w:r>
      <w:r w:rsidR="00942C37">
        <w:rPr>
          <w:rFonts w:cs="Arial"/>
          <w:color w:val="000000" w:themeColor="text1"/>
          <w:spacing w:val="-1"/>
          <w:sz w:val="21"/>
          <w:szCs w:val="21"/>
        </w:rPr>
        <w:t xml:space="preserve">All jurisdictions are working together on a coordinated approach to support progress of the Framework at the same time as the development of a national strategy for the Australian organ donation, retrieval and transplantation system (the Strategy). This coordinated approach will include agreement by all governments to future governance arrangements and an implementation approach for both the Framework and the Strategy. </w:t>
      </w:r>
    </w:p>
    <w:p w14:paraId="61A42DC4" w14:textId="77777777" w:rsidR="00C7211F" w:rsidRPr="00A957DB" w:rsidRDefault="00C7211F" w:rsidP="00C7211F">
      <w:pPr>
        <w:pStyle w:val="BodyText"/>
        <w:spacing w:before="120"/>
        <w:rPr>
          <w:color w:val="000000"/>
          <w:spacing w:val="-1"/>
          <w:sz w:val="21"/>
          <w:szCs w:val="21"/>
        </w:rPr>
      </w:pPr>
      <w:r w:rsidRPr="00A957DB">
        <w:rPr>
          <w:color w:val="000000"/>
          <w:spacing w:val="-1"/>
          <w:sz w:val="21"/>
          <w:szCs w:val="21"/>
        </w:rPr>
        <w:t xml:space="preserve">The scope of this Framework is broad covering many activities. The OTA will continue its role providing national leadership to increase deceased organ and tissue donation in hospitals through </w:t>
      </w:r>
      <w:r w:rsidRPr="00A957DB">
        <w:rPr>
          <w:color w:val="000000"/>
          <w:spacing w:val="-1"/>
          <w:sz w:val="21"/>
          <w:szCs w:val="21"/>
        </w:rPr>
        <w:lastRenderedPageBreak/>
        <w:t xml:space="preserve">the </w:t>
      </w:r>
      <w:proofErr w:type="spellStart"/>
      <w:r w:rsidRPr="00A957DB">
        <w:rPr>
          <w:color w:val="000000"/>
          <w:spacing w:val="-1"/>
          <w:sz w:val="21"/>
          <w:szCs w:val="21"/>
        </w:rPr>
        <w:t>DonateLife</w:t>
      </w:r>
      <w:proofErr w:type="spellEnd"/>
      <w:r w:rsidRPr="00A957DB">
        <w:rPr>
          <w:color w:val="000000"/>
          <w:spacing w:val="-1"/>
          <w:sz w:val="21"/>
          <w:szCs w:val="21"/>
        </w:rPr>
        <w:t xml:space="preserve"> Network in strong partnership with all governments and the tissue sector as represented on the OTA’s Eye and Tissue Advisory Committee (ETAC). </w:t>
      </w:r>
    </w:p>
    <w:p w14:paraId="727C9915" w14:textId="77777777" w:rsidR="00C7211F" w:rsidRPr="00A957DB" w:rsidRDefault="00C7211F" w:rsidP="00C7211F">
      <w:pPr>
        <w:rPr>
          <w:rFonts w:cs="Arial"/>
          <w:color w:val="000000"/>
          <w:spacing w:val="-1"/>
          <w:sz w:val="21"/>
          <w:szCs w:val="21"/>
        </w:rPr>
      </w:pPr>
      <w:r w:rsidRPr="00A957DB">
        <w:rPr>
          <w:rFonts w:cs="Arial"/>
          <w:color w:val="000000"/>
          <w:spacing w:val="-1"/>
          <w:sz w:val="21"/>
          <w:szCs w:val="21"/>
        </w:rPr>
        <w:t>The OTA’s ETAC comprises all Australian eye and tissue banks, professional associations and representatives of the Commonwealth Department of Health and the TGA. It is well established and facilitates collaboration and advice on new and emerging issues in the eye and tissue sector. The OTA’s national leadership with ETAC enables ongoing sector collaboration and advice in the development, review and delivery of clinical practice guidelines, professional education and community awareness.</w:t>
      </w:r>
    </w:p>
    <w:p w14:paraId="3109B583" w14:textId="77777777" w:rsidR="00C7211F" w:rsidRPr="00A957DB" w:rsidRDefault="00C7211F" w:rsidP="00C7211F">
      <w:pPr>
        <w:pStyle w:val="BodyText"/>
        <w:spacing w:before="120"/>
        <w:rPr>
          <w:spacing w:val="-1"/>
          <w:sz w:val="21"/>
          <w:szCs w:val="21"/>
        </w:rPr>
      </w:pPr>
      <w:r w:rsidRPr="00A957DB">
        <w:rPr>
          <w:spacing w:val="-1"/>
          <w:sz w:val="21"/>
          <w:szCs w:val="21"/>
        </w:rPr>
        <w:t xml:space="preserve">The delivery of or management of tissue banks remain the responsibility of state and territory governments, and the regulation and standards for tissues and tissue-based products remain a TGA responsibility, both working in collaboration with the clinical sector. </w:t>
      </w:r>
    </w:p>
    <w:p w14:paraId="0F82809B" w14:textId="77777777" w:rsidR="00C7211F" w:rsidRDefault="00C7211F" w:rsidP="00C7211F">
      <w:pPr>
        <w:pStyle w:val="BodyText"/>
        <w:spacing w:before="120"/>
        <w:rPr>
          <w:color w:val="000000"/>
          <w:spacing w:val="-1"/>
          <w:sz w:val="21"/>
          <w:szCs w:val="21"/>
        </w:rPr>
      </w:pPr>
      <w:r>
        <w:rPr>
          <w:color w:val="000000"/>
          <w:spacing w:val="-1"/>
          <w:sz w:val="21"/>
          <w:szCs w:val="21"/>
        </w:rPr>
        <w:t>It will be necessary for governments to continue working together to clarify the roles and responsibilities for all stakeholders, including all state and territory governments and Commonwealth agencies such as OTA, the Department of Health, TGA,  and the Australian Commission on Safety and Quality in Health Care. This will inform next steps on strengthened governance and oversight that will in turn support the Framework’s Guiding Principles, of </w:t>
      </w:r>
      <w:r>
        <w:rPr>
          <w:i/>
          <w:iCs/>
          <w:color w:val="000000"/>
          <w:spacing w:val="-1"/>
        </w:rPr>
        <w:t>Sustainability</w:t>
      </w:r>
      <w:r>
        <w:rPr>
          <w:color w:val="000000"/>
          <w:spacing w:val="-1"/>
          <w:sz w:val="21"/>
          <w:szCs w:val="21"/>
        </w:rPr>
        <w:t>, </w:t>
      </w:r>
      <w:r>
        <w:rPr>
          <w:i/>
          <w:iCs/>
          <w:color w:val="000000"/>
          <w:spacing w:val="-1"/>
        </w:rPr>
        <w:t>Shared Responsibility</w:t>
      </w:r>
      <w:r>
        <w:rPr>
          <w:color w:val="000000"/>
          <w:spacing w:val="-1"/>
          <w:sz w:val="21"/>
          <w:szCs w:val="21"/>
        </w:rPr>
        <w:t>, and </w:t>
      </w:r>
      <w:r>
        <w:rPr>
          <w:i/>
          <w:iCs/>
          <w:color w:val="000000"/>
          <w:spacing w:val="-1"/>
        </w:rPr>
        <w:t>Accountability and Transparency</w:t>
      </w:r>
      <w:r>
        <w:rPr>
          <w:color w:val="000000"/>
          <w:spacing w:val="-1"/>
          <w:sz w:val="21"/>
          <w:szCs w:val="21"/>
        </w:rPr>
        <w:t>.</w:t>
      </w:r>
    </w:p>
    <w:p w14:paraId="3F4057A8" w14:textId="102FAC54" w:rsidR="00AF39F2" w:rsidRPr="00447710" w:rsidRDefault="00AF39F2" w:rsidP="006900DD">
      <w:pPr>
        <w:pStyle w:val="BodyText"/>
        <w:spacing w:before="120"/>
        <w:rPr>
          <w:rFonts w:eastAsia="Calibri Light"/>
          <w:color w:val="000000" w:themeColor="text1"/>
          <w:spacing w:val="-1"/>
          <w:sz w:val="21"/>
        </w:rPr>
      </w:pPr>
    </w:p>
    <w:p w14:paraId="2C743E49" w14:textId="77777777" w:rsidR="00CE0EFD" w:rsidRPr="004F1BD8" w:rsidRDefault="00CE0EFD" w:rsidP="00447710">
      <w:pPr>
        <w:pStyle w:val="Heading2"/>
        <w:keepNext w:val="0"/>
        <w:widowControl w:val="0"/>
        <w:numPr>
          <w:ilvl w:val="0"/>
          <w:numId w:val="26"/>
        </w:numPr>
        <w:spacing w:before="111" w:after="0"/>
        <w:ind w:left="357" w:hanging="357"/>
      </w:pPr>
      <w:bookmarkStart w:id="45" w:name="_Toc48912066"/>
      <w:bookmarkStart w:id="46" w:name="_Toc50537257"/>
      <w:bookmarkStart w:id="47" w:name="_Toc34387846"/>
      <w:bookmarkStart w:id="48" w:name="_Toc109209861"/>
      <w:bookmarkEnd w:id="45"/>
      <w:bookmarkEnd w:id="46"/>
      <w:r w:rsidRPr="004F1BD8">
        <w:t>Self-sufficiency, importation and exportation of tissues and tissue-based products</w:t>
      </w:r>
      <w:bookmarkEnd w:id="44"/>
      <w:bookmarkEnd w:id="47"/>
      <w:bookmarkEnd w:id="48"/>
    </w:p>
    <w:p w14:paraId="028638E9" w14:textId="77777777" w:rsidR="00CE0EFD" w:rsidRPr="00CE0EFD" w:rsidRDefault="00CE0EFD" w:rsidP="00CE0EFD">
      <w:pPr>
        <w:pStyle w:val="BodyText"/>
        <w:spacing w:before="120"/>
        <w:rPr>
          <w:rFonts w:cs="Arial"/>
          <w:sz w:val="21"/>
          <w:szCs w:val="21"/>
        </w:rPr>
      </w:pPr>
      <w:r w:rsidRPr="00CE0EFD">
        <w:rPr>
          <w:rFonts w:cs="Arial"/>
          <w:sz w:val="21"/>
          <w:szCs w:val="21"/>
        </w:rPr>
        <w:t xml:space="preserve">Australia has an ethical responsibility to strive to meet its population’s need for human tissue and tissue products using its own resources </w:t>
      </w:r>
      <w:r w:rsidR="00FF7148">
        <w:rPr>
          <w:rFonts w:cs="Arial"/>
          <w:sz w:val="21"/>
          <w:szCs w:val="21"/>
        </w:rPr>
        <w:t>and</w:t>
      </w:r>
      <w:r w:rsidRPr="00CE0EFD">
        <w:rPr>
          <w:rFonts w:cs="Arial"/>
          <w:sz w:val="21"/>
          <w:szCs w:val="21"/>
        </w:rPr>
        <w:t xml:space="preserve"> without the need for external assistance. This supports the Framework’s Guiding Principles of </w:t>
      </w:r>
      <w:r w:rsidRPr="00CE0EFD">
        <w:rPr>
          <w:rFonts w:cs="Arial"/>
          <w:i/>
          <w:sz w:val="21"/>
          <w:szCs w:val="21"/>
        </w:rPr>
        <w:t>Access</w:t>
      </w:r>
      <w:r w:rsidRPr="00CE0EFD">
        <w:rPr>
          <w:rFonts w:cs="Arial"/>
          <w:sz w:val="21"/>
          <w:szCs w:val="21"/>
        </w:rPr>
        <w:t xml:space="preserve"> and </w:t>
      </w:r>
      <w:r w:rsidRPr="00CE0EFD">
        <w:rPr>
          <w:rFonts w:cs="Arial"/>
          <w:i/>
          <w:sz w:val="21"/>
          <w:szCs w:val="21"/>
        </w:rPr>
        <w:t>Sustainability</w:t>
      </w:r>
      <w:r w:rsidRPr="00CE0EFD">
        <w:rPr>
          <w:rFonts w:cs="Arial"/>
          <w:sz w:val="21"/>
          <w:szCs w:val="21"/>
        </w:rPr>
        <w:t xml:space="preserve">. </w:t>
      </w:r>
    </w:p>
    <w:p w14:paraId="7241F392" w14:textId="77777777" w:rsidR="00D4607F" w:rsidRDefault="00CE0EFD" w:rsidP="00CE0EFD">
      <w:pPr>
        <w:pStyle w:val="BodyText"/>
        <w:spacing w:before="120"/>
        <w:rPr>
          <w:rFonts w:cs="Arial"/>
          <w:sz w:val="21"/>
          <w:szCs w:val="21"/>
        </w:rPr>
      </w:pPr>
      <w:r w:rsidRPr="00CE0EFD">
        <w:rPr>
          <w:rFonts w:cs="Arial"/>
          <w:sz w:val="21"/>
          <w:szCs w:val="21"/>
        </w:rPr>
        <w:t xml:space="preserve">Australia </w:t>
      </w:r>
      <w:r w:rsidR="00CF0D74">
        <w:rPr>
          <w:rFonts w:cs="Arial"/>
          <w:sz w:val="21"/>
          <w:szCs w:val="21"/>
        </w:rPr>
        <w:t xml:space="preserve">will </w:t>
      </w:r>
      <w:r w:rsidRPr="00CE0EFD">
        <w:rPr>
          <w:rFonts w:cs="Arial"/>
          <w:sz w:val="21"/>
          <w:szCs w:val="21"/>
        </w:rPr>
        <w:t>aim to be self-sufficient</w:t>
      </w:r>
      <w:r w:rsidR="00FF7148">
        <w:rPr>
          <w:rFonts w:cs="Arial"/>
          <w:sz w:val="21"/>
          <w:szCs w:val="21"/>
        </w:rPr>
        <w:t>, where possible,</w:t>
      </w:r>
      <w:r w:rsidRPr="00CE0EFD">
        <w:rPr>
          <w:rFonts w:cs="Arial"/>
          <w:sz w:val="21"/>
          <w:szCs w:val="21"/>
        </w:rPr>
        <w:t xml:space="preserve"> through the use of tissues donated and manufactured in Australia to support safe, ethical, </w:t>
      </w:r>
      <w:r w:rsidRPr="00201C4D">
        <w:rPr>
          <w:rFonts w:cs="Arial"/>
          <w:sz w:val="21"/>
          <w:szCs w:val="21"/>
        </w:rPr>
        <w:t>sustainable and cost</w:t>
      </w:r>
      <w:r w:rsidRPr="00201C4D">
        <w:rPr>
          <w:rFonts w:cs="Arial"/>
          <w:sz w:val="21"/>
          <w:szCs w:val="21"/>
        </w:rPr>
        <w:noBreakHyphen/>
        <w:t xml:space="preserve">effective provision of tissues and tissue-based products for Australian patients. </w:t>
      </w:r>
    </w:p>
    <w:p w14:paraId="672A1955" w14:textId="77777777" w:rsidR="00CE0EFD" w:rsidRPr="00CE0EFD" w:rsidRDefault="00CB3107" w:rsidP="00CE0EFD">
      <w:pPr>
        <w:pStyle w:val="BodyText"/>
        <w:spacing w:before="120"/>
        <w:rPr>
          <w:rFonts w:cs="Arial"/>
          <w:sz w:val="21"/>
          <w:szCs w:val="21"/>
        </w:rPr>
      </w:pPr>
      <w:r w:rsidRPr="00201C4D">
        <w:rPr>
          <w:rFonts w:cs="Arial"/>
          <w:sz w:val="21"/>
          <w:szCs w:val="21"/>
        </w:rPr>
        <w:t xml:space="preserve">Self-sufficiency in this context would mean that Australia is able to largely meet its own needs for tissue-based products, recognising that </w:t>
      </w:r>
      <w:r w:rsidR="000266B5" w:rsidRPr="00201C4D">
        <w:rPr>
          <w:rFonts w:cs="Arial"/>
          <w:sz w:val="21"/>
          <w:szCs w:val="21"/>
        </w:rPr>
        <w:t>full self-sufficiency is highly unlikely to be attainable</w:t>
      </w:r>
      <w:r w:rsidRPr="00201C4D">
        <w:rPr>
          <w:rFonts w:cs="Arial"/>
          <w:sz w:val="21"/>
          <w:szCs w:val="21"/>
        </w:rPr>
        <w:t xml:space="preserve">. </w:t>
      </w:r>
      <w:r w:rsidR="00CE0EFD" w:rsidRPr="00201C4D">
        <w:rPr>
          <w:rFonts w:cs="Arial"/>
          <w:sz w:val="21"/>
          <w:szCs w:val="21"/>
        </w:rPr>
        <w:t>All Australian governments note the increasing volume of imported tissue and recognise the need to ensure suitable arrangements are in place to support</w:t>
      </w:r>
      <w:r w:rsidR="003E35AF">
        <w:rPr>
          <w:rFonts w:cs="Arial"/>
          <w:sz w:val="21"/>
          <w:szCs w:val="21"/>
        </w:rPr>
        <w:t xml:space="preserve"> ongoing</w:t>
      </w:r>
      <w:r w:rsidR="00CE0EFD" w:rsidRPr="00201C4D">
        <w:rPr>
          <w:rFonts w:cs="Arial"/>
          <w:sz w:val="21"/>
          <w:szCs w:val="21"/>
        </w:rPr>
        <w:t xml:space="preserve"> local supply.</w:t>
      </w:r>
      <w:r w:rsidR="00CE0EFD" w:rsidRPr="00CE0EFD">
        <w:rPr>
          <w:rFonts w:cs="Arial"/>
          <w:sz w:val="21"/>
          <w:szCs w:val="21"/>
        </w:rPr>
        <w:t xml:space="preserve"> </w:t>
      </w:r>
    </w:p>
    <w:p w14:paraId="551AB502" w14:textId="27F6D384" w:rsidR="00E92E4D" w:rsidRDefault="001A049B" w:rsidP="001A049B">
      <w:pPr>
        <w:pStyle w:val="BodyText"/>
        <w:spacing w:before="120"/>
        <w:rPr>
          <w:sz w:val="21"/>
          <w:szCs w:val="21"/>
        </w:rPr>
      </w:pPr>
      <w:r w:rsidRPr="001A049B">
        <w:rPr>
          <w:sz w:val="21"/>
          <w:szCs w:val="21"/>
        </w:rPr>
        <w:t xml:space="preserve">All governments acknowledge that importation of appropriately-sourced tissues or tissue-based products that are not available in Australia may be required for the treatment of some Australian patients. </w:t>
      </w:r>
    </w:p>
    <w:p w14:paraId="7C9EF37A" w14:textId="431D46C5" w:rsidR="001A049B" w:rsidRPr="001A049B" w:rsidRDefault="001A049B" w:rsidP="001A049B">
      <w:pPr>
        <w:pStyle w:val="BodyText"/>
        <w:spacing w:before="120"/>
        <w:rPr>
          <w:sz w:val="21"/>
          <w:szCs w:val="21"/>
        </w:rPr>
      </w:pPr>
      <w:r w:rsidRPr="001A049B">
        <w:rPr>
          <w:sz w:val="21"/>
          <w:szCs w:val="21"/>
        </w:rPr>
        <w:t>Where Australia’s tissue and tissue-based product needs cannot be met through locally</w:t>
      </w:r>
      <w:r w:rsidRPr="001A049B">
        <w:rPr>
          <w:sz w:val="21"/>
          <w:szCs w:val="21"/>
        </w:rPr>
        <w:noBreakHyphen/>
        <w:t xml:space="preserve">donated supply (for example, when national demand for a tissue-based product exceeds Australia’s capacity to supply), imported tissue and tissue-based products that meet Australian requirements can be used. Where a </w:t>
      </w:r>
      <w:r w:rsidR="003E35AF">
        <w:rPr>
          <w:sz w:val="21"/>
          <w:szCs w:val="21"/>
        </w:rPr>
        <w:t xml:space="preserve">therapeutically </w:t>
      </w:r>
      <w:r w:rsidRPr="001A049B">
        <w:rPr>
          <w:sz w:val="21"/>
          <w:szCs w:val="21"/>
        </w:rPr>
        <w:t>equivalent tissue or tissue-based product is manufactured in Australia, end-users should be encouraged to use an Australian product, where possible</w:t>
      </w:r>
      <w:r w:rsidR="00441E26">
        <w:rPr>
          <w:sz w:val="21"/>
          <w:szCs w:val="21"/>
        </w:rPr>
        <w:t>, noting clinicians will determine the most clinically appropriate product for their patients</w:t>
      </w:r>
      <w:r w:rsidR="00441E26" w:rsidRPr="001A049B">
        <w:rPr>
          <w:sz w:val="21"/>
          <w:szCs w:val="21"/>
        </w:rPr>
        <w:t>.</w:t>
      </w:r>
      <w:r w:rsidRPr="001A049B">
        <w:rPr>
          <w:sz w:val="21"/>
          <w:szCs w:val="21"/>
        </w:rPr>
        <w:t xml:space="preserve"> </w:t>
      </w:r>
    </w:p>
    <w:p w14:paraId="78EF82C8" w14:textId="77777777" w:rsidR="001A049B" w:rsidRPr="001A049B" w:rsidRDefault="001A049B" w:rsidP="001A049B">
      <w:pPr>
        <w:pStyle w:val="BodyText"/>
        <w:spacing w:before="120"/>
        <w:rPr>
          <w:sz w:val="21"/>
          <w:szCs w:val="21"/>
        </w:rPr>
      </w:pPr>
      <w:r w:rsidRPr="001A049B">
        <w:rPr>
          <w:sz w:val="21"/>
          <w:szCs w:val="21"/>
        </w:rPr>
        <w:t xml:space="preserve">All governments recognise the need to implement more effective systems to support altruistic tissue donation. This includes increasing awareness of the possibility of tissue donation, including in situations where organ donation is not possible, but at the same time ensuring that donation activity reflects demand for tissue and what tissue banks can feasibly accommodate. There should also be consideration of appropriate resourcing for tissue donation, recognising that current resourcing and infrastructure limitations mean that donation does not always proceed even where consent has been given.   </w:t>
      </w:r>
    </w:p>
    <w:p w14:paraId="17792F6A" w14:textId="77777777" w:rsidR="001A049B" w:rsidRPr="001A049B" w:rsidRDefault="001A049B" w:rsidP="001A049B">
      <w:pPr>
        <w:pStyle w:val="BodyText"/>
        <w:rPr>
          <w:sz w:val="21"/>
          <w:szCs w:val="21"/>
        </w:rPr>
      </w:pPr>
      <w:r w:rsidRPr="001A049B">
        <w:rPr>
          <w:sz w:val="21"/>
          <w:szCs w:val="21"/>
        </w:rPr>
        <w:lastRenderedPageBreak/>
        <w:t>Any importation and exportation activity should occur in accordance with Australia’s international obligations and standards (such as the WHO Guiding Principles</w:t>
      </w:r>
      <w:r w:rsidRPr="001A049B">
        <w:rPr>
          <w:rStyle w:val="FootnoteReference"/>
          <w:sz w:val="21"/>
          <w:szCs w:val="21"/>
        </w:rPr>
        <w:footnoteReference w:id="12"/>
      </w:r>
      <w:r w:rsidRPr="001A049B">
        <w:rPr>
          <w:sz w:val="21"/>
          <w:szCs w:val="21"/>
        </w:rPr>
        <w:t xml:space="preserve">), national ethical frameworks and national and jurisdictional legislative requirements. It should also be noted that the quality, safety and efficacy of tissues and tissue-based products supplied, imported and exported is </w:t>
      </w:r>
      <w:r w:rsidR="00BA4835">
        <w:rPr>
          <w:sz w:val="21"/>
          <w:szCs w:val="21"/>
        </w:rPr>
        <w:t>regulated</w:t>
      </w:r>
      <w:r w:rsidR="00BA4835" w:rsidRPr="001A049B">
        <w:rPr>
          <w:sz w:val="21"/>
          <w:szCs w:val="21"/>
        </w:rPr>
        <w:t xml:space="preserve"> </w:t>
      </w:r>
      <w:r w:rsidRPr="001A049B">
        <w:rPr>
          <w:sz w:val="21"/>
          <w:szCs w:val="21"/>
        </w:rPr>
        <w:t xml:space="preserve">by the TGA according to the </w:t>
      </w:r>
      <w:r w:rsidRPr="001A049B">
        <w:rPr>
          <w:i/>
          <w:iCs/>
          <w:sz w:val="21"/>
          <w:szCs w:val="21"/>
        </w:rPr>
        <w:t>Therapeutic Goods Act 1989</w:t>
      </w:r>
      <w:r w:rsidRPr="001A049B">
        <w:rPr>
          <w:sz w:val="21"/>
          <w:szCs w:val="21"/>
        </w:rPr>
        <w:t>.</w:t>
      </w:r>
    </w:p>
    <w:p w14:paraId="1F1CB99F" w14:textId="77777777" w:rsidR="001A049B" w:rsidRPr="001A049B" w:rsidRDefault="001A049B" w:rsidP="001A049B">
      <w:pPr>
        <w:pStyle w:val="BodyText"/>
        <w:spacing w:before="120"/>
        <w:rPr>
          <w:sz w:val="21"/>
          <w:szCs w:val="21"/>
        </w:rPr>
      </w:pPr>
      <w:r w:rsidRPr="001A049B">
        <w:rPr>
          <w:sz w:val="21"/>
          <w:szCs w:val="21"/>
        </w:rPr>
        <w:t>Exportation of Australian tissues and tissue-based products is considered appropriate in situations where Australia has met its local transplantation needs and the needs of Australian patients will not be compromised. Exportation of Australian tissues and tissue</w:t>
      </w:r>
      <w:r w:rsidR="00E93D99">
        <w:rPr>
          <w:sz w:val="21"/>
          <w:szCs w:val="21"/>
        </w:rPr>
        <w:noBreakHyphen/>
      </w:r>
      <w:r w:rsidRPr="001A049B">
        <w:rPr>
          <w:sz w:val="21"/>
          <w:szCs w:val="21"/>
        </w:rPr>
        <w:t>based products should occur only when donors and/or their families have been advised that the retrieved tissues may be exported and have given their informed consent.</w:t>
      </w:r>
    </w:p>
    <w:p w14:paraId="2C09C083" w14:textId="77777777" w:rsidR="001A049B" w:rsidRPr="001A049B" w:rsidRDefault="001A049B" w:rsidP="001A049B">
      <w:pPr>
        <w:pStyle w:val="BodyText"/>
        <w:keepNext/>
        <w:keepLines/>
        <w:spacing w:before="120"/>
        <w:rPr>
          <w:sz w:val="21"/>
          <w:szCs w:val="21"/>
        </w:rPr>
      </w:pPr>
      <w:r w:rsidRPr="001A049B">
        <w:rPr>
          <w:sz w:val="21"/>
          <w:szCs w:val="21"/>
        </w:rPr>
        <w:t>Exported tissues and tissue-based products should only be provided to countries in certain circumstances, namely where:</w:t>
      </w:r>
    </w:p>
    <w:p w14:paraId="0D2B1A77" w14:textId="77777777" w:rsidR="001A049B" w:rsidRPr="001A049B" w:rsidRDefault="001A049B" w:rsidP="001A049B">
      <w:pPr>
        <w:pStyle w:val="BodyText"/>
        <w:keepNext/>
        <w:keepLines/>
        <w:widowControl w:val="0"/>
        <w:numPr>
          <w:ilvl w:val="0"/>
          <w:numId w:val="31"/>
        </w:numPr>
        <w:spacing w:before="120"/>
        <w:ind w:left="641" w:hanging="357"/>
        <w:rPr>
          <w:sz w:val="21"/>
          <w:szCs w:val="21"/>
        </w:rPr>
      </w:pPr>
      <w:r w:rsidRPr="001A049B">
        <w:rPr>
          <w:sz w:val="21"/>
          <w:szCs w:val="21"/>
        </w:rPr>
        <w:t>the country’s national supply does not meet their local demand including in times of national disasters and other mass casualty events</w:t>
      </w:r>
    </w:p>
    <w:p w14:paraId="49A2F589" w14:textId="77777777" w:rsidR="001A049B" w:rsidRPr="001A049B" w:rsidRDefault="001A049B" w:rsidP="001A049B">
      <w:pPr>
        <w:pStyle w:val="BodyText"/>
        <w:keepNext/>
        <w:keepLines/>
        <w:widowControl w:val="0"/>
        <w:numPr>
          <w:ilvl w:val="0"/>
          <w:numId w:val="31"/>
        </w:numPr>
        <w:spacing w:before="120"/>
        <w:ind w:left="641" w:hanging="357"/>
        <w:rPr>
          <w:sz w:val="21"/>
          <w:szCs w:val="21"/>
        </w:rPr>
      </w:pPr>
      <w:r w:rsidRPr="001A049B">
        <w:rPr>
          <w:sz w:val="21"/>
          <w:szCs w:val="21"/>
        </w:rPr>
        <w:t>the country acts in accordance with international obligations and standards</w:t>
      </w:r>
    </w:p>
    <w:p w14:paraId="0BB26C5A" w14:textId="77777777" w:rsidR="001A049B" w:rsidRPr="001A049B" w:rsidRDefault="001A049B" w:rsidP="001A049B">
      <w:pPr>
        <w:pStyle w:val="BodyText"/>
        <w:keepLines/>
        <w:widowControl w:val="0"/>
        <w:numPr>
          <w:ilvl w:val="0"/>
          <w:numId w:val="31"/>
        </w:numPr>
        <w:spacing w:before="120"/>
        <w:ind w:left="641" w:hanging="357"/>
        <w:rPr>
          <w:rFonts w:ascii="Calibri"/>
          <w:b/>
          <w:color w:val="3F4A75" w:themeColor="accent1"/>
          <w:spacing w:val="-1"/>
          <w:sz w:val="21"/>
          <w:szCs w:val="21"/>
        </w:rPr>
      </w:pPr>
      <w:r w:rsidRPr="001A049B">
        <w:rPr>
          <w:sz w:val="21"/>
          <w:szCs w:val="21"/>
        </w:rPr>
        <w:t xml:space="preserve">Australian export activity does not impinge on local tissue banking operations or patient access. </w:t>
      </w:r>
    </w:p>
    <w:p w14:paraId="56F37B88" w14:textId="77777777" w:rsidR="001A049B" w:rsidRPr="001A049B" w:rsidRDefault="001A049B" w:rsidP="001A049B">
      <w:pPr>
        <w:rPr>
          <w:rFonts w:ascii="Calibri Light" w:eastAsia="Calibri Light" w:hAnsi="Calibri Light"/>
        </w:rPr>
      </w:pPr>
    </w:p>
    <w:p w14:paraId="55D6EB25" w14:textId="77777777" w:rsidR="001A049B" w:rsidRPr="004F1BD8" w:rsidRDefault="001A049B" w:rsidP="00447710">
      <w:pPr>
        <w:pStyle w:val="Heading2"/>
        <w:keepNext w:val="0"/>
        <w:widowControl w:val="0"/>
        <w:numPr>
          <w:ilvl w:val="0"/>
          <w:numId w:val="26"/>
        </w:numPr>
        <w:spacing w:before="111" w:after="0"/>
        <w:ind w:left="357" w:hanging="357"/>
      </w:pPr>
      <w:bookmarkStart w:id="49" w:name="_Toc34387847"/>
      <w:bookmarkStart w:id="50" w:name="_Toc80966448"/>
      <w:bookmarkStart w:id="51" w:name="_Toc109209862"/>
      <w:r w:rsidRPr="004F1BD8">
        <w:t>Tissue supply costs</w:t>
      </w:r>
      <w:bookmarkEnd w:id="49"/>
      <w:bookmarkEnd w:id="50"/>
      <w:bookmarkEnd w:id="51"/>
      <w:r w:rsidRPr="004F1BD8">
        <w:t xml:space="preserve"> </w:t>
      </w:r>
    </w:p>
    <w:p w14:paraId="3107C302" w14:textId="77777777" w:rsidR="001A049B" w:rsidRPr="001A049B" w:rsidRDefault="001A049B" w:rsidP="001A049B">
      <w:pPr>
        <w:pStyle w:val="ListParagraph"/>
        <w:spacing w:before="120" w:after="120"/>
        <w:ind w:left="0"/>
        <w:rPr>
          <w:rFonts w:eastAsia="Calibri Light" w:cs="Arial"/>
          <w:sz w:val="21"/>
          <w:szCs w:val="21"/>
        </w:rPr>
      </w:pPr>
      <w:r w:rsidRPr="001A049B">
        <w:rPr>
          <w:rFonts w:eastAsia="Calibri Light" w:cs="Arial"/>
          <w:sz w:val="21"/>
          <w:szCs w:val="21"/>
        </w:rPr>
        <w:t>Tissues and tissue</w:t>
      </w:r>
      <w:r w:rsidRPr="001A049B">
        <w:rPr>
          <w:rFonts w:eastAsia="Calibri Light" w:cs="Arial"/>
          <w:sz w:val="21"/>
          <w:szCs w:val="21"/>
        </w:rPr>
        <w:noBreakHyphen/>
        <w:t>based products should be provided to Australian public patients at no cost to the patient. All governments recognise that in determining if tissue and tissue-based products should be available to Australian patients and reimbursed through state and territory budgets (for public patients) or through private health insurance, consideration should be given to:</w:t>
      </w:r>
    </w:p>
    <w:p w14:paraId="11D0F208" w14:textId="77777777" w:rsidR="001A049B" w:rsidRPr="001A049B" w:rsidRDefault="001A049B" w:rsidP="001A049B">
      <w:pPr>
        <w:pStyle w:val="BodyText"/>
        <w:keepNext/>
        <w:keepLines/>
        <w:widowControl w:val="0"/>
        <w:numPr>
          <w:ilvl w:val="0"/>
          <w:numId w:val="31"/>
        </w:numPr>
        <w:spacing w:before="120"/>
        <w:ind w:left="641" w:hanging="357"/>
        <w:rPr>
          <w:sz w:val="21"/>
          <w:szCs w:val="21"/>
        </w:rPr>
      </w:pPr>
      <w:r w:rsidRPr="001A049B">
        <w:rPr>
          <w:sz w:val="21"/>
          <w:szCs w:val="21"/>
        </w:rPr>
        <w:t xml:space="preserve">the product being </w:t>
      </w:r>
      <w:r w:rsidR="003A7201">
        <w:rPr>
          <w:sz w:val="21"/>
          <w:szCs w:val="21"/>
        </w:rPr>
        <w:t xml:space="preserve">included on the </w:t>
      </w:r>
      <w:r w:rsidR="00E92E4D" w:rsidRPr="00DE69AE">
        <w:rPr>
          <w:sz w:val="21"/>
          <w:szCs w:val="21"/>
        </w:rPr>
        <w:t>Australian Register of Therapeutic Goods (</w:t>
      </w:r>
      <w:r w:rsidR="00E92E4D" w:rsidRPr="00DE69AE">
        <w:t>ARTG</w:t>
      </w:r>
      <w:r w:rsidR="00E92E4D" w:rsidRPr="00DE69AE">
        <w:rPr>
          <w:sz w:val="21"/>
          <w:szCs w:val="21"/>
        </w:rPr>
        <w:t>)</w:t>
      </w:r>
      <w:r w:rsidR="00E92E4D">
        <w:rPr>
          <w:sz w:val="21"/>
          <w:szCs w:val="21"/>
        </w:rPr>
        <w:t>;</w:t>
      </w:r>
    </w:p>
    <w:p w14:paraId="17E1C944" w14:textId="77777777" w:rsidR="001A049B" w:rsidRPr="001A049B" w:rsidRDefault="00E92E4D" w:rsidP="001A049B">
      <w:pPr>
        <w:pStyle w:val="BodyText"/>
        <w:keepNext/>
        <w:keepLines/>
        <w:widowControl w:val="0"/>
        <w:numPr>
          <w:ilvl w:val="0"/>
          <w:numId w:val="31"/>
        </w:numPr>
        <w:spacing w:before="120"/>
        <w:ind w:left="641" w:hanging="357"/>
        <w:rPr>
          <w:sz w:val="21"/>
          <w:szCs w:val="21"/>
        </w:rPr>
      </w:pPr>
      <w:r>
        <w:rPr>
          <w:sz w:val="21"/>
          <w:szCs w:val="21"/>
        </w:rPr>
        <w:t>rigorous</w:t>
      </w:r>
      <w:r w:rsidR="001A049B" w:rsidRPr="001A049B">
        <w:rPr>
          <w:sz w:val="21"/>
          <w:szCs w:val="21"/>
        </w:rPr>
        <w:t xml:space="preserve"> assessment of comparative clinical effectiveness and </w:t>
      </w:r>
      <w:r>
        <w:rPr>
          <w:sz w:val="21"/>
          <w:szCs w:val="21"/>
        </w:rPr>
        <w:t xml:space="preserve">patient </w:t>
      </w:r>
      <w:r w:rsidR="001A049B" w:rsidRPr="001A049B">
        <w:rPr>
          <w:sz w:val="21"/>
          <w:szCs w:val="21"/>
        </w:rPr>
        <w:t>outcomes</w:t>
      </w:r>
      <w:r>
        <w:rPr>
          <w:sz w:val="21"/>
          <w:szCs w:val="21"/>
        </w:rPr>
        <w:t>; and</w:t>
      </w:r>
    </w:p>
    <w:p w14:paraId="4BF2FD8F" w14:textId="77777777" w:rsidR="001A049B" w:rsidRPr="00114BF9" w:rsidRDefault="001A049B" w:rsidP="00114BF9">
      <w:pPr>
        <w:pStyle w:val="BodyText"/>
        <w:keepNext/>
        <w:keepLines/>
        <w:widowControl w:val="0"/>
        <w:numPr>
          <w:ilvl w:val="0"/>
          <w:numId w:val="31"/>
        </w:numPr>
        <w:spacing w:before="120"/>
        <w:ind w:left="641" w:hanging="357"/>
        <w:rPr>
          <w:sz w:val="21"/>
          <w:szCs w:val="21"/>
        </w:rPr>
      </w:pPr>
      <w:r w:rsidRPr="00114BF9">
        <w:rPr>
          <w:sz w:val="21"/>
          <w:szCs w:val="21"/>
        </w:rPr>
        <w:t>cost-effectiveness</w:t>
      </w:r>
      <w:r w:rsidR="00E92E4D" w:rsidRPr="00114BF9">
        <w:rPr>
          <w:sz w:val="21"/>
          <w:szCs w:val="21"/>
        </w:rPr>
        <w:t xml:space="preserve"> and the</w:t>
      </w:r>
      <w:r w:rsidR="00E92E4D">
        <w:rPr>
          <w:sz w:val="21"/>
          <w:szCs w:val="21"/>
        </w:rPr>
        <w:t xml:space="preserve"> </w:t>
      </w:r>
      <w:r w:rsidRPr="00114BF9">
        <w:rPr>
          <w:sz w:val="21"/>
          <w:szCs w:val="21"/>
        </w:rPr>
        <w:t xml:space="preserve">benchmarking of benefits payable </w:t>
      </w:r>
      <w:r w:rsidR="00E92E4D" w:rsidRPr="00114BF9">
        <w:rPr>
          <w:sz w:val="21"/>
          <w:szCs w:val="21"/>
        </w:rPr>
        <w:t>to</w:t>
      </w:r>
      <w:r w:rsidRPr="00114BF9">
        <w:rPr>
          <w:sz w:val="21"/>
          <w:szCs w:val="21"/>
        </w:rPr>
        <w:t xml:space="preserve"> like products. </w:t>
      </w:r>
    </w:p>
    <w:p w14:paraId="43F63835" w14:textId="13D1A972" w:rsidR="008F097D" w:rsidRDefault="001A049B" w:rsidP="001A049B">
      <w:pPr>
        <w:spacing w:before="120" w:after="120"/>
        <w:rPr>
          <w:rFonts w:eastAsia="Calibri Light" w:cs="Arial"/>
          <w:sz w:val="21"/>
          <w:szCs w:val="21"/>
        </w:rPr>
      </w:pPr>
      <w:r w:rsidRPr="001A049B">
        <w:rPr>
          <w:rFonts w:eastAsia="Calibri Light" w:cs="Arial"/>
          <w:sz w:val="21"/>
          <w:szCs w:val="21"/>
        </w:rPr>
        <w:t xml:space="preserve">Australian governments agree that tissue and tissue-based products made available to Australian patients should continue to be reimbursed to providers on a fee-for-service basis. While state and territory </w:t>
      </w:r>
      <w:r w:rsidR="00795FF6">
        <w:rPr>
          <w:rFonts w:eastAsia="Calibri Light" w:cs="Arial"/>
          <w:sz w:val="21"/>
          <w:szCs w:val="21"/>
        </w:rPr>
        <w:t>H</w:t>
      </w:r>
      <w:r w:rsidRPr="001A049B">
        <w:rPr>
          <w:rFonts w:eastAsia="Calibri Light" w:cs="Arial"/>
          <w:sz w:val="21"/>
          <w:szCs w:val="21"/>
        </w:rPr>
        <w:t xml:space="preserve">uman </w:t>
      </w:r>
      <w:r w:rsidR="00795FF6">
        <w:rPr>
          <w:rFonts w:eastAsia="Calibri Light" w:cs="Arial"/>
          <w:sz w:val="21"/>
          <w:szCs w:val="21"/>
        </w:rPr>
        <w:t>T</w:t>
      </w:r>
      <w:r w:rsidRPr="001A049B">
        <w:rPr>
          <w:rFonts w:eastAsia="Calibri Light" w:cs="Arial"/>
          <w:sz w:val="21"/>
          <w:szCs w:val="21"/>
        </w:rPr>
        <w:t xml:space="preserve">issue </w:t>
      </w:r>
      <w:r w:rsidR="00795FF6">
        <w:rPr>
          <w:rFonts w:eastAsia="Calibri Light" w:cs="Arial"/>
          <w:sz w:val="21"/>
          <w:szCs w:val="21"/>
        </w:rPr>
        <w:t>A</w:t>
      </w:r>
      <w:r w:rsidRPr="001A049B">
        <w:rPr>
          <w:rFonts w:eastAsia="Calibri Light" w:cs="Arial"/>
          <w:sz w:val="21"/>
          <w:szCs w:val="21"/>
        </w:rPr>
        <w:t xml:space="preserve">cts prohibit the trading of human tissue, recovery of costs is permitted. </w:t>
      </w:r>
    </w:p>
    <w:p w14:paraId="57D71A40"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The WHO Guiding Principles</w:t>
      </w:r>
      <w:r w:rsidRPr="001A049B">
        <w:rPr>
          <w:rStyle w:val="FootnoteReference"/>
          <w:rFonts w:eastAsia="Calibri Light" w:cs="Arial"/>
          <w:sz w:val="21"/>
          <w:szCs w:val="21"/>
        </w:rPr>
        <w:footnoteReference w:id="13"/>
      </w:r>
      <w:r w:rsidRPr="001A049B">
        <w:rPr>
          <w:rFonts w:eastAsia="Calibri Light" w:cs="Arial"/>
          <w:sz w:val="21"/>
          <w:szCs w:val="21"/>
        </w:rPr>
        <w:t xml:space="preserve"> provide </w:t>
      </w:r>
      <w:r w:rsidR="008F097D">
        <w:rPr>
          <w:rFonts w:eastAsia="Calibri Light" w:cs="Arial"/>
          <w:sz w:val="21"/>
          <w:szCs w:val="21"/>
        </w:rPr>
        <w:t>for</w:t>
      </w:r>
      <w:r w:rsidRPr="001A049B">
        <w:rPr>
          <w:rFonts w:eastAsia="Calibri Light" w:cs="Arial"/>
          <w:sz w:val="21"/>
          <w:szCs w:val="21"/>
        </w:rPr>
        <w:t xml:space="preserve"> the reimbursement of reasonable and verifiable expenses incurred through the recovery, processing, preserving, product development, quality assurance and supply of tissue is appropriate. Generation of a surplus may be ethically acceptable if the surplus is reinvested to support activit</w:t>
      </w:r>
      <w:r w:rsidR="008F097D">
        <w:rPr>
          <w:rFonts w:eastAsia="Calibri Light" w:cs="Arial"/>
          <w:sz w:val="21"/>
          <w:szCs w:val="21"/>
        </w:rPr>
        <w:t>y</w:t>
      </w:r>
      <w:r w:rsidRPr="001A049B">
        <w:rPr>
          <w:rFonts w:eastAsia="Calibri Light" w:cs="Arial"/>
          <w:sz w:val="21"/>
          <w:szCs w:val="21"/>
        </w:rPr>
        <w:t>, sustainability and/or innovation in the sector</w:t>
      </w:r>
      <w:r w:rsidR="008F097D">
        <w:rPr>
          <w:rFonts w:eastAsia="Calibri Light" w:cs="Arial"/>
          <w:sz w:val="21"/>
          <w:szCs w:val="21"/>
        </w:rPr>
        <w:t>. It should not be</w:t>
      </w:r>
      <w:r w:rsidRPr="001A049B">
        <w:rPr>
          <w:rFonts w:eastAsia="Calibri Light" w:cs="Arial"/>
          <w:sz w:val="21"/>
          <w:szCs w:val="21"/>
        </w:rPr>
        <w:t xml:space="preserve"> used to make payments</w:t>
      </w:r>
      <w:r w:rsidR="008F097D">
        <w:rPr>
          <w:rFonts w:eastAsia="Calibri Light" w:cs="Arial"/>
          <w:sz w:val="21"/>
          <w:szCs w:val="21"/>
        </w:rPr>
        <w:t>,</w:t>
      </w:r>
      <w:r w:rsidRPr="001A049B">
        <w:rPr>
          <w:rFonts w:eastAsia="Calibri Light" w:cs="Arial"/>
          <w:sz w:val="21"/>
          <w:szCs w:val="21"/>
        </w:rPr>
        <w:t xml:space="preserve"> </w:t>
      </w:r>
      <w:r w:rsidR="008F097D">
        <w:rPr>
          <w:rFonts w:eastAsia="Calibri Light" w:cs="Arial"/>
          <w:sz w:val="21"/>
          <w:szCs w:val="21"/>
        </w:rPr>
        <w:t xml:space="preserve">provide </w:t>
      </w:r>
      <w:r w:rsidRPr="001A049B">
        <w:rPr>
          <w:rFonts w:eastAsia="Calibri Light" w:cs="Arial"/>
          <w:sz w:val="21"/>
          <w:szCs w:val="21"/>
        </w:rPr>
        <w:t xml:space="preserve">dividends or other benefits to </w:t>
      </w:r>
      <w:r w:rsidR="008F097D">
        <w:rPr>
          <w:rFonts w:eastAsia="Calibri Light" w:cs="Arial"/>
          <w:sz w:val="21"/>
          <w:szCs w:val="21"/>
        </w:rPr>
        <w:t xml:space="preserve">either </w:t>
      </w:r>
      <w:r w:rsidRPr="001A049B">
        <w:rPr>
          <w:rFonts w:eastAsia="Calibri Light" w:cs="Arial"/>
          <w:sz w:val="21"/>
          <w:szCs w:val="21"/>
        </w:rPr>
        <w:t xml:space="preserve">individuals or other parties. </w:t>
      </w:r>
    </w:p>
    <w:p w14:paraId="7216F0A6" w14:textId="77777777" w:rsidR="008F097D" w:rsidRDefault="001A049B" w:rsidP="001A049B">
      <w:pPr>
        <w:spacing w:before="120" w:after="120"/>
        <w:rPr>
          <w:rFonts w:eastAsia="Calibri Light" w:cs="Arial"/>
          <w:sz w:val="21"/>
          <w:szCs w:val="21"/>
        </w:rPr>
      </w:pPr>
      <w:r w:rsidRPr="001A049B">
        <w:rPr>
          <w:rFonts w:eastAsia="Calibri Light" w:cs="Arial"/>
          <w:sz w:val="21"/>
          <w:szCs w:val="21"/>
        </w:rPr>
        <w:t>Listing and benefit setting for available tissue and tissue-based products will continue through Part B of the Australian Government’s Prostheses List.</w:t>
      </w:r>
      <w:r w:rsidRPr="001A049B">
        <w:rPr>
          <w:rStyle w:val="FootnoteReference"/>
          <w:rFonts w:eastAsia="Calibri Light" w:cs="Arial"/>
          <w:sz w:val="21"/>
          <w:szCs w:val="21"/>
        </w:rPr>
        <w:footnoteReference w:id="14"/>
      </w:r>
      <w:r w:rsidRPr="001A049B">
        <w:rPr>
          <w:rFonts w:eastAsia="Calibri Light" w:cs="Arial"/>
          <w:sz w:val="21"/>
          <w:szCs w:val="21"/>
        </w:rPr>
        <w:t xml:space="preserve"> Under current arrangements, tissue banks apply to the Commonwealth Department of Health to have tissue or tissue-based products listed on the Prostheses List, which includes determining the benefit to be paid by </w:t>
      </w:r>
      <w:r w:rsidR="003D3B82" w:rsidRPr="001A049B">
        <w:rPr>
          <w:rFonts w:eastAsia="Calibri Light" w:cs="Arial"/>
          <w:sz w:val="21"/>
          <w:szCs w:val="21"/>
        </w:rPr>
        <w:t>end</w:t>
      </w:r>
      <w:r w:rsidR="003D3B82">
        <w:rPr>
          <w:rFonts w:eastAsia="Calibri Light" w:cs="Arial"/>
          <w:sz w:val="21"/>
          <w:szCs w:val="21"/>
        </w:rPr>
        <w:noBreakHyphen/>
      </w:r>
      <w:r w:rsidRPr="001A049B">
        <w:rPr>
          <w:rFonts w:eastAsia="Calibri Light" w:cs="Arial"/>
          <w:sz w:val="21"/>
          <w:szCs w:val="21"/>
        </w:rPr>
        <w:t xml:space="preserve">users. </w:t>
      </w:r>
    </w:p>
    <w:p w14:paraId="751B039E" w14:textId="5530C8E9"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Planned reforms to the Prostheses List arrangements, including </w:t>
      </w:r>
      <w:r w:rsidR="00187AE5">
        <w:rPr>
          <w:rFonts w:cs="Arial"/>
          <w:sz w:val="21"/>
          <w:szCs w:val="21"/>
        </w:rPr>
        <w:t xml:space="preserve">a review of Part B items which will investigate how to ensure items listed in Part B are assessed for comparative cost </w:t>
      </w:r>
      <w:r w:rsidR="00187AE5">
        <w:rPr>
          <w:rFonts w:cs="Arial"/>
          <w:sz w:val="21"/>
          <w:szCs w:val="21"/>
        </w:rPr>
        <w:lastRenderedPageBreak/>
        <w:t>effectiveness</w:t>
      </w:r>
      <w:r w:rsidR="00187AE5" w:rsidRPr="001A049B">
        <w:rPr>
          <w:rFonts w:eastAsia="Calibri Light" w:cs="Arial"/>
          <w:sz w:val="21"/>
          <w:szCs w:val="21"/>
        </w:rPr>
        <w:t xml:space="preserve"> </w:t>
      </w:r>
      <w:r w:rsidR="00187AE5">
        <w:rPr>
          <w:rFonts w:eastAsia="Calibri Light" w:cs="Arial"/>
          <w:sz w:val="21"/>
          <w:szCs w:val="21"/>
        </w:rPr>
        <w:t>w</w:t>
      </w:r>
      <w:r w:rsidRPr="001A049B">
        <w:rPr>
          <w:rFonts w:eastAsia="Calibri Light" w:cs="Arial"/>
          <w:sz w:val="21"/>
          <w:szCs w:val="21"/>
        </w:rPr>
        <w:t>ill further support the sustainability of the sector</w:t>
      </w:r>
      <w:r w:rsidR="00187AE5">
        <w:rPr>
          <w:rFonts w:eastAsia="Calibri Light" w:cs="Arial"/>
          <w:sz w:val="21"/>
          <w:szCs w:val="21"/>
        </w:rPr>
        <w:t xml:space="preserve"> through improved </w:t>
      </w:r>
      <w:r w:rsidRPr="001A049B">
        <w:rPr>
          <w:rFonts w:eastAsia="Calibri Light" w:cs="Arial"/>
          <w:sz w:val="21"/>
          <w:szCs w:val="21"/>
        </w:rPr>
        <w:t xml:space="preserve">benefit setting arrangements. </w:t>
      </w:r>
    </w:p>
    <w:p w14:paraId="2866B338" w14:textId="62A68E22"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All governments </w:t>
      </w:r>
      <w:r w:rsidR="003D3B82">
        <w:rPr>
          <w:rFonts w:eastAsia="Calibri Light" w:cs="Arial"/>
          <w:sz w:val="21"/>
          <w:szCs w:val="21"/>
        </w:rPr>
        <w:t>support the development of</w:t>
      </w:r>
      <w:r w:rsidR="00087F83">
        <w:rPr>
          <w:rFonts w:eastAsia="Calibri Light" w:cs="Arial"/>
          <w:sz w:val="21"/>
          <w:szCs w:val="21"/>
        </w:rPr>
        <w:t xml:space="preserve"> </w:t>
      </w:r>
      <w:r w:rsidRPr="001A049B">
        <w:rPr>
          <w:rFonts w:eastAsia="Calibri Light" w:cs="Arial"/>
          <w:sz w:val="21"/>
          <w:szCs w:val="21"/>
        </w:rPr>
        <w:t xml:space="preserve">guidance to assist </w:t>
      </w:r>
      <w:r w:rsidR="00114BF9">
        <w:rPr>
          <w:rFonts w:eastAsia="Calibri Light" w:cs="Arial"/>
          <w:sz w:val="21"/>
          <w:szCs w:val="21"/>
        </w:rPr>
        <w:t xml:space="preserve">tissue banks and other </w:t>
      </w:r>
      <w:r w:rsidRPr="001A049B">
        <w:rPr>
          <w:rFonts w:eastAsia="Calibri Light" w:cs="Arial"/>
          <w:sz w:val="21"/>
          <w:szCs w:val="21"/>
        </w:rPr>
        <w:t xml:space="preserve">providers </w:t>
      </w:r>
      <w:r w:rsidR="00134AF9">
        <w:rPr>
          <w:rFonts w:eastAsia="Calibri Light" w:cs="Arial"/>
          <w:sz w:val="21"/>
          <w:szCs w:val="21"/>
        </w:rPr>
        <w:t>with any new prostheses arrangements</w:t>
      </w:r>
      <w:r w:rsidRPr="001A049B">
        <w:rPr>
          <w:rFonts w:eastAsia="Calibri Light" w:cs="Arial"/>
          <w:sz w:val="21"/>
          <w:szCs w:val="21"/>
        </w:rPr>
        <w:t xml:space="preserve">. Representatives of the eye and tissue sector will be invited to participate in the </w:t>
      </w:r>
      <w:r w:rsidR="00134AF9">
        <w:rPr>
          <w:rFonts w:eastAsia="Calibri Light" w:cs="Arial"/>
          <w:sz w:val="21"/>
          <w:szCs w:val="21"/>
        </w:rPr>
        <w:t>implementation</w:t>
      </w:r>
      <w:r w:rsidRPr="001A049B">
        <w:rPr>
          <w:rFonts w:eastAsia="Calibri Light" w:cs="Arial"/>
          <w:sz w:val="21"/>
          <w:szCs w:val="21"/>
        </w:rPr>
        <w:t xml:space="preserve"> </w:t>
      </w:r>
      <w:r w:rsidR="00134AF9">
        <w:rPr>
          <w:rFonts w:eastAsia="Calibri Light" w:cs="Arial"/>
          <w:sz w:val="21"/>
          <w:szCs w:val="21"/>
        </w:rPr>
        <w:t xml:space="preserve">of any reforms </w:t>
      </w:r>
      <w:r w:rsidRPr="001A049B">
        <w:rPr>
          <w:rFonts w:eastAsia="Calibri Light" w:cs="Arial"/>
          <w:sz w:val="21"/>
          <w:szCs w:val="21"/>
        </w:rPr>
        <w:t xml:space="preserve">to ensure that </w:t>
      </w:r>
      <w:r w:rsidR="00134AF9">
        <w:rPr>
          <w:rFonts w:eastAsia="Calibri Light" w:cs="Arial"/>
          <w:sz w:val="21"/>
          <w:szCs w:val="21"/>
        </w:rPr>
        <w:t>they</w:t>
      </w:r>
      <w:r w:rsidR="00134AF9" w:rsidRPr="001A049B">
        <w:rPr>
          <w:rFonts w:eastAsia="Calibri Light" w:cs="Arial"/>
          <w:sz w:val="21"/>
          <w:szCs w:val="21"/>
        </w:rPr>
        <w:t xml:space="preserve"> </w:t>
      </w:r>
      <w:r w:rsidR="00134AF9">
        <w:rPr>
          <w:rFonts w:eastAsia="Calibri Light" w:cs="Arial"/>
          <w:sz w:val="21"/>
          <w:szCs w:val="21"/>
        </w:rPr>
        <w:t>consider</w:t>
      </w:r>
      <w:r w:rsidR="00134AF9" w:rsidRPr="001A049B">
        <w:rPr>
          <w:rFonts w:eastAsia="Calibri Light" w:cs="Arial"/>
          <w:sz w:val="21"/>
          <w:szCs w:val="21"/>
        </w:rPr>
        <w:t xml:space="preserve"> </w:t>
      </w:r>
      <w:r w:rsidRPr="001A049B">
        <w:rPr>
          <w:rFonts w:eastAsia="Calibri Light" w:cs="Arial"/>
          <w:sz w:val="21"/>
          <w:szCs w:val="21"/>
        </w:rPr>
        <w:t xml:space="preserve">the </w:t>
      </w:r>
      <w:r w:rsidR="00134AF9">
        <w:rPr>
          <w:rFonts w:eastAsia="Calibri Light" w:cs="Arial"/>
          <w:sz w:val="21"/>
          <w:szCs w:val="21"/>
        </w:rPr>
        <w:t>operation</w:t>
      </w:r>
      <w:r w:rsidR="00134AF9" w:rsidRPr="001A049B">
        <w:rPr>
          <w:rFonts w:eastAsia="Calibri Light" w:cs="Arial"/>
          <w:sz w:val="21"/>
          <w:szCs w:val="21"/>
        </w:rPr>
        <w:t xml:space="preserve"> </w:t>
      </w:r>
      <w:r w:rsidRPr="001A049B">
        <w:rPr>
          <w:rFonts w:eastAsia="Calibri Light" w:cs="Arial"/>
          <w:sz w:val="21"/>
          <w:szCs w:val="21"/>
        </w:rPr>
        <w:t>of the sector.</w:t>
      </w:r>
    </w:p>
    <w:p w14:paraId="06F637B3"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Further, all governments agree that tissue supply arrangements should align with state-based Human Tissue Acts or equivalent legislation and ethical guidance set by the NHMRC. </w:t>
      </w:r>
    </w:p>
    <w:p w14:paraId="2EC38507" w14:textId="46F7F258" w:rsidR="001A049B" w:rsidRDefault="001A049B" w:rsidP="001A049B">
      <w:pPr>
        <w:rPr>
          <w:rFonts w:eastAsia="Calibri Light" w:cs="Arial"/>
          <w:sz w:val="21"/>
          <w:szCs w:val="21"/>
        </w:rPr>
      </w:pPr>
      <w:r w:rsidRPr="001A049B">
        <w:rPr>
          <w:rFonts w:eastAsia="Calibri Light" w:cs="Arial"/>
          <w:sz w:val="21"/>
          <w:szCs w:val="21"/>
        </w:rPr>
        <w:t xml:space="preserve">The agreed position on tissue supply costs supports the Framework’s Guiding Principles of </w:t>
      </w:r>
      <w:r w:rsidRPr="001A049B">
        <w:rPr>
          <w:rFonts w:eastAsia="Calibri Light" w:cs="Arial"/>
          <w:i/>
          <w:sz w:val="21"/>
          <w:szCs w:val="21"/>
        </w:rPr>
        <w:t>Equity</w:t>
      </w:r>
      <w:r w:rsidRPr="001A049B">
        <w:rPr>
          <w:rFonts w:eastAsia="Calibri Light" w:cs="Arial"/>
          <w:sz w:val="21"/>
          <w:szCs w:val="21"/>
        </w:rPr>
        <w:t xml:space="preserve">, </w:t>
      </w:r>
      <w:r w:rsidRPr="001A049B">
        <w:rPr>
          <w:rFonts w:eastAsia="Calibri Light" w:cs="Arial"/>
          <w:i/>
          <w:sz w:val="21"/>
          <w:szCs w:val="21"/>
        </w:rPr>
        <w:t>Access</w:t>
      </w:r>
      <w:r w:rsidRPr="001A049B">
        <w:rPr>
          <w:rFonts w:eastAsia="Calibri Light" w:cs="Arial"/>
          <w:sz w:val="21"/>
          <w:szCs w:val="21"/>
        </w:rPr>
        <w:t xml:space="preserve">, </w:t>
      </w:r>
      <w:r w:rsidRPr="001A049B">
        <w:rPr>
          <w:rFonts w:eastAsia="Calibri Light" w:cs="Arial"/>
          <w:i/>
          <w:sz w:val="21"/>
          <w:szCs w:val="21"/>
        </w:rPr>
        <w:t>Evidence-based</w:t>
      </w:r>
      <w:r w:rsidRPr="001A049B">
        <w:rPr>
          <w:rFonts w:eastAsia="Calibri Light" w:cs="Arial"/>
          <w:sz w:val="21"/>
          <w:szCs w:val="21"/>
        </w:rPr>
        <w:t xml:space="preserve">, </w:t>
      </w:r>
      <w:r w:rsidRPr="001A049B">
        <w:rPr>
          <w:rFonts w:eastAsia="Calibri Light" w:cs="Arial"/>
          <w:i/>
          <w:sz w:val="21"/>
          <w:szCs w:val="21"/>
        </w:rPr>
        <w:t>Sustainability</w:t>
      </w:r>
      <w:r w:rsidRPr="001A049B">
        <w:rPr>
          <w:rFonts w:eastAsia="Calibri Light" w:cs="Arial"/>
          <w:sz w:val="21"/>
          <w:szCs w:val="21"/>
        </w:rPr>
        <w:t xml:space="preserve">, and </w:t>
      </w:r>
      <w:r w:rsidRPr="001A049B">
        <w:rPr>
          <w:rFonts w:eastAsia="Calibri Light" w:cs="Arial"/>
          <w:i/>
          <w:sz w:val="21"/>
          <w:szCs w:val="21"/>
        </w:rPr>
        <w:t>Accountability and Transparency</w:t>
      </w:r>
      <w:r w:rsidRPr="001A049B">
        <w:rPr>
          <w:rFonts w:eastAsia="Calibri Light" w:cs="Arial"/>
          <w:sz w:val="21"/>
          <w:szCs w:val="21"/>
        </w:rPr>
        <w:t xml:space="preserve">. </w:t>
      </w:r>
    </w:p>
    <w:p w14:paraId="3118EAF8" w14:textId="77777777" w:rsidR="00134AF9" w:rsidRDefault="00134AF9" w:rsidP="001A049B">
      <w:pPr>
        <w:rPr>
          <w:rFonts w:eastAsia="Calibri Light" w:cs="Arial"/>
          <w:sz w:val="21"/>
          <w:szCs w:val="21"/>
        </w:rPr>
      </w:pPr>
    </w:p>
    <w:p w14:paraId="1DD31D76" w14:textId="77777777" w:rsidR="001A049B" w:rsidRPr="004F1BD8" w:rsidRDefault="001A049B" w:rsidP="00447710">
      <w:pPr>
        <w:pStyle w:val="Heading2"/>
        <w:keepNext w:val="0"/>
        <w:widowControl w:val="0"/>
        <w:numPr>
          <w:ilvl w:val="0"/>
          <w:numId w:val="26"/>
        </w:numPr>
        <w:spacing w:before="111" w:after="0"/>
        <w:ind w:left="357" w:hanging="357"/>
      </w:pPr>
      <w:bookmarkStart w:id="52" w:name="_Toc50537260"/>
      <w:bookmarkStart w:id="53" w:name="_Toc50537261"/>
      <w:bookmarkStart w:id="54" w:name="_Toc34387848"/>
      <w:bookmarkStart w:id="55" w:name="_Toc80966449"/>
      <w:bookmarkStart w:id="56" w:name="_Toc109209863"/>
      <w:bookmarkEnd w:id="52"/>
      <w:bookmarkEnd w:id="53"/>
      <w:r w:rsidRPr="004F1BD8">
        <w:t>Stakeholder engagement</w:t>
      </w:r>
      <w:bookmarkEnd w:id="54"/>
      <w:bookmarkEnd w:id="55"/>
      <w:bookmarkEnd w:id="56"/>
      <w:r w:rsidRPr="004F1BD8">
        <w:t xml:space="preserve"> </w:t>
      </w:r>
    </w:p>
    <w:p w14:paraId="471DE905"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All Australian governments recognise that engagement between Australian eye and tissue sector stakeholders, including engagement of governments with potential donors, donor families and patients, is vital to the ongoing viability and sustainability of the sector, and to ensure that Australians have access to clinically-appropriate tissues and tissue-based products.  </w:t>
      </w:r>
    </w:p>
    <w:p w14:paraId="618144A6"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Strong stakeholder engagement supports the Framework’s Guiding Principles of </w:t>
      </w:r>
      <w:r w:rsidRPr="001A049B">
        <w:rPr>
          <w:rFonts w:eastAsia="Calibri Light" w:cs="Arial"/>
          <w:i/>
          <w:sz w:val="21"/>
          <w:szCs w:val="21"/>
        </w:rPr>
        <w:t>Shared Responsibility</w:t>
      </w:r>
      <w:r w:rsidRPr="001A049B">
        <w:rPr>
          <w:rFonts w:eastAsia="Calibri Light" w:cs="Arial"/>
          <w:sz w:val="21"/>
          <w:szCs w:val="21"/>
        </w:rPr>
        <w:t xml:space="preserve"> and </w:t>
      </w:r>
      <w:r w:rsidRPr="001A049B">
        <w:rPr>
          <w:rFonts w:eastAsia="Calibri Light" w:cs="Arial"/>
          <w:i/>
          <w:sz w:val="21"/>
          <w:szCs w:val="21"/>
        </w:rPr>
        <w:t>Collaboration and Partnerships</w:t>
      </w:r>
      <w:r w:rsidRPr="001A049B">
        <w:rPr>
          <w:rFonts w:eastAsia="Calibri Light" w:cs="Arial"/>
          <w:sz w:val="21"/>
          <w:szCs w:val="21"/>
        </w:rPr>
        <w:t>. Australian governments recognise that:</w:t>
      </w:r>
    </w:p>
    <w:p w14:paraId="37337A5C" w14:textId="77777777" w:rsidR="001A049B" w:rsidRPr="001A049B" w:rsidRDefault="001A049B" w:rsidP="001A049B">
      <w:pPr>
        <w:pStyle w:val="ListParagraph"/>
        <w:keepNext/>
        <w:numPr>
          <w:ilvl w:val="0"/>
          <w:numId w:val="30"/>
        </w:numPr>
        <w:spacing w:before="120" w:after="120"/>
        <w:ind w:left="641" w:hanging="357"/>
        <w:contextualSpacing w:val="0"/>
        <w:rPr>
          <w:rFonts w:eastAsia="Calibri Light" w:cs="Arial"/>
          <w:sz w:val="21"/>
          <w:szCs w:val="21"/>
        </w:rPr>
      </w:pPr>
      <w:r w:rsidRPr="001A049B">
        <w:rPr>
          <w:rFonts w:eastAsia="Calibri Light" w:cs="Arial"/>
          <w:sz w:val="21"/>
          <w:szCs w:val="21"/>
        </w:rPr>
        <w:t>engagement between stakeholders, including the Australian community, should be coordinated, clear and consistent</w:t>
      </w:r>
    </w:p>
    <w:p w14:paraId="4CE9DE08" w14:textId="77777777" w:rsidR="001A049B" w:rsidRPr="001A049B" w:rsidRDefault="001A049B" w:rsidP="001A049B">
      <w:pPr>
        <w:pStyle w:val="ListParagraph"/>
        <w:numPr>
          <w:ilvl w:val="0"/>
          <w:numId w:val="30"/>
        </w:numPr>
        <w:spacing w:before="120" w:after="120"/>
        <w:ind w:left="643"/>
        <w:contextualSpacing w:val="0"/>
        <w:rPr>
          <w:rFonts w:eastAsia="Calibri Light" w:cs="Arial"/>
          <w:sz w:val="21"/>
          <w:szCs w:val="21"/>
        </w:rPr>
      </w:pPr>
      <w:r w:rsidRPr="001A049B">
        <w:rPr>
          <w:rFonts w:eastAsia="Calibri Light" w:cs="Arial"/>
          <w:sz w:val="21"/>
          <w:szCs w:val="21"/>
        </w:rPr>
        <w:t>professional associations should be actively engaged through recognised governance and oversight arrangements to ensure effective clinical feedback</w:t>
      </w:r>
    </w:p>
    <w:p w14:paraId="42F7C51A" w14:textId="77777777" w:rsidR="001A049B" w:rsidRPr="001A049B" w:rsidRDefault="001A049B" w:rsidP="001A049B">
      <w:pPr>
        <w:pStyle w:val="ListParagraph"/>
        <w:numPr>
          <w:ilvl w:val="0"/>
          <w:numId w:val="30"/>
        </w:numPr>
        <w:spacing w:before="120" w:after="120"/>
        <w:ind w:left="643"/>
        <w:contextualSpacing w:val="0"/>
        <w:rPr>
          <w:rFonts w:eastAsia="Calibri Light" w:cs="Arial"/>
          <w:sz w:val="21"/>
          <w:szCs w:val="21"/>
        </w:rPr>
      </w:pPr>
      <w:r w:rsidRPr="001A049B">
        <w:rPr>
          <w:rFonts w:eastAsia="Calibri Light" w:cs="Arial"/>
          <w:sz w:val="21"/>
          <w:szCs w:val="21"/>
        </w:rPr>
        <w:t>development of clinical and ethical standards should be undertaken in a collaborative and inclusive manner.</w:t>
      </w:r>
    </w:p>
    <w:p w14:paraId="36515B60" w14:textId="77777777" w:rsidR="001A049B" w:rsidRPr="001A049B" w:rsidRDefault="001A049B" w:rsidP="001A049B">
      <w:pPr>
        <w:keepLines/>
        <w:rPr>
          <w:rFonts w:cs="Arial"/>
          <w:b/>
          <w:color w:val="3F4A75" w:themeColor="accent1"/>
          <w:spacing w:val="-1"/>
          <w:sz w:val="21"/>
          <w:szCs w:val="21"/>
        </w:rPr>
      </w:pPr>
      <w:r w:rsidRPr="001A049B">
        <w:rPr>
          <w:rFonts w:eastAsia="Calibri Light" w:cs="Arial"/>
          <w:sz w:val="21"/>
          <w:szCs w:val="21"/>
        </w:rPr>
        <w:t xml:space="preserve">All Australian governments support stakeholder engagement to deliver on the Framework. This will include engagement between governments, regulators, the </w:t>
      </w:r>
      <w:r w:rsidR="00114BF9">
        <w:rPr>
          <w:rFonts w:eastAsia="Calibri Light" w:cs="Arial"/>
          <w:sz w:val="21"/>
          <w:szCs w:val="21"/>
        </w:rPr>
        <w:t>OTA</w:t>
      </w:r>
      <w:r w:rsidRPr="001A049B">
        <w:rPr>
          <w:rFonts w:eastAsia="Calibri Light" w:cs="Arial"/>
          <w:sz w:val="21"/>
          <w:szCs w:val="21"/>
        </w:rPr>
        <w:t xml:space="preserve">, professional associations, eye and tissue donors, tissue and tissue-based product providers and distributors, and end-users, including surgeons and patients.  </w:t>
      </w:r>
    </w:p>
    <w:p w14:paraId="6A2B3F0D" w14:textId="77777777" w:rsidR="008F097D" w:rsidRPr="004F1BD8" w:rsidRDefault="008F097D" w:rsidP="001A049B">
      <w:pPr>
        <w:rPr>
          <w:rFonts w:ascii="Calibri Light" w:eastAsia="Calibri Light" w:hAnsi="Calibri Light"/>
        </w:rPr>
      </w:pPr>
    </w:p>
    <w:p w14:paraId="181EB303" w14:textId="77777777" w:rsidR="001A049B" w:rsidRPr="004F1BD8" w:rsidRDefault="001A049B" w:rsidP="00447710">
      <w:pPr>
        <w:pStyle w:val="Heading2"/>
        <w:keepNext w:val="0"/>
        <w:widowControl w:val="0"/>
        <w:numPr>
          <w:ilvl w:val="0"/>
          <w:numId w:val="26"/>
        </w:numPr>
        <w:spacing w:before="111" w:after="0"/>
        <w:ind w:left="357" w:hanging="357"/>
      </w:pPr>
      <w:bookmarkStart w:id="57" w:name="_Toc34387849"/>
      <w:bookmarkStart w:id="58" w:name="_Toc80966450"/>
      <w:bookmarkStart w:id="59" w:name="_Toc109209864"/>
      <w:r w:rsidRPr="004F1BD8">
        <w:t>Research</w:t>
      </w:r>
      <w:bookmarkEnd w:id="57"/>
      <w:bookmarkEnd w:id="58"/>
      <w:bookmarkEnd w:id="59"/>
      <w:r w:rsidRPr="004F1BD8">
        <w:t xml:space="preserve"> </w:t>
      </w:r>
    </w:p>
    <w:p w14:paraId="6CC63308"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All Australian governments recognise that research and development is required to address gaps in clinical demand, be responsive to emerging new technologies, and ensure the ongoing sustainability of the Australian eye and tissue sector. An agreed position on Research supports the Framework’s Guiding Principles of </w:t>
      </w:r>
      <w:r w:rsidRPr="001A049B">
        <w:rPr>
          <w:rFonts w:eastAsia="Calibri Light" w:cs="Arial"/>
          <w:i/>
          <w:sz w:val="21"/>
          <w:szCs w:val="21"/>
        </w:rPr>
        <w:t>Evidence-based</w:t>
      </w:r>
      <w:r w:rsidRPr="001A049B">
        <w:rPr>
          <w:rFonts w:eastAsia="Calibri Light" w:cs="Arial"/>
          <w:sz w:val="21"/>
          <w:szCs w:val="21"/>
        </w:rPr>
        <w:t xml:space="preserve"> and </w:t>
      </w:r>
      <w:r w:rsidRPr="001A049B">
        <w:rPr>
          <w:rFonts w:eastAsia="Calibri Light" w:cs="Arial"/>
          <w:i/>
          <w:sz w:val="21"/>
          <w:szCs w:val="21"/>
        </w:rPr>
        <w:t>Sustainability</w:t>
      </w:r>
      <w:r w:rsidRPr="001A049B">
        <w:rPr>
          <w:rFonts w:eastAsia="Calibri Light" w:cs="Arial"/>
          <w:sz w:val="21"/>
          <w:szCs w:val="21"/>
        </w:rPr>
        <w:t xml:space="preserve">. </w:t>
      </w:r>
    </w:p>
    <w:p w14:paraId="0AA0BBE9" w14:textId="77777777" w:rsidR="008F097D" w:rsidRDefault="001A049B" w:rsidP="001A049B">
      <w:pPr>
        <w:spacing w:before="120" w:after="120"/>
        <w:rPr>
          <w:rFonts w:eastAsia="Calibri Light" w:cs="Arial"/>
          <w:sz w:val="21"/>
          <w:szCs w:val="21"/>
        </w:rPr>
      </w:pPr>
      <w:r w:rsidRPr="001A049B">
        <w:rPr>
          <w:rFonts w:eastAsia="Calibri Light" w:cs="Arial"/>
          <w:sz w:val="21"/>
          <w:szCs w:val="21"/>
        </w:rPr>
        <w:t>Research and development activities are central to the sector’s sustainability, and can deliver technologically</w:t>
      </w:r>
      <w:r w:rsidRPr="001A049B">
        <w:rPr>
          <w:rFonts w:eastAsia="Calibri Light" w:cs="Arial"/>
          <w:sz w:val="21"/>
          <w:szCs w:val="21"/>
        </w:rPr>
        <w:noBreakHyphen/>
        <w:t xml:space="preserve">advanced treatment options and improved clinical outcomes for those Australians requiring tissue or tissue-based products. </w:t>
      </w:r>
    </w:p>
    <w:p w14:paraId="535592D0"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In line with the WHO Guiding Principles</w:t>
      </w:r>
      <w:r w:rsidR="00C8700C">
        <w:rPr>
          <w:rFonts w:eastAsia="Calibri Light" w:cs="Arial"/>
          <w:sz w:val="21"/>
          <w:szCs w:val="21"/>
        </w:rPr>
        <w:t>,</w:t>
      </w:r>
      <w:r w:rsidRPr="001A049B">
        <w:rPr>
          <w:rStyle w:val="FootnoteReference"/>
          <w:rFonts w:eastAsia="Calibri Light" w:cs="Arial"/>
          <w:sz w:val="21"/>
          <w:szCs w:val="21"/>
        </w:rPr>
        <w:footnoteReference w:id="15"/>
      </w:r>
      <w:r w:rsidRPr="001A049B">
        <w:rPr>
          <w:rFonts w:eastAsia="Calibri Light" w:cs="Arial"/>
          <w:sz w:val="21"/>
          <w:szCs w:val="21"/>
        </w:rPr>
        <w:t xml:space="preserve"> product development may be recognised as part of the recoverable cost of delivering a tissue product.</w:t>
      </w:r>
    </w:p>
    <w:p w14:paraId="14EE261C" w14:textId="77777777" w:rsidR="008F097D" w:rsidRDefault="001A049B" w:rsidP="001A049B">
      <w:pPr>
        <w:spacing w:before="120" w:after="120"/>
        <w:rPr>
          <w:rFonts w:eastAsia="Calibri Light" w:cs="Arial"/>
          <w:sz w:val="21"/>
          <w:szCs w:val="21"/>
        </w:rPr>
      </w:pPr>
      <w:r w:rsidRPr="001A049B">
        <w:rPr>
          <w:rFonts w:eastAsia="Calibri Light" w:cs="Arial"/>
          <w:sz w:val="21"/>
          <w:szCs w:val="21"/>
        </w:rPr>
        <w:t xml:space="preserve">The Australian eye and tissue sector is encouraged to pursue opportunities and seek funding to engage in research activities, by accessing research funding available in Australia. It is acknowledged there are challenges in seeking funding through competitive processes, and it is recognised there should be consideration for reinvestment in upscaling and innovation. </w:t>
      </w:r>
    </w:p>
    <w:p w14:paraId="0F38ACE8" w14:textId="77777777" w:rsidR="001A049B" w:rsidRDefault="001A049B" w:rsidP="001A049B">
      <w:pPr>
        <w:spacing w:before="120" w:after="120"/>
        <w:rPr>
          <w:rFonts w:eastAsia="Calibri Light" w:cs="Arial"/>
          <w:sz w:val="21"/>
          <w:szCs w:val="21"/>
        </w:rPr>
      </w:pPr>
      <w:r w:rsidRPr="001A049B">
        <w:rPr>
          <w:rFonts w:eastAsia="Calibri Light" w:cs="Arial"/>
          <w:sz w:val="21"/>
          <w:szCs w:val="21"/>
        </w:rPr>
        <w:lastRenderedPageBreak/>
        <w:t xml:space="preserve">Where possible, the Australian eye and tissue sector should foster collaborative partnerships with other organisations, universities or research institutes to provide a coordinated approach to research. </w:t>
      </w:r>
    </w:p>
    <w:p w14:paraId="0C4E049F" w14:textId="77777777" w:rsidR="000F08F8" w:rsidRPr="001A049B" w:rsidRDefault="000F08F8" w:rsidP="001A049B">
      <w:pPr>
        <w:spacing w:before="120" w:after="120"/>
        <w:rPr>
          <w:rFonts w:cs="Arial"/>
          <w:sz w:val="21"/>
          <w:szCs w:val="21"/>
        </w:rPr>
      </w:pPr>
    </w:p>
    <w:p w14:paraId="2813EE0D" w14:textId="77777777" w:rsidR="001A049B" w:rsidRPr="004F1BD8" w:rsidRDefault="001A049B" w:rsidP="00447710">
      <w:pPr>
        <w:pStyle w:val="Heading2"/>
        <w:keepNext w:val="0"/>
        <w:widowControl w:val="0"/>
        <w:numPr>
          <w:ilvl w:val="0"/>
          <w:numId w:val="26"/>
        </w:numPr>
        <w:spacing w:before="111" w:after="0"/>
        <w:ind w:left="357" w:hanging="357"/>
      </w:pPr>
      <w:bookmarkStart w:id="60" w:name="_Toc34387850"/>
      <w:bookmarkStart w:id="61" w:name="_Toc80966451"/>
      <w:bookmarkStart w:id="62" w:name="_Toc109209865"/>
      <w:r w:rsidRPr="004F1BD8">
        <w:t>Data and reporting</w:t>
      </w:r>
      <w:bookmarkEnd w:id="60"/>
      <w:bookmarkEnd w:id="61"/>
      <w:bookmarkEnd w:id="62"/>
      <w:r w:rsidRPr="004F1BD8">
        <w:t xml:space="preserve"> </w:t>
      </w:r>
    </w:p>
    <w:p w14:paraId="1FA03B98" w14:textId="567E068A"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All Australian governments recognise that an essential part of</w:t>
      </w:r>
      <w:r w:rsidR="00E523F0">
        <w:rPr>
          <w:rFonts w:eastAsia="Calibri Light" w:cs="Arial"/>
          <w:sz w:val="21"/>
          <w:szCs w:val="21"/>
        </w:rPr>
        <w:t xml:space="preserve"> having a </w:t>
      </w:r>
      <w:r w:rsidR="00161E49">
        <w:rPr>
          <w:rFonts w:eastAsia="Calibri Light" w:cs="Arial"/>
          <w:sz w:val="21"/>
          <w:szCs w:val="21"/>
        </w:rPr>
        <w:t>sustainable eye</w:t>
      </w:r>
      <w:r w:rsidRPr="001A049B">
        <w:rPr>
          <w:rFonts w:eastAsia="Calibri Light" w:cs="Arial"/>
          <w:sz w:val="21"/>
          <w:szCs w:val="21"/>
        </w:rPr>
        <w:t xml:space="preserve"> and tissue sector</w:t>
      </w:r>
      <w:r w:rsidR="00E523F0">
        <w:rPr>
          <w:rFonts w:eastAsia="Calibri Light" w:cs="Arial"/>
          <w:sz w:val="21"/>
          <w:szCs w:val="21"/>
        </w:rPr>
        <w:t xml:space="preserve"> in Australia</w:t>
      </w:r>
      <w:r w:rsidRPr="001A049B">
        <w:rPr>
          <w:rFonts w:eastAsia="Calibri Light" w:cs="Arial"/>
          <w:sz w:val="21"/>
          <w:szCs w:val="21"/>
        </w:rPr>
        <w:t xml:space="preserve"> is the collection and analysis of data on </w:t>
      </w:r>
      <w:r w:rsidR="00114BF9">
        <w:rPr>
          <w:rFonts w:eastAsia="Calibri Light" w:cs="Arial"/>
          <w:sz w:val="21"/>
          <w:szCs w:val="21"/>
        </w:rPr>
        <w:t xml:space="preserve">the sector, </w:t>
      </w:r>
      <w:r w:rsidRPr="001A049B">
        <w:rPr>
          <w:rFonts w:eastAsia="Calibri Light" w:cs="Arial"/>
          <w:sz w:val="21"/>
          <w:szCs w:val="21"/>
        </w:rPr>
        <w:t xml:space="preserve">processes and </w:t>
      </w:r>
      <w:r w:rsidR="00114BF9">
        <w:rPr>
          <w:rFonts w:eastAsia="Calibri Light" w:cs="Arial"/>
          <w:sz w:val="21"/>
          <w:szCs w:val="21"/>
        </w:rPr>
        <w:t xml:space="preserve">patient </w:t>
      </w:r>
      <w:r w:rsidRPr="001A049B">
        <w:rPr>
          <w:rFonts w:eastAsia="Calibri Light" w:cs="Arial"/>
          <w:sz w:val="21"/>
          <w:szCs w:val="21"/>
        </w:rPr>
        <w:t xml:space="preserve">outcomes. All Australian governments acknowledge the expansion in recent years of available data relating to eye and tissue transplantation. </w:t>
      </w:r>
    </w:p>
    <w:p w14:paraId="611B0C03" w14:textId="77777777" w:rsidR="008F097D" w:rsidRDefault="00114BF9" w:rsidP="001A049B">
      <w:pPr>
        <w:spacing w:before="120" w:after="120"/>
        <w:rPr>
          <w:rFonts w:eastAsia="Calibri Light" w:cs="Arial"/>
          <w:sz w:val="21"/>
          <w:szCs w:val="21"/>
        </w:rPr>
      </w:pPr>
      <w:r>
        <w:rPr>
          <w:rFonts w:eastAsia="Calibri Light" w:cs="Arial"/>
          <w:sz w:val="21"/>
          <w:szCs w:val="21"/>
        </w:rPr>
        <w:t>Improvements to</w:t>
      </w:r>
      <w:r w:rsidR="001A049B" w:rsidRPr="001A049B">
        <w:rPr>
          <w:rFonts w:eastAsia="Calibri Light" w:cs="Arial"/>
          <w:sz w:val="21"/>
          <w:szCs w:val="21"/>
        </w:rPr>
        <w:t xml:space="preserve"> national data and reporting will </w:t>
      </w:r>
      <w:r>
        <w:rPr>
          <w:rFonts w:eastAsia="Calibri Light" w:cs="Arial"/>
          <w:sz w:val="21"/>
          <w:szCs w:val="21"/>
        </w:rPr>
        <w:t xml:space="preserve">need to </w:t>
      </w:r>
      <w:r w:rsidR="001A049B" w:rsidRPr="001A049B">
        <w:rPr>
          <w:rFonts w:eastAsia="Calibri Light" w:cs="Arial"/>
          <w:sz w:val="21"/>
          <w:szCs w:val="21"/>
        </w:rPr>
        <w:t>be</w:t>
      </w:r>
      <w:r>
        <w:rPr>
          <w:rFonts w:eastAsia="Calibri Light" w:cs="Arial"/>
          <w:sz w:val="21"/>
          <w:szCs w:val="21"/>
        </w:rPr>
        <w:t xml:space="preserve"> done</w:t>
      </w:r>
      <w:r w:rsidR="001A049B" w:rsidRPr="001A049B">
        <w:rPr>
          <w:rFonts w:eastAsia="Calibri Light" w:cs="Arial"/>
          <w:sz w:val="21"/>
          <w:szCs w:val="21"/>
        </w:rPr>
        <w:t xml:space="preserve"> in consultation with the sector</w:t>
      </w:r>
      <w:r>
        <w:rPr>
          <w:rFonts w:eastAsia="Calibri Light" w:cs="Arial"/>
          <w:sz w:val="21"/>
          <w:szCs w:val="21"/>
        </w:rPr>
        <w:t xml:space="preserve">, </w:t>
      </w:r>
      <w:r w:rsidR="001A049B" w:rsidRPr="001A049B">
        <w:rPr>
          <w:rFonts w:eastAsia="Calibri Light" w:cs="Arial"/>
          <w:sz w:val="21"/>
          <w:szCs w:val="21"/>
        </w:rPr>
        <w:t>build upon existing data sets and processes</w:t>
      </w:r>
      <w:r>
        <w:rPr>
          <w:rFonts w:eastAsia="Calibri Light" w:cs="Arial"/>
          <w:sz w:val="21"/>
          <w:szCs w:val="21"/>
        </w:rPr>
        <w:t>,</w:t>
      </w:r>
      <w:r w:rsidR="001A049B" w:rsidRPr="001A049B">
        <w:rPr>
          <w:rFonts w:eastAsia="Calibri Light" w:cs="Arial"/>
          <w:sz w:val="21"/>
          <w:szCs w:val="21"/>
        </w:rPr>
        <w:t xml:space="preserve"> canvass collection, manufacture, distribution and utilisation including post</w:t>
      </w:r>
      <w:r w:rsidR="001A049B" w:rsidRPr="001A049B">
        <w:rPr>
          <w:rFonts w:eastAsia="Calibri Light" w:cs="Arial"/>
          <w:sz w:val="21"/>
          <w:szCs w:val="21"/>
        </w:rPr>
        <w:noBreakHyphen/>
        <w:t xml:space="preserve">transplantation outcomes and adverse event reporting. </w:t>
      </w:r>
    </w:p>
    <w:p w14:paraId="65A8A81A" w14:textId="77777777"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 xml:space="preserve">The current lack of data relating to imported tissue, or any product containing human tissue, is recognised as a particular challenge, and addressing this is a priority for governments. </w:t>
      </w:r>
      <w:r w:rsidR="00114BF9">
        <w:rPr>
          <w:rFonts w:eastAsia="Calibri Light" w:cs="Arial"/>
          <w:sz w:val="21"/>
          <w:szCs w:val="21"/>
        </w:rPr>
        <w:t>D</w:t>
      </w:r>
      <w:r w:rsidRPr="001A049B">
        <w:rPr>
          <w:rFonts w:eastAsia="Calibri Light" w:cs="Arial"/>
          <w:sz w:val="21"/>
          <w:szCs w:val="21"/>
        </w:rPr>
        <w:t xml:space="preserve">ata on the importation and exportation of tissues and tissue-based products </w:t>
      </w:r>
      <w:r w:rsidR="00114BF9">
        <w:rPr>
          <w:rFonts w:eastAsia="Calibri Light" w:cs="Arial"/>
          <w:sz w:val="21"/>
          <w:szCs w:val="21"/>
        </w:rPr>
        <w:t>will</w:t>
      </w:r>
      <w:r w:rsidRPr="001A049B">
        <w:rPr>
          <w:rFonts w:eastAsia="Calibri Light" w:cs="Arial"/>
          <w:sz w:val="21"/>
          <w:szCs w:val="21"/>
        </w:rPr>
        <w:t xml:space="preserve"> provide a complete picture of sector activity.</w:t>
      </w:r>
    </w:p>
    <w:p w14:paraId="1245E58F" w14:textId="7322C816" w:rsidR="001A049B" w:rsidRPr="001A049B" w:rsidRDefault="001A049B" w:rsidP="001A049B">
      <w:pPr>
        <w:spacing w:before="120" w:after="120"/>
        <w:rPr>
          <w:rFonts w:eastAsia="Calibri Light" w:cs="Arial"/>
          <w:sz w:val="21"/>
          <w:szCs w:val="21"/>
        </w:rPr>
      </w:pPr>
      <w:r w:rsidRPr="001A049B">
        <w:rPr>
          <w:rFonts w:eastAsia="Calibri Light" w:cs="Arial"/>
          <w:sz w:val="21"/>
          <w:szCs w:val="21"/>
        </w:rPr>
        <w:t>All stakeholders in the Australian eye and tissue sector have a role in collecting and providing data. This includes donation agencies,</w:t>
      </w:r>
      <w:r w:rsidR="00E523F0">
        <w:rPr>
          <w:rFonts w:eastAsia="Calibri Light" w:cs="Arial"/>
          <w:sz w:val="21"/>
          <w:szCs w:val="21"/>
        </w:rPr>
        <w:t xml:space="preserve"> tissue banks,</w:t>
      </w:r>
      <w:r w:rsidRPr="001A049B">
        <w:rPr>
          <w:rFonts w:eastAsia="Calibri Light" w:cs="Arial"/>
          <w:sz w:val="21"/>
          <w:szCs w:val="21"/>
        </w:rPr>
        <w:t xml:space="preserve"> tissue manufacturers and distributors, regulators, funders, and users of tissues and tissue-based products.</w:t>
      </w:r>
    </w:p>
    <w:p w14:paraId="1E8458F2" w14:textId="77777777" w:rsidR="001A049B" w:rsidRPr="001A049B" w:rsidRDefault="001A049B" w:rsidP="001A049B">
      <w:pPr>
        <w:keepNext/>
        <w:rPr>
          <w:rFonts w:eastAsia="Calibri Light" w:cs="Arial"/>
          <w:sz w:val="21"/>
          <w:szCs w:val="21"/>
        </w:rPr>
      </w:pPr>
      <w:r w:rsidRPr="001A049B">
        <w:rPr>
          <w:rFonts w:eastAsia="Calibri Light" w:cs="Arial"/>
          <w:sz w:val="21"/>
          <w:szCs w:val="21"/>
        </w:rPr>
        <w:t>Data and reporting should be guided by an approach that:</w:t>
      </w:r>
    </w:p>
    <w:p w14:paraId="56550604" w14:textId="77777777" w:rsidR="001A049B" w:rsidRPr="001A049B" w:rsidRDefault="001A049B" w:rsidP="001A049B">
      <w:pPr>
        <w:pStyle w:val="ListParagraph"/>
        <w:keepNext/>
        <w:numPr>
          <w:ilvl w:val="0"/>
          <w:numId w:val="30"/>
        </w:numPr>
        <w:spacing w:before="120" w:after="120"/>
        <w:ind w:left="641" w:hanging="357"/>
        <w:contextualSpacing w:val="0"/>
        <w:rPr>
          <w:rFonts w:eastAsia="Calibri Light" w:cs="Arial"/>
          <w:sz w:val="21"/>
          <w:szCs w:val="21"/>
        </w:rPr>
      </w:pPr>
      <w:r w:rsidRPr="001A049B">
        <w:rPr>
          <w:rFonts w:eastAsia="Calibri Light" w:cs="Arial"/>
          <w:sz w:val="21"/>
          <w:szCs w:val="21"/>
        </w:rPr>
        <w:t>facilitates the use of de-identified clinical data sets to inform and drive clinical practice improvement</w:t>
      </w:r>
    </w:p>
    <w:p w14:paraId="16D4B9F2" w14:textId="77777777" w:rsidR="001A049B" w:rsidRPr="001A049B" w:rsidRDefault="001A049B" w:rsidP="001A049B">
      <w:pPr>
        <w:pStyle w:val="ListParagraph"/>
        <w:numPr>
          <w:ilvl w:val="0"/>
          <w:numId w:val="30"/>
        </w:numPr>
        <w:spacing w:before="120" w:after="120"/>
        <w:ind w:left="643"/>
        <w:contextualSpacing w:val="0"/>
        <w:rPr>
          <w:rFonts w:eastAsia="Calibri Light" w:cs="Arial"/>
          <w:sz w:val="21"/>
          <w:szCs w:val="21"/>
        </w:rPr>
      </w:pPr>
      <w:r w:rsidRPr="001A049B">
        <w:rPr>
          <w:rFonts w:eastAsia="Calibri Light" w:cs="Arial"/>
          <w:sz w:val="21"/>
          <w:szCs w:val="21"/>
        </w:rPr>
        <w:t>meets all relevant accountability and legislative requirements, including those pertaining to security and privacy of information</w:t>
      </w:r>
    </w:p>
    <w:p w14:paraId="79EE415E" w14:textId="77777777" w:rsidR="001A049B" w:rsidRPr="001A049B" w:rsidRDefault="001A049B" w:rsidP="001A049B">
      <w:pPr>
        <w:pStyle w:val="ListParagraph"/>
        <w:numPr>
          <w:ilvl w:val="0"/>
          <w:numId w:val="30"/>
        </w:numPr>
        <w:spacing w:before="120" w:after="120"/>
        <w:ind w:left="643"/>
        <w:contextualSpacing w:val="0"/>
        <w:rPr>
          <w:rFonts w:eastAsia="Calibri Light" w:cs="Arial"/>
          <w:sz w:val="21"/>
          <w:szCs w:val="21"/>
        </w:rPr>
      </w:pPr>
      <w:r w:rsidRPr="001A049B">
        <w:rPr>
          <w:rFonts w:eastAsia="Calibri Light" w:cs="Arial"/>
          <w:sz w:val="21"/>
          <w:szCs w:val="21"/>
        </w:rPr>
        <w:t>ensures openness and transparency</w:t>
      </w:r>
    </w:p>
    <w:p w14:paraId="444EA5CA" w14:textId="77777777" w:rsidR="001A049B" w:rsidRPr="00114BF9" w:rsidRDefault="001A049B" w:rsidP="00114BF9">
      <w:pPr>
        <w:pStyle w:val="ListParagraph"/>
        <w:numPr>
          <w:ilvl w:val="0"/>
          <w:numId w:val="30"/>
        </w:numPr>
        <w:spacing w:before="120" w:after="120"/>
        <w:ind w:left="643"/>
        <w:contextualSpacing w:val="0"/>
        <w:rPr>
          <w:rFonts w:eastAsia="Calibri Light" w:cs="Arial"/>
          <w:sz w:val="21"/>
          <w:szCs w:val="21"/>
        </w:rPr>
      </w:pPr>
      <w:r w:rsidRPr="00114BF9">
        <w:rPr>
          <w:rFonts w:eastAsia="Calibri Light" w:cs="Arial"/>
          <w:sz w:val="21"/>
          <w:szCs w:val="21"/>
        </w:rPr>
        <w:t xml:space="preserve">provides information to governments </w:t>
      </w:r>
      <w:r w:rsidR="00114BF9" w:rsidRPr="00114BF9">
        <w:rPr>
          <w:rFonts w:eastAsia="Calibri Light" w:cs="Arial"/>
          <w:sz w:val="21"/>
          <w:szCs w:val="21"/>
        </w:rPr>
        <w:t xml:space="preserve">to </w:t>
      </w:r>
      <w:r w:rsidR="00114BF9">
        <w:rPr>
          <w:rFonts w:eastAsia="Calibri Light" w:cs="Arial"/>
          <w:sz w:val="21"/>
          <w:szCs w:val="21"/>
        </w:rPr>
        <w:t>e</w:t>
      </w:r>
      <w:r w:rsidRPr="00114BF9">
        <w:rPr>
          <w:rFonts w:eastAsia="Calibri Light" w:cs="Arial"/>
          <w:sz w:val="21"/>
          <w:szCs w:val="21"/>
        </w:rPr>
        <w:t>nables monitoring and oversight.</w:t>
      </w:r>
    </w:p>
    <w:p w14:paraId="183B0CEE" w14:textId="77777777" w:rsidR="0056527E" w:rsidRDefault="001A049B" w:rsidP="00732B24">
      <w:pPr>
        <w:spacing w:before="120" w:after="120"/>
      </w:pPr>
      <w:r w:rsidRPr="001A049B">
        <w:rPr>
          <w:rFonts w:eastAsia="Calibri Light" w:cs="Arial"/>
          <w:sz w:val="21"/>
          <w:szCs w:val="21"/>
        </w:rPr>
        <w:t xml:space="preserve">Data and reporting support the Framework’s Guiding Principles of </w:t>
      </w:r>
      <w:r w:rsidRPr="001A049B">
        <w:rPr>
          <w:rFonts w:eastAsia="Calibri Light" w:cs="Arial"/>
          <w:i/>
          <w:sz w:val="21"/>
          <w:szCs w:val="21"/>
        </w:rPr>
        <w:t>Evidence-based</w:t>
      </w:r>
      <w:r w:rsidRPr="001A049B">
        <w:rPr>
          <w:rFonts w:eastAsia="Calibri Light" w:cs="Arial"/>
          <w:sz w:val="21"/>
          <w:szCs w:val="21"/>
        </w:rPr>
        <w:t xml:space="preserve"> and </w:t>
      </w:r>
      <w:r w:rsidRPr="001A049B">
        <w:rPr>
          <w:rFonts w:eastAsia="Calibri Light" w:cs="Arial"/>
          <w:i/>
          <w:sz w:val="21"/>
          <w:szCs w:val="21"/>
        </w:rPr>
        <w:t>Accountability and Transparency</w:t>
      </w:r>
      <w:r w:rsidRPr="001A049B">
        <w:rPr>
          <w:rFonts w:eastAsia="Calibri Light" w:cs="Arial"/>
          <w:sz w:val="21"/>
          <w:szCs w:val="21"/>
        </w:rPr>
        <w:t xml:space="preserve">. </w:t>
      </w:r>
      <w:bookmarkStart w:id="63" w:name="_bookmark8"/>
      <w:bookmarkStart w:id="64" w:name="_bookmark9"/>
      <w:bookmarkStart w:id="65" w:name="_bookmark10"/>
      <w:bookmarkStart w:id="66" w:name="_bookmark11"/>
      <w:bookmarkStart w:id="67" w:name="_bookmark12"/>
      <w:bookmarkStart w:id="68" w:name="_bookmark13"/>
      <w:bookmarkEnd w:id="63"/>
      <w:bookmarkEnd w:id="64"/>
      <w:bookmarkEnd w:id="65"/>
      <w:bookmarkEnd w:id="66"/>
      <w:bookmarkEnd w:id="67"/>
      <w:bookmarkEnd w:id="68"/>
    </w:p>
    <w:p w14:paraId="3A9B2B70" w14:textId="77777777" w:rsidR="001A049B" w:rsidRPr="004F1BD8" w:rsidRDefault="001A049B" w:rsidP="001A049B">
      <w:pPr>
        <w:pStyle w:val="Heading1"/>
        <w:tabs>
          <w:tab w:val="left" w:pos="709"/>
        </w:tabs>
      </w:pPr>
      <w:bookmarkStart w:id="69" w:name="_Toc80966452"/>
      <w:bookmarkStart w:id="70" w:name="_Toc109209866"/>
      <w:r>
        <w:t>Progressing the Framework</w:t>
      </w:r>
      <w:bookmarkEnd w:id="69"/>
      <w:bookmarkEnd w:id="70"/>
    </w:p>
    <w:p w14:paraId="6DDE4BCA" w14:textId="77777777" w:rsidR="001A049B" w:rsidRPr="00201C4D" w:rsidRDefault="001A049B" w:rsidP="001A049B">
      <w:pPr>
        <w:pStyle w:val="BodyText"/>
        <w:spacing w:before="120"/>
        <w:rPr>
          <w:sz w:val="21"/>
          <w:szCs w:val="21"/>
        </w:rPr>
      </w:pPr>
      <w:r w:rsidRPr="001A049B">
        <w:rPr>
          <w:rFonts w:cs="Calibri Light"/>
          <w:sz w:val="21"/>
          <w:szCs w:val="21"/>
        </w:rPr>
        <w:t>The Framework’s primary</w:t>
      </w:r>
      <w:r w:rsidRPr="001A049B">
        <w:rPr>
          <w:rFonts w:cs="Calibri Light"/>
          <w:spacing w:val="1"/>
          <w:sz w:val="21"/>
          <w:szCs w:val="21"/>
        </w:rPr>
        <w:t xml:space="preserve"> </w:t>
      </w:r>
      <w:r w:rsidR="00E301E7">
        <w:rPr>
          <w:rFonts w:cs="Calibri Light"/>
          <w:sz w:val="21"/>
          <w:szCs w:val="21"/>
        </w:rPr>
        <w:t>purpose</w:t>
      </w:r>
      <w:r w:rsidR="00E301E7" w:rsidRPr="001A049B">
        <w:rPr>
          <w:rFonts w:cs="Calibri Light"/>
          <w:spacing w:val="-2"/>
          <w:sz w:val="21"/>
          <w:szCs w:val="21"/>
        </w:rPr>
        <w:t xml:space="preserve"> </w:t>
      </w:r>
      <w:r w:rsidRPr="001A049B">
        <w:rPr>
          <w:rFonts w:cs="Calibri Light"/>
          <w:sz w:val="21"/>
          <w:szCs w:val="21"/>
        </w:rPr>
        <w:t>is</w:t>
      </w:r>
      <w:r w:rsidRPr="001A049B">
        <w:rPr>
          <w:rFonts w:cs="Calibri Light"/>
          <w:spacing w:val="1"/>
          <w:sz w:val="21"/>
          <w:szCs w:val="21"/>
        </w:rPr>
        <w:t xml:space="preserve"> </w:t>
      </w:r>
      <w:r w:rsidRPr="00201C4D">
        <w:rPr>
          <w:rFonts w:cs="Calibri Light"/>
          <w:sz w:val="21"/>
          <w:szCs w:val="21"/>
        </w:rPr>
        <w:t xml:space="preserve">to articulate </w:t>
      </w:r>
      <w:r w:rsidR="00114BF9">
        <w:rPr>
          <w:rFonts w:cs="Calibri Light"/>
          <w:sz w:val="21"/>
          <w:szCs w:val="21"/>
        </w:rPr>
        <w:t xml:space="preserve">the vision for </w:t>
      </w:r>
      <w:r w:rsidRPr="00201C4D">
        <w:rPr>
          <w:sz w:val="21"/>
          <w:szCs w:val="21"/>
        </w:rPr>
        <w:t>the effective and efficient operation of the Australian eye and tissue sector</w:t>
      </w:r>
      <w:r w:rsidR="00D27955">
        <w:rPr>
          <w:sz w:val="21"/>
          <w:szCs w:val="21"/>
        </w:rPr>
        <w:t xml:space="preserve">. </w:t>
      </w:r>
      <w:r w:rsidR="0068667D" w:rsidRPr="00201C4D">
        <w:rPr>
          <w:sz w:val="21"/>
          <w:szCs w:val="21"/>
        </w:rPr>
        <w:t>The Framework</w:t>
      </w:r>
      <w:r w:rsidRPr="00201C4D">
        <w:rPr>
          <w:sz w:val="21"/>
          <w:szCs w:val="21"/>
        </w:rPr>
        <w:t xml:space="preserve"> delivers on Recommendation </w:t>
      </w:r>
      <w:r w:rsidR="003D0618">
        <w:rPr>
          <w:sz w:val="21"/>
          <w:szCs w:val="21"/>
        </w:rPr>
        <w:t>2</w:t>
      </w:r>
      <w:r w:rsidRPr="00201C4D">
        <w:rPr>
          <w:sz w:val="21"/>
          <w:szCs w:val="21"/>
        </w:rPr>
        <w:t xml:space="preserve"> of the </w:t>
      </w:r>
      <w:r w:rsidR="00E301E7" w:rsidRPr="00201C4D">
        <w:rPr>
          <w:sz w:val="21"/>
          <w:szCs w:val="21"/>
        </w:rPr>
        <w:t>PwC Report</w:t>
      </w:r>
      <w:r w:rsidRPr="00201C4D">
        <w:rPr>
          <w:sz w:val="21"/>
          <w:szCs w:val="21"/>
        </w:rPr>
        <w:t xml:space="preserve">.  </w:t>
      </w:r>
    </w:p>
    <w:p w14:paraId="040E7800" w14:textId="77777777" w:rsidR="001A049B" w:rsidRPr="001A049B" w:rsidRDefault="001A049B" w:rsidP="001A049B">
      <w:pPr>
        <w:pStyle w:val="BodyText"/>
        <w:spacing w:before="120"/>
        <w:rPr>
          <w:spacing w:val="-1"/>
          <w:sz w:val="21"/>
          <w:szCs w:val="21"/>
        </w:rPr>
      </w:pPr>
      <w:r w:rsidRPr="00201C4D">
        <w:rPr>
          <w:sz w:val="21"/>
          <w:szCs w:val="21"/>
        </w:rPr>
        <w:t>A</w:t>
      </w:r>
      <w:r w:rsidRPr="00201C4D">
        <w:rPr>
          <w:spacing w:val="-1"/>
          <w:sz w:val="21"/>
          <w:szCs w:val="21"/>
        </w:rPr>
        <w:t xml:space="preserve">ll governments, </w:t>
      </w:r>
      <w:r w:rsidR="00114BF9">
        <w:rPr>
          <w:spacing w:val="-1"/>
          <w:sz w:val="21"/>
          <w:szCs w:val="21"/>
        </w:rPr>
        <w:t>as part of</w:t>
      </w:r>
      <w:r w:rsidRPr="00201C4D">
        <w:rPr>
          <w:spacing w:val="-1"/>
          <w:sz w:val="21"/>
          <w:szCs w:val="21"/>
        </w:rPr>
        <w:t xml:space="preserve"> implementation</w:t>
      </w:r>
      <w:r w:rsidRPr="001A049B">
        <w:rPr>
          <w:spacing w:val="-1"/>
          <w:sz w:val="21"/>
          <w:szCs w:val="21"/>
        </w:rPr>
        <w:t xml:space="preserve">, will </w:t>
      </w:r>
      <w:r w:rsidR="00114BF9">
        <w:rPr>
          <w:spacing w:val="-1"/>
          <w:sz w:val="21"/>
          <w:szCs w:val="21"/>
        </w:rPr>
        <w:t>(as per</w:t>
      </w:r>
      <w:r w:rsidRPr="001A049B">
        <w:rPr>
          <w:spacing w:val="-1"/>
          <w:sz w:val="21"/>
          <w:szCs w:val="21"/>
        </w:rPr>
        <w:t xml:space="preserve"> Recommendation </w:t>
      </w:r>
      <w:r w:rsidR="003D0618">
        <w:rPr>
          <w:spacing w:val="-1"/>
          <w:sz w:val="21"/>
          <w:szCs w:val="21"/>
        </w:rPr>
        <w:t>3</w:t>
      </w:r>
      <w:r w:rsidRPr="001A049B">
        <w:rPr>
          <w:spacing w:val="-1"/>
          <w:sz w:val="21"/>
          <w:szCs w:val="21"/>
        </w:rPr>
        <w:t xml:space="preserve"> of the PwC Report</w:t>
      </w:r>
      <w:r w:rsidR="00114BF9">
        <w:rPr>
          <w:spacing w:val="-1"/>
          <w:sz w:val="21"/>
          <w:szCs w:val="21"/>
        </w:rPr>
        <w:t>)</w:t>
      </w:r>
      <w:r w:rsidRPr="001A049B">
        <w:rPr>
          <w:spacing w:val="-1"/>
          <w:sz w:val="21"/>
          <w:szCs w:val="21"/>
        </w:rPr>
        <w:t xml:space="preserve"> determine if structural reform of the Australian eye and tissue sector is necessary to deliver </w:t>
      </w:r>
      <w:r w:rsidR="00DE69AE">
        <w:rPr>
          <w:spacing w:val="-1"/>
          <w:sz w:val="21"/>
          <w:szCs w:val="21"/>
        </w:rPr>
        <w:t>elements of</w:t>
      </w:r>
      <w:r w:rsidRPr="001A049B">
        <w:rPr>
          <w:spacing w:val="-1"/>
          <w:sz w:val="21"/>
          <w:szCs w:val="21"/>
        </w:rPr>
        <w:t xml:space="preserve"> the Framework. Further, all governments will continue to consider </w:t>
      </w:r>
      <w:r w:rsidR="00DE69AE">
        <w:rPr>
          <w:spacing w:val="-1"/>
          <w:sz w:val="21"/>
          <w:szCs w:val="21"/>
        </w:rPr>
        <w:t xml:space="preserve">what is required to </w:t>
      </w:r>
      <w:r w:rsidRPr="001A049B">
        <w:rPr>
          <w:spacing w:val="-1"/>
          <w:sz w:val="21"/>
          <w:szCs w:val="21"/>
        </w:rPr>
        <w:t>increas</w:t>
      </w:r>
      <w:r w:rsidR="00DE69AE">
        <w:rPr>
          <w:spacing w:val="-1"/>
          <w:sz w:val="21"/>
          <w:szCs w:val="21"/>
        </w:rPr>
        <w:t>e</w:t>
      </w:r>
      <w:r w:rsidRPr="001A049B">
        <w:rPr>
          <w:spacing w:val="-1"/>
          <w:sz w:val="21"/>
          <w:szCs w:val="21"/>
        </w:rPr>
        <w:t xml:space="preserve"> national consistency where this could benefit the Australian eye and tissue sector and the community.</w:t>
      </w:r>
    </w:p>
    <w:p w14:paraId="3A1E55F7" w14:textId="77777777" w:rsidR="001A049B" w:rsidRPr="001A049B" w:rsidRDefault="001A049B" w:rsidP="001A049B">
      <w:pPr>
        <w:pStyle w:val="BodyText"/>
        <w:spacing w:before="120"/>
        <w:rPr>
          <w:sz w:val="21"/>
          <w:szCs w:val="21"/>
        </w:rPr>
      </w:pPr>
      <w:r w:rsidRPr="001A049B">
        <w:rPr>
          <w:spacing w:val="-1"/>
          <w:sz w:val="21"/>
          <w:szCs w:val="21"/>
        </w:rPr>
        <w:t>All governments recognise the</w:t>
      </w:r>
      <w:r w:rsidRPr="001A049B">
        <w:rPr>
          <w:sz w:val="21"/>
          <w:szCs w:val="21"/>
        </w:rPr>
        <w:t xml:space="preserve"> </w:t>
      </w:r>
      <w:r w:rsidRPr="001A049B">
        <w:rPr>
          <w:spacing w:val="-1"/>
          <w:sz w:val="21"/>
          <w:szCs w:val="21"/>
        </w:rPr>
        <w:t>need</w:t>
      </w:r>
      <w:r w:rsidRPr="001A049B">
        <w:rPr>
          <w:spacing w:val="1"/>
          <w:sz w:val="21"/>
          <w:szCs w:val="21"/>
        </w:rPr>
        <w:t xml:space="preserve"> </w:t>
      </w:r>
      <w:r w:rsidRPr="001A049B">
        <w:rPr>
          <w:sz w:val="21"/>
          <w:szCs w:val="21"/>
        </w:rPr>
        <w:t>for</w:t>
      </w:r>
      <w:r w:rsidRPr="001A049B">
        <w:rPr>
          <w:spacing w:val="-2"/>
          <w:sz w:val="21"/>
          <w:szCs w:val="21"/>
        </w:rPr>
        <w:t xml:space="preserve"> </w:t>
      </w:r>
      <w:r w:rsidRPr="001A049B">
        <w:rPr>
          <w:spacing w:val="-1"/>
          <w:sz w:val="21"/>
          <w:szCs w:val="21"/>
        </w:rPr>
        <w:t>accountability</w:t>
      </w:r>
      <w:r w:rsidRPr="001A049B">
        <w:rPr>
          <w:sz w:val="21"/>
          <w:szCs w:val="21"/>
        </w:rPr>
        <w:t xml:space="preserve"> through regular reporting to </w:t>
      </w:r>
      <w:r w:rsidRPr="001A049B">
        <w:rPr>
          <w:spacing w:val="-1"/>
          <w:sz w:val="21"/>
          <w:szCs w:val="21"/>
        </w:rPr>
        <w:t xml:space="preserve">ensure </w:t>
      </w:r>
      <w:r w:rsidR="00DE69AE">
        <w:rPr>
          <w:spacing w:val="-1"/>
          <w:sz w:val="21"/>
          <w:szCs w:val="21"/>
        </w:rPr>
        <w:t>the Framework is</w:t>
      </w:r>
      <w:r w:rsidRPr="001A049B">
        <w:rPr>
          <w:sz w:val="21"/>
          <w:szCs w:val="21"/>
        </w:rPr>
        <w:t xml:space="preserve"> </w:t>
      </w:r>
      <w:r w:rsidRPr="001A049B">
        <w:rPr>
          <w:spacing w:val="-1"/>
          <w:sz w:val="21"/>
          <w:szCs w:val="21"/>
        </w:rPr>
        <w:t>successfully</w:t>
      </w:r>
      <w:r w:rsidRPr="001A049B">
        <w:rPr>
          <w:spacing w:val="49"/>
          <w:sz w:val="21"/>
          <w:szCs w:val="21"/>
        </w:rPr>
        <w:t xml:space="preserve"> </w:t>
      </w:r>
      <w:r w:rsidRPr="001A049B">
        <w:rPr>
          <w:spacing w:val="-1"/>
          <w:sz w:val="21"/>
          <w:szCs w:val="21"/>
        </w:rPr>
        <w:t>implemented.</w:t>
      </w:r>
      <w:r w:rsidRPr="001A049B">
        <w:rPr>
          <w:sz w:val="21"/>
          <w:szCs w:val="21"/>
        </w:rPr>
        <w:t xml:space="preserve"> </w:t>
      </w:r>
      <w:r w:rsidRPr="001A049B">
        <w:rPr>
          <w:spacing w:val="-1"/>
          <w:sz w:val="21"/>
          <w:szCs w:val="21"/>
        </w:rPr>
        <w:t>Sector stakeholders</w:t>
      </w:r>
      <w:r w:rsidRPr="001A049B">
        <w:rPr>
          <w:spacing w:val="-2"/>
          <w:sz w:val="21"/>
          <w:szCs w:val="21"/>
        </w:rPr>
        <w:t xml:space="preserve"> </w:t>
      </w:r>
      <w:r w:rsidRPr="001A049B">
        <w:rPr>
          <w:spacing w:val="-1"/>
          <w:sz w:val="21"/>
          <w:szCs w:val="21"/>
        </w:rPr>
        <w:t>should</w:t>
      </w:r>
      <w:r w:rsidRPr="001A049B">
        <w:rPr>
          <w:sz w:val="21"/>
          <w:szCs w:val="21"/>
        </w:rPr>
        <w:t xml:space="preserve"> </w:t>
      </w:r>
      <w:r w:rsidRPr="001A049B">
        <w:rPr>
          <w:spacing w:val="-1"/>
          <w:sz w:val="21"/>
          <w:szCs w:val="21"/>
        </w:rPr>
        <w:t>take</w:t>
      </w:r>
      <w:r w:rsidRPr="001A049B">
        <w:rPr>
          <w:spacing w:val="-2"/>
          <w:sz w:val="21"/>
          <w:szCs w:val="21"/>
        </w:rPr>
        <w:t xml:space="preserve"> </w:t>
      </w:r>
      <w:r w:rsidRPr="00E301E7">
        <w:rPr>
          <w:sz w:val="21"/>
          <w:szCs w:val="21"/>
        </w:rPr>
        <w:t>the</w:t>
      </w:r>
      <w:r w:rsidRPr="003A01C2">
        <w:rPr>
          <w:sz w:val="21"/>
          <w:szCs w:val="21"/>
        </w:rPr>
        <w:t xml:space="preserve"> opportunity</w:t>
      </w:r>
      <w:r w:rsidRPr="001A049B">
        <w:rPr>
          <w:spacing w:val="-2"/>
          <w:sz w:val="21"/>
          <w:szCs w:val="21"/>
        </w:rPr>
        <w:t xml:space="preserve"> </w:t>
      </w:r>
      <w:r w:rsidRPr="001A049B">
        <w:rPr>
          <w:sz w:val="21"/>
          <w:szCs w:val="21"/>
        </w:rPr>
        <w:t xml:space="preserve">to </w:t>
      </w:r>
      <w:r w:rsidRPr="001A049B">
        <w:rPr>
          <w:spacing w:val="-1"/>
          <w:sz w:val="21"/>
          <w:szCs w:val="21"/>
        </w:rPr>
        <w:t>monitor</w:t>
      </w:r>
      <w:r w:rsidRPr="001A049B">
        <w:rPr>
          <w:spacing w:val="-2"/>
          <w:sz w:val="21"/>
          <w:szCs w:val="21"/>
        </w:rPr>
        <w:t xml:space="preserve"> their</w:t>
      </w:r>
      <w:r w:rsidRPr="001A049B">
        <w:rPr>
          <w:spacing w:val="1"/>
          <w:sz w:val="21"/>
          <w:szCs w:val="21"/>
        </w:rPr>
        <w:t xml:space="preserve"> own </w:t>
      </w:r>
      <w:r w:rsidRPr="001A049B">
        <w:rPr>
          <w:spacing w:val="-1"/>
          <w:sz w:val="21"/>
          <w:szCs w:val="21"/>
        </w:rPr>
        <w:t xml:space="preserve">progress </w:t>
      </w:r>
      <w:r w:rsidRPr="001A049B">
        <w:rPr>
          <w:sz w:val="21"/>
          <w:szCs w:val="21"/>
        </w:rPr>
        <w:t xml:space="preserve">in </w:t>
      </w:r>
      <w:r w:rsidRPr="001A049B">
        <w:rPr>
          <w:spacing w:val="-1"/>
          <w:sz w:val="21"/>
          <w:szCs w:val="21"/>
        </w:rPr>
        <w:t>achieving</w:t>
      </w:r>
      <w:r w:rsidRPr="001A049B">
        <w:rPr>
          <w:sz w:val="21"/>
          <w:szCs w:val="21"/>
        </w:rPr>
        <w:t xml:space="preserve"> </w:t>
      </w:r>
      <w:r w:rsidRPr="001A049B">
        <w:rPr>
          <w:spacing w:val="-1"/>
          <w:sz w:val="21"/>
          <w:szCs w:val="21"/>
        </w:rPr>
        <w:t>results</w:t>
      </w:r>
      <w:r w:rsidRPr="001A049B">
        <w:rPr>
          <w:sz w:val="21"/>
          <w:szCs w:val="21"/>
        </w:rPr>
        <w:t xml:space="preserve"> in</w:t>
      </w:r>
      <w:r w:rsidRPr="001A049B">
        <w:rPr>
          <w:spacing w:val="-2"/>
          <w:sz w:val="21"/>
          <w:szCs w:val="21"/>
        </w:rPr>
        <w:t xml:space="preserve"> </w:t>
      </w:r>
      <w:r w:rsidRPr="001A049B">
        <w:rPr>
          <w:spacing w:val="-1"/>
          <w:sz w:val="21"/>
          <w:szCs w:val="21"/>
        </w:rPr>
        <w:t>relevant</w:t>
      </w:r>
      <w:r w:rsidRPr="001A049B">
        <w:rPr>
          <w:sz w:val="21"/>
          <w:szCs w:val="21"/>
        </w:rPr>
        <w:t xml:space="preserve"> </w:t>
      </w:r>
      <w:r w:rsidRPr="001A049B">
        <w:rPr>
          <w:spacing w:val="-1"/>
          <w:sz w:val="21"/>
          <w:szCs w:val="21"/>
        </w:rPr>
        <w:t>areas.</w:t>
      </w:r>
    </w:p>
    <w:p w14:paraId="38D4C6E3" w14:textId="77777777" w:rsidR="001A049B" w:rsidRPr="001A049B" w:rsidRDefault="001A049B" w:rsidP="001A049B">
      <w:pPr>
        <w:pStyle w:val="BodyText"/>
        <w:spacing w:before="120"/>
        <w:rPr>
          <w:spacing w:val="1"/>
          <w:sz w:val="21"/>
          <w:szCs w:val="21"/>
        </w:rPr>
      </w:pPr>
    </w:p>
    <w:p w14:paraId="55DECA5B" w14:textId="77777777" w:rsidR="001A049B" w:rsidRPr="004F1BD8" w:rsidRDefault="001A049B" w:rsidP="001A049B">
      <w:pPr>
        <w:pStyle w:val="Heading3"/>
        <w:spacing w:before="120" w:after="120"/>
      </w:pPr>
      <w:bookmarkStart w:id="71" w:name="_Toc5012141"/>
      <w:bookmarkStart w:id="72" w:name="_Toc7168581"/>
      <w:bookmarkStart w:id="73" w:name="_Toc34387852"/>
      <w:bookmarkStart w:id="74" w:name="_Toc80966453"/>
      <w:bookmarkStart w:id="75" w:name="_Toc109209867"/>
      <w:r w:rsidRPr="004F1BD8">
        <w:t>Ongoing Review</w:t>
      </w:r>
      <w:bookmarkEnd w:id="71"/>
      <w:bookmarkEnd w:id="72"/>
      <w:bookmarkEnd w:id="73"/>
      <w:bookmarkEnd w:id="74"/>
      <w:bookmarkEnd w:id="75"/>
    </w:p>
    <w:p w14:paraId="5F05E15E" w14:textId="77777777" w:rsidR="001A049B" w:rsidRPr="001A049B" w:rsidRDefault="001A049B" w:rsidP="001A049B">
      <w:pPr>
        <w:pStyle w:val="BodyText"/>
        <w:rPr>
          <w:rFonts w:cs="Arial"/>
          <w:spacing w:val="1"/>
          <w:sz w:val="21"/>
          <w:szCs w:val="21"/>
        </w:rPr>
      </w:pPr>
      <w:r w:rsidRPr="001A049B">
        <w:rPr>
          <w:rFonts w:cs="Arial"/>
          <w:spacing w:val="1"/>
          <w:sz w:val="21"/>
          <w:szCs w:val="21"/>
        </w:rPr>
        <w:t xml:space="preserve">The </w:t>
      </w:r>
      <w:r w:rsidR="00AD5FC2">
        <w:rPr>
          <w:rFonts w:cs="Arial"/>
          <w:spacing w:val="1"/>
          <w:sz w:val="21"/>
          <w:szCs w:val="21"/>
        </w:rPr>
        <w:t xml:space="preserve">Framework </w:t>
      </w:r>
      <w:r w:rsidR="00B410D7" w:rsidRPr="001A049B">
        <w:rPr>
          <w:rFonts w:cs="Arial"/>
          <w:spacing w:val="1"/>
          <w:sz w:val="21"/>
          <w:szCs w:val="21"/>
        </w:rPr>
        <w:t xml:space="preserve">will </w:t>
      </w:r>
      <w:r w:rsidR="00AD5FC2">
        <w:rPr>
          <w:rFonts w:cs="Arial"/>
          <w:spacing w:val="1"/>
          <w:sz w:val="21"/>
          <w:szCs w:val="21"/>
        </w:rPr>
        <w:t xml:space="preserve">be </w:t>
      </w:r>
      <w:r w:rsidR="00B410D7">
        <w:rPr>
          <w:rFonts w:cs="Arial"/>
          <w:spacing w:val="1"/>
          <w:sz w:val="21"/>
          <w:szCs w:val="21"/>
        </w:rPr>
        <w:t xml:space="preserve">periodically </w:t>
      </w:r>
      <w:r w:rsidR="00B410D7" w:rsidRPr="001A049B">
        <w:rPr>
          <w:rFonts w:cs="Arial"/>
          <w:spacing w:val="1"/>
          <w:sz w:val="21"/>
          <w:szCs w:val="21"/>
        </w:rPr>
        <w:t>review</w:t>
      </w:r>
      <w:r w:rsidR="00AD5FC2">
        <w:rPr>
          <w:rFonts w:cs="Arial"/>
          <w:spacing w:val="1"/>
          <w:sz w:val="21"/>
          <w:szCs w:val="21"/>
        </w:rPr>
        <w:t>ed</w:t>
      </w:r>
      <w:r w:rsidR="00B410D7">
        <w:rPr>
          <w:rFonts w:cs="Arial"/>
          <w:spacing w:val="1"/>
          <w:sz w:val="21"/>
          <w:szCs w:val="21"/>
        </w:rPr>
        <w:t xml:space="preserve"> </w:t>
      </w:r>
      <w:r w:rsidRPr="001A049B">
        <w:rPr>
          <w:rFonts w:cs="Arial"/>
          <w:spacing w:val="1"/>
          <w:sz w:val="21"/>
          <w:szCs w:val="21"/>
        </w:rPr>
        <w:t xml:space="preserve">as </w:t>
      </w:r>
      <w:r w:rsidR="00DE69AE">
        <w:rPr>
          <w:rFonts w:cs="Arial"/>
          <w:spacing w:val="1"/>
          <w:sz w:val="21"/>
          <w:szCs w:val="21"/>
        </w:rPr>
        <w:t xml:space="preserve">implementation is undertaken, as </w:t>
      </w:r>
      <w:r w:rsidRPr="001A049B">
        <w:rPr>
          <w:rFonts w:cs="Arial"/>
          <w:spacing w:val="1"/>
          <w:sz w:val="21"/>
          <w:szCs w:val="21"/>
        </w:rPr>
        <w:t xml:space="preserve">community needs evolve and the sector advances. </w:t>
      </w:r>
      <w:r w:rsidR="00764E15">
        <w:rPr>
          <w:rFonts w:cs="Arial"/>
          <w:spacing w:val="1"/>
          <w:sz w:val="21"/>
          <w:szCs w:val="21"/>
        </w:rPr>
        <w:t xml:space="preserve">Health Ministers </w:t>
      </w:r>
      <w:r w:rsidR="00B410D7">
        <w:rPr>
          <w:rFonts w:cs="Arial"/>
          <w:spacing w:val="1"/>
          <w:sz w:val="21"/>
          <w:szCs w:val="21"/>
        </w:rPr>
        <w:t xml:space="preserve">will be updated annually on </w:t>
      </w:r>
      <w:r w:rsidR="00711779">
        <w:rPr>
          <w:rFonts w:cs="Arial"/>
          <w:spacing w:val="1"/>
          <w:sz w:val="21"/>
          <w:szCs w:val="21"/>
        </w:rPr>
        <w:t xml:space="preserve">activities in </w:t>
      </w:r>
      <w:r w:rsidR="00B410D7">
        <w:rPr>
          <w:rFonts w:cs="Arial"/>
          <w:spacing w:val="1"/>
          <w:sz w:val="21"/>
          <w:szCs w:val="21"/>
        </w:rPr>
        <w:t xml:space="preserve">the </w:t>
      </w:r>
      <w:r w:rsidR="00711779">
        <w:rPr>
          <w:rFonts w:cs="Arial"/>
          <w:spacing w:val="1"/>
          <w:sz w:val="21"/>
          <w:szCs w:val="21"/>
        </w:rPr>
        <w:t>sector</w:t>
      </w:r>
      <w:r w:rsidR="00B410D7">
        <w:rPr>
          <w:rFonts w:cs="Arial"/>
          <w:spacing w:val="1"/>
          <w:sz w:val="21"/>
          <w:szCs w:val="21"/>
        </w:rPr>
        <w:t xml:space="preserve">.  </w:t>
      </w:r>
      <w:r w:rsidRPr="001A049B">
        <w:rPr>
          <w:rFonts w:cs="Arial"/>
          <w:spacing w:val="1"/>
          <w:sz w:val="21"/>
          <w:szCs w:val="21"/>
        </w:rPr>
        <w:t xml:space="preserve">This will provide the flexibility to take into account new and emerging technologies </w:t>
      </w:r>
      <w:r w:rsidRPr="001A049B">
        <w:rPr>
          <w:rFonts w:cs="Arial"/>
          <w:spacing w:val="1"/>
          <w:sz w:val="21"/>
          <w:szCs w:val="21"/>
        </w:rPr>
        <w:lastRenderedPageBreak/>
        <w:t xml:space="preserve">and </w:t>
      </w:r>
      <w:r w:rsidR="003E35AF">
        <w:rPr>
          <w:rFonts w:cs="Arial"/>
          <w:spacing w:val="1"/>
          <w:sz w:val="21"/>
          <w:szCs w:val="21"/>
        </w:rPr>
        <w:t>uses for tissues</w:t>
      </w:r>
      <w:r w:rsidRPr="001A049B">
        <w:rPr>
          <w:rFonts w:cs="Arial"/>
          <w:spacing w:val="1"/>
          <w:sz w:val="21"/>
          <w:szCs w:val="21"/>
        </w:rPr>
        <w:t xml:space="preserve">, to keep pace with the ever-changing sector. </w:t>
      </w:r>
      <w:r w:rsidRPr="001A049B">
        <w:rPr>
          <w:rFonts w:cs="Arial"/>
          <w:spacing w:val="-1"/>
          <w:sz w:val="21"/>
          <w:szCs w:val="21"/>
        </w:rPr>
        <w:t>If required, the Framework</w:t>
      </w:r>
      <w:r w:rsidRPr="001A049B">
        <w:rPr>
          <w:rFonts w:cs="Arial"/>
          <w:spacing w:val="1"/>
          <w:sz w:val="21"/>
          <w:szCs w:val="21"/>
        </w:rPr>
        <w:t xml:space="preserve"> </w:t>
      </w:r>
      <w:r w:rsidR="00E301E7">
        <w:rPr>
          <w:rFonts w:cs="Arial"/>
          <w:spacing w:val="-1"/>
          <w:sz w:val="21"/>
          <w:szCs w:val="21"/>
        </w:rPr>
        <w:t>will</w:t>
      </w:r>
      <w:r w:rsidR="00E301E7" w:rsidRPr="001A049B">
        <w:rPr>
          <w:rFonts w:cs="Arial"/>
          <w:spacing w:val="-1"/>
          <w:sz w:val="21"/>
          <w:szCs w:val="21"/>
        </w:rPr>
        <w:t xml:space="preserve"> </w:t>
      </w:r>
      <w:r w:rsidRPr="001A049B">
        <w:rPr>
          <w:rFonts w:cs="Arial"/>
          <w:spacing w:val="-1"/>
          <w:sz w:val="21"/>
          <w:szCs w:val="21"/>
        </w:rPr>
        <w:t>be refined</w:t>
      </w:r>
      <w:r w:rsidRPr="001A049B">
        <w:rPr>
          <w:rFonts w:cs="Arial"/>
          <w:sz w:val="21"/>
          <w:szCs w:val="21"/>
        </w:rPr>
        <w:t xml:space="preserve"> to</w:t>
      </w:r>
      <w:r w:rsidRPr="001A049B">
        <w:rPr>
          <w:rFonts w:cs="Arial"/>
          <w:spacing w:val="-3"/>
          <w:sz w:val="21"/>
          <w:szCs w:val="21"/>
        </w:rPr>
        <w:t xml:space="preserve"> </w:t>
      </w:r>
      <w:r w:rsidRPr="001A049B">
        <w:rPr>
          <w:rFonts w:cs="Arial"/>
          <w:spacing w:val="-2"/>
          <w:sz w:val="21"/>
          <w:szCs w:val="21"/>
        </w:rPr>
        <w:t>meet</w:t>
      </w:r>
      <w:r w:rsidRPr="001A049B">
        <w:rPr>
          <w:rFonts w:cs="Arial"/>
          <w:sz w:val="21"/>
          <w:szCs w:val="21"/>
        </w:rPr>
        <w:t xml:space="preserve"> </w:t>
      </w:r>
      <w:r w:rsidRPr="001A049B">
        <w:rPr>
          <w:rFonts w:cs="Arial"/>
          <w:spacing w:val="-1"/>
          <w:sz w:val="21"/>
          <w:szCs w:val="21"/>
        </w:rPr>
        <w:t>changing</w:t>
      </w:r>
      <w:r w:rsidRPr="001A049B">
        <w:rPr>
          <w:rFonts w:cs="Arial"/>
          <w:sz w:val="21"/>
          <w:szCs w:val="21"/>
        </w:rPr>
        <w:t xml:space="preserve"> </w:t>
      </w:r>
      <w:r w:rsidRPr="001A049B">
        <w:rPr>
          <w:rFonts w:cs="Arial"/>
          <w:spacing w:val="-1"/>
          <w:sz w:val="21"/>
          <w:szCs w:val="21"/>
        </w:rPr>
        <w:t>needs,</w:t>
      </w:r>
      <w:r w:rsidRPr="001A049B">
        <w:rPr>
          <w:rFonts w:cs="Arial"/>
          <w:spacing w:val="1"/>
          <w:sz w:val="21"/>
          <w:szCs w:val="21"/>
        </w:rPr>
        <w:t xml:space="preserve"> </w:t>
      </w:r>
      <w:r w:rsidRPr="001A049B">
        <w:rPr>
          <w:rFonts w:cs="Arial"/>
          <w:spacing w:val="-1"/>
          <w:sz w:val="21"/>
          <w:szCs w:val="21"/>
        </w:rPr>
        <w:t>environments</w:t>
      </w:r>
      <w:r w:rsidRPr="001A049B">
        <w:rPr>
          <w:rFonts w:cs="Arial"/>
          <w:spacing w:val="-2"/>
          <w:sz w:val="21"/>
          <w:szCs w:val="21"/>
        </w:rPr>
        <w:t xml:space="preserve"> and </w:t>
      </w:r>
      <w:r w:rsidRPr="001A049B">
        <w:rPr>
          <w:rFonts w:cs="Arial"/>
          <w:spacing w:val="-1"/>
          <w:sz w:val="21"/>
          <w:szCs w:val="21"/>
        </w:rPr>
        <w:t>emerging</w:t>
      </w:r>
      <w:r w:rsidRPr="001A049B">
        <w:rPr>
          <w:rFonts w:cs="Arial"/>
          <w:sz w:val="21"/>
          <w:szCs w:val="21"/>
        </w:rPr>
        <w:t xml:space="preserve"> </w:t>
      </w:r>
      <w:r w:rsidRPr="001A049B">
        <w:rPr>
          <w:rFonts w:cs="Arial"/>
          <w:spacing w:val="-2"/>
          <w:sz w:val="21"/>
          <w:szCs w:val="21"/>
        </w:rPr>
        <w:t xml:space="preserve">evidence and to incorporate any </w:t>
      </w:r>
      <w:r w:rsidR="003E35AF">
        <w:rPr>
          <w:rFonts w:cs="Arial"/>
          <w:spacing w:val="-2"/>
          <w:sz w:val="21"/>
          <w:szCs w:val="21"/>
        </w:rPr>
        <w:t>amendments</w:t>
      </w:r>
      <w:r w:rsidRPr="001A049B">
        <w:rPr>
          <w:rFonts w:cs="Arial"/>
          <w:spacing w:val="-2"/>
          <w:sz w:val="21"/>
          <w:szCs w:val="21"/>
        </w:rPr>
        <w:t xml:space="preserve"> or revisions to referenced documents or guidance in the Framework. </w:t>
      </w:r>
    </w:p>
    <w:p w14:paraId="7FA3CAF5" w14:textId="77777777" w:rsidR="009F5327" w:rsidRPr="00865A8B" w:rsidRDefault="009F5327" w:rsidP="00CE0EFD">
      <w:pPr>
        <w:rPr>
          <w:rFonts w:cs="Arial"/>
          <w:color w:val="000000" w:themeColor="text1"/>
          <w:sz w:val="21"/>
          <w:szCs w:val="21"/>
        </w:rPr>
      </w:pPr>
      <w:r w:rsidRPr="00865A8B">
        <w:rPr>
          <w:rFonts w:cs="Arial"/>
          <w:sz w:val="21"/>
          <w:szCs w:val="21"/>
        </w:rPr>
        <w:br w:type="page"/>
      </w:r>
    </w:p>
    <w:p w14:paraId="49AE03DA" w14:textId="77777777" w:rsidR="00205A93" w:rsidRDefault="00205A93" w:rsidP="00CF14A6">
      <w:pPr>
        <w:pStyle w:val="Paragraphtext"/>
        <w:sectPr w:rsidR="00205A93" w:rsidSect="00367C11">
          <w:type w:val="oddPage"/>
          <w:pgSz w:w="11906" w:h="16838"/>
          <w:pgMar w:top="1701" w:right="1418" w:bottom="1418" w:left="1418" w:header="709" w:footer="709" w:gutter="0"/>
          <w:cols w:space="708"/>
          <w:docGrid w:linePitch="360"/>
        </w:sectPr>
      </w:pPr>
    </w:p>
    <w:p w14:paraId="33D69CEF" w14:textId="77777777" w:rsidR="00205A93" w:rsidRDefault="00205A93" w:rsidP="00205A93">
      <w:pPr>
        <w:pStyle w:val="Heading1"/>
      </w:pPr>
      <w:bookmarkStart w:id="76" w:name="_Toc80966454"/>
      <w:bookmarkStart w:id="77" w:name="_Toc109209868"/>
      <w:r>
        <w:lastRenderedPageBreak/>
        <w:t>Appendi</w:t>
      </w:r>
      <w:r w:rsidR="00E9747F">
        <w:t>c</w:t>
      </w:r>
      <w:r>
        <w:t>es</w:t>
      </w:r>
      <w:bookmarkEnd w:id="76"/>
      <w:bookmarkEnd w:id="77"/>
    </w:p>
    <w:p w14:paraId="4B4F5564" w14:textId="77777777" w:rsidR="00E9747F" w:rsidRPr="004F1BD8" w:rsidRDefault="00E9747F" w:rsidP="00E9747F">
      <w:pPr>
        <w:pStyle w:val="Heading1"/>
      </w:pPr>
      <w:bookmarkStart w:id="78" w:name="_Toc5012144"/>
      <w:bookmarkStart w:id="79" w:name="_Toc34387853"/>
      <w:bookmarkStart w:id="80" w:name="_Toc80966455"/>
      <w:bookmarkStart w:id="81" w:name="_Toc109209869"/>
      <w:r w:rsidRPr="004F1BD8">
        <w:t>A</w:t>
      </w:r>
      <w:r>
        <w:t>ppendix</w:t>
      </w:r>
      <w:r w:rsidRPr="004F1BD8">
        <w:t xml:space="preserve"> A</w:t>
      </w:r>
      <w:bookmarkEnd w:id="78"/>
      <w:r w:rsidRPr="004F1BD8">
        <w:t xml:space="preserve"> </w:t>
      </w:r>
      <w:bookmarkStart w:id="82" w:name="_Toc5012145"/>
      <w:r w:rsidRPr="004F1BD8">
        <w:t xml:space="preserve">– </w:t>
      </w:r>
      <w:bookmarkEnd w:id="79"/>
      <w:bookmarkEnd w:id="82"/>
      <w:r>
        <w:t>The Australian Eye and Tissue Sector</w:t>
      </w:r>
      <w:bookmarkEnd w:id="80"/>
      <w:bookmarkEnd w:id="81"/>
    </w:p>
    <w:p w14:paraId="3D8BABA1" w14:textId="77777777" w:rsidR="003E35AF" w:rsidRPr="00447710" w:rsidRDefault="003E35AF" w:rsidP="00447710">
      <w:pPr>
        <w:pStyle w:val="BodyText"/>
        <w:spacing w:before="120"/>
        <w:rPr>
          <w:spacing w:val="-1"/>
          <w:sz w:val="21"/>
        </w:rPr>
      </w:pPr>
    </w:p>
    <w:p w14:paraId="32441236" w14:textId="77777777" w:rsidR="003E35AF" w:rsidRPr="00E9747F" w:rsidRDefault="003E35AF" w:rsidP="003E35AF">
      <w:pPr>
        <w:pStyle w:val="BodyText"/>
        <w:spacing w:before="120"/>
        <w:rPr>
          <w:rFonts w:cs="Arial"/>
          <w:spacing w:val="-1"/>
          <w:sz w:val="21"/>
          <w:szCs w:val="21"/>
        </w:rPr>
      </w:pPr>
      <w:r w:rsidRPr="00E9747F">
        <w:rPr>
          <w:rFonts w:cs="Arial"/>
          <w:sz w:val="21"/>
          <w:szCs w:val="21"/>
        </w:rPr>
        <w:t>For the purposes of the Framework, tissues and tissue-based products comprise ocular (eye), skin, musculoskeletal, cardiovascular and amniotic tissues listed as Class II and Class III within the Regulatory Framework for Biologicals.</w:t>
      </w:r>
      <w:r w:rsidRPr="00A20260">
        <w:rPr>
          <w:rFonts w:cs="Arial"/>
          <w:spacing w:val="-1"/>
          <w:sz w:val="21"/>
          <w:szCs w:val="21"/>
        </w:rPr>
        <w:t xml:space="preserve"> </w:t>
      </w:r>
      <w:r w:rsidRPr="00E9747F">
        <w:rPr>
          <w:rFonts w:cs="Arial"/>
          <w:spacing w:val="-1"/>
          <w:sz w:val="21"/>
          <w:szCs w:val="21"/>
        </w:rPr>
        <w:t xml:space="preserve">The sector </w:t>
      </w:r>
      <w:r w:rsidRPr="00E9747F">
        <w:rPr>
          <w:rFonts w:cs="Arial"/>
          <w:sz w:val="21"/>
          <w:szCs w:val="21"/>
        </w:rPr>
        <w:t>comprises all providers, manufacturers and users of tissues and tissue-based products in Australia, as well as supplementary and complementary overseas supply where required</w:t>
      </w:r>
      <w:r>
        <w:rPr>
          <w:rFonts w:cs="Arial"/>
          <w:sz w:val="21"/>
          <w:szCs w:val="21"/>
        </w:rPr>
        <w:t>.</w:t>
      </w:r>
    </w:p>
    <w:p w14:paraId="787B6978" w14:textId="77777777" w:rsidR="003D0618" w:rsidRDefault="00E9747F" w:rsidP="00E9747F">
      <w:pPr>
        <w:pStyle w:val="BodyText"/>
        <w:spacing w:before="120"/>
        <w:rPr>
          <w:rFonts w:cs="Arial"/>
          <w:sz w:val="21"/>
          <w:szCs w:val="21"/>
        </w:rPr>
      </w:pPr>
      <w:r w:rsidRPr="00E9747F">
        <w:rPr>
          <w:rFonts w:cs="Arial"/>
          <w:spacing w:val="-1"/>
          <w:sz w:val="21"/>
          <w:szCs w:val="21"/>
        </w:rPr>
        <w:t xml:space="preserve">The Australian eye and tissue sector is the largest donation and transplantation sector in Australia, with a significantly higher number of donations and transplantations </w:t>
      </w:r>
      <w:r w:rsidR="003E35AF">
        <w:rPr>
          <w:rFonts w:cs="Arial"/>
          <w:spacing w:val="-1"/>
          <w:sz w:val="21"/>
          <w:szCs w:val="21"/>
        </w:rPr>
        <w:t xml:space="preserve">as </w:t>
      </w:r>
      <w:r w:rsidRPr="00E9747F">
        <w:rPr>
          <w:rFonts w:cs="Arial"/>
          <w:spacing w:val="-1"/>
          <w:sz w:val="21"/>
          <w:szCs w:val="21"/>
        </w:rPr>
        <w:t>compared to solid organs.</w:t>
      </w:r>
      <w:r w:rsidRPr="00E9747F">
        <w:rPr>
          <w:rFonts w:cs="Arial"/>
          <w:sz w:val="21"/>
          <w:szCs w:val="21"/>
        </w:rPr>
        <w:t xml:space="preserve"> </w:t>
      </w:r>
    </w:p>
    <w:p w14:paraId="318A2837" w14:textId="77777777" w:rsidR="00E9747F" w:rsidRPr="00E9747F" w:rsidRDefault="00E9747F" w:rsidP="00E9747F">
      <w:pPr>
        <w:pStyle w:val="BodyText"/>
        <w:spacing w:before="120"/>
        <w:rPr>
          <w:rFonts w:cs="Arial"/>
          <w:spacing w:val="-1"/>
          <w:sz w:val="21"/>
          <w:szCs w:val="21"/>
        </w:rPr>
      </w:pPr>
      <w:r w:rsidRPr="00E9747F">
        <w:rPr>
          <w:rFonts w:cs="Arial"/>
          <w:spacing w:val="-1"/>
          <w:sz w:val="21"/>
          <w:szCs w:val="21"/>
        </w:rPr>
        <w:t>Tissue products of human origin have unique qualities that cannot easily be substituted by existing synthetic alternatives. The tissue product needs of an active and ageing Australian population</w:t>
      </w:r>
      <w:r w:rsidR="003E35AF">
        <w:rPr>
          <w:rFonts w:cs="Arial"/>
          <w:spacing w:val="-1"/>
          <w:sz w:val="21"/>
          <w:szCs w:val="21"/>
        </w:rPr>
        <w:t xml:space="preserve"> are increasing</w:t>
      </w:r>
      <w:r w:rsidRPr="00E9747F">
        <w:rPr>
          <w:rFonts w:cs="Arial"/>
          <w:spacing w:val="-1"/>
          <w:sz w:val="21"/>
          <w:szCs w:val="21"/>
        </w:rPr>
        <w:t xml:space="preserve"> and limited access to donors has supported strong industry investment in bioengineered tissue substitution</w:t>
      </w:r>
      <w:r w:rsidR="003E35AF">
        <w:rPr>
          <w:rFonts w:cs="Arial"/>
          <w:spacing w:val="-1"/>
          <w:sz w:val="21"/>
          <w:szCs w:val="21"/>
        </w:rPr>
        <w:t xml:space="preserve"> and,</w:t>
      </w:r>
      <w:r w:rsidRPr="00E9747F">
        <w:rPr>
          <w:rFonts w:cs="Arial"/>
          <w:spacing w:val="-1"/>
          <w:sz w:val="21"/>
          <w:szCs w:val="21"/>
        </w:rPr>
        <w:t xml:space="preserve"> the development of more ratio</w:t>
      </w:r>
      <w:r w:rsidRPr="00E9747F">
        <w:rPr>
          <w:rFonts w:cs="Arial"/>
          <w:spacing w:val="-1"/>
          <w:sz w:val="21"/>
          <w:szCs w:val="21"/>
        </w:rPr>
        <w:noBreakHyphen/>
        <w:t>efficient products (such as ground bone in a paste carrier). Most alternatives, such as 3D</w:t>
      </w:r>
      <w:r w:rsidRPr="00E9747F">
        <w:rPr>
          <w:rFonts w:cs="Arial"/>
          <w:spacing w:val="-1"/>
          <w:sz w:val="21"/>
          <w:szCs w:val="21"/>
        </w:rPr>
        <w:noBreakHyphen/>
        <w:t xml:space="preserve">printed skin products, are still in their infancy, and are not widely accessible. </w:t>
      </w:r>
    </w:p>
    <w:p w14:paraId="1C359721" w14:textId="77777777" w:rsidR="00E9747F" w:rsidRPr="00E9747F" w:rsidRDefault="00E9747F" w:rsidP="00E9747F">
      <w:pPr>
        <w:pStyle w:val="BodyText"/>
        <w:spacing w:before="120"/>
        <w:rPr>
          <w:rFonts w:cs="Arial"/>
          <w:spacing w:val="-1"/>
          <w:sz w:val="21"/>
          <w:szCs w:val="21"/>
        </w:rPr>
      </w:pPr>
      <w:r w:rsidRPr="00E9747F">
        <w:rPr>
          <w:rFonts w:cs="Arial"/>
          <w:spacing w:val="-1"/>
          <w:sz w:val="21"/>
          <w:szCs w:val="21"/>
        </w:rPr>
        <w:t>The origin of human eye and tissue grafts means that these therapeutic goods are considered to be of an ‘exceptional nature’, adding unique strategic, clinical, ethical, legal, and psychosocial dimensions to the</w:t>
      </w:r>
      <w:r w:rsidR="003E35AF">
        <w:rPr>
          <w:rFonts w:cs="Arial"/>
          <w:spacing w:val="-1"/>
          <w:sz w:val="21"/>
          <w:szCs w:val="21"/>
        </w:rPr>
        <w:t>ir</w:t>
      </w:r>
      <w:r w:rsidRPr="00E9747F">
        <w:rPr>
          <w:rFonts w:cs="Arial"/>
          <w:spacing w:val="-1"/>
          <w:sz w:val="21"/>
          <w:szCs w:val="21"/>
        </w:rPr>
        <w:t xml:space="preserve"> production, availability and use. </w:t>
      </w:r>
    </w:p>
    <w:p w14:paraId="4EF39BF6" w14:textId="77777777" w:rsidR="00E9747F" w:rsidRPr="004F1BD8" w:rsidRDefault="00E9747F" w:rsidP="00E9747F">
      <w:pPr>
        <w:pStyle w:val="Heading3"/>
      </w:pPr>
      <w:bookmarkStart w:id="83" w:name="_Toc5013231"/>
      <w:bookmarkStart w:id="84" w:name="_Toc5357134"/>
      <w:bookmarkStart w:id="85" w:name="_Toc5358045"/>
      <w:bookmarkStart w:id="86" w:name="_Toc7168583"/>
      <w:bookmarkStart w:id="87" w:name="_Toc34387854"/>
      <w:bookmarkStart w:id="88" w:name="_Toc80966456"/>
      <w:bookmarkStart w:id="89" w:name="_Toc109209870"/>
      <w:r w:rsidRPr="004F1BD8">
        <w:t>Legislative Framework</w:t>
      </w:r>
      <w:bookmarkEnd w:id="83"/>
      <w:bookmarkEnd w:id="84"/>
      <w:bookmarkEnd w:id="85"/>
      <w:bookmarkEnd w:id="86"/>
      <w:bookmarkEnd w:id="87"/>
      <w:bookmarkEnd w:id="88"/>
      <w:bookmarkEnd w:id="89"/>
    </w:p>
    <w:p w14:paraId="72B31770" w14:textId="77777777" w:rsidR="00E9747F" w:rsidRPr="003A01C2" w:rsidRDefault="00E9747F" w:rsidP="00E9747F">
      <w:pPr>
        <w:pStyle w:val="Heading4"/>
      </w:pPr>
      <w:r w:rsidRPr="003A01C2">
        <w:t>State and territory human tissue legislation</w:t>
      </w:r>
    </w:p>
    <w:p w14:paraId="5B97132E" w14:textId="77777777" w:rsidR="003D0618" w:rsidRDefault="00E9747F" w:rsidP="00E9747F">
      <w:pPr>
        <w:spacing w:before="120" w:after="120"/>
        <w:rPr>
          <w:rFonts w:eastAsia="Calibri Light" w:cs="Arial"/>
          <w:spacing w:val="-1"/>
          <w:sz w:val="21"/>
          <w:szCs w:val="21"/>
        </w:rPr>
      </w:pPr>
      <w:r w:rsidRPr="00E9747F">
        <w:rPr>
          <w:rFonts w:eastAsia="Calibri Light" w:cs="Arial"/>
          <w:spacing w:val="-1"/>
          <w:sz w:val="21"/>
          <w:szCs w:val="21"/>
        </w:rPr>
        <w:t>States and territories provide the legislative framework for eye and tissue donation and transplantation and tissue banking through each human tissue act or equivalent</w:t>
      </w:r>
      <w:r w:rsidR="003D0618">
        <w:rPr>
          <w:rFonts w:eastAsia="Calibri Light" w:cs="Arial"/>
          <w:spacing w:val="-1"/>
          <w:sz w:val="21"/>
          <w:szCs w:val="21"/>
        </w:rPr>
        <w:t xml:space="preserve"> in their jurisdiction</w:t>
      </w:r>
      <w:r w:rsidRPr="00E9747F">
        <w:rPr>
          <w:rFonts w:eastAsia="Calibri Light" w:cs="Arial"/>
          <w:spacing w:val="-1"/>
          <w:sz w:val="21"/>
          <w:szCs w:val="21"/>
        </w:rPr>
        <w:t xml:space="preserve">. </w:t>
      </w:r>
    </w:p>
    <w:p w14:paraId="4DC7B057" w14:textId="77777777" w:rsidR="00E9747F" w:rsidRPr="00E9747F" w:rsidRDefault="00E9747F" w:rsidP="00E9747F">
      <w:pPr>
        <w:spacing w:before="120" w:after="120"/>
        <w:rPr>
          <w:rFonts w:cs="Arial"/>
          <w:sz w:val="21"/>
          <w:szCs w:val="21"/>
        </w:rPr>
      </w:pPr>
      <w:r w:rsidRPr="00E9747F">
        <w:rPr>
          <w:rFonts w:eastAsia="Calibri Light" w:cs="Arial"/>
          <w:spacing w:val="-1"/>
          <w:sz w:val="21"/>
          <w:szCs w:val="21"/>
        </w:rPr>
        <w:t xml:space="preserve">While there are variations between the legislation in each jurisdiction, these broadly state that there will be no trade in human tissue, and provide for the retrieval of tissue for banking and transplantation with appropriate consent. The costs that can be recovered for tissue collection and distribution are </w:t>
      </w:r>
      <w:r w:rsidR="003D0618">
        <w:rPr>
          <w:rFonts w:eastAsia="Calibri Light" w:cs="Arial"/>
          <w:spacing w:val="-1"/>
          <w:sz w:val="21"/>
          <w:szCs w:val="21"/>
        </w:rPr>
        <w:t xml:space="preserve">also </w:t>
      </w:r>
      <w:r w:rsidRPr="00E9747F">
        <w:rPr>
          <w:rFonts w:eastAsia="Calibri Light" w:cs="Arial"/>
          <w:spacing w:val="-1"/>
          <w:sz w:val="21"/>
          <w:szCs w:val="21"/>
        </w:rPr>
        <w:t xml:space="preserve">addressed. There have been calls for harmonisation of state and territory legislation to provide greater national consistency. </w:t>
      </w:r>
    </w:p>
    <w:p w14:paraId="00C4D147" w14:textId="77777777" w:rsidR="00E9747F" w:rsidRPr="003A01C2" w:rsidRDefault="00E9747F" w:rsidP="00E9747F">
      <w:pPr>
        <w:pStyle w:val="Heading4"/>
      </w:pPr>
      <w:r w:rsidRPr="003A01C2">
        <w:t>Therapeutic Goods Administration (TGA)</w:t>
      </w:r>
    </w:p>
    <w:p w14:paraId="199D31D7" w14:textId="77777777" w:rsidR="00E9747F" w:rsidRPr="00E9747F" w:rsidRDefault="00E9747F" w:rsidP="00E9747F">
      <w:pPr>
        <w:pStyle w:val="BodyText"/>
        <w:spacing w:before="120"/>
        <w:rPr>
          <w:rFonts w:cs="Arial"/>
          <w:spacing w:val="-1"/>
          <w:sz w:val="21"/>
          <w:szCs w:val="21"/>
        </w:rPr>
      </w:pPr>
      <w:r w:rsidRPr="00E9747F">
        <w:rPr>
          <w:rFonts w:cs="Arial"/>
          <w:spacing w:val="-1"/>
          <w:sz w:val="21"/>
          <w:szCs w:val="21"/>
        </w:rPr>
        <w:t xml:space="preserve">The safety, quality and efficacy of tissues and tissue-based products are regulated by the TGA under the Regulatory Framework for Biologicals, which requires compliance against the Code of Good Manufacturing Practice, Therapeutic Goods Orders and inclusion on the Australian Register of Therapeutic Goods (ARTG). </w:t>
      </w:r>
      <w:r w:rsidRPr="00E9747F">
        <w:rPr>
          <w:rFonts w:cs="Arial"/>
          <w:sz w:val="21"/>
          <w:szCs w:val="21"/>
        </w:rPr>
        <w:t>These requirements apply to all sponsors/manufacturers whether they are located domestically or overseas or whether they are for-profit or not-for-profit entities.</w:t>
      </w:r>
      <w:r w:rsidRPr="00E9747F">
        <w:rPr>
          <w:rFonts w:cs="Arial"/>
          <w:spacing w:val="-1"/>
          <w:sz w:val="21"/>
          <w:szCs w:val="21"/>
        </w:rPr>
        <w:t xml:space="preserve"> </w:t>
      </w:r>
    </w:p>
    <w:p w14:paraId="3E8DBC8E" w14:textId="77777777" w:rsidR="00E9747F" w:rsidRPr="00E9747F" w:rsidRDefault="00E9747F" w:rsidP="00E9747F">
      <w:pPr>
        <w:pStyle w:val="BodyText"/>
        <w:spacing w:before="120"/>
        <w:rPr>
          <w:rFonts w:cs="Arial"/>
          <w:spacing w:val="-1"/>
          <w:sz w:val="21"/>
          <w:szCs w:val="21"/>
        </w:rPr>
      </w:pPr>
      <w:r w:rsidRPr="00E9747F">
        <w:rPr>
          <w:rFonts w:cs="Arial"/>
          <w:spacing w:val="-1"/>
          <w:sz w:val="21"/>
          <w:szCs w:val="21"/>
        </w:rPr>
        <w:t xml:space="preserve">The TGA assesses regulatory compliance and licenses tissue banks to manufacture tissue and tissue products for clinical use. However, primary responsibility for product safety and efficacy rests with providers of tissues and tissue-based products. </w:t>
      </w:r>
    </w:p>
    <w:p w14:paraId="5E876272" w14:textId="77777777" w:rsidR="00E9747F" w:rsidRPr="00E9747F" w:rsidRDefault="00E9747F" w:rsidP="00E9747F">
      <w:pPr>
        <w:pStyle w:val="BodyText"/>
        <w:spacing w:before="120"/>
        <w:rPr>
          <w:rFonts w:cs="Arial"/>
          <w:sz w:val="21"/>
          <w:szCs w:val="21"/>
        </w:rPr>
      </w:pPr>
      <w:r w:rsidRPr="00E9747F">
        <w:rPr>
          <w:rFonts w:cs="Arial"/>
          <w:spacing w:val="-1"/>
          <w:sz w:val="21"/>
          <w:szCs w:val="21"/>
        </w:rPr>
        <w:t xml:space="preserve">The ARTG is administered by the TGA and is the comprehensive list of human-derived tissue products that can be accessed for clinical applications in Australia. To include a product, tissue providers (including international entities) must submit a product dossier to the TGA which makes an assessment of the quality, safety and clinical efficacy of a product. </w:t>
      </w:r>
    </w:p>
    <w:p w14:paraId="0AD8A342" w14:textId="77777777" w:rsidR="00E9747F" w:rsidRPr="00E9747F" w:rsidRDefault="00E9747F" w:rsidP="00E9747F">
      <w:pPr>
        <w:pStyle w:val="Heading4"/>
        <w:rPr>
          <w:vanish/>
        </w:rPr>
      </w:pPr>
      <w:r w:rsidRPr="00E9747F">
        <w:rPr>
          <w:vanish/>
        </w:rPr>
        <w:lastRenderedPageBreak/>
        <w:t>Australian Organ and Tissue Donation and Transplantation Authority (OTA)</w:t>
      </w:r>
    </w:p>
    <w:p w14:paraId="33FBC769" w14:textId="77777777" w:rsidR="003D0618" w:rsidRDefault="00E9747F" w:rsidP="00E9747F">
      <w:pPr>
        <w:spacing w:before="120" w:after="120"/>
        <w:rPr>
          <w:rFonts w:eastAsia="Calibri Light" w:cs="Arial"/>
          <w:spacing w:val="-1"/>
          <w:sz w:val="21"/>
          <w:szCs w:val="21"/>
        </w:rPr>
      </w:pPr>
      <w:r w:rsidRPr="00E9747F">
        <w:rPr>
          <w:rFonts w:eastAsia="Calibri Light" w:cs="Arial"/>
          <w:spacing w:val="-1"/>
          <w:sz w:val="21"/>
          <w:szCs w:val="21"/>
        </w:rPr>
        <w:t>The</w:t>
      </w:r>
      <w:r w:rsidRPr="00E9747F">
        <w:rPr>
          <w:rFonts w:eastAsia="Calibri Light" w:cs="Arial"/>
          <w:i/>
          <w:spacing w:val="-1"/>
          <w:sz w:val="21"/>
          <w:szCs w:val="21"/>
        </w:rPr>
        <w:t xml:space="preserve"> Australian Organ and Tissue Donation and Transplantation Authority Act 2008</w:t>
      </w:r>
      <w:r w:rsidRPr="00E9747F">
        <w:rPr>
          <w:rStyle w:val="FootnoteReference"/>
          <w:rFonts w:eastAsia="Calibri Light" w:cs="Arial"/>
          <w:spacing w:val="-1"/>
          <w:sz w:val="21"/>
          <w:szCs w:val="21"/>
        </w:rPr>
        <w:footnoteReference w:id="16"/>
      </w:r>
      <w:r w:rsidRPr="00E9747F">
        <w:rPr>
          <w:rFonts w:eastAsia="Calibri Light" w:cs="Arial"/>
          <w:i/>
          <w:spacing w:val="-1"/>
          <w:sz w:val="21"/>
          <w:szCs w:val="21"/>
        </w:rPr>
        <w:t xml:space="preserve"> </w:t>
      </w:r>
      <w:r w:rsidRPr="00E9747F">
        <w:rPr>
          <w:rFonts w:eastAsia="Calibri Light" w:cs="Arial"/>
          <w:spacing w:val="-1"/>
          <w:sz w:val="21"/>
          <w:szCs w:val="21"/>
        </w:rPr>
        <w:t>(the AOTDTA Act) establishe</w:t>
      </w:r>
      <w:r w:rsidR="003D0618">
        <w:rPr>
          <w:rFonts w:eastAsia="Calibri Light" w:cs="Arial"/>
          <w:spacing w:val="-1"/>
          <w:sz w:val="21"/>
          <w:szCs w:val="21"/>
        </w:rPr>
        <w:t>d</w:t>
      </w:r>
      <w:r w:rsidRPr="00E9747F">
        <w:rPr>
          <w:rFonts w:eastAsia="Calibri Light" w:cs="Arial"/>
          <w:spacing w:val="-1"/>
          <w:sz w:val="21"/>
          <w:szCs w:val="21"/>
        </w:rPr>
        <w:t xml:space="preserve"> the Australian Organ and Tissue Donation and Transplantation Authority, also known as the Organ and Tissue Authority (OTA). </w:t>
      </w:r>
    </w:p>
    <w:p w14:paraId="5D1DD5F8" w14:textId="49C2A039" w:rsidR="00E9747F" w:rsidRPr="00E9747F" w:rsidRDefault="00E9747F" w:rsidP="00E9747F">
      <w:pPr>
        <w:spacing w:before="120" w:after="120"/>
        <w:rPr>
          <w:rFonts w:cs="Arial"/>
          <w:sz w:val="21"/>
          <w:szCs w:val="21"/>
        </w:rPr>
      </w:pPr>
      <w:r w:rsidRPr="00E9747F">
        <w:rPr>
          <w:rFonts w:eastAsia="Calibri Light" w:cs="Arial"/>
          <w:spacing w:val="-1"/>
          <w:sz w:val="21"/>
          <w:szCs w:val="21"/>
        </w:rPr>
        <w:t xml:space="preserve">It is a statutory agency under the Commonwealth Government Health portfolio and is responsible for implementing the national reform agenda on organ and tissue donation </w:t>
      </w:r>
      <w:r w:rsidR="00E523F0">
        <w:rPr>
          <w:rFonts w:eastAsia="Calibri Light" w:cs="Arial"/>
          <w:spacing w:val="-1"/>
          <w:sz w:val="21"/>
          <w:szCs w:val="21"/>
        </w:rPr>
        <w:t>for</w:t>
      </w:r>
      <w:r w:rsidR="00E523F0" w:rsidRPr="00E9747F">
        <w:rPr>
          <w:rFonts w:eastAsia="Calibri Light" w:cs="Arial"/>
          <w:spacing w:val="-1"/>
          <w:sz w:val="21"/>
          <w:szCs w:val="21"/>
        </w:rPr>
        <w:t xml:space="preserve"> </w:t>
      </w:r>
      <w:r w:rsidRPr="00E9747F">
        <w:rPr>
          <w:rFonts w:eastAsia="Calibri Light" w:cs="Arial"/>
          <w:spacing w:val="-1"/>
          <w:sz w:val="21"/>
          <w:szCs w:val="21"/>
        </w:rPr>
        <w:t xml:space="preserve">transplantation, in partnership with the states and territories, clinicians, consumers and the community. The AOTDTA Act sets out the functions of the OTA for both organ and tissue donation and transplantation matters. </w:t>
      </w:r>
      <w:bookmarkStart w:id="90" w:name="_Toc5013232"/>
      <w:bookmarkStart w:id="91" w:name="_Toc5357135"/>
      <w:bookmarkStart w:id="92" w:name="_Toc5358046"/>
    </w:p>
    <w:p w14:paraId="5CA6683A" w14:textId="77777777" w:rsidR="00E9747F" w:rsidRPr="004F1BD8" w:rsidRDefault="00E9747F" w:rsidP="00E9747F">
      <w:pPr>
        <w:pStyle w:val="Heading3"/>
        <w:ind w:left="23"/>
      </w:pPr>
      <w:bookmarkStart w:id="93" w:name="_Toc5012146"/>
      <w:bookmarkStart w:id="94" w:name="_Toc5013233"/>
      <w:bookmarkStart w:id="95" w:name="_Toc5357136"/>
      <w:bookmarkStart w:id="96" w:name="_Toc5358047"/>
      <w:bookmarkStart w:id="97" w:name="_Toc7168585"/>
      <w:bookmarkStart w:id="98" w:name="_Toc34387855"/>
      <w:bookmarkStart w:id="99" w:name="_Toc80966457"/>
      <w:bookmarkStart w:id="100" w:name="_Toc109209871"/>
      <w:bookmarkEnd w:id="90"/>
      <w:bookmarkEnd w:id="91"/>
      <w:bookmarkEnd w:id="92"/>
      <w:r w:rsidRPr="004F1BD8">
        <w:t>Eye donation and transplantation</w:t>
      </w:r>
      <w:bookmarkEnd w:id="93"/>
      <w:bookmarkEnd w:id="94"/>
      <w:bookmarkEnd w:id="95"/>
      <w:bookmarkEnd w:id="96"/>
      <w:bookmarkEnd w:id="97"/>
      <w:bookmarkEnd w:id="98"/>
      <w:bookmarkEnd w:id="99"/>
      <w:bookmarkEnd w:id="100"/>
      <w:r w:rsidRPr="004F1BD8">
        <w:t xml:space="preserve"> </w:t>
      </w:r>
    </w:p>
    <w:p w14:paraId="76F970CD" w14:textId="77777777" w:rsidR="00E9747F" w:rsidRPr="00E9747F" w:rsidRDefault="00E9747F" w:rsidP="00E9747F">
      <w:pPr>
        <w:pStyle w:val="BodyText"/>
        <w:spacing w:before="120"/>
        <w:rPr>
          <w:spacing w:val="-1"/>
          <w:sz w:val="21"/>
          <w:szCs w:val="21"/>
        </w:rPr>
      </w:pPr>
      <w:r w:rsidRPr="00E9747F">
        <w:rPr>
          <w:spacing w:val="-1"/>
          <w:sz w:val="21"/>
          <w:szCs w:val="21"/>
        </w:rPr>
        <w:t xml:space="preserve">Eye donation aims to preserve or restore sight through the transplantation of corneas and sclera in oculoplastic reconstructive surgery.  </w:t>
      </w:r>
    </w:p>
    <w:p w14:paraId="5A6972B7" w14:textId="77777777" w:rsidR="00E9747F" w:rsidRPr="00E9747F" w:rsidRDefault="00E9747F" w:rsidP="00E9747F">
      <w:pPr>
        <w:pStyle w:val="BodyText"/>
        <w:spacing w:before="120"/>
        <w:rPr>
          <w:spacing w:val="-1"/>
          <w:sz w:val="21"/>
          <w:szCs w:val="21"/>
        </w:rPr>
      </w:pPr>
      <w:r w:rsidRPr="00E9747F">
        <w:rPr>
          <w:spacing w:val="-1"/>
          <w:sz w:val="21"/>
          <w:szCs w:val="21"/>
        </w:rPr>
        <w:t>There are five eye banks operating in Australia, operating either on a stand-alone basis (Lions Eye Donation Service Victoria, Lions Eye Bank of WA, South Australia Eye Bank) or incorporated into multi</w:t>
      </w:r>
      <w:r w:rsidRPr="00E9747F">
        <w:rPr>
          <w:spacing w:val="-1"/>
          <w:sz w:val="21"/>
          <w:szCs w:val="21"/>
        </w:rPr>
        <w:noBreakHyphen/>
        <w:t xml:space="preserve">tissue banking health department structures (Queensland Tissue Bank incorporating the Queensland Eye Bank, NSW Tissue Banks incorporating the Lions NSW Eye Bank). All Australian eye banks are not-for-profit and maintain close or formal links with research institutes, universities and end-users. </w:t>
      </w:r>
    </w:p>
    <w:p w14:paraId="1A62B544" w14:textId="77777777" w:rsidR="003D0618" w:rsidRDefault="00E9747F" w:rsidP="00E9747F">
      <w:pPr>
        <w:pStyle w:val="BodyText"/>
        <w:spacing w:before="120"/>
        <w:rPr>
          <w:spacing w:val="-1"/>
          <w:sz w:val="21"/>
          <w:szCs w:val="21"/>
        </w:rPr>
      </w:pPr>
      <w:r w:rsidRPr="00E9747F">
        <w:rPr>
          <w:spacing w:val="-1"/>
          <w:sz w:val="21"/>
          <w:szCs w:val="21"/>
        </w:rPr>
        <w:t>Eye banks are usually located within or close to the hospital that undertakes the majority of eye tissue transplantation in their state, an arrangement which also allows close engagement with end</w:t>
      </w:r>
      <w:r w:rsidRPr="00E9747F">
        <w:rPr>
          <w:spacing w:val="-1"/>
          <w:sz w:val="21"/>
          <w:szCs w:val="21"/>
        </w:rPr>
        <w:noBreakHyphen/>
        <w:t>users (ophthalmologists). Eye banks act as donor coordination services</w:t>
      </w:r>
      <w:r w:rsidR="003D0618">
        <w:rPr>
          <w:spacing w:val="-1"/>
          <w:sz w:val="21"/>
          <w:szCs w:val="21"/>
        </w:rPr>
        <w:t xml:space="preserve"> (</w:t>
      </w:r>
      <w:r w:rsidRPr="00E9747F">
        <w:rPr>
          <w:spacing w:val="-1"/>
          <w:sz w:val="21"/>
          <w:szCs w:val="21"/>
        </w:rPr>
        <w:t xml:space="preserve">with the exception of the Lions Eye Bank of WA where this function is undertaken by </w:t>
      </w:r>
      <w:proofErr w:type="spellStart"/>
      <w:r w:rsidRPr="00E9747F">
        <w:rPr>
          <w:spacing w:val="-1"/>
          <w:sz w:val="21"/>
          <w:szCs w:val="21"/>
        </w:rPr>
        <w:t>DonateLife</w:t>
      </w:r>
      <w:proofErr w:type="spellEnd"/>
      <w:r w:rsidRPr="00E9747F">
        <w:rPr>
          <w:spacing w:val="-1"/>
          <w:sz w:val="21"/>
          <w:szCs w:val="21"/>
        </w:rPr>
        <w:t xml:space="preserve"> WA</w:t>
      </w:r>
      <w:r w:rsidR="003D0618">
        <w:rPr>
          <w:spacing w:val="-1"/>
          <w:sz w:val="21"/>
          <w:szCs w:val="21"/>
        </w:rPr>
        <w:t>)</w:t>
      </w:r>
      <w:r w:rsidRPr="00E9747F">
        <w:rPr>
          <w:spacing w:val="-1"/>
          <w:sz w:val="21"/>
          <w:szCs w:val="21"/>
        </w:rPr>
        <w:t xml:space="preserve">. This includes donor referral and identification, donor testing and evaluation, and consent. </w:t>
      </w:r>
    </w:p>
    <w:p w14:paraId="57D0C2ED" w14:textId="77777777" w:rsidR="00E9747F" w:rsidRPr="00E9747F" w:rsidRDefault="00E9747F" w:rsidP="00E9747F">
      <w:pPr>
        <w:pStyle w:val="BodyText"/>
        <w:spacing w:before="120"/>
        <w:rPr>
          <w:sz w:val="21"/>
          <w:szCs w:val="21"/>
        </w:rPr>
      </w:pPr>
      <w:r w:rsidRPr="00E9747F">
        <w:rPr>
          <w:spacing w:val="-1"/>
          <w:sz w:val="21"/>
          <w:szCs w:val="21"/>
        </w:rPr>
        <w:t xml:space="preserve">All eye banks undertake surgical retrieval, manufacture and distribution of ocular tissue. Although each bank largely focuses on regional supply, non-competitive and networking arrangements between all eye banks ensure supply across all jurisdictions.  </w:t>
      </w:r>
    </w:p>
    <w:p w14:paraId="7ED2D409" w14:textId="77777777" w:rsidR="00E9747F" w:rsidRPr="00E9747F" w:rsidRDefault="00E9747F" w:rsidP="00E9747F">
      <w:pPr>
        <w:pStyle w:val="BodyText"/>
        <w:spacing w:before="120"/>
        <w:rPr>
          <w:spacing w:val="-1"/>
          <w:sz w:val="21"/>
          <w:szCs w:val="21"/>
        </w:rPr>
      </w:pPr>
      <w:r w:rsidRPr="00E9747F">
        <w:rPr>
          <w:spacing w:val="-1"/>
          <w:sz w:val="21"/>
          <w:szCs w:val="21"/>
        </w:rPr>
        <w:t>Potential eye tissue donors can be identified</w:t>
      </w:r>
      <w:r w:rsidR="00175615">
        <w:rPr>
          <w:spacing w:val="-1"/>
          <w:sz w:val="21"/>
          <w:szCs w:val="21"/>
        </w:rPr>
        <w:t xml:space="preserve"> through various arrang</w:t>
      </w:r>
      <w:r w:rsidR="00F57754">
        <w:rPr>
          <w:spacing w:val="-1"/>
          <w:sz w:val="21"/>
          <w:szCs w:val="21"/>
        </w:rPr>
        <w:t>e</w:t>
      </w:r>
      <w:r w:rsidR="00175615">
        <w:rPr>
          <w:spacing w:val="-1"/>
          <w:sz w:val="21"/>
          <w:szCs w:val="21"/>
        </w:rPr>
        <w:t>ments</w:t>
      </w:r>
      <w:r w:rsidRPr="00E9747F">
        <w:rPr>
          <w:spacing w:val="-1"/>
          <w:sz w:val="21"/>
          <w:szCs w:val="21"/>
        </w:rPr>
        <w:t xml:space="preserve"> within the community, hospitals and the coronial system. Close collaboration and donation partner arrangements with </w:t>
      </w:r>
      <w:proofErr w:type="spellStart"/>
      <w:r w:rsidRPr="00E9747F">
        <w:rPr>
          <w:spacing w:val="-1"/>
          <w:sz w:val="21"/>
          <w:szCs w:val="21"/>
        </w:rPr>
        <w:t>DonateLife</w:t>
      </w:r>
      <w:proofErr w:type="spellEnd"/>
      <w:r w:rsidRPr="00E9747F">
        <w:rPr>
          <w:spacing w:val="-1"/>
          <w:sz w:val="21"/>
          <w:szCs w:val="21"/>
        </w:rPr>
        <w:t xml:space="preserve"> agencies and hospital-based organ and tissue transplantation coordinators have had a positive impact on </w:t>
      </w:r>
      <w:r w:rsidR="00175615">
        <w:rPr>
          <w:spacing w:val="-1"/>
          <w:sz w:val="21"/>
          <w:szCs w:val="21"/>
        </w:rPr>
        <w:t xml:space="preserve">the rate of </w:t>
      </w:r>
      <w:r w:rsidRPr="00E9747F">
        <w:rPr>
          <w:spacing w:val="-1"/>
          <w:sz w:val="21"/>
          <w:szCs w:val="21"/>
        </w:rPr>
        <w:t xml:space="preserve">eye tissue donation, and have contributed to demand in Australia being met successfully.  </w:t>
      </w:r>
    </w:p>
    <w:p w14:paraId="791D6A95" w14:textId="77777777" w:rsidR="00E9747F" w:rsidRPr="00E9747F" w:rsidRDefault="00E9747F" w:rsidP="00E9747F">
      <w:pPr>
        <w:pStyle w:val="BodyText"/>
        <w:spacing w:before="120"/>
        <w:rPr>
          <w:spacing w:val="-1"/>
          <w:sz w:val="21"/>
          <w:szCs w:val="21"/>
        </w:rPr>
      </w:pPr>
      <w:r w:rsidRPr="00E9747F">
        <w:rPr>
          <w:spacing w:val="-1"/>
          <w:sz w:val="21"/>
          <w:szCs w:val="21"/>
        </w:rPr>
        <w:t>The retrieval of eye tissue is performed by eye bank staff, as a ‘bedside’ procedure. Exceptions to this include retrievals undertaken in regional areas, the Australian Capital Territory (ACT) and Tasmania. In these instances retrieval is performed by</w:t>
      </w:r>
      <w:r w:rsidR="00175615">
        <w:rPr>
          <w:spacing w:val="-1"/>
          <w:sz w:val="21"/>
          <w:szCs w:val="21"/>
        </w:rPr>
        <w:t xml:space="preserve"> local</w:t>
      </w:r>
      <w:r w:rsidRPr="00E9747F">
        <w:rPr>
          <w:spacing w:val="-1"/>
          <w:sz w:val="21"/>
          <w:szCs w:val="21"/>
        </w:rPr>
        <w:t xml:space="preserve"> medical, nursing or mortuary staff trained in the procedure. </w:t>
      </w:r>
    </w:p>
    <w:p w14:paraId="788EC625" w14:textId="77777777" w:rsidR="00E9747F" w:rsidRPr="00E9747F" w:rsidRDefault="00E9747F" w:rsidP="00E9747F">
      <w:pPr>
        <w:pStyle w:val="BodyText"/>
        <w:spacing w:before="120"/>
        <w:rPr>
          <w:spacing w:val="-1"/>
          <w:sz w:val="21"/>
          <w:szCs w:val="21"/>
        </w:rPr>
      </w:pPr>
      <w:r w:rsidRPr="00E9747F">
        <w:rPr>
          <w:spacing w:val="-1"/>
          <w:sz w:val="21"/>
          <w:szCs w:val="21"/>
        </w:rPr>
        <w:t xml:space="preserve">There is a national feedback loop on outcomes via the national Australian Corneal Graft Registry, which provides clinical data on corneal transplant outcomes such as graft survival, visual acuity, rejection rates and indication for transplant. </w:t>
      </w:r>
    </w:p>
    <w:p w14:paraId="18546890" w14:textId="77777777" w:rsidR="00E9747F" w:rsidRPr="00E9747F" w:rsidRDefault="00E9747F" w:rsidP="00E9747F">
      <w:pPr>
        <w:pStyle w:val="BodyText"/>
        <w:spacing w:before="120"/>
        <w:rPr>
          <w:spacing w:val="-1"/>
          <w:sz w:val="21"/>
          <w:szCs w:val="21"/>
        </w:rPr>
      </w:pPr>
      <w:r w:rsidRPr="00E9747F">
        <w:rPr>
          <w:spacing w:val="-1"/>
          <w:sz w:val="21"/>
          <w:szCs w:val="21"/>
        </w:rPr>
        <w:t>Data on eye donor numbers and supplied grafts is currently collected and reported by the Australia and New Zealand Organ Donation Registry on a monthly basis. The Eye Banking Association of Australia and New Zealand also collects an extended eye donation and transplantation data set for quality and safety and service improvement purposes.</w:t>
      </w:r>
      <w:bookmarkStart w:id="101" w:name="_Toc5013234"/>
      <w:bookmarkStart w:id="102" w:name="_Toc5357137"/>
      <w:bookmarkStart w:id="103" w:name="_Toc5358048"/>
      <w:bookmarkStart w:id="104" w:name="_Toc7168586"/>
    </w:p>
    <w:p w14:paraId="793C1E2C" w14:textId="77777777" w:rsidR="00E9747F" w:rsidRPr="004F1BD8" w:rsidRDefault="00E9747F" w:rsidP="00E9747F">
      <w:pPr>
        <w:pStyle w:val="Heading3"/>
        <w:keepLines/>
      </w:pPr>
      <w:bookmarkStart w:id="105" w:name="_Toc34387856"/>
      <w:bookmarkStart w:id="106" w:name="_Toc80966458"/>
      <w:bookmarkStart w:id="107" w:name="_Toc109209872"/>
      <w:r w:rsidRPr="004F1BD8">
        <w:lastRenderedPageBreak/>
        <w:t>Tissue donation and transplantation</w:t>
      </w:r>
      <w:bookmarkEnd w:id="101"/>
      <w:bookmarkEnd w:id="102"/>
      <w:bookmarkEnd w:id="103"/>
      <w:bookmarkEnd w:id="104"/>
      <w:bookmarkEnd w:id="105"/>
      <w:bookmarkEnd w:id="106"/>
      <w:bookmarkEnd w:id="107"/>
      <w:r w:rsidRPr="004F1BD8">
        <w:t xml:space="preserve"> </w:t>
      </w:r>
    </w:p>
    <w:p w14:paraId="125E713A" w14:textId="77777777" w:rsidR="00E9747F" w:rsidRPr="00E9747F" w:rsidRDefault="00E9747F" w:rsidP="00E9747F">
      <w:pPr>
        <w:pStyle w:val="BodyText"/>
        <w:keepNext/>
        <w:keepLines/>
        <w:spacing w:before="120"/>
        <w:rPr>
          <w:spacing w:val="-1"/>
          <w:sz w:val="21"/>
          <w:szCs w:val="21"/>
        </w:rPr>
      </w:pPr>
      <w:r w:rsidRPr="00E9747F">
        <w:rPr>
          <w:spacing w:val="-1"/>
          <w:sz w:val="21"/>
          <w:szCs w:val="21"/>
        </w:rPr>
        <w:t xml:space="preserve">A number of different types of tissues, other than ocular tissue, are donated for processing and graft manufacturing by Australian tissue banks: </w:t>
      </w:r>
    </w:p>
    <w:p w14:paraId="4C2A7FA2" w14:textId="77777777" w:rsidR="00E9747F" w:rsidRPr="00E9747F" w:rsidRDefault="00E9747F" w:rsidP="00A06299">
      <w:pPr>
        <w:pStyle w:val="BodyText"/>
        <w:keepNext/>
        <w:widowControl w:val="0"/>
        <w:numPr>
          <w:ilvl w:val="0"/>
          <w:numId w:val="32"/>
        </w:numPr>
        <w:spacing w:before="120"/>
        <w:ind w:left="641" w:hanging="357"/>
        <w:rPr>
          <w:spacing w:val="-1"/>
          <w:sz w:val="21"/>
          <w:szCs w:val="21"/>
        </w:rPr>
      </w:pPr>
      <w:r w:rsidRPr="00E9747F">
        <w:rPr>
          <w:i/>
          <w:spacing w:val="-1"/>
          <w:sz w:val="21"/>
          <w:szCs w:val="21"/>
        </w:rPr>
        <w:t>skin</w:t>
      </w:r>
      <w:r w:rsidRPr="00E9747F">
        <w:rPr>
          <w:spacing w:val="-1"/>
          <w:sz w:val="21"/>
          <w:szCs w:val="21"/>
        </w:rPr>
        <w:t xml:space="preserve"> – used as biological, sometimes life-saving, dressings for burns </w:t>
      </w:r>
    </w:p>
    <w:p w14:paraId="156F4139" w14:textId="77777777" w:rsidR="00E9747F" w:rsidRPr="00E9747F" w:rsidRDefault="00E9747F" w:rsidP="00E9747F">
      <w:pPr>
        <w:pStyle w:val="BodyText"/>
        <w:widowControl w:val="0"/>
        <w:numPr>
          <w:ilvl w:val="0"/>
          <w:numId w:val="32"/>
        </w:numPr>
        <w:spacing w:before="120"/>
        <w:ind w:left="643"/>
        <w:rPr>
          <w:spacing w:val="-1"/>
          <w:sz w:val="21"/>
          <w:szCs w:val="21"/>
        </w:rPr>
      </w:pPr>
      <w:r w:rsidRPr="00E9747F">
        <w:rPr>
          <w:i/>
          <w:spacing w:val="-1"/>
          <w:sz w:val="21"/>
          <w:szCs w:val="21"/>
        </w:rPr>
        <w:t>musculoskeletal tissue (MSK)</w:t>
      </w:r>
      <w:r w:rsidRPr="00E9747F">
        <w:rPr>
          <w:spacing w:val="-1"/>
          <w:sz w:val="21"/>
          <w:szCs w:val="21"/>
        </w:rPr>
        <w:t xml:space="preserve"> – bone used for structural reinforcement repair </w:t>
      </w:r>
      <w:r w:rsidR="00371DCD" w:rsidRPr="00E9747F">
        <w:rPr>
          <w:spacing w:val="-1"/>
          <w:sz w:val="21"/>
          <w:szCs w:val="21"/>
        </w:rPr>
        <w:t>post</w:t>
      </w:r>
      <w:r w:rsidR="00371DCD">
        <w:rPr>
          <w:spacing w:val="-1"/>
          <w:sz w:val="21"/>
          <w:szCs w:val="21"/>
        </w:rPr>
        <w:noBreakHyphen/>
      </w:r>
      <w:r w:rsidRPr="00E9747F">
        <w:rPr>
          <w:spacing w:val="-1"/>
          <w:sz w:val="21"/>
          <w:szCs w:val="21"/>
        </w:rPr>
        <w:t>trauma</w:t>
      </w:r>
      <w:r w:rsidR="00175615">
        <w:rPr>
          <w:spacing w:val="-1"/>
          <w:sz w:val="21"/>
          <w:szCs w:val="21"/>
        </w:rPr>
        <w:t>, following</w:t>
      </w:r>
      <w:r w:rsidRPr="00E9747F">
        <w:rPr>
          <w:spacing w:val="-1"/>
          <w:sz w:val="21"/>
          <w:szCs w:val="21"/>
        </w:rPr>
        <w:t xml:space="preserve"> cancer resection</w:t>
      </w:r>
      <w:r w:rsidR="00175615">
        <w:rPr>
          <w:spacing w:val="-1"/>
          <w:sz w:val="21"/>
          <w:szCs w:val="21"/>
        </w:rPr>
        <w:t>,</w:t>
      </w:r>
      <w:r w:rsidRPr="00E9747F">
        <w:rPr>
          <w:spacing w:val="-1"/>
          <w:sz w:val="21"/>
          <w:szCs w:val="21"/>
        </w:rPr>
        <w:t xml:space="preserve"> or as fillers in dental surgery; ligaments and tendons used in sports injury repair; muscular fascia</w:t>
      </w:r>
      <w:r w:rsidR="00175615">
        <w:rPr>
          <w:spacing w:val="-1"/>
          <w:sz w:val="21"/>
          <w:szCs w:val="21"/>
        </w:rPr>
        <w:t xml:space="preserve"> may be</w:t>
      </w:r>
      <w:r w:rsidRPr="00E9747F">
        <w:rPr>
          <w:spacing w:val="-1"/>
          <w:sz w:val="21"/>
          <w:szCs w:val="21"/>
        </w:rPr>
        <w:t xml:space="preserve"> used as reinforcements in neurological, gynaecological and abdominal surgery</w:t>
      </w:r>
    </w:p>
    <w:p w14:paraId="6825D33D" w14:textId="77777777" w:rsidR="00E9747F" w:rsidRPr="00E9747F" w:rsidRDefault="00E9747F" w:rsidP="00E9747F">
      <w:pPr>
        <w:pStyle w:val="BodyText"/>
        <w:widowControl w:val="0"/>
        <w:numPr>
          <w:ilvl w:val="0"/>
          <w:numId w:val="32"/>
        </w:numPr>
        <w:spacing w:before="120"/>
        <w:ind w:left="643"/>
        <w:rPr>
          <w:spacing w:val="-1"/>
          <w:sz w:val="21"/>
          <w:szCs w:val="21"/>
        </w:rPr>
      </w:pPr>
      <w:r w:rsidRPr="00E9747F">
        <w:rPr>
          <w:i/>
          <w:spacing w:val="-1"/>
          <w:sz w:val="21"/>
          <w:szCs w:val="21"/>
        </w:rPr>
        <w:t>cardiovascular tissue</w:t>
      </w:r>
      <w:r w:rsidRPr="00E9747F">
        <w:rPr>
          <w:spacing w:val="-1"/>
          <w:sz w:val="21"/>
          <w:szCs w:val="21"/>
        </w:rPr>
        <w:t xml:space="preserve"> – heart valves used in valve replacement surgery</w:t>
      </w:r>
      <w:r w:rsidR="00175615">
        <w:rPr>
          <w:spacing w:val="-1"/>
          <w:sz w:val="21"/>
          <w:szCs w:val="21"/>
        </w:rPr>
        <w:t>, blood vessels as</w:t>
      </w:r>
      <w:r w:rsidRPr="00E9747F">
        <w:rPr>
          <w:spacing w:val="-1"/>
          <w:sz w:val="21"/>
          <w:szCs w:val="21"/>
        </w:rPr>
        <w:t xml:space="preserve"> conduits for vascular reconstructions</w:t>
      </w:r>
      <w:r w:rsidR="00371DCD">
        <w:rPr>
          <w:spacing w:val="-1"/>
          <w:sz w:val="21"/>
          <w:szCs w:val="21"/>
        </w:rPr>
        <w:t>’</w:t>
      </w:r>
      <w:r w:rsidR="00175615">
        <w:rPr>
          <w:spacing w:val="-1"/>
          <w:sz w:val="21"/>
          <w:szCs w:val="21"/>
        </w:rPr>
        <w:t>, or</w:t>
      </w:r>
      <w:r w:rsidRPr="00E9747F">
        <w:rPr>
          <w:spacing w:val="-1"/>
          <w:sz w:val="21"/>
          <w:szCs w:val="21"/>
        </w:rPr>
        <w:t xml:space="preserve"> pericardium used as reinforcement materials</w:t>
      </w:r>
    </w:p>
    <w:p w14:paraId="0E25B975" w14:textId="77777777" w:rsidR="00E9747F" w:rsidRPr="00E9747F" w:rsidRDefault="00E9747F" w:rsidP="00E9747F">
      <w:pPr>
        <w:pStyle w:val="BodyText"/>
        <w:widowControl w:val="0"/>
        <w:numPr>
          <w:ilvl w:val="0"/>
          <w:numId w:val="32"/>
        </w:numPr>
        <w:spacing w:before="120"/>
        <w:ind w:left="643"/>
        <w:rPr>
          <w:spacing w:val="-1"/>
          <w:sz w:val="21"/>
          <w:szCs w:val="21"/>
        </w:rPr>
      </w:pPr>
      <w:r w:rsidRPr="00E9747F">
        <w:rPr>
          <w:i/>
          <w:spacing w:val="-1"/>
          <w:sz w:val="21"/>
          <w:szCs w:val="21"/>
        </w:rPr>
        <w:t>amniotic membrane</w:t>
      </w:r>
      <w:r w:rsidRPr="00E9747F">
        <w:rPr>
          <w:spacing w:val="-1"/>
          <w:sz w:val="21"/>
          <w:szCs w:val="21"/>
        </w:rPr>
        <w:t xml:space="preserve"> – used for ophthalmic surgery and as a wound </w:t>
      </w:r>
      <w:r w:rsidR="00175615">
        <w:rPr>
          <w:spacing w:val="-1"/>
          <w:sz w:val="21"/>
          <w:szCs w:val="21"/>
        </w:rPr>
        <w:t>treatment</w:t>
      </w:r>
      <w:r w:rsidRPr="00E9747F">
        <w:rPr>
          <w:spacing w:val="-1"/>
          <w:sz w:val="21"/>
          <w:szCs w:val="21"/>
        </w:rPr>
        <w:t xml:space="preserve">. </w:t>
      </w:r>
    </w:p>
    <w:p w14:paraId="58487F5D" w14:textId="77777777" w:rsidR="00E9747F" w:rsidRPr="00E9747F" w:rsidRDefault="00E9747F" w:rsidP="00E9747F">
      <w:pPr>
        <w:pStyle w:val="BodyText"/>
        <w:keepNext/>
        <w:spacing w:before="120"/>
        <w:rPr>
          <w:spacing w:val="-1"/>
          <w:sz w:val="21"/>
          <w:szCs w:val="21"/>
        </w:rPr>
      </w:pPr>
      <w:r w:rsidRPr="00E9747F">
        <w:rPr>
          <w:spacing w:val="-1"/>
          <w:sz w:val="21"/>
          <w:szCs w:val="21"/>
        </w:rPr>
        <w:t xml:space="preserve">Australian tissue banks operate under a range of organisational structures and scope of activity, as follows (all information is correct at the time of publishing and may be subject to change): </w:t>
      </w:r>
    </w:p>
    <w:p w14:paraId="704B0606" w14:textId="77777777" w:rsidR="00E9747F" w:rsidRPr="00E9747F" w:rsidRDefault="00E9747F" w:rsidP="00E9747F">
      <w:pPr>
        <w:pStyle w:val="BodyText"/>
        <w:spacing w:before="120"/>
        <w:ind w:left="283"/>
        <w:rPr>
          <w:spacing w:val="-1"/>
          <w:sz w:val="21"/>
          <w:szCs w:val="21"/>
        </w:rPr>
      </w:pPr>
      <w:r w:rsidRPr="00E9747F">
        <w:rPr>
          <w:spacing w:val="-1"/>
          <w:sz w:val="21"/>
          <w:szCs w:val="21"/>
        </w:rPr>
        <w:t>New South Wales (NSW):</w:t>
      </w:r>
    </w:p>
    <w:p w14:paraId="0932FBF6" w14:textId="77777777" w:rsidR="00E9747F" w:rsidRPr="00E9747F" w:rsidRDefault="00E9747F" w:rsidP="00E9747F">
      <w:pPr>
        <w:pStyle w:val="BodyText"/>
        <w:widowControl w:val="0"/>
        <w:numPr>
          <w:ilvl w:val="0"/>
          <w:numId w:val="33"/>
        </w:numPr>
        <w:spacing w:before="120"/>
        <w:ind w:left="926"/>
        <w:rPr>
          <w:spacing w:val="-1"/>
          <w:sz w:val="21"/>
          <w:szCs w:val="21"/>
        </w:rPr>
      </w:pPr>
      <w:r w:rsidRPr="00E9747F">
        <w:rPr>
          <w:spacing w:val="-1"/>
          <w:sz w:val="21"/>
          <w:szCs w:val="21"/>
        </w:rPr>
        <w:t>NSW Tissue Banks (public, not-for-profit, multi tissue donation and retrieval: MSK, skin, eyes and amniotic membrane)</w:t>
      </w:r>
    </w:p>
    <w:p w14:paraId="03F8AF83" w14:textId="77777777" w:rsidR="00E9747F" w:rsidRPr="00E9747F" w:rsidRDefault="00E9747F" w:rsidP="00E9747F">
      <w:pPr>
        <w:pStyle w:val="BodyText"/>
        <w:widowControl w:val="0"/>
        <w:numPr>
          <w:ilvl w:val="0"/>
          <w:numId w:val="33"/>
        </w:numPr>
        <w:spacing w:before="120"/>
        <w:ind w:left="926"/>
        <w:rPr>
          <w:spacing w:val="-1"/>
          <w:sz w:val="21"/>
          <w:szCs w:val="21"/>
        </w:rPr>
      </w:pPr>
      <w:r w:rsidRPr="00E9747F">
        <w:rPr>
          <w:spacing w:val="-1"/>
          <w:sz w:val="21"/>
          <w:szCs w:val="21"/>
        </w:rPr>
        <w:t>Hunter New England Bone Bank (public, not-for-profit, bone from femoral head (FH) and distribution of other NSW tissue and tissue-based products)</w:t>
      </w:r>
    </w:p>
    <w:p w14:paraId="7671EF55" w14:textId="21C3D793" w:rsidR="00E9747F" w:rsidRPr="00E9747F" w:rsidRDefault="006220C8" w:rsidP="00E9747F">
      <w:pPr>
        <w:pStyle w:val="BodyText"/>
        <w:widowControl w:val="0"/>
        <w:numPr>
          <w:ilvl w:val="0"/>
          <w:numId w:val="33"/>
        </w:numPr>
        <w:spacing w:before="120"/>
        <w:ind w:left="926"/>
        <w:rPr>
          <w:spacing w:val="-1"/>
          <w:sz w:val="21"/>
          <w:szCs w:val="21"/>
        </w:rPr>
      </w:pPr>
      <w:r>
        <w:rPr>
          <w:spacing w:val="-1"/>
          <w:sz w:val="21"/>
          <w:szCs w:val="21"/>
        </w:rPr>
        <w:t>Sydney</w:t>
      </w:r>
      <w:r w:rsidRPr="00E9747F">
        <w:rPr>
          <w:spacing w:val="-1"/>
          <w:sz w:val="21"/>
          <w:szCs w:val="21"/>
        </w:rPr>
        <w:t xml:space="preserve"> </w:t>
      </w:r>
      <w:r w:rsidR="00E9747F" w:rsidRPr="00E9747F">
        <w:rPr>
          <w:spacing w:val="-1"/>
          <w:sz w:val="21"/>
          <w:szCs w:val="21"/>
        </w:rPr>
        <w:t>Heart Valve Bank (public, not-for-profit, cardiac tissue)</w:t>
      </w:r>
    </w:p>
    <w:p w14:paraId="0BF7794E" w14:textId="77777777" w:rsidR="00E9747F" w:rsidRPr="00E9747F" w:rsidRDefault="00E9747F" w:rsidP="00E9747F">
      <w:pPr>
        <w:pStyle w:val="BodyText"/>
        <w:widowControl w:val="0"/>
        <w:numPr>
          <w:ilvl w:val="0"/>
          <w:numId w:val="33"/>
        </w:numPr>
        <w:spacing w:before="120"/>
        <w:ind w:left="926"/>
        <w:rPr>
          <w:spacing w:val="-1"/>
          <w:sz w:val="21"/>
          <w:szCs w:val="21"/>
        </w:rPr>
      </w:pPr>
      <w:r w:rsidRPr="00E9747F">
        <w:rPr>
          <w:spacing w:val="-1"/>
          <w:sz w:val="21"/>
          <w:szCs w:val="21"/>
        </w:rPr>
        <w:t>Rachel Forster Bone Bank (public, not-for-profit, bone from FH only)</w:t>
      </w:r>
    </w:p>
    <w:p w14:paraId="2FF56EB1" w14:textId="77777777" w:rsidR="00E9747F" w:rsidRPr="00E9747F" w:rsidRDefault="00E9747F" w:rsidP="00E9747F">
      <w:pPr>
        <w:pStyle w:val="BodyText"/>
        <w:widowControl w:val="0"/>
        <w:numPr>
          <w:ilvl w:val="0"/>
          <w:numId w:val="33"/>
        </w:numPr>
        <w:spacing w:before="120"/>
        <w:ind w:left="926"/>
        <w:rPr>
          <w:spacing w:val="-1"/>
          <w:sz w:val="21"/>
          <w:szCs w:val="21"/>
        </w:rPr>
      </w:pPr>
      <w:r w:rsidRPr="00E9747F">
        <w:rPr>
          <w:spacing w:val="-1"/>
          <w:sz w:val="21"/>
          <w:szCs w:val="21"/>
        </w:rPr>
        <w:t>Australian Biotechnologies (private, for-profit, contracted manufacturer/distributor, MSK)</w:t>
      </w:r>
    </w:p>
    <w:p w14:paraId="75A44F78" w14:textId="77777777" w:rsidR="00E9747F" w:rsidRPr="00E9747F" w:rsidRDefault="00E9747F" w:rsidP="00E9747F">
      <w:pPr>
        <w:pStyle w:val="BodyText"/>
        <w:widowControl w:val="0"/>
        <w:numPr>
          <w:ilvl w:val="0"/>
          <w:numId w:val="33"/>
        </w:numPr>
        <w:spacing w:before="120"/>
        <w:ind w:left="926"/>
        <w:rPr>
          <w:spacing w:val="-1"/>
          <w:sz w:val="21"/>
          <w:szCs w:val="21"/>
        </w:rPr>
      </w:pPr>
      <w:r w:rsidRPr="00E9747F">
        <w:rPr>
          <w:spacing w:val="-1"/>
          <w:sz w:val="21"/>
          <w:szCs w:val="21"/>
        </w:rPr>
        <w:t>Australian Tissue Donation Network (ATDN) (private, not-for-profit</w:t>
      </w:r>
      <w:r w:rsidR="00AE7F0C">
        <w:rPr>
          <w:spacing w:val="-1"/>
          <w:sz w:val="21"/>
          <w:szCs w:val="21"/>
        </w:rPr>
        <w:t>,</w:t>
      </w:r>
      <w:r w:rsidRPr="00E9747F">
        <w:rPr>
          <w:spacing w:val="-1"/>
          <w:sz w:val="21"/>
          <w:szCs w:val="21"/>
        </w:rPr>
        <w:t xml:space="preserve"> bone from FH procurement agency)</w:t>
      </w:r>
    </w:p>
    <w:p w14:paraId="3B89A043" w14:textId="77777777" w:rsidR="00E9747F" w:rsidRPr="00E9747F" w:rsidRDefault="00E9747F" w:rsidP="00E9747F">
      <w:pPr>
        <w:pStyle w:val="BodyText"/>
        <w:spacing w:before="120"/>
        <w:ind w:left="283"/>
        <w:rPr>
          <w:spacing w:val="-1"/>
          <w:sz w:val="21"/>
          <w:szCs w:val="21"/>
        </w:rPr>
      </w:pPr>
      <w:r w:rsidRPr="00E9747F">
        <w:rPr>
          <w:spacing w:val="-1"/>
          <w:sz w:val="21"/>
          <w:szCs w:val="21"/>
        </w:rPr>
        <w:t>ACT:</w:t>
      </w:r>
    </w:p>
    <w:p w14:paraId="6F8B36A1" w14:textId="11A3EC2D" w:rsidR="00E523F0" w:rsidRPr="00E9747F" w:rsidRDefault="00E523F0" w:rsidP="00E523F0">
      <w:pPr>
        <w:pStyle w:val="BodyText"/>
        <w:widowControl w:val="0"/>
        <w:numPr>
          <w:ilvl w:val="0"/>
          <w:numId w:val="33"/>
        </w:numPr>
        <w:spacing w:before="120"/>
        <w:ind w:left="926"/>
        <w:rPr>
          <w:spacing w:val="-1"/>
          <w:sz w:val="21"/>
          <w:szCs w:val="21"/>
        </w:rPr>
      </w:pPr>
      <w:proofErr w:type="spellStart"/>
      <w:r w:rsidRPr="00E9747F">
        <w:rPr>
          <w:spacing w:val="-1"/>
          <w:sz w:val="21"/>
          <w:szCs w:val="21"/>
        </w:rPr>
        <w:t>DonateLife</w:t>
      </w:r>
      <w:proofErr w:type="spellEnd"/>
      <w:r w:rsidRPr="00E9747F">
        <w:rPr>
          <w:spacing w:val="-1"/>
          <w:sz w:val="21"/>
          <w:szCs w:val="21"/>
        </w:rPr>
        <w:t xml:space="preserve"> ACT (public retrieval</w:t>
      </w:r>
      <w:r>
        <w:rPr>
          <w:spacing w:val="-1"/>
          <w:sz w:val="21"/>
          <w:szCs w:val="21"/>
        </w:rPr>
        <w:t xml:space="preserve"> of</w:t>
      </w:r>
      <w:r w:rsidRPr="00E9747F">
        <w:rPr>
          <w:spacing w:val="-1"/>
          <w:sz w:val="21"/>
          <w:szCs w:val="21"/>
        </w:rPr>
        <w:t xml:space="preserve"> cardiovascular tissue</w:t>
      </w:r>
      <w:r>
        <w:rPr>
          <w:spacing w:val="-1"/>
          <w:sz w:val="21"/>
          <w:szCs w:val="21"/>
        </w:rPr>
        <w:t xml:space="preserve"> when organ donation is occurring</w:t>
      </w:r>
      <w:r w:rsidRPr="00E9747F">
        <w:rPr>
          <w:spacing w:val="-1"/>
          <w:sz w:val="21"/>
          <w:szCs w:val="21"/>
        </w:rPr>
        <w:t>)</w:t>
      </w:r>
    </w:p>
    <w:p w14:paraId="0FD60822" w14:textId="77777777" w:rsidR="00E9747F" w:rsidRPr="00E9747F" w:rsidRDefault="00E9747F" w:rsidP="00E9747F">
      <w:pPr>
        <w:pStyle w:val="BodyText"/>
        <w:spacing w:before="120"/>
        <w:ind w:left="283"/>
        <w:rPr>
          <w:spacing w:val="-1"/>
          <w:sz w:val="21"/>
          <w:szCs w:val="21"/>
        </w:rPr>
      </w:pPr>
      <w:r w:rsidRPr="00E9747F">
        <w:rPr>
          <w:spacing w:val="-1"/>
          <w:sz w:val="21"/>
          <w:szCs w:val="21"/>
        </w:rPr>
        <w:t xml:space="preserve">Queensland: </w:t>
      </w:r>
    </w:p>
    <w:p w14:paraId="2102A824" w14:textId="77777777" w:rsidR="00E9747F" w:rsidRPr="00E9747F" w:rsidRDefault="00E9747F" w:rsidP="00E9747F">
      <w:pPr>
        <w:pStyle w:val="BodyText"/>
        <w:widowControl w:val="0"/>
        <w:numPr>
          <w:ilvl w:val="0"/>
          <w:numId w:val="34"/>
        </w:numPr>
        <w:spacing w:before="120"/>
        <w:ind w:left="926"/>
        <w:rPr>
          <w:spacing w:val="-1"/>
          <w:sz w:val="21"/>
          <w:szCs w:val="21"/>
        </w:rPr>
      </w:pPr>
      <w:r w:rsidRPr="00E9747F">
        <w:rPr>
          <w:spacing w:val="-1"/>
          <w:sz w:val="21"/>
          <w:szCs w:val="21"/>
        </w:rPr>
        <w:t xml:space="preserve">Queensland Tissue Bank (public, not-for profit, </w:t>
      </w:r>
      <w:r w:rsidR="00AF72C8" w:rsidRPr="00AF72C8">
        <w:rPr>
          <w:sz w:val="21"/>
          <w:szCs w:val="21"/>
        </w:rPr>
        <w:t>in the process of amalgamating the Queensland Heart Valve Bank, the Queensland Eye Bank and the Queensland Bone Bank, which is licensed for MS</w:t>
      </w:r>
      <w:r w:rsidR="00902DB5">
        <w:rPr>
          <w:sz w:val="21"/>
          <w:szCs w:val="21"/>
        </w:rPr>
        <w:t>K</w:t>
      </w:r>
      <w:r w:rsidR="00AF72C8" w:rsidRPr="00AF72C8">
        <w:rPr>
          <w:sz w:val="21"/>
          <w:szCs w:val="21"/>
        </w:rPr>
        <w:t xml:space="preserve"> and </w:t>
      </w:r>
      <w:r w:rsidR="00682DAA">
        <w:rPr>
          <w:sz w:val="21"/>
          <w:szCs w:val="21"/>
        </w:rPr>
        <w:t>s</w:t>
      </w:r>
      <w:r w:rsidR="00AF72C8" w:rsidRPr="00AF72C8">
        <w:rPr>
          <w:sz w:val="21"/>
          <w:szCs w:val="21"/>
        </w:rPr>
        <w:t xml:space="preserve">kin </w:t>
      </w:r>
      <w:r w:rsidR="00682DAA">
        <w:rPr>
          <w:sz w:val="21"/>
          <w:szCs w:val="21"/>
        </w:rPr>
        <w:t>m</w:t>
      </w:r>
      <w:r w:rsidR="00AF72C8" w:rsidRPr="00AF72C8">
        <w:rPr>
          <w:sz w:val="21"/>
          <w:szCs w:val="21"/>
        </w:rPr>
        <w:t>anufacture</w:t>
      </w:r>
      <w:r w:rsidRPr="00E9747F">
        <w:rPr>
          <w:spacing w:val="-1"/>
          <w:sz w:val="21"/>
          <w:szCs w:val="21"/>
        </w:rPr>
        <w:t>)</w:t>
      </w:r>
    </w:p>
    <w:p w14:paraId="7DF931DC" w14:textId="77777777" w:rsidR="00E9747F" w:rsidRPr="00E9747F" w:rsidRDefault="00E9747F" w:rsidP="00E9747F">
      <w:pPr>
        <w:pStyle w:val="BodyText"/>
        <w:spacing w:before="120"/>
        <w:ind w:left="283"/>
        <w:rPr>
          <w:spacing w:val="-1"/>
          <w:sz w:val="21"/>
          <w:szCs w:val="21"/>
        </w:rPr>
      </w:pPr>
      <w:r w:rsidRPr="00E9747F">
        <w:rPr>
          <w:spacing w:val="-1"/>
          <w:sz w:val="21"/>
          <w:szCs w:val="21"/>
        </w:rPr>
        <w:t>South Australia:</w:t>
      </w:r>
    </w:p>
    <w:p w14:paraId="5BFABB62" w14:textId="77777777" w:rsidR="00E9747F" w:rsidRPr="00E9747F" w:rsidRDefault="00E9747F" w:rsidP="00E9747F">
      <w:pPr>
        <w:pStyle w:val="BodyText"/>
        <w:widowControl w:val="0"/>
        <w:numPr>
          <w:ilvl w:val="0"/>
          <w:numId w:val="35"/>
        </w:numPr>
        <w:spacing w:before="120"/>
        <w:ind w:left="926"/>
        <w:rPr>
          <w:spacing w:val="-1"/>
          <w:sz w:val="21"/>
          <w:szCs w:val="21"/>
        </w:rPr>
      </w:pPr>
      <w:r w:rsidRPr="00E9747F">
        <w:rPr>
          <w:spacing w:val="-1"/>
          <w:sz w:val="21"/>
          <w:szCs w:val="21"/>
        </w:rPr>
        <w:t>South Australia Bone Bank (public, not-for-profit, bone from FH only)</w:t>
      </w:r>
    </w:p>
    <w:p w14:paraId="3CF37F2F" w14:textId="77777777" w:rsidR="00E9747F" w:rsidRPr="00E9747F" w:rsidRDefault="00E9747F" w:rsidP="00E9747F">
      <w:pPr>
        <w:pStyle w:val="BodyText"/>
        <w:spacing w:before="120"/>
        <w:ind w:left="283"/>
        <w:rPr>
          <w:spacing w:val="-1"/>
          <w:sz w:val="21"/>
          <w:szCs w:val="21"/>
        </w:rPr>
      </w:pPr>
      <w:r w:rsidRPr="00E9747F">
        <w:rPr>
          <w:spacing w:val="-1"/>
          <w:sz w:val="21"/>
          <w:szCs w:val="21"/>
        </w:rPr>
        <w:t>Victoria:</w:t>
      </w:r>
    </w:p>
    <w:p w14:paraId="64630D15" w14:textId="77777777" w:rsidR="00E9747F" w:rsidRPr="00E9747F" w:rsidRDefault="00E9747F" w:rsidP="00E9747F">
      <w:pPr>
        <w:pStyle w:val="BodyText"/>
        <w:widowControl w:val="0"/>
        <w:numPr>
          <w:ilvl w:val="0"/>
          <w:numId w:val="34"/>
        </w:numPr>
        <w:spacing w:before="120"/>
        <w:ind w:left="926"/>
        <w:rPr>
          <w:spacing w:val="-1"/>
          <w:sz w:val="21"/>
          <w:szCs w:val="21"/>
        </w:rPr>
      </w:pPr>
      <w:r w:rsidRPr="00E9747F">
        <w:rPr>
          <w:spacing w:val="-1"/>
          <w:sz w:val="21"/>
          <w:szCs w:val="21"/>
        </w:rPr>
        <w:t>Donor Tissue Bank of Victoria (public, not-for-profit, multi tissue: MSK, skin, cardiovascular tissue)</w:t>
      </w:r>
    </w:p>
    <w:p w14:paraId="46F9C4C2" w14:textId="77777777" w:rsidR="00E9747F" w:rsidRPr="00E9747F" w:rsidRDefault="00E9747F" w:rsidP="00E9747F">
      <w:pPr>
        <w:pStyle w:val="BodyText"/>
        <w:widowControl w:val="0"/>
        <w:numPr>
          <w:ilvl w:val="0"/>
          <w:numId w:val="34"/>
        </w:numPr>
        <w:spacing w:before="120"/>
        <w:ind w:left="926"/>
        <w:rPr>
          <w:spacing w:val="-1"/>
          <w:sz w:val="21"/>
          <w:szCs w:val="21"/>
        </w:rPr>
      </w:pPr>
      <w:r w:rsidRPr="00E9747F">
        <w:rPr>
          <w:spacing w:val="-1"/>
          <w:sz w:val="21"/>
          <w:szCs w:val="21"/>
        </w:rPr>
        <w:t>Barwon Health Bone Bank (private, not-for-profit, bone from FH only)</w:t>
      </w:r>
    </w:p>
    <w:p w14:paraId="76FE100E" w14:textId="77777777" w:rsidR="00E9747F" w:rsidRPr="00E9747F" w:rsidRDefault="00E9747F" w:rsidP="00E9747F">
      <w:pPr>
        <w:pStyle w:val="BodyText"/>
        <w:spacing w:before="120"/>
        <w:ind w:left="283"/>
        <w:rPr>
          <w:spacing w:val="-1"/>
          <w:sz w:val="21"/>
          <w:szCs w:val="21"/>
        </w:rPr>
      </w:pPr>
      <w:r w:rsidRPr="00E9747F">
        <w:rPr>
          <w:spacing w:val="-1"/>
          <w:sz w:val="21"/>
          <w:szCs w:val="21"/>
        </w:rPr>
        <w:t>Western Australia:</w:t>
      </w:r>
    </w:p>
    <w:p w14:paraId="0BBAD12A" w14:textId="77777777" w:rsidR="00E9747F" w:rsidRPr="00E9747F" w:rsidRDefault="00E9747F" w:rsidP="00E9747F">
      <w:pPr>
        <w:pStyle w:val="BodyText"/>
        <w:widowControl w:val="0"/>
        <w:numPr>
          <w:ilvl w:val="0"/>
          <w:numId w:val="34"/>
        </w:numPr>
        <w:spacing w:before="120"/>
        <w:ind w:left="926"/>
        <w:rPr>
          <w:spacing w:val="-1"/>
          <w:sz w:val="21"/>
          <w:szCs w:val="21"/>
        </w:rPr>
      </w:pPr>
      <w:proofErr w:type="spellStart"/>
      <w:r w:rsidRPr="00E9747F">
        <w:rPr>
          <w:spacing w:val="-1"/>
          <w:sz w:val="21"/>
          <w:szCs w:val="21"/>
        </w:rPr>
        <w:t>PlusLife</w:t>
      </w:r>
      <w:proofErr w:type="spellEnd"/>
      <w:r w:rsidRPr="00E9747F">
        <w:rPr>
          <w:spacing w:val="-1"/>
          <w:sz w:val="21"/>
          <w:szCs w:val="21"/>
        </w:rPr>
        <w:t xml:space="preserve"> (private, not-for-profit, MSK) </w:t>
      </w:r>
    </w:p>
    <w:p w14:paraId="18F6F746" w14:textId="77777777" w:rsidR="00E9747F" w:rsidRPr="00E9747F" w:rsidRDefault="00E9747F" w:rsidP="00E9747F">
      <w:pPr>
        <w:pStyle w:val="Heading4"/>
        <w:rPr>
          <w:vanish/>
        </w:rPr>
      </w:pPr>
      <w:r w:rsidRPr="00E9747F">
        <w:rPr>
          <w:vanish/>
        </w:rPr>
        <w:t>Tissue retrieval</w:t>
      </w:r>
    </w:p>
    <w:p w14:paraId="5579090D" w14:textId="18D7F55F" w:rsidR="00E9747F" w:rsidRPr="00E9747F" w:rsidRDefault="00E9747F" w:rsidP="00E9747F">
      <w:pPr>
        <w:pStyle w:val="BodyText"/>
        <w:spacing w:before="120"/>
        <w:rPr>
          <w:spacing w:val="-1"/>
          <w:sz w:val="21"/>
          <w:szCs w:val="21"/>
        </w:rPr>
      </w:pPr>
      <w:r w:rsidRPr="00E9747F">
        <w:rPr>
          <w:spacing w:val="-1"/>
          <w:sz w:val="21"/>
          <w:szCs w:val="21"/>
        </w:rPr>
        <w:t>Living bone donation is the most common pathway for bone donation in Australia. It</w:t>
      </w:r>
      <w:r w:rsidR="00175615">
        <w:rPr>
          <w:spacing w:val="-1"/>
          <w:sz w:val="21"/>
          <w:szCs w:val="21"/>
        </w:rPr>
        <w:t xml:space="preserve"> commonly occurs as part of hip replacement surgery when a </w:t>
      </w:r>
      <w:r w:rsidR="00161E49">
        <w:rPr>
          <w:spacing w:val="-1"/>
          <w:sz w:val="21"/>
          <w:szCs w:val="21"/>
        </w:rPr>
        <w:t>patient</w:t>
      </w:r>
      <w:r w:rsidR="00175615">
        <w:rPr>
          <w:spacing w:val="-1"/>
          <w:sz w:val="21"/>
          <w:szCs w:val="21"/>
        </w:rPr>
        <w:t xml:space="preserve"> consents to their femoral head to be </w:t>
      </w:r>
      <w:r w:rsidR="008B0D75">
        <w:rPr>
          <w:spacing w:val="-1"/>
          <w:sz w:val="21"/>
          <w:szCs w:val="21"/>
        </w:rPr>
        <w:t>donated</w:t>
      </w:r>
      <w:r w:rsidR="008B0D75" w:rsidRPr="00E9747F">
        <w:rPr>
          <w:spacing w:val="-1"/>
          <w:sz w:val="21"/>
          <w:szCs w:val="21"/>
        </w:rPr>
        <w:t>,</w:t>
      </w:r>
      <w:r w:rsidRPr="00E9747F">
        <w:rPr>
          <w:spacing w:val="-1"/>
          <w:sz w:val="21"/>
          <w:szCs w:val="21"/>
        </w:rPr>
        <w:t xml:space="preserve"> rather than</w:t>
      </w:r>
      <w:r w:rsidR="00175615">
        <w:rPr>
          <w:spacing w:val="-1"/>
          <w:sz w:val="21"/>
          <w:szCs w:val="21"/>
        </w:rPr>
        <w:t xml:space="preserve"> the tissue</w:t>
      </w:r>
      <w:r w:rsidRPr="00E9747F">
        <w:rPr>
          <w:spacing w:val="-1"/>
          <w:sz w:val="21"/>
          <w:szCs w:val="21"/>
        </w:rPr>
        <w:t xml:space="preserve"> being discarded. </w:t>
      </w:r>
      <w:r w:rsidR="00175615">
        <w:rPr>
          <w:spacing w:val="-1"/>
          <w:sz w:val="21"/>
          <w:szCs w:val="21"/>
        </w:rPr>
        <w:t>However the c</w:t>
      </w:r>
      <w:r w:rsidRPr="00E9747F">
        <w:rPr>
          <w:spacing w:val="-1"/>
          <w:sz w:val="21"/>
          <w:szCs w:val="21"/>
        </w:rPr>
        <w:t>ost-benefit</w:t>
      </w:r>
      <w:r w:rsidR="00175615">
        <w:rPr>
          <w:spacing w:val="-1"/>
          <w:sz w:val="21"/>
          <w:szCs w:val="21"/>
        </w:rPr>
        <w:t xml:space="preserve"> of bone donation</w:t>
      </w:r>
      <w:r w:rsidRPr="00E9747F">
        <w:rPr>
          <w:spacing w:val="-1"/>
          <w:sz w:val="21"/>
          <w:szCs w:val="21"/>
        </w:rPr>
        <w:t xml:space="preserve"> is low, both in terms of poor quality tissue and overall yield. </w:t>
      </w:r>
    </w:p>
    <w:p w14:paraId="1F5D22A6" w14:textId="77777777" w:rsidR="00480E48" w:rsidRDefault="00E9747F" w:rsidP="00E9747F">
      <w:pPr>
        <w:pStyle w:val="BodyText"/>
        <w:spacing w:before="120"/>
        <w:rPr>
          <w:spacing w:val="-1"/>
          <w:sz w:val="21"/>
          <w:szCs w:val="21"/>
        </w:rPr>
      </w:pPr>
      <w:r w:rsidRPr="00E9747F">
        <w:rPr>
          <w:spacing w:val="-1"/>
          <w:sz w:val="21"/>
          <w:szCs w:val="21"/>
        </w:rPr>
        <w:lastRenderedPageBreak/>
        <w:t xml:space="preserve">Tissue retrieval is usually performed by local tissue bank technical staff, as there is the requirement for medical professionals to perform the retrieval. </w:t>
      </w:r>
    </w:p>
    <w:p w14:paraId="5306F57F" w14:textId="4297CBFC" w:rsidR="00E9747F" w:rsidRDefault="00E523F0" w:rsidP="00E9747F">
      <w:pPr>
        <w:pStyle w:val="BodyText"/>
        <w:spacing w:before="120"/>
        <w:rPr>
          <w:spacing w:val="-1"/>
          <w:sz w:val="21"/>
          <w:szCs w:val="21"/>
        </w:rPr>
      </w:pPr>
      <w:r>
        <w:rPr>
          <w:spacing w:val="-1"/>
          <w:sz w:val="21"/>
          <w:szCs w:val="21"/>
        </w:rPr>
        <w:t xml:space="preserve">The </w:t>
      </w:r>
      <w:r w:rsidR="00E9747F" w:rsidRPr="00E9747F">
        <w:rPr>
          <w:spacing w:val="-1"/>
          <w:sz w:val="21"/>
          <w:szCs w:val="21"/>
        </w:rPr>
        <w:t>private not</w:t>
      </w:r>
      <w:r w:rsidR="00E9747F" w:rsidRPr="00E9747F">
        <w:rPr>
          <w:spacing w:val="-1"/>
          <w:sz w:val="21"/>
          <w:szCs w:val="21"/>
        </w:rPr>
        <w:noBreakHyphen/>
        <w:t>for</w:t>
      </w:r>
      <w:r w:rsidR="00E9747F" w:rsidRPr="00E9747F">
        <w:rPr>
          <w:spacing w:val="-1"/>
          <w:sz w:val="21"/>
          <w:szCs w:val="21"/>
        </w:rPr>
        <w:noBreakHyphen/>
        <w:t xml:space="preserve">profit ATDN independently identify, screen, approach for consent and perform tissue retrieval. In NSW all retrieved MSK tissue is referred to Australian Biotechnologies for processing and distribution. </w:t>
      </w:r>
    </w:p>
    <w:p w14:paraId="4D04F602" w14:textId="77777777" w:rsidR="00E9747F" w:rsidRPr="00447710" w:rsidRDefault="00E9747F" w:rsidP="00E9747F">
      <w:pPr>
        <w:pStyle w:val="Heading4"/>
        <w:rPr>
          <w:vanish/>
          <w:sz w:val="21"/>
        </w:rPr>
      </w:pPr>
      <w:r w:rsidRPr="00447710">
        <w:rPr>
          <w:vanish/>
          <w:sz w:val="21"/>
        </w:rPr>
        <w:t>Tissue supply</w:t>
      </w:r>
    </w:p>
    <w:p w14:paraId="525E81A5" w14:textId="77777777" w:rsidR="00480E48" w:rsidRPr="00447710" w:rsidRDefault="00E9747F" w:rsidP="00E9747F">
      <w:pPr>
        <w:pStyle w:val="BodyText"/>
        <w:spacing w:before="120"/>
        <w:rPr>
          <w:spacing w:val="-1"/>
          <w:sz w:val="21"/>
        </w:rPr>
      </w:pPr>
      <w:r w:rsidRPr="00447710">
        <w:rPr>
          <w:spacing w:val="-1"/>
          <w:sz w:val="21"/>
        </w:rPr>
        <w:t xml:space="preserve">Supply from a tissue bank occurs following requests received from </w:t>
      </w:r>
      <w:r w:rsidR="00480E48" w:rsidRPr="00447710">
        <w:rPr>
          <w:spacing w:val="-1"/>
          <w:sz w:val="21"/>
        </w:rPr>
        <w:t>(</w:t>
      </w:r>
      <w:r w:rsidRPr="00447710">
        <w:rPr>
          <w:spacing w:val="-1"/>
          <w:sz w:val="21"/>
        </w:rPr>
        <w:t>end</w:t>
      </w:r>
      <w:r w:rsidRPr="00447710">
        <w:rPr>
          <w:spacing w:val="-1"/>
          <w:sz w:val="21"/>
        </w:rPr>
        <w:noBreakHyphen/>
        <w:t>user</w:t>
      </w:r>
      <w:r w:rsidR="00480E48" w:rsidRPr="00447710">
        <w:rPr>
          <w:spacing w:val="-1"/>
          <w:sz w:val="21"/>
        </w:rPr>
        <w:t>)</w:t>
      </w:r>
      <w:r w:rsidRPr="00447710">
        <w:rPr>
          <w:spacing w:val="-1"/>
          <w:sz w:val="21"/>
        </w:rPr>
        <w:t xml:space="preserve"> surgeons. A single bank may offer various types of tissue grafts both within its jurisdiction and across jurisdictional borders depending upon supply and demand. </w:t>
      </w:r>
    </w:p>
    <w:p w14:paraId="0EA06565" w14:textId="77777777" w:rsidR="00E9747F" w:rsidRPr="00447710" w:rsidRDefault="00E9747F" w:rsidP="00E9747F">
      <w:pPr>
        <w:pStyle w:val="BodyText"/>
        <w:spacing w:before="120"/>
        <w:rPr>
          <w:spacing w:val="-1"/>
          <w:sz w:val="21"/>
        </w:rPr>
      </w:pPr>
      <w:r w:rsidRPr="00447710">
        <w:rPr>
          <w:spacing w:val="-1"/>
          <w:sz w:val="21"/>
        </w:rPr>
        <w:t xml:space="preserve">Although most tissue banks have clear channels of communication with end-users, feedback </w:t>
      </w:r>
      <w:r w:rsidR="00175615" w:rsidRPr="00447710">
        <w:rPr>
          <w:spacing w:val="-1"/>
          <w:sz w:val="21"/>
        </w:rPr>
        <w:t xml:space="preserve">is needed </w:t>
      </w:r>
      <w:r w:rsidRPr="00447710">
        <w:rPr>
          <w:spacing w:val="-1"/>
          <w:sz w:val="21"/>
        </w:rPr>
        <w:t xml:space="preserve">between banks and end-users that would enable better understanding of </w:t>
      </w:r>
      <w:r w:rsidR="00175615" w:rsidRPr="00447710">
        <w:rPr>
          <w:spacing w:val="-1"/>
          <w:sz w:val="21"/>
        </w:rPr>
        <w:t xml:space="preserve">tissue availability, </w:t>
      </w:r>
      <w:r w:rsidRPr="00447710">
        <w:rPr>
          <w:spacing w:val="-1"/>
          <w:sz w:val="21"/>
        </w:rPr>
        <w:t>outcomes, demand and trends in surgical practice</w:t>
      </w:r>
      <w:r w:rsidR="00175615" w:rsidRPr="00447710">
        <w:rPr>
          <w:spacing w:val="-1"/>
          <w:sz w:val="21"/>
        </w:rPr>
        <w:t>, which</w:t>
      </w:r>
      <w:r w:rsidR="00F57754" w:rsidRPr="00447710">
        <w:rPr>
          <w:spacing w:val="-1"/>
          <w:sz w:val="21"/>
        </w:rPr>
        <w:t xml:space="preserve"> </w:t>
      </w:r>
      <w:r w:rsidRPr="00447710">
        <w:rPr>
          <w:spacing w:val="-1"/>
          <w:sz w:val="21"/>
        </w:rPr>
        <w:t xml:space="preserve">lags behind that of eye banks. </w:t>
      </w:r>
    </w:p>
    <w:p w14:paraId="3A5E8DFC" w14:textId="77777777" w:rsidR="00E9747F" w:rsidRPr="00447710" w:rsidRDefault="00E9747F" w:rsidP="00E9747F">
      <w:pPr>
        <w:pStyle w:val="Heading4"/>
        <w:rPr>
          <w:vanish/>
          <w:sz w:val="21"/>
        </w:rPr>
      </w:pPr>
      <w:bookmarkStart w:id="108" w:name="_Toc5013237"/>
      <w:bookmarkStart w:id="109" w:name="_Toc5357140"/>
      <w:bookmarkStart w:id="110" w:name="_Toc5358051"/>
      <w:r w:rsidRPr="00447710">
        <w:rPr>
          <w:vanish/>
          <w:sz w:val="21"/>
        </w:rPr>
        <w:t>Data collection</w:t>
      </w:r>
      <w:bookmarkEnd w:id="108"/>
      <w:bookmarkEnd w:id="109"/>
      <w:bookmarkEnd w:id="110"/>
      <w:r w:rsidRPr="00447710">
        <w:rPr>
          <w:vanish/>
          <w:sz w:val="21"/>
        </w:rPr>
        <w:t xml:space="preserve"> </w:t>
      </w:r>
    </w:p>
    <w:p w14:paraId="5879E286" w14:textId="77777777" w:rsidR="00480E48" w:rsidRPr="00447710" w:rsidRDefault="00E9747F" w:rsidP="00E9747F">
      <w:pPr>
        <w:pStyle w:val="BodyText"/>
        <w:spacing w:before="120"/>
        <w:rPr>
          <w:spacing w:val="-1"/>
          <w:sz w:val="21"/>
        </w:rPr>
      </w:pPr>
      <w:r w:rsidRPr="00447710">
        <w:rPr>
          <w:spacing w:val="-1"/>
          <w:sz w:val="21"/>
        </w:rPr>
        <w:t xml:space="preserve">Data on tissue donor numbers and supplied tissue and tissue-based products is currently collected and reported by the Australia and New Zealand Organ Donation Registry on a monthly basis. </w:t>
      </w:r>
    </w:p>
    <w:p w14:paraId="56F410AF" w14:textId="77777777" w:rsidR="00E9747F" w:rsidRPr="00447710" w:rsidRDefault="00E9747F" w:rsidP="00E9747F">
      <w:pPr>
        <w:pStyle w:val="BodyText"/>
        <w:spacing w:before="120"/>
        <w:rPr>
          <w:spacing w:val="-1"/>
          <w:sz w:val="21"/>
        </w:rPr>
      </w:pPr>
      <w:r w:rsidRPr="00447710">
        <w:rPr>
          <w:spacing w:val="-1"/>
          <w:sz w:val="21"/>
        </w:rPr>
        <w:t xml:space="preserve">However, this data collection is limited and has scope for improvement. In addition, data on tissue transplantation resulting from importation or from a specific Special Access Scheme request is not reported.  </w:t>
      </w:r>
    </w:p>
    <w:p w14:paraId="6C30F9E4" w14:textId="77777777" w:rsidR="00E9747F" w:rsidRPr="007F36E9" w:rsidRDefault="00E9747F" w:rsidP="00E9747F">
      <w:pPr>
        <w:rPr>
          <w:rFonts w:ascii="Calibri Light" w:eastAsia="Calibri Light" w:hAnsi="Calibri Light"/>
          <w:spacing w:val="-1"/>
          <w:sz w:val="21"/>
          <w:szCs w:val="21"/>
        </w:rPr>
      </w:pPr>
      <w:r w:rsidRPr="007F36E9">
        <w:rPr>
          <w:spacing w:val="-1"/>
          <w:sz w:val="21"/>
          <w:szCs w:val="21"/>
        </w:rPr>
        <w:br w:type="page"/>
      </w:r>
    </w:p>
    <w:p w14:paraId="2DEF8462" w14:textId="77777777" w:rsidR="00E9747F" w:rsidRPr="004F1BD8" w:rsidRDefault="00E9747F" w:rsidP="00447710">
      <w:pPr>
        <w:pStyle w:val="Heading1"/>
      </w:pPr>
      <w:bookmarkStart w:id="111" w:name="_Toc34387857"/>
      <w:bookmarkStart w:id="112" w:name="_Toc80966459"/>
      <w:bookmarkStart w:id="113" w:name="_Toc109209873"/>
      <w:r w:rsidRPr="004F1BD8">
        <w:lastRenderedPageBreak/>
        <w:t>A</w:t>
      </w:r>
      <w:r>
        <w:t xml:space="preserve">ppendix </w:t>
      </w:r>
      <w:r w:rsidRPr="004F1BD8">
        <w:t xml:space="preserve">B: </w:t>
      </w:r>
      <w:r w:rsidRPr="005914BB">
        <w:t>All Governments’ Statement (June 2017)</w:t>
      </w:r>
      <w:bookmarkEnd w:id="111"/>
      <w:bookmarkEnd w:id="112"/>
      <w:bookmarkEnd w:id="113"/>
    </w:p>
    <w:p w14:paraId="58B67473" w14:textId="77777777" w:rsidR="00E9747F" w:rsidRPr="00E9747F" w:rsidRDefault="00E9747F" w:rsidP="00E9747F">
      <w:pPr>
        <w:pStyle w:val="BodyText"/>
        <w:spacing w:before="120"/>
        <w:rPr>
          <w:spacing w:val="-1"/>
          <w:sz w:val="21"/>
          <w:szCs w:val="21"/>
        </w:rPr>
      </w:pPr>
      <w:r w:rsidRPr="00E9747F">
        <w:rPr>
          <w:spacing w:val="-1"/>
          <w:sz w:val="21"/>
          <w:szCs w:val="21"/>
        </w:rPr>
        <w:t>In June 2015, at the request of the Commonwealth and State and Territory governments, PricewaterhouseCoopers undertook an Analysis of the Australian Eye and Tissue Sector. The report from the analysis presents an overview of the eye and tissue sector, as informed by stakeholders in tissue banking, government and clinical sectors.</w:t>
      </w:r>
    </w:p>
    <w:p w14:paraId="6A9E393D" w14:textId="77777777" w:rsidR="00E9747F" w:rsidRPr="00E9747F" w:rsidRDefault="00E9747F" w:rsidP="00E9747F">
      <w:pPr>
        <w:pStyle w:val="BodyText"/>
        <w:spacing w:before="120"/>
        <w:rPr>
          <w:spacing w:val="-1"/>
          <w:sz w:val="21"/>
          <w:szCs w:val="21"/>
        </w:rPr>
      </w:pPr>
      <w:r w:rsidRPr="00E9747F">
        <w:rPr>
          <w:spacing w:val="-1"/>
          <w:sz w:val="21"/>
          <w:szCs w:val="21"/>
        </w:rPr>
        <w:t xml:space="preserve">The eye and tissue sector is the largest donation and transplant sector in Australia. Each year the lives of thousands of Australians are transformed through the transplantation of generously donated eyes and tissues.  </w:t>
      </w:r>
    </w:p>
    <w:p w14:paraId="5306D4B7" w14:textId="77777777" w:rsidR="00E9747F" w:rsidRPr="00E9747F" w:rsidRDefault="00E9747F" w:rsidP="00E9747F">
      <w:pPr>
        <w:pStyle w:val="BodyText"/>
        <w:spacing w:before="120"/>
        <w:rPr>
          <w:spacing w:val="-1"/>
          <w:sz w:val="21"/>
          <w:szCs w:val="21"/>
        </w:rPr>
      </w:pPr>
      <w:r w:rsidRPr="00E9747F">
        <w:rPr>
          <w:spacing w:val="-1"/>
          <w:sz w:val="21"/>
          <w:szCs w:val="21"/>
        </w:rPr>
        <w:t>The report found that the Australian eye and tissue sector is diverse and undergoing rapid change in some areas. There was a 350 percent increase in tissue transplant activity in Australia over the 2009-2014 period and the pace of growth and change continues. As a result of this growth, the local availability of tissues for transplantation has not always met the community’s needs. As in other areas of the health sector, innovation in the development of new types of tissue for transplant has had a significant impact on the availability of tissue for transplant and the structure and function of the Australian sector. The report also found that awareness of the emerging complexities associated with the changing sector is limited. To ensure the continued adequate supply of tissue to meet the transplantation needs of the Australian population further work is required to support the sector in meeting these challenges to ensure the availability of eyes and tissues for transplantation in Australia into the future.</w:t>
      </w:r>
    </w:p>
    <w:p w14:paraId="481B5E7A" w14:textId="77777777" w:rsidR="00E9747F" w:rsidRPr="00E9747F" w:rsidRDefault="00E9747F" w:rsidP="00E9747F">
      <w:pPr>
        <w:pStyle w:val="BodyText"/>
        <w:spacing w:before="120"/>
        <w:rPr>
          <w:spacing w:val="-1"/>
          <w:sz w:val="21"/>
          <w:szCs w:val="21"/>
        </w:rPr>
      </w:pPr>
      <w:r w:rsidRPr="00E9747F">
        <w:rPr>
          <w:spacing w:val="-1"/>
          <w:sz w:val="21"/>
          <w:szCs w:val="21"/>
        </w:rPr>
        <w:t xml:space="preserve">The Commonwealth and State and Territory governments acknowledge that there are some issues within the sector which require rapid action. We agree with the recommendations presented in the report, particularly Recommendation Two which identifies that there is a need for a national policy framework for the sector that is agreed between all governments. This will inform the implementation of other measures to ensure the continued availability of eyes and tissues for those Australians who need them. The Commonwealth and State and Territory governments will work together to develop this national policy framework.  </w:t>
      </w:r>
    </w:p>
    <w:p w14:paraId="5D043AAC" w14:textId="77777777" w:rsidR="00E9747F" w:rsidRPr="00E9747F" w:rsidRDefault="00E9747F" w:rsidP="00E9747F">
      <w:pPr>
        <w:pStyle w:val="BodyText"/>
        <w:spacing w:before="120"/>
        <w:rPr>
          <w:spacing w:val="-1"/>
          <w:sz w:val="21"/>
          <w:szCs w:val="21"/>
        </w:rPr>
      </w:pPr>
      <w:r w:rsidRPr="00E9747F">
        <w:rPr>
          <w:spacing w:val="-1"/>
          <w:sz w:val="21"/>
          <w:szCs w:val="21"/>
        </w:rPr>
        <w:t xml:space="preserve">The Governments recognise that the eye and tissue sector is complex with multiple stakeholders. In addressing the recommendations within the report the Government will engage with key stakeholders to ensure that issues identified in the report can be addressed in a meaningful way to ensure the Australian eye and tissue sector is sustainable into the future. </w:t>
      </w:r>
    </w:p>
    <w:p w14:paraId="064BB5D9" w14:textId="77777777" w:rsidR="00CF4421" w:rsidRDefault="00CF4421" w:rsidP="00732B24">
      <w:pPr>
        <w:pStyle w:val="BodyText"/>
        <w:sectPr w:rsidR="00CF4421" w:rsidSect="00447710">
          <w:headerReference w:type="even" r:id="rId19"/>
          <w:headerReference w:type="default" r:id="rId20"/>
          <w:headerReference w:type="first" r:id="rId21"/>
          <w:pgSz w:w="11906" w:h="16838"/>
          <w:pgMar w:top="1701" w:right="1418" w:bottom="1418" w:left="1418" w:header="709" w:footer="709" w:gutter="0"/>
          <w:cols w:space="708"/>
          <w:docGrid w:linePitch="360"/>
        </w:sectPr>
      </w:pPr>
      <w:bookmarkStart w:id="114" w:name="_Toc7168602"/>
      <w:bookmarkEnd w:id="114"/>
    </w:p>
    <w:p w14:paraId="218C05C0" w14:textId="3F3E0814" w:rsidR="00205A93" w:rsidRPr="00205A93" w:rsidRDefault="00D07BD8" w:rsidP="00D07BD8">
      <w:pPr>
        <w:pStyle w:val="URL"/>
        <w:tabs>
          <w:tab w:val="center" w:pos="4535"/>
          <w:tab w:val="right" w:pos="9070"/>
        </w:tabs>
        <w:jc w:val="left"/>
      </w:pPr>
      <w:r>
        <w:lastRenderedPageBreak/>
        <w:tab/>
      </w:r>
      <w:r w:rsidR="00205A93" w:rsidRPr="00205A93">
        <w:t>Health.gov.au</w:t>
      </w:r>
      <w:r>
        <w:tab/>
      </w:r>
    </w:p>
    <w:p w14:paraId="13C547E8" w14:textId="1A005352" w:rsidR="00205A93" w:rsidRPr="00CF14A6" w:rsidRDefault="00205A93" w:rsidP="00CB0083">
      <w:pPr>
        <w:pStyle w:val="Paragraphtext"/>
        <w:jc w:val="center"/>
      </w:pPr>
      <w:r>
        <w:t xml:space="preserve">All information in this publication is correct as at </w:t>
      </w:r>
      <w:r w:rsidR="00D07BD8">
        <w:t>August</w:t>
      </w:r>
      <w:r w:rsidR="00E523F0">
        <w:t xml:space="preserve"> </w:t>
      </w:r>
      <w:r w:rsidR="005721E2">
        <w:t>202</w:t>
      </w:r>
      <w:r w:rsidR="00E523F0">
        <w:t>2</w:t>
      </w:r>
    </w:p>
    <w:sectPr w:rsidR="00205A93" w:rsidRPr="00CF14A6"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9DC9" w14:textId="77777777" w:rsidR="004A3BD5" w:rsidRDefault="004A3BD5" w:rsidP="006B56BB">
      <w:r>
        <w:separator/>
      </w:r>
    </w:p>
    <w:p w14:paraId="0B67C9BE" w14:textId="77777777" w:rsidR="004A3BD5" w:rsidRDefault="004A3BD5"/>
  </w:endnote>
  <w:endnote w:type="continuationSeparator" w:id="0">
    <w:p w14:paraId="1EFD9E81" w14:textId="77777777" w:rsidR="004A3BD5" w:rsidRDefault="004A3BD5" w:rsidP="006B56BB">
      <w:r>
        <w:continuationSeparator/>
      </w:r>
    </w:p>
    <w:p w14:paraId="02B67D07" w14:textId="77777777" w:rsidR="004A3BD5" w:rsidRDefault="004A3BD5"/>
  </w:endnote>
  <w:endnote w:type="continuationNotice" w:id="1">
    <w:p w14:paraId="1A597CC2" w14:textId="77777777" w:rsidR="004A3BD5" w:rsidRDefault="004A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CCD4" w14:textId="0F7B668E" w:rsidR="00A60589" w:rsidRDefault="00A60589" w:rsidP="00841111">
    <w:pPr>
      <w:pStyle w:val="Footer"/>
    </w:pPr>
    <w:r>
      <w:fldChar w:fldCharType="begin"/>
    </w:r>
    <w:r>
      <w:instrText xml:space="preserve"> PAGE   \* MERGEFORMAT </w:instrText>
    </w:r>
    <w:r>
      <w:fldChar w:fldCharType="separate"/>
    </w:r>
    <w:r>
      <w:rPr>
        <w:noProof/>
      </w:rPr>
      <w:t>10</w:t>
    </w:r>
    <w:r>
      <w:fldChar w:fldCharType="end"/>
    </w:r>
    <w:r w:rsidRPr="000D56E4">
      <w:tab/>
    </w:r>
    <w:r>
      <w:t>National Eye and Tissue Framework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6E91F81" w14:textId="1D37A108" w:rsidR="00A60589" w:rsidRDefault="00A60589" w:rsidP="000D56E4">
        <w:pPr>
          <w:pStyle w:val="Footer"/>
        </w:pPr>
        <w:r>
          <w:t>National Eye and Tissue Framework</w:t>
        </w:r>
        <w:r>
          <w:tab/>
        </w: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7D80AE08" w14:textId="48D4D873" w:rsidR="00A60589" w:rsidRDefault="00A60589"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5FDE" w14:textId="77777777" w:rsidR="00A60589" w:rsidRDefault="00A60589"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4B98" w14:textId="77777777" w:rsidR="004A3BD5" w:rsidRDefault="004A3BD5" w:rsidP="006B56BB">
      <w:r>
        <w:separator/>
      </w:r>
    </w:p>
    <w:p w14:paraId="1204C1B7" w14:textId="77777777" w:rsidR="004A3BD5" w:rsidRDefault="004A3BD5"/>
  </w:footnote>
  <w:footnote w:type="continuationSeparator" w:id="0">
    <w:p w14:paraId="15DF05EF" w14:textId="77777777" w:rsidR="004A3BD5" w:rsidRDefault="004A3BD5" w:rsidP="006B56BB">
      <w:r>
        <w:continuationSeparator/>
      </w:r>
    </w:p>
    <w:p w14:paraId="27F371C6" w14:textId="77777777" w:rsidR="004A3BD5" w:rsidRDefault="004A3BD5"/>
  </w:footnote>
  <w:footnote w:type="continuationNotice" w:id="1">
    <w:p w14:paraId="2FD48DC9" w14:textId="77777777" w:rsidR="004A3BD5" w:rsidRDefault="004A3BD5"/>
  </w:footnote>
  <w:footnote w:id="2">
    <w:p w14:paraId="76E94691" w14:textId="77777777" w:rsidR="00A60589" w:rsidRDefault="00A60589">
      <w:pPr>
        <w:pStyle w:val="FootnoteText"/>
      </w:pPr>
      <w:r>
        <w:rPr>
          <w:rStyle w:val="FootnoteReference"/>
        </w:rPr>
        <w:footnoteRef/>
      </w:r>
      <w:r>
        <w:t xml:space="preserve"> </w:t>
      </w:r>
      <w:r w:rsidRPr="00B3551E">
        <w:rPr>
          <w:rFonts w:cs="Arial"/>
          <w:sz w:val="18"/>
          <w:szCs w:val="18"/>
        </w:rPr>
        <w:t>Within the Framework, ‘Australians’ or ‘Australian patients’ refers to Australian residents who are eligible to access health services in Australia.</w:t>
      </w:r>
    </w:p>
  </w:footnote>
  <w:footnote w:id="3">
    <w:p w14:paraId="6FF1F02D" w14:textId="0217EEF2" w:rsidR="00276932" w:rsidRPr="00DA3990" w:rsidRDefault="00A60589" w:rsidP="00D87B9C">
      <w:pPr>
        <w:pStyle w:val="FootnoteText"/>
        <w:rPr>
          <w:i/>
          <w:sz w:val="18"/>
          <w:szCs w:val="18"/>
        </w:rPr>
      </w:pPr>
      <w:r>
        <w:rPr>
          <w:rStyle w:val="FootnoteReference"/>
        </w:rPr>
        <w:footnoteRef/>
      </w:r>
      <w:r>
        <w:t xml:space="preserve"> </w:t>
      </w:r>
      <w:r w:rsidRPr="00DA3990">
        <w:rPr>
          <w:sz w:val="18"/>
          <w:szCs w:val="18"/>
        </w:rPr>
        <w:t xml:space="preserve">PricewaterhouseCoopers Report: </w:t>
      </w:r>
      <w:r w:rsidRPr="00DA3990">
        <w:rPr>
          <w:i/>
          <w:sz w:val="18"/>
          <w:szCs w:val="18"/>
        </w:rPr>
        <w:t xml:space="preserve">Analysis of the Australian Tissue Sector (2016) </w:t>
      </w:r>
      <w:hyperlink r:id="rId1" w:history="1">
        <w:r w:rsidR="00276932" w:rsidRPr="00503902">
          <w:rPr>
            <w:rStyle w:val="Hyperlink"/>
            <w:sz w:val="18"/>
            <w:szCs w:val="18"/>
          </w:rPr>
          <w:t>https://www.donatelife.gov.au/about-us/corporate-transparency/government-reports</w:t>
        </w:r>
      </w:hyperlink>
    </w:p>
  </w:footnote>
  <w:footnote w:id="4">
    <w:p w14:paraId="6E0A53CF" w14:textId="2B52A27A" w:rsidR="00A60589" w:rsidRPr="00DA3990" w:rsidRDefault="00A60589" w:rsidP="009F5327">
      <w:pPr>
        <w:pStyle w:val="FootnoteText"/>
        <w:rPr>
          <w:sz w:val="18"/>
          <w:szCs w:val="18"/>
        </w:rPr>
      </w:pPr>
      <w:r>
        <w:rPr>
          <w:rStyle w:val="FootnoteReference"/>
        </w:rPr>
        <w:footnoteRef/>
      </w:r>
      <w:r>
        <w:t xml:space="preserve"> </w:t>
      </w:r>
      <w:r w:rsidRPr="00DA3990">
        <w:rPr>
          <w:sz w:val="18"/>
          <w:szCs w:val="18"/>
        </w:rPr>
        <w:t xml:space="preserve">Therapeutic Goods Administration, Regulatory framework for biologicals, </w:t>
      </w:r>
      <w:hyperlink r:id="rId2" w:history="1">
        <w:r w:rsidRPr="00DA3990">
          <w:rPr>
            <w:rStyle w:val="Hyperlink"/>
            <w:sz w:val="18"/>
            <w:szCs w:val="18"/>
          </w:rPr>
          <w:t>https://www.tga.gov.au/regulatory-</w:t>
        </w:r>
        <w:r w:rsidRPr="00447710">
          <w:rPr>
            <w:rStyle w:val="Hyperlink"/>
            <w:sz w:val="18"/>
          </w:rPr>
          <w:t>framework</w:t>
        </w:r>
        <w:r w:rsidRPr="00DA3990">
          <w:rPr>
            <w:rStyle w:val="Hyperlink"/>
            <w:sz w:val="18"/>
            <w:szCs w:val="18"/>
          </w:rPr>
          <w:t>-</w:t>
        </w:r>
        <w:r w:rsidRPr="00447710">
          <w:rPr>
            <w:rStyle w:val="Hyperlink"/>
            <w:sz w:val="18"/>
          </w:rPr>
          <w:t>biologicals</w:t>
        </w:r>
      </w:hyperlink>
      <w:r w:rsidRPr="00DA3990">
        <w:rPr>
          <w:sz w:val="18"/>
          <w:szCs w:val="18"/>
        </w:rPr>
        <w:t xml:space="preserve"> </w:t>
      </w:r>
    </w:p>
  </w:footnote>
  <w:footnote w:id="5">
    <w:p w14:paraId="1037375F" w14:textId="01D08B65" w:rsidR="00276932" w:rsidRPr="00C3597B" w:rsidRDefault="00A60589" w:rsidP="009F5327">
      <w:pPr>
        <w:pStyle w:val="FootnoteText"/>
      </w:pPr>
      <w:r w:rsidRPr="00C3597B">
        <w:rPr>
          <w:rStyle w:val="FootnoteReference"/>
        </w:rPr>
        <w:footnoteRef/>
      </w:r>
      <w:r w:rsidRPr="00C3597B">
        <w:t xml:space="preserve"> </w:t>
      </w:r>
      <w:r w:rsidRPr="00DA3990">
        <w:rPr>
          <w:sz w:val="18"/>
          <w:szCs w:val="18"/>
        </w:rPr>
        <w:t xml:space="preserve">PricewaterhouseCoopers Report: </w:t>
      </w:r>
      <w:r w:rsidRPr="00DA3990">
        <w:rPr>
          <w:i/>
          <w:sz w:val="18"/>
          <w:szCs w:val="18"/>
        </w:rPr>
        <w:t xml:space="preserve">Analysis of the Australian Tissue Sector (2016) </w:t>
      </w:r>
      <w:hyperlink r:id="rId3" w:history="1">
        <w:r w:rsidR="00276932" w:rsidRPr="00276932">
          <w:rPr>
            <w:rStyle w:val="Hyperlink"/>
            <w:sz w:val="18"/>
            <w:szCs w:val="18"/>
          </w:rPr>
          <w:t>https://www.donatelife.gov.au/about-us/corporate-transparency/government-reports</w:t>
        </w:r>
      </w:hyperlink>
    </w:p>
  </w:footnote>
  <w:footnote w:id="6">
    <w:p w14:paraId="664C4099" w14:textId="4F9D0C1C" w:rsidR="00276932" w:rsidRPr="00DB22BC" w:rsidRDefault="00A60589">
      <w:pPr>
        <w:pStyle w:val="FootnoteText"/>
        <w:rPr>
          <w:sz w:val="18"/>
          <w:szCs w:val="18"/>
        </w:rPr>
      </w:pPr>
      <w:r w:rsidRPr="00447710">
        <w:rPr>
          <w:rStyle w:val="FootnoteReference"/>
          <w:sz w:val="18"/>
        </w:rPr>
        <w:footnoteRef/>
      </w:r>
      <w:r w:rsidRPr="002F53CA">
        <w:rPr>
          <w:sz w:val="18"/>
          <w:szCs w:val="18"/>
        </w:rPr>
        <w:t xml:space="preserve"> </w:t>
      </w:r>
      <w:hyperlink r:id="rId4" w:history="1">
        <w:r w:rsidR="00276932" w:rsidRPr="00DB22BC">
          <w:rPr>
            <w:rStyle w:val="Hyperlink"/>
            <w:sz w:val="18"/>
            <w:szCs w:val="18"/>
          </w:rPr>
          <w:t>https://www.nhmrc.gov.au/research-policy/ethics/ethical-guidelines-organ-and-tissue-donation-and-transplantation</w:t>
        </w:r>
      </w:hyperlink>
    </w:p>
  </w:footnote>
  <w:footnote w:id="7">
    <w:p w14:paraId="1923AAB7" w14:textId="71216037" w:rsidR="00A60589" w:rsidRPr="00DB22BC" w:rsidRDefault="00A60589" w:rsidP="00CE0EFD">
      <w:pPr>
        <w:pStyle w:val="FootnoteText"/>
        <w:rPr>
          <w:rFonts w:cs="Arial"/>
          <w:sz w:val="18"/>
          <w:szCs w:val="18"/>
        </w:rPr>
      </w:pPr>
      <w:r w:rsidRPr="00DB22BC">
        <w:rPr>
          <w:rStyle w:val="FootnoteReference"/>
          <w:sz w:val="18"/>
          <w:szCs w:val="18"/>
        </w:rPr>
        <w:footnoteRef/>
      </w:r>
      <w:r w:rsidRPr="00DB22BC">
        <w:rPr>
          <w:sz w:val="18"/>
          <w:szCs w:val="18"/>
        </w:rPr>
        <w:t xml:space="preserve"> Therapeutic Goods Administration, Regulatory framework for biologicals, </w:t>
      </w:r>
      <w:hyperlink r:id="rId5" w:history="1">
        <w:r w:rsidRPr="00DB22BC">
          <w:rPr>
            <w:rStyle w:val="Hyperlink"/>
            <w:rFonts w:cs="Arial"/>
            <w:sz w:val="18"/>
            <w:szCs w:val="18"/>
          </w:rPr>
          <w:t>https://www.tga.gov.au/regulatory-</w:t>
        </w:r>
        <w:r w:rsidRPr="00DB22BC">
          <w:rPr>
            <w:rStyle w:val="Hyperlink"/>
            <w:sz w:val="18"/>
            <w:szCs w:val="18"/>
          </w:rPr>
          <w:t>framework</w:t>
        </w:r>
        <w:r w:rsidRPr="00DB22BC">
          <w:rPr>
            <w:rStyle w:val="Hyperlink"/>
            <w:rFonts w:cs="Arial"/>
            <w:sz w:val="18"/>
            <w:szCs w:val="18"/>
          </w:rPr>
          <w:t>-</w:t>
        </w:r>
        <w:r w:rsidRPr="00DB22BC">
          <w:rPr>
            <w:rStyle w:val="Hyperlink"/>
            <w:sz w:val="18"/>
            <w:szCs w:val="18"/>
          </w:rPr>
          <w:t>biologicals</w:t>
        </w:r>
      </w:hyperlink>
      <w:r w:rsidRPr="00DB22BC">
        <w:rPr>
          <w:rStyle w:val="Hyperlink"/>
          <w:rFonts w:cs="Arial"/>
          <w:sz w:val="18"/>
          <w:szCs w:val="18"/>
        </w:rPr>
        <w:t>.</w:t>
      </w:r>
    </w:p>
  </w:footnote>
  <w:footnote w:id="8">
    <w:p w14:paraId="0858E675" w14:textId="0298FF26" w:rsidR="00A60589" w:rsidRPr="00DB22BC" w:rsidRDefault="00A60589" w:rsidP="00CE0EFD">
      <w:pPr>
        <w:pStyle w:val="FootnoteText"/>
        <w:rPr>
          <w:sz w:val="18"/>
          <w:szCs w:val="18"/>
        </w:rPr>
      </w:pPr>
      <w:r w:rsidRPr="00DB22BC">
        <w:rPr>
          <w:rStyle w:val="FootnoteReference"/>
          <w:sz w:val="18"/>
          <w:szCs w:val="18"/>
        </w:rPr>
        <w:footnoteRef/>
      </w:r>
      <w:r w:rsidRPr="00DB22BC">
        <w:rPr>
          <w:sz w:val="18"/>
          <w:szCs w:val="18"/>
        </w:rPr>
        <w:t xml:space="preserve"> Therapeutic Goods Administration, Australian Register of Therapeutic Goods (ARTG) </w:t>
      </w:r>
      <w:hyperlink r:id="rId6" w:history="1">
        <w:r w:rsidRPr="00DB22BC">
          <w:rPr>
            <w:rStyle w:val="Hyperlink"/>
            <w:sz w:val="18"/>
            <w:szCs w:val="18"/>
          </w:rPr>
          <w:t>https://www.tga.gov.au/artg</w:t>
        </w:r>
      </w:hyperlink>
      <w:r w:rsidRPr="00DB22BC">
        <w:rPr>
          <w:sz w:val="18"/>
          <w:szCs w:val="18"/>
        </w:rPr>
        <w:t xml:space="preserve">. </w:t>
      </w:r>
      <w:r w:rsidRPr="00DB22BC">
        <w:rPr>
          <w:rFonts w:cs="Arial"/>
          <w:sz w:val="18"/>
          <w:szCs w:val="18"/>
        </w:rPr>
        <w:t xml:space="preserve">Note: </w:t>
      </w:r>
      <w:r w:rsidRPr="00DB22BC">
        <w:rPr>
          <w:rFonts w:eastAsia="Calibri Light" w:cs="Arial"/>
          <w:sz w:val="18"/>
          <w:szCs w:val="18"/>
        </w:rPr>
        <w:t>products provided through the TGA Special Access Scheme can be lawfully supplied in Australia without being listed on the ARTG.</w:t>
      </w:r>
      <w:r w:rsidRPr="00DB22BC">
        <w:rPr>
          <w:sz w:val="18"/>
          <w:szCs w:val="18"/>
        </w:rPr>
        <w:t xml:space="preserve"> </w:t>
      </w:r>
    </w:p>
  </w:footnote>
  <w:footnote w:id="9">
    <w:p w14:paraId="558DBDEA" w14:textId="7C1C3C2D" w:rsidR="00A60589" w:rsidRPr="00DB22BC" w:rsidRDefault="00A60589" w:rsidP="00B3551E">
      <w:pPr>
        <w:pStyle w:val="BodyText"/>
        <w:spacing w:after="0"/>
        <w:rPr>
          <w:sz w:val="18"/>
          <w:szCs w:val="18"/>
        </w:rPr>
      </w:pPr>
      <w:r w:rsidRPr="00DB22BC">
        <w:rPr>
          <w:rStyle w:val="FootnoteReference"/>
          <w:sz w:val="18"/>
          <w:szCs w:val="18"/>
        </w:rPr>
        <w:footnoteRef/>
      </w:r>
      <w:r w:rsidRPr="00DB22BC">
        <w:rPr>
          <w:sz w:val="18"/>
          <w:szCs w:val="18"/>
        </w:rPr>
        <w:t xml:space="preserve"> </w:t>
      </w:r>
      <w:r w:rsidRPr="00DB22BC">
        <w:rPr>
          <w:rFonts w:cs="Arial"/>
          <w:sz w:val="18"/>
          <w:szCs w:val="18"/>
        </w:rPr>
        <w:t xml:space="preserve">World Health Organization (WHO). 2016. </w:t>
      </w:r>
      <w:r w:rsidRPr="00DB22BC">
        <w:rPr>
          <w:rFonts w:cs="Arial"/>
          <w:i/>
          <w:sz w:val="18"/>
          <w:szCs w:val="18"/>
        </w:rPr>
        <w:t>Principles for global consensus on the donation and management of blood, blood components and medical products of human origin</w:t>
      </w:r>
      <w:r w:rsidRPr="00DB22BC">
        <w:rPr>
          <w:sz w:val="18"/>
          <w:szCs w:val="18"/>
        </w:rPr>
        <w:t xml:space="preserve">, EB140/18 </w:t>
      </w:r>
      <w:hyperlink r:id="rId7" w:history="1">
        <w:r w:rsidRPr="00DB22BC">
          <w:rPr>
            <w:rStyle w:val="Hyperlink"/>
            <w:sz w:val="18"/>
            <w:szCs w:val="18"/>
          </w:rPr>
          <w:t>https://apps.who.int/iris/handle/10665/273230</w:t>
        </w:r>
      </w:hyperlink>
      <w:r w:rsidRPr="00DB22BC">
        <w:rPr>
          <w:rStyle w:val="Hyperlink"/>
          <w:sz w:val="18"/>
          <w:szCs w:val="18"/>
        </w:rPr>
        <w:t>.</w:t>
      </w:r>
    </w:p>
  </w:footnote>
  <w:footnote w:id="10">
    <w:p w14:paraId="386BFCBA" w14:textId="5B57C259" w:rsidR="00276932" w:rsidRPr="00F97C53" w:rsidRDefault="00A60589" w:rsidP="00CE0EFD">
      <w:pPr>
        <w:pStyle w:val="FootnoteText"/>
      </w:pPr>
      <w:r w:rsidRPr="00DB22BC">
        <w:rPr>
          <w:rStyle w:val="FootnoteReference"/>
          <w:sz w:val="18"/>
          <w:szCs w:val="18"/>
        </w:rPr>
        <w:footnoteRef/>
      </w:r>
      <w:r w:rsidRPr="00DB22BC">
        <w:rPr>
          <w:rStyle w:val="BodyTextChar"/>
          <w:sz w:val="18"/>
          <w:szCs w:val="18"/>
        </w:rPr>
        <w:t xml:space="preserve"> </w:t>
      </w:r>
      <w:r w:rsidRPr="00DB22BC">
        <w:rPr>
          <w:rStyle w:val="BodyTextChar"/>
          <w:rFonts w:cs="Arial"/>
          <w:sz w:val="18"/>
          <w:szCs w:val="18"/>
        </w:rPr>
        <w:t xml:space="preserve">WHO. 2010. </w:t>
      </w:r>
      <w:r w:rsidRPr="00DB22BC">
        <w:rPr>
          <w:rFonts w:cs="Arial"/>
          <w:i/>
          <w:sz w:val="18"/>
          <w:szCs w:val="18"/>
        </w:rPr>
        <w:t>Guiding principles on human cell, tissue and organ transplantation,</w:t>
      </w:r>
      <w:r w:rsidRPr="00DB22BC">
        <w:rPr>
          <w:rStyle w:val="BodyTextChar"/>
          <w:rFonts w:cs="Arial"/>
          <w:sz w:val="18"/>
          <w:szCs w:val="18"/>
        </w:rPr>
        <w:t xml:space="preserve"> WHA 63.22 </w:t>
      </w:r>
      <w:bookmarkStart w:id="34" w:name="_Hlk110415430"/>
      <w:r w:rsidR="00276932" w:rsidRPr="00DB22BC">
        <w:rPr>
          <w:sz w:val="18"/>
          <w:szCs w:val="18"/>
        </w:rPr>
        <w:fldChar w:fldCharType="begin"/>
      </w:r>
      <w:r w:rsidR="00276932" w:rsidRPr="00DB22BC">
        <w:rPr>
          <w:sz w:val="18"/>
          <w:szCs w:val="18"/>
        </w:rPr>
        <w:instrText xml:space="preserve"> HYPERLINK "https://apps.who.int/gb/ebwha/pdf_files/WHA63/A63_R22-en.pdf?ua=1" </w:instrText>
      </w:r>
      <w:r w:rsidR="00276932" w:rsidRPr="00DB22BC">
        <w:rPr>
          <w:sz w:val="18"/>
          <w:szCs w:val="18"/>
        </w:rPr>
        <w:fldChar w:fldCharType="separate"/>
      </w:r>
      <w:r w:rsidR="00276932" w:rsidRPr="00DB22BC">
        <w:rPr>
          <w:rStyle w:val="Hyperlink"/>
          <w:sz w:val="18"/>
          <w:szCs w:val="18"/>
        </w:rPr>
        <w:t>https://apps.who.int/gb/ebwha/pdf_files/WHA63/A63_R22-en.pdf?ua=1</w:t>
      </w:r>
      <w:r w:rsidR="00276932" w:rsidRPr="00DB22BC">
        <w:rPr>
          <w:sz w:val="18"/>
          <w:szCs w:val="18"/>
        </w:rPr>
        <w:fldChar w:fldCharType="end"/>
      </w:r>
      <w:bookmarkEnd w:id="34"/>
    </w:p>
  </w:footnote>
  <w:footnote w:id="11">
    <w:p w14:paraId="6F42D98C" w14:textId="77777777" w:rsidR="00A60589" w:rsidRPr="00B3551E" w:rsidRDefault="00A60589" w:rsidP="00CE0EFD">
      <w:pPr>
        <w:pStyle w:val="FootnoteText"/>
        <w:rPr>
          <w:rFonts w:cs="Arial"/>
          <w:sz w:val="18"/>
          <w:szCs w:val="18"/>
        </w:rPr>
      </w:pPr>
      <w:r>
        <w:rPr>
          <w:rStyle w:val="FootnoteReference"/>
        </w:rPr>
        <w:footnoteRef/>
      </w:r>
      <w:r>
        <w:t xml:space="preserve"> </w:t>
      </w:r>
      <w:r w:rsidRPr="00B3551E">
        <w:rPr>
          <w:rFonts w:cs="Arial"/>
          <w:sz w:val="18"/>
          <w:szCs w:val="18"/>
        </w:rPr>
        <w:t xml:space="preserve">State and territory </w:t>
      </w:r>
      <w:r>
        <w:rPr>
          <w:rFonts w:cs="Arial"/>
          <w:sz w:val="18"/>
          <w:szCs w:val="18"/>
        </w:rPr>
        <w:t>H</w:t>
      </w:r>
      <w:r w:rsidRPr="00B3551E">
        <w:rPr>
          <w:rFonts w:cs="Arial"/>
          <w:sz w:val="18"/>
          <w:szCs w:val="18"/>
        </w:rPr>
        <w:t xml:space="preserve">uman </w:t>
      </w:r>
      <w:r>
        <w:rPr>
          <w:rFonts w:cs="Arial"/>
          <w:sz w:val="18"/>
          <w:szCs w:val="18"/>
        </w:rPr>
        <w:t>T</w:t>
      </w:r>
      <w:r w:rsidRPr="00B3551E">
        <w:rPr>
          <w:rFonts w:cs="Arial"/>
          <w:sz w:val="18"/>
          <w:szCs w:val="18"/>
        </w:rPr>
        <w:t xml:space="preserve">issue </w:t>
      </w:r>
      <w:r>
        <w:rPr>
          <w:rFonts w:cs="Arial"/>
          <w:sz w:val="18"/>
          <w:szCs w:val="18"/>
        </w:rPr>
        <w:t>A</w:t>
      </w:r>
      <w:r w:rsidRPr="00B3551E">
        <w:rPr>
          <w:rFonts w:cs="Arial"/>
          <w:sz w:val="18"/>
          <w:szCs w:val="18"/>
        </w:rPr>
        <w:t>cts are listed below:</w:t>
      </w:r>
    </w:p>
    <w:p w14:paraId="72A0D4DB" w14:textId="619E3898" w:rsidR="00A60589" w:rsidRPr="00B3551E" w:rsidRDefault="00A60589" w:rsidP="00CE0EFD">
      <w:pPr>
        <w:pStyle w:val="FootnoteText"/>
        <w:rPr>
          <w:rFonts w:cs="Arial"/>
          <w:sz w:val="18"/>
          <w:szCs w:val="18"/>
        </w:rPr>
      </w:pPr>
      <w:r w:rsidRPr="00B3551E">
        <w:rPr>
          <w:rFonts w:cs="Arial"/>
          <w:sz w:val="18"/>
          <w:szCs w:val="18"/>
        </w:rPr>
        <w:t xml:space="preserve">Australian Capital Territory: </w:t>
      </w:r>
      <w:hyperlink r:id="rId8" w:history="1">
        <w:r w:rsidRPr="00B3551E">
          <w:rPr>
            <w:rStyle w:val="Hyperlink"/>
            <w:rFonts w:cs="Arial"/>
            <w:i/>
            <w:sz w:val="18"/>
            <w:szCs w:val="18"/>
          </w:rPr>
          <w:t>Transplantation and Anatomy Act 1978</w:t>
        </w:r>
      </w:hyperlink>
    </w:p>
    <w:p w14:paraId="1F12BF49" w14:textId="77777777" w:rsidR="00A60589" w:rsidRPr="00B3551E" w:rsidRDefault="00A60589" w:rsidP="00CE0EFD">
      <w:pPr>
        <w:pStyle w:val="FootnoteText"/>
        <w:rPr>
          <w:rFonts w:cs="Arial"/>
          <w:sz w:val="18"/>
          <w:szCs w:val="18"/>
        </w:rPr>
      </w:pPr>
      <w:r w:rsidRPr="00B3551E">
        <w:rPr>
          <w:rFonts w:cs="Arial"/>
          <w:sz w:val="18"/>
          <w:szCs w:val="18"/>
        </w:rPr>
        <w:t xml:space="preserve">New South Wales: </w:t>
      </w:r>
      <w:hyperlink r:id="rId9" w:anchor="/view/act/1983/164" w:history="1">
        <w:r w:rsidRPr="00B3551E">
          <w:rPr>
            <w:rStyle w:val="Hyperlink"/>
            <w:rFonts w:cs="Arial"/>
            <w:i/>
            <w:sz w:val="18"/>
            <w:szCs w:val="18"/>
          </w:rPr>
          <w:t>Human Tissue Act 1983</w:t>
        </w:r>
      </w:hyperlink>
    </w:p>
    <w:p w14:paraId="2D411263" w14:textId="77777777" w:rsidR="00A60589" w:rsidRPr="00B3551E" w:rsidRDefault="00A60589" w:rsidP="00CE0EFD">
      <w:pPr>
        <w:pStyle w:val="FootnoteText"/>
        <w:rPr>
          <w:rFonts w:cs="Arial"/>
          <w:sz w:val="18"/>
          <w:szCs w:val="18"/>
        </w:rPr>
      </w:pPr>
      <w:r w:rsidRPr="00B3551E">
        <w:rPr>
          <w:rFonts w:cs="Arial"/>
          <w:sz w:val="18"/>
          <w:szCs w:val="18"/>
        </w:rPr>
        <w:t xml:space="preserve">Northern Territory: </w:t>
      </w:r>
      <w:hyperlink r:id="rId10" w:history="1">
        <w:r w:rsidRPr="00B3551E">
          <w:rPr>
            <w:rStyle w:val="Hyperlink"/>
            <w:rFonts w:cs="Arial"/>
            <w:i/>
            <w:sz w:val="18"/>
            <w:szCs w:val="18"/>
          </w:rPr>
          <w:t>Transplantation and Anatomy Act 1979</w:t>
        </w:r>
      </w:hyperlink>
      <w:r w:rsidRPr="00B3551E">
        <w:rPr>
          <w:rFonts w:cs="Arial"/>
          <w:sz w:val="18"/>
          <w:szCs w:val="18"/>
        </w:rPr>
        <w:t xml:space="preserve"> </w:t>
      </w:r>
    </w:p>
    <w:p w14:paraId="346B22A7" w14:textId="77777777" w:rsidR="00A60589" w:rsidRPr="00B3551E" w:rsidRDefault="00A60589" w:rsidP="00CE0EFD">
      <w:pPr>
        <w:pStyle w:val="FootnoteText"/>
        <w:rPr>
          <w:rFonts w:cs="Arial"/>
          <w:i/>
          <w:sz w:val="18"/>
          <w:szCs w:val="18"/>
        </w:rPr>
      </w:pPr>
      <w:r w:rsidRPr="00B3551E">
        <w:rPr>
          <w:rFonts w:cs="Arial"/>
          <w:sz w:val="18"/>
          <w:szCs w:val="18"/>
        </w:rPr>
        <w:t xml:space="preserve">Queensland: </w:t>
      </w:r>
      <w:hyperlink r:id="rId11" w:history="1">
        <w:r w:rsidRPr="00B3551E">
          <w:rPr>
            <w:rStyle w:val="Hyperlink"/>
            <w:rFonts w:cs="Arial"/>
            <w:i/>
            <w:sz w:val="18"/>
            <w:szCs w:val="18"/>
          </w:rPr>
          <w:t>Transplantation and Anatomy Act 1979</w:t>
        </w:r>
      </w:hyperlink>
      <w:r w:rsidRPr="00B3551E">
        <w:rPr>
          <w:rFonts w:cs="Arial"/>
          <w:i/>
          <w:sz w:val="18"/>
          <w:szCs w:val="18"/>
        </w:rPr>
        <w:t xml:space="preserve"> </w:t>
      </w:r>
    </w:p>
    <w:p w14:paraId="0D1D2D79" w14:textId="77777777" w:rsidR="00A60589" w:rsidRPr="00B3551E" w:rsidRDefault="00A60589" w:rsidP="00CE0EFD">
      <w:pPr>
        <w:pStyle w:val="FootnoteText"/>
        <w:rPr>
          <w:rFonts w:cs="Arial"/>
          <w:sz w:val="18"/>
          <w:szCs w:val="18"/>
        </w:rPr>
      </w:pPr>
      <w:r w:rsidRPr="00B3551E">
        <w:rPr>
          <w:rFonts w:cs="Arial"/>
          <w:sz w:val="18"/>
          <w:szCs w:val="18"/>
        </w:rPr>
        <w:t xml:space="preserve">South Australia: </w:t>
      </w:r>
      <w:hyperlink r:id="rId12" w:history="1">
        <w:r w:rsidRPr="00B3551E">
          <w:rPr>
            <w:rStyle w:val="Hyperlink"/>
            <w:rFonts w:cs="Arial"/>
            <w:i/>
            <w:sz w:val="18"/>
            <w:szCs w:val="18"/>
          </w:rPr>
          <w:t>Transplantation and Anatomy Act 1983</w:t>
        </w:r>
      </w:hyperlink>
      <w:r w:rsidRPr="00B3551E">
        <w:rPr>
          <w:rFonts w:cs="Arial"/>
          <w:i/>
          <w:sz w:val="18"/>
          <w:szCs w:val="18"/>
        </w:rPr>
        <w:t xml:space="preserve"> </w:t>
      </w:r>
    </w:p>
    <w:p w14:paraId="33663567" w14:textId="77777777" w:rsidR="00A60589" w:rsidRPr="00B3551E" w:rsidRDefault="00A60589" w:rsidP="00CE0EFD">
      <w:pPr>
        <w:pStyle w:val="FootnoteText"/>
        <w:rPr>
          <w:rFonts w:cs="Arial"/>
          <w:sz w:val="18"/>
          <w:szCs w:val="18"/>
        </w:rPr>
      </w:pPr>
      <w:r w:rsidRPr="00B3551E">
        <w:rPr>
          <w:rFonts w:cs="Arial"/>
          <w:sz w:val="18"/>
          <w:szCs w:val="18"/>
        </w:rPr>
        <w:t xml:space="preserve">Tasmania: </w:t>
      </w:r>
      <w:hyperlink r:id="rId13" w:history="1">
        <w:r w:rsidRPr="00B3551E">
          <w:rPr>
            <w:rStyle w:val="Hyperlink"/>
            <w:rFonts w:cs="Arial"/>
            <w:i/>
            <w:sz w:val="18"/>
            <w:szCs w:val="18"/>
          </w:rPr>
          <w:t>Human Tissue Act 1985</w:t>
        </w:r>
      </w:hyperlink>
      <w:r w:rsidRPr="00B3551E">
        <w:rPr>
          <w:rFonts w:cs="Arial"/>
          <w:sz w:val="18"/>
          <w:szCs w:val="18"/>
        </w:rPr>
        <w:t xml:space="preserve"> </w:t>
      </w:r>
    </w:p>
    <w:p w14:paraId="731B7DF7" w14:textId="77777777" w:rsidR="00A60589" w:rsidRPr="00B3551E" w:rsidRDefault="00A60589" w:rsidP="00CE0EFD">
      <w:pPr>
        <w:pStyle w:val="FootnoteText"/>
        <w:rPr>
          <w:rFonts w:cs="Arial"/>
          <w:sz w:val="18"/>
          <w:szCs w:val="18"/>
        </w:rPr>
      </w:pPr>
      <w:r w:rsidRPr="00B3551E">
        <w:rPr>
          <w:rFonts w:cs="Arial"/>
          <w:sz w:val="18"/>
          <w:szCs w:val="18"/>
        </w:rPr>
        <w:t xml:space="preserve">Victoria: </w:t>
      </w:r>
      <w:hyperlink r:id="rId14" w:history="1">
        <w:r w:rsidRPr="00B3551E">
          <w:rPr>
            <w:rStyle w:val="Hyperlink"/>
            <w:rFonts w:cs="Arial"/>
            <w:i/>
            <w:sz w:val="18"/>
            <w:szCs w:val="18"/>
          </w:rPr>
          <w:t>Human Tissue Act 1982</w:t>
        </w:r>
      </w:hyperlink>
      <w:r w:rsidRPr="00B3551E">
        <w:rPr>
          <w:rFonts w:cs="Arial"/>
          <w:sz w:val="18"/>
          <w:szCs w:val="18"/>
        </w:rPr>
        <w:t xml:space="preserve"> </w:t>
      </w:r>
    </w:p>
    <w:p w14:paraId="00BC6CDD" w14:textId="77777777" w:rsidR="00A60589" w:rsidRPr="00EB12CB" w:rsidRDefault="00A60589" w:rsidP="00CE0EFD">
      <w:pPr>
        <w:pStyle w:val="FootnoteText"/>
      </w:pPr>
      <w:r w:rsidRPr="00B3551E">
        <w:rPr>
          <w:rFonts w:cs="Arial"/>
          <w:sz w:val="18"/>
          <w:szCs w:val="18"/>
        </w:rPr>
        <w:t xml:space="preserve">Western Australia: </w:t>
      </w:r>
      <w:hyperlink r:id="rId15" w:history="1">
        <w:r w:rsidRPr="00B3551E">
          <w:rPr>
            <w:rStyle w:val="Hyperlink"/>
            <w:rFonts w:cs="Arial"/>
            <w:i/>
            <w:sz w:val="18"/>
            <w:szCs w:val="18"/>
          </w:rPr>
          <w:t>Human Tissue and Transplant Act 1982</w:t>
        </w:r>
      </w:hyperlink>
      <w:r>
        <w:t xml:space="preserve"> </w:t>
      </w:r>
    </w:p>
  </w:footnote>
  <w:footnote w:id="12">
    <w:p w14:paraId="0942DD62" w14:textId="2E200634" w:rsidR="00A60589" w:rsidRPr="007A1FA9" w:rsidRDefault="00A60589" w:rsidP="001A049B">
      <w:pPr>
        <w:pStyle w:val="FootnoteText"/>
      </w:pPr>
      <w:r w:rsidRPr="00E9040C">
        <w:rPr>
          <w:rStyle w:val="FootnoteReference"/>
          <w:sz w:val="18"/>
          <w:szCs w:val="18"/>
        </w:rPr>
        <w:footnoteRef/>
      </w:r>
      <w:r w:rsidRPr="00FA07D3">
        <w:rPr>
          <w:rStyle w:val="Hyperlink"/>
          <w:sz w:val="18"/>
          <w:szCs w:val="18"/>
          <w:u w:val="none"/>
        </w:rPr>
        <w:t xml:space="preserve"> </w:t>
      </w:r>
      <w:r w:rsidRPr="00B3551E">
        <w:rPr>
          <w:rStyle w:val="BodyTextChar"/>
          <w:rFonts w:cs="Arial"/>
          <w:sz w:val="18"/>
          <w:szCs w:val="18"/>
        </w:rPr>
        <w:t>WHO</w:t>
      </w:r>
      <w:r>
        <w:rPr>
          <w:rStyle w:val="BodyTextChar"/>
          <w:rFonts w:cs="Arial"/>
          <w:sz w:val="18"/>
          <w:szCs w:val="18"/>
        </w:rPr>
        <w:t>.</w:t>
      </w:r>
      <w:r w:rsidRPr="00B3551E">
        <w:rPr>
          <w:rStyle w:val="BodyTextChar"/>
          <w:rFonts w:cs="Arial"/>
          <w:sz w:val="18"/>
          <w:szCs w:val="18"/>
        </w:rPr>
        <w:t xml:space="preserve"> 2010</w:t>
      </w:r>
      <w:r>
        <w:rPr>
          <w:rStyle w:val="BodyTextChar"/>
          <w:rFonts w:cs="Arial"/>
          <w:sz w:val="18"/>
          <w:szCs w:val="18"/>
        </w:rPr>
        <w:t>.</w:t>
      </w:r>
      <w:r w:rsidRPr="00B3551E">
        <w:rPr>
          <w:rStyle w:val="BodyTextChar"/>
          <w:rFonts w:cs="Arial"/>
          <w:sz w:val="18"/>
          <w:szCs w:val="18"/>
        </w:rPr>
        <w:t xml:space="preserve"> </w:t>
      </w:r>
      <w:r w:rsidRPr="00FA07D3">
        <w:rPr>
          <w:rFonts w:cs="Arial"/>
          <w:i/>
          <w:sz w:val="18"/>
          <w:szCs w:val="18"/>
        </w:rPr>
        <w:t>Guiding principles on human cell, tissue and organ transplantation</w:t>
      </w:r>
      <w:r>
        <w:rPr>
          <w:rFonts w:cs="Arial"/>
          <w:i/>
          <w:sz w:val="18"/>
          <w:szCs w:val="18"/>
        </w:rPr>
        <w:t>,</w:t>
      </w:r>
      <w:r w:rsidRPr="00B3551E">
        <w:rPr>
          <w:rStyle w:val="BodyTextChar"/>
          <w:rFonts w:cs="Arial"/>
          <w:sz w:val="18"/>
          <w:szCs w:val="18"/>
        </w:rPr>
        <w:t xml:space="preserve"> WHA 63.22</w:t>
      </w:r>
      <w:r w:rsidR="00F06554">
        <w:rPr>
          <w:rStyle w:val="BodyTextChar"/>
          <w:rFonts w:cs="Arial"/>
          <w:sz w:val="18"/>
          <w:szCs w:val="18"/>
        </w:rPr>
        <w:t xml:space="preserve">, </w:t>
      </w:r>
      <w:hyperlink r:id="rId16" w:history="1">
        <w:r w:rsidR="00F06554" w:rsidRPr="00E9040C">
          <w:rPr>
            <w:rStyle w:val="Hyperlink"/>
            <w:sz w:val="18"/>
            <w:szCs w:val="18"/>
          </w:rPr>
          <w:t>https://apps.who.int/gb/ebwha/pdf_files/WHA63/A63_R22-en.pdf?ua=1</w:t>
        </w:r>
      </w:hyperlink>
      <w:r w:rsidRPr="00B3551E">
        <w:rPr>
          <w:rStyle w:val="BodyTextChar"/>
          <w:rFonts w:cs="Arial"/>
          <w:sz w:val="18"/>
          <w:szCs w:val="18"/>
        </w:rPr>
        <w:t xml:space="preserve"> </w:t>
      </w:r>
    </w:p>
  </w:footnote>
  <w:footnote w:id="13">
    <w:p w14:paraId="6533A34F" w14:textId="7582B62C" w:rsidR="00A60589" w:rsidRPr="00266B32" w:rsidRDefault="00A60589" w:rsidP="001A049B">
      <w:pPr>
        <w:pStyle w:val="FootnoteText"/>
      </w:pPr>
      <w:r>
        <w:rPr>
          <w:rStyle w:val="FootnoteReference"/>
        </w:rPr>
        <w:footnoteRef/>
      </w:r>
      <w:r>
        <w:t xml:space="preserve"> </w:t>
      </w:r>
      <w:r w:rsidRPr="00B3551E">
        <w:rPr>
          <w:rStyle w:val="BodyTextChar"/>
          <w:rFonts w:cs="Arial"/>
          <w:sz w:val="18"/>
          <w:szCs w:val="18"/>
        </w:rPr>
        <w:t>WHO</w:t>
      </w:r>
      <w:r>
        <w:rPr>
          <w:rStyle w:val="BodyTextChar"/>
          <w:rFonts w:cs="Arial"/>
          <w:sz w:val="18"/>
          <w:szCs w:val="18"/>
        </w:rPr>
        <w:t>.</w:t>
      </w:r>
      <w:r w:rsidRPr="00B3551E">
        <w:rPr>
          <w:rStyle w:val="BodyTextChar"/>
          <w:rFonts w:cs="Arial"/>
          <w:sz w:val="18"/>
          <w:szCs w:val="18"/>
        </w:rPr>
        <w:t xml:space="preserve"> 2010</w:t>
      </w:r>
      <w:r>
        <w:rPr>
          <w:rStyle w:val="BodyTextChar"/>
          <w:rFonts w:cs="Arial"/>
          <w:sz w:val="18"/>
          <w:szCs w:val="18"/>
        </w:rPr>
        <w:t>.</w:t>
      </w:r>
      <w:r w:rsidRPr="00B3551E">
        <w:rPr>
          <w:rStyle w:val="BodyTextChar"/>
          <w:rFonts w:cs="Arial"/>
          <w:sz w:val="18"/>
          <w:szCs w:val="18"/>
        </w:rPr>
        <w:t xml:space="preserve"> </w:t>
      </w:r>
      <w:r w:rsidRPr="00FA07D3">
        <w:rPr>
          <w:rFonts w:cs="Arial"/>
          <w:i/>
          <w:sz w:val="18"/>
          <w:szCs w:val="18"/>
        </w:rPr>
        <w:t>Guiding principles on human cell, tissue and organ transplantation</w:t>
      </w:r>
      <w:r>
        <w:rPr>
          <w:rFonts w:cs="Arial"/>
          <w:i/>
          <w:sz w:val="18"/>
          <w:szCs w:val="18"/>
        </w:rPr>
        <w:t>,</w:t>
      </w:r>
      <w:r w:rsidRPr="00B3551E">
        <w:rPr>
          <w:rStyle w:val="BodyTextChar"/>
          <w:rFonts w:cs="Arial"/>
          <w:sz w:val="18"/>
          <w:szCs w:val="18"/>
        </w:rPr>
        <w:t xml:space="preserve"> WHA 63.22</w:t>
      </w:r>
      <w:r>
        <w:rPr>
          <w:rStyle w:val="BodyTextChar"/>
          <w:rFonts w:cs="Arial"/>
          <w:sz w:val="18"/>
          <w:szCs w:val="18"/>
        </w:rPr>
        <w:t xml:space="preserve">, </w:t>
      </w:r>
      <w:hyperlink r:id="rId17" w:history="1">
        <w:r w:rsidR="00F06554" w:rsidRPr="00E9040C">
          <w:rPr>
            <w:rStyle w:val="Hyperlink"/>
            <w:sz w:val="18"/>
            <w:szCs w:val="18"/>
          </w:rPr>
          <w:t>https://apps.who.int/gb/ebwha/pdf_files/WHA63/A63_R22-en.pdf?ua=1</w:t>
        </w:r>
      </w:hyperlink>
      <w:r w:rsidR="00F06554" w:rsidRPr="00FA07D3">
        <w:rPr>
          <w:rStyle w:val="Hyperlink"/>
          <w:sz w:val="18"/>
          <w:szCs w:val="18"/>
          <w:u w:val="none"/>
        </w:rPr>
        <w:t xml:space="preserve">; </w:t>
      </w:r>
    </w:p>
  </w:footnote>
  <w:footnote w:id="14">
    <w:p w14:paraId="090CFC13" w14:textId="493E8A59" w:rsidR="00A60589" w:rsidRPr="002407FA" w:rsidRDefault="00A60589" w:rsidP="001A049B">
      <w:pPr>
        <w:pStyle w:val="FootnoteText"/>
      </w:pPr>
      <w:r>
        <w:rPr>
          <w:rStyle w:val="FootnoteReference"/>
        </w:rPr>
        <w:footnoteRef/>
      </w:r>
      <w:r w:rsidRPr="00447710">
        <w:rPr>
          <w:sz w:val="18"/>
        </w:rPr>
        <w:t xml:space="preserve"> </w:t>
      </w:r>
      <w:hyperlink r:id="rId18" w:history="1">
        <w:r w:rsidRPr="007F36E9">
          <w:rPr>
            <w:rStyle w:val="Hyperlink"/>
            <w:sz w:val="18"/>
            <w:szCs w:val="18"/>
          </w:rPr>
          <w:t>https://www1.health.gov.au/internet/main/publishing.nsf/Content/health-privatehealth-prostheseslist.htm</w:t>
        </w:r>
      </w:hyperlink>
    </w:p>
  </w:footnote>
  <w:footnote w:id="15">
    <w:p w14:paraId="522F075E" w14:textId="1F0F48A5" w:rsidR="00A60589" w:rsidRPr="00266B32" w:rsidRDefault="00A60589" w:rsidP="001A049B">
      <w:pPr>
        <w:pStyle w:val="FootnoteText"/>
      </w:pPr>
      <w:r>
        <w:rPr>
          <w:rStyle w:val="FootnoteReference"/>
        </w:rPr>
        <w:footnoteRef/>
      </w:r>
      <w:r>
        <w:t xml:space="preserve"> </w:t>
      </w:r>
      <w:r w:rsidRPr="00B3551E">
        <w:rPr>
          <w:rStyle w:val="BodyTextChar"/>
          <w:rFonts w:cs="Arial"/>
          <w:sz w:val="18"/>
          <w:szCs w:val="18"/>
        </w:rPr>
        <w:t>WHO</w:t>
      </w:r>
      <w:r>
        <w:rPr>
          <w:rStyle w:val="BodyTextChar"/>
          <w:rFonts w:cs="Arial"/>
          <w:sz w:val="18"/>
          <w:szCs w:val="18"/>
        </w:rPr>
        <w:t>.</w:t>
      </w:r>
      <w:r w:rsidRPr="00B3551E">
        <w:rPr>
          <w:rStyle w:val="BodyTextChar"/>
          <w:rFonts w:cs="Arial"/>
          <w:sz w:val="18"/>
          <w:szCs w:val="18"/>
        </w:rPr>
        <w:t xml:space="preserve"> 2010</w:t>
      </w:r>
      <w:r>
        <w:rPr>
          <w:rStyle w:val="BodyTextChar"/>
          <w:rFonts w:cs="Arial"/>
          <w:sz w:val="18"/>
          <w:szCs w:val="18"/>
        </w:rPr>
        <w:t>.</w:t>
      </w:r>
      <w:r w:rsidRPr="00B3551E">
        <w:rPr>
          <w:rStyle w:val="BodyTextChar"/>
          <w:rFonts w:cs="Arial"/>
          <w:sz w:val="18"/>
          <w:szCs w:val="18"/>
        </w:rPr>
        <w:t xml:space="preserve"> </w:t>
      </w:r>
      <w:r w:rsidRPr="00FA07D3">
        <w:rPr>
          <w:rFonts w:cs="Arial"/>
          <w:i/>
          <w:sz w:val="18"/>
          <w:szCs w:val="18"/>
        </w:rPr>
        <w:t>Guiding principles on human cell, tissue and organ transplantation</w:t>
      </w:r>
      <w:r>
        <w:rPr>
          <w:rFonts w:cs="Arial"/>
          <w:i/>
          <w:sz w:val="18"/>
          <w:szCs w:val="18"/>
        </w:rPr>
        <w:t>,</w:t>
      </w:r>
      <w:r w:rsidRPr="00B3551E">
        <w:rPr>
          <w:rStyle w:val="BodyTextChar"/>
          <w:rFonts w:cs="Arial"/>
          <w:sz w:val="18"/>
          <w:szCs w:val="18"/>
        </w:rPr>
        <w:t xml:space="preserve"> WHA 63.22</w:t>
      </w:r>
      <w:r>
        <w:rPr>
          <w:rStyle w:val="BodyTextChar"/>
          <w:rFonts w:cs="Arial"/>
          <w:sz w:val="18"/>
          <w:szCs w:val="18"/>
        </w:rPr>
        <w:t xml:space="preserve">, </w:t>
      </w:r>
      <w:hyperlink r:id="rId19" w:history="1">
        <w:r w:rsidR="00F06554" w:rsidRPr="00E9040C">
          <w:rPr>
            <w:rStyle w:val="Hyperlink"/>
            <w:sz w:val="18"/>
            <w:szCs w:val="18"/>
          </w:rPr>
          <w:t>https://apps.who.int/gb/ebwha/pdf_files/WHA63/A63_R22-en.pdf?ua=1</w:t>
        </w:r>
      </w:hyperlink>
      <w:r w:rsidR="00F06554" w:rsidRPr="00FA07D3">
        <w:rPr>
          <w:rStyle w:val="Hyperlink"/>
          <w:sz w:val="18"/>
          <w:szCs w:val="18"/>
          <w:u w:val="none"/>
        </w:rPr>
        <w:t>;</w:t>
      </w:r>
    </w:p>
  </w:footnote>
  <w:footnote w:id="16">
    <w:p w14:paraId="713A9044" w14:textId="0FA2B881" w:rsidR="00A60589" w:rsidRPr="00BA5CB3" w:rsidRDefault="00A60589" w:rsidP="00E9747F">
      <w:pPr>
        <w:pStyle w:val="FootnoteText"/>
      </w:pPr>
      <w:r>
        <w:rPr>
          <w:rStyle w:val="FootnoteReference"/>
        </w:rPr>
        <w:footnoteRef/>
      </w:r>
      <w:r>
        <w:t xml:space="preserve"> </w:t>
      </w:r>
      <w:r w:rsidRPr="002252FE">
        <w:rPr>
          <w:rFonts w:eastAsia="Calibri Light" w:cs="Arial"/>
          <w:i/>
          <w:spacing w:val="-1"/>
          <w:sz w:val="18"/>
          <w:szCs w:val="18"/>
        </w:rPr>
        <w:t>Australian Organ and Tissue Donation and Transplantation Authority Act 2008</w:t>
      </w:r>
      <w:r>
        <w:rPr>
          <w:rFonts w:eastAsia="Calibri Light" w:cs="Arial"/>
          <w:i/>
          <w:spacing w:val="-1"/>
          <w:sz w:val="21"/>
          <w:szCs w:val="21"/>
        </w:rPr>
        <w:t xml:space="preserve">, </w:t>
      </w:r>
      <w:hyperlink r:id="rId20" w:history="1">
        <w:r w:rsidRPr="00BA5CB3">
          <w:rPr>
            <w:rStyle w:val="Hyperlink"/>
            <w:sz w:val="18"/>
            <w:szCs w:val="18"/>
          </w:rPr>
          <w:t>https://www.legislation.gov.au/Latest/C2017C00206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83B6" w14:textId="77777777" w:rsidR="00A60589" w:rsidRDefault="00A60589" w:rsidP="008E0C77">
    <w:pPr>
      <w:pStyle w:val="Headertext"/>
      <w:spacing w:after="180"/>
      <w:jc w:val="left"/>
    </w:pPr>
    <w:r>
      <w:rPr>
        <w:noProof/>
        <w:lang w:eastAsia="en-AU"/>
      </w:rPr>
      <w:drawing>
        <wp:anchor distT="0" distB="0" distL="114300" distR="114300" simplePos="0" relativeHeight="251656192" behindDoc="1" locked="0" layoutInCell="1" allowOverlap="1" wp14:anchorId="10F39B4C" wp14:editId="022B2F75">
          <wp:simplePos x="0" y="0"/>
          <wp:positionH relativeFrom="page">
            <wp:align>center</wp:align>
          </wp:positionH>
          <wp:positionV relativeFrom="page">
            <wp:align>center</wp:align>
          </wp:positionV>
          <wp:extent cx="7560000" cy="10692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CD23" w14:textId="77777777" w:rsidR="00D07BD8" w:rsidRDefault="00D07BD8" w:rsidP="00205A93">
    <w:pPr>
      <w:pStyle w:val="Header"/>
      <w:tabs>
        <w:tab w:val="clear" w:pos="4513"/>
        <w:tab w:val="clear" w:pos="9026"/>
        <w:tab w:val="center" w:pos="4535"/>
      </w:tabs>
      <w:rPr>
        <w:noProof/>
        <w:lang w:eastAsia="en-AU"/>
      </w:rPr>
    </w:pPr>
  </w:p>
  <w:p w14:paraId="7F744022" w14:textId="6B3967CB" w:rsidR="00A60589" w:rsidRDefault="00A60589" w:rsidP="00205A93">
    <w:pPr>
      <w:pStyle w:val="Header"/>
      <w:tabs>
        <w:tab w:val="clear" w:pos="4513"/>
        <w:tab w:val="clear" w:pos="9026"/>
        <w:tab w:val="center" w:pos="4535"/>
      </w:tabs>
    </w:pPr>
    <w:r>
      <w:rPr>
        <w:noProof/>
        <w:lang w:eastAsia="en-AU"/>
      </w:rPr>
      <w:drawing>
        <wp:anchor distT="0" distB="0" distL="114300" distR="114300" simplePos="0" relativeHeight="251657216" behindDoc="1" locked="0" layoutInCell="1" allowOverlap="1" wp14:anchorId="73BCF92E" wp14:editId="0404B8E3">
          <wp:simplePos x="0" y="0"/>
          <wp:positionH relativeFrom="page">
            <wp:align>right</wp:align>
          </wp:positionH>
          <wp:positionV relativeFrom="margin">
            <wp:posOffset>281940</wp:posOffset>
          </wp:positionV>
          <wp:extent cx="7559643" cy="9405620"/>
          <wp:effectExtent l="0" t="0" r="3810"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2027"/>
                  <a:stretch/>
                </pic:blipFill>
                <pic:spPr bwMode="auto">
                  <a:xfrm>
                    <a:off x="0" y="0"/>
                    <a:ext cx="7559643" cy="940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92E2" w14:textId="77777777" w:rsidR="00A60589" w:rsidRDefault="00A605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8DD6" w14:textId="51CBB853" w:rsidR="00A60589" w:rsidRDefault="00A60589"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9BF2" w14:textId="77777777" w:rsidR="00A60589" w:rsidRDefault="00A605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9186" w14:textId="77777777" w:rsidR="00A60589" w:rsidRDefault="00A605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335E" w14:textId="708CF76A" w:rsidR="00A60589" w:rsidRDefault="00A60589">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9AAD" w14:textId="77777777" w:rsidR="00A60589" w:rsidRDefault="00A605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1700" w14:textId="7EA44F21" w:rsidR="00A60589" w:rsidRDefault="00A60589" w:rsidP="008E0C77">
    <w:pPr>
      <w:pStyle w:val="Headertext"/>
      <w:spacing w:after="180"/>
      <w:jc w:val="left"/>
    </w:pPr>
    <w:r>
      <w:rPr>
        <w:noProof/>
        <w:lang w:eastAsia="en-AU"/>
      </w:rPr>
      <w:drawing>
        <wp:anchor distT="0" distB="0" distL="114300" distR="114300" simplePos="0" relativeHeight="251658240" behindDoc="1" locked="0" layoutInCell="1" allowOverlap="1" wp14:anchorId="05569169" wp14:editId="64E4355B">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B6261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560085"/>
    <w:multiLevelType w:val="hybridMultilevel"/>
    <w:tmpl w:val="B128BE6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946B2E"/>
    <w:multiLevelType w:val="hybridMultilevel"/>
    <w:tmpl w:val="A2A89C64"/>
    <w:lvl w:ilvl="0" w:tplc="59E2A244">
      <w:start w:val="1"/>
      <w:numFmt w:val="decimal"/>
      <w:lvlText w:val="%1."/>
      <w:lvlJc w:val="left"/>
      <w:pPr>
        <w:ind w:left="1069"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C721C"/>
    <w:multiLevelType w:val="hybridMultilevel"/>
    <w:tmpl w:val="3FA2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2108A4"/>
    <w:multiLevelType w:val="hybridMultilevel"/>
    <w:tmpl w:val="ED56BEFE"/>
    <w:lvl w:ilvl="0" w:tplc="703C16AE">
      <w:start w:val="1"/>
      <w:numFmt w:val="decimal"/>
      <w:lvlText w:val="%1."/>
      <w:lvlJc w:val="left"/>
      <w:pPr>
        <w:ind w:left="1069"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BD57A80"/>
    <w:multiLevelType w:val="hybridMultilevel"/>
    <w:tmpl w:val="98A2FF9C"/>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A44311"/>
    <w:multiLevelType w:val="hybridMultilevel"/>
    <w:tmpl w:val="582C1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077FF8"/>
    <w:multiLevelType w:val="hybridMultilevel"/>
    <w:tmpl w:val="5C6AC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AD010D"/>
    <w:multiLevelType w:val="hybridMultilevel"/>
    <w:tmpl w:val="F3140788"/>
    <w:lvl w:ilvl="0" w:tplc="6EDECFE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A627696"/>
    <w:multiLevelType w:val="hybridMultilevel"/>
    <w:tmpl w:val="3346887A"/>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03442D"/>
    <w:multiLevelType w:val="hybridMultilevel"/>
    <w:tmpl w:val="3DFAEDF4"/>
    <w:lvl w:ilvl="0" w:tplc="DE90BA5E">
      <w:numFmt w:val="bullet"/>
      <w:lvlText w:val=""/>
      <w:lvlJc w:val="left"/>
      <w:pPr>
        <w:ind w:left="2500" w:hanging="360"/>
      </w:pPr>
      <w:rPr>
        <w:rFonts w:ascii="Symbol" w:eastAsiaTheme="minorHAnsi" w:hAnsi="Symbol" w:cstheme="minorBidi" w:hint="default"/>
      </w:rPr>
    </w:lvl>
    <w:lvl w:ilvl="1" w:tplc="0C090003" w:tentative="1">
      <w:start w:val="1"/>
      <w:numFmt w:val="bullet"/>
      <w:lvlText w:val="o"/>
      <w:lvlJc w:val="left"/>
      <w:pPr>
        <w:ind w:left="3220" w:hanging="360"/>
      </w:pPr>
      <w:rPr>
        <w:rFonts w:ascii="Courier New" w:hAnsi="Courier New" w:cs="Courier New" w:hint="default"/>
      </w:rPr>
    </w:lvl>
    <w:lvl w:ilvl="2" w:tplc="0C090005" w:tentative="1">
      <w:start w:val="1"/>
      <w:numFmt w:val="bullet"/>
      <w:lvlText w:val=""/>
      <w:lvlJc w:val="left"/>
      <w:pPr>
        <w:ind w:left="3940" w:hanging="360"/>
      </w:pPr>
      <w:rPr>
        <w:rFonts w:ascii="Wingdings" w:hAnsi="Wingdings" w:hint="default"/>
      </w:rPr>
    </w:lvl>
    <w:lvl w:ilvl="3" w:tplc="0C090001" w:tentative="1">
      <w:start w:val="1"/>
      <w:numFmt w:val="bullet"/>
      <w:lvlText w:val=""/>
      <w:lvlJc w:val="left"/>
      <w:pPr>
        <w:ind w:left="4660" w:hanging="360"/>
      </w:pPr>
      <w:rPr>
        <w:rFonts w:ascii="Symbol" w:hAnsi="Symbol" w:hint="default"/>
      </w:rPr>
    </w:lvl>
    <w:lvl w:ilvl="4" w:tplc="0C090003" w:tentative="1">
      <w:start w:val="1"/>
      <w:numFmt w:val="bullet"/>
      <w:lvlText w:val="o"/>
      <w:lvlJc w:val="left"/>
      <w:pPr>
        <w:ind w:left="5380" w:hanging="360"/>
      </w:pPr>
      <w:rPr>
        <w:rFonts w:ascii="Courier New" w:hAnsi="Courier New" w:cs="Courier New" w:hint="default"/>
      </w:rPr>
    </w:lvl>
    <w:lvl w:ilvl="5" w:tplc="0C090005" w:tentative="1">
      <w:start w:val="1"/>
      <w:numFmt w:val="bullet"/>
      <w:lvlText w:val=""/>
      <w:lvlJc w:val="left"/>
      <w:pPr>
        <w:ind w:left="6100" w:hanging="360"/>
      </w:pPr>
      <w:rPr>
        <w:rFonts w:ascii="Wingdings" w:hAnsi="Wingdings" w:hint="default"/>
      </w:rPr>
    </w:lvl>
    <w:lvl w:ilvl="6" w:tplc="0C090001" w:tentative="1">
      <w:start w:val="1"/>
      <w:numFmt w:val="bullet"/>
      <w:lvlText w:val=""/>
      <w:lvlJc w:val="left"/>
      <w:pPr>
        <w:ind w:left="6820" w:hanging="360"/>
      </w:pPr>
      <w:rPr>
        <w:rFonts w:ascii="Symbol" w:hAnsi="Symbol" w:hint="default"/>
      </w:rPr>
    </w:lvl>
    <w:lvl w:ilvl="7" w:tplc="0C090003" w:tentative="1">
      <w:start w:val="1"/>
      <w:numFmt w:val="bullet"/>
      <w:lvlText w:val="o"/>
      <w:lvlJc w:val="left"/>
      <w:pPr>
        <w:ind w:left="7540" w:hanging="360"/>
      </w:pPr>
      <w:rPr>
        <w:rFonts w:ascii="Courier New" w:hAnsi="Courier New" w:cs="Courier New" w:hint="default"/>
      </w:rPr>
    </w:lvl>
    <w:lvl w:ilvl="8" w:tplc="0C090005" w:tentative="1">
      <w:start w:val="1"/>
      <w:numFmt w:val="bullet"/>
      <w:lvlText w:val=""/>
      <w:lvlJc w:val="left"/>
      <w:pPr>
        <w:ind w:left="8260" w:hanging="360"/>
      </w:pPr>
      <w:rPr>
        <w:rFonts w:ascii="Wingdings" w:hAnsi="Wingdings" w:hint="default"/>
      </w:rPr>
    </w:lvl>
  </w:abstractNum>
  <w:abstractNum w:abstractNumId="25" w15:restartNumberingAfterBreak="0">
    <w:nsid w:val="54686253"/>
    <w:multiLevelType w:val="hybridMultilevel"/>
    <w:tmpl w:val="6278F2F0"/>
    <w:lvl w:ilvl="0" w:tplc="21A29B8C">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D9234E"/>
    <w:multiLevelType w:val="hybridMultilevel"/>
    <w:tmpl w:val="35B0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5C63A6"/>
    <w:multiLevelType w:val="hybridMultilevel"/>
    <w:tmpl w:val="52D66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8E4425"/>
    <w:multiLevelType w:val="hybridMultilevel"/>
    <w:tmpl w:val="95E4DEA8"/>
    <w:lvl w:ilvl="0" w:tplc="516037CA">
      <w:start w:val="1"/>
      <w:numFmt w:val="decimal"/>
      <w:lvlText w:val="%1."/>
      <w:lvlJc w:val="left"/>
      <w:pPr>
        <w:ind w:left="1773" w:hanging="356"/>
      </w:pPr>
      <w:rPr>
        <w:rFonts w:ascii="Arial" w:eastAsia="Calibri Light" w:hAnsi="Arial" w:cs="Arial" w:hint="default"/>
        <w:sz w:val="22"/>
        <w:szCs w:val="22"/>
      </w:rPr>
    </w:lvl>
    <w:lvl w:ilvl="1" w:tplc="EF4E3CF6">
      <w:start w:val="1"/>
      <w:numFmt w:val="bullet"/>
      <w:lvlText w:val="•"/>
      <w:lvlJc w:val="left"/>
      <w:pPr>
        <w:ind w:left="2708" w:hanging="356"/>
      </w:pPr>
      <w:rPr>
        <w:rFonts w:hint="default"/>
      </w:rPr>
    </w:lvl>
    <w:lvl w:ilvl="2" w:tplc="3E3AAE66">
      <w:start w:val="1"/>
      <w:numFmt w:val="bullet"/>
      <w:lvlText w:val="•"/>
      <w:lvlJc w:val="left"/>
      <w:pPr>
        <w:ind w:left="3643" w:hanging="356"/>
      </w:pPr>
      <w:rPr>
        <w:rFonts w:hint="default"/>
      </w:rPr>
    </w:lvl>
    <w:lvl w:ilvl="3" w:tplc="2BF0DE00">
      <w:start w:val="1"/>
      <w:numFmt w:val="bullet"/>
      <w:lvlText w:val="•"/>
      <w:lvlJc w:val="left"/>
      <w:pPr>
        <w:ind w:left="4579" w:hanging="356"/>
      </w:pPr>
      <w:rPr>
        <w:rFonts w:hint="default"/>
      </w:rPr>
    </w:lvl>
    <w:lvl w:ilvl="4" w:tplc="2392F83A">
      <w:start w:val="1"/>
      <w:numFmt w:val="bullet"/>
      <w:lvlText w:val="•"/>
      <w:lvlJc w:val="left"/>
      <w:pPr>
        <w:ind w:left="5514" w:hanging="356"/>
      </w:pPr>
      <w:rPr>
        <w:rFonts w:hint="default"/>
      </w:rPr>
    </w:lvl>
    <w:lvl w:ilvl="5" w:tplc="8648DF18">
      <w:start w:val="1"/>
      <w:numFmt w:val="bullet"/>
      <w:lvlText w:val="•"/>
      <w:lvlJc w:val="left"/>
      <w:pPr>
        <w:ind w:left="6449" w:hanging="356"/>
      </w:pPr>
      <w:rPr>
        <w:rFonts w:hint="default"/>
      </w:rPr>
    </w:lvl>
    <w:lvl w:ilvl="6" w:tplc="5A143BD2">
      <w:start w:val="1"/>
      <w:numFmt w:val="bullet"/>
      <w:lvlText w:val="•"/>
      <w:lvlJc w:val="left"/>
      <w:pPr>
        <w:ind w:left="7385" w:hanging="356"/>
      </w:pPr>
      <w:rPr>
        <w:rFonts w:hint="default"/>
      </w:rPr>
    </w:lvl>
    <w:lvl w:ilvl="7" w:tplc="6A62D0E8">
      <w:start w:val="1"/>
      <w:numFmt w:val="bullet"/>
      <w:lvlText w:val="•"/>
      <w:lvlJc w:val="left"/>
      <w:pPr>
        <w:ind w:left="8320" w:hanging="356"/>
      </w:pPr>
      <w:rPr>
        <w:rFonts w:hint="default"/>
      </w:rPr>
    </w:lvl>
    <w:lvl w:ilvl="8" w:tplc="0BD42FAA">
      <w:start w:val="1"/>
      <w:numFmt w:val="bullet"/>
      <w:lvlText w:val="•"/>
      <w:lvlJc w:val="left"/>
      <w:pPr>
        <w:ind w:left="9255" w:hanging="356"/>
      </w:pPr>
      <w:rPr>
        <w:rFonts w:hint="default"/>
      </w:rPr>
    </w:lvl>
  </w:abstractNum>
  <w:abstractNum w:abstractNumId="30" w15:restartNumberingAfterBreak="0">
    <w:nsid w:val="6AD9443E"/>
    <w:multiLevelType w:val="hybridMultilevel"/>
    <w:tmpl w:val="B7A6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4725D"/>
    <w:multiLevelType w:val="hybridMultilevel"/>
    <w:tmpl w:val="6F2A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AA2116"/>
    <w:multiLevelType w:val="hybridMultilevel"/>
    <w:tmpl w:val="1BF01FF8"/>
    <w:lvl w:ilvl="0" w:tplc="EC4233F2">
      <w:start w:val="1"/>
      <w:numFmt w:val="bullet"/>
      <w:lvlText w:val=""/>
      <w:lvlJc w:val="left"/>
      <w:pPr>
        <w:ind w:left="2490" w:hanging="360"/>
      </w:pPr>
      <w:rPr>
        <w:rFonts w:ascii="Symbol" w:eastAsia="Symbol" w:hAnsi="Symbol" w:hint="default"/>
        <w:sz w:val="22"/>
        <w:szCs w:val="22"/>
      </w:rPr>
    </w:lvl>
    <w:lvl w:ilvl="1" w:tplc="4D32E23A">
      <w:start w:val="1"/>
      <w:numFmt w:val="bullet"/>
      <w:lvlText w:val="•"/>
      <w:lvlJc w:val="left"/>
      <w:pPr>
        <w:ind w:left="3425" w:hanging="360"/>
      </w:pPr>
      <w:rPr>
        <w:rFonts w:hint="default"/>
      </w:rPr>
    </w:lvl>
    <w:lvl w:ilvl="2" w:tplc="4D3433EE">
      <w:start w:val="1"/>
      <w:numFmt w:val="bullet"/>
      <w:lvlText w:val="•"/>
      <w:lvlJc w:val="left"/>
      <w:pPr>
        <w:ind w:left="4359" w:hanging="360"/>
      </w:pPr>
      <w:rPr>
        <w:rFonts w:hint="default"/>
      </w:rPr>
    </w:lvl>
    <w:lvl w:ilvl="3" w:tplc="880A62DA">
      <w:start w:val="1"/>
      <w:numFmt w:val="bullet"/>
      <w:lvlText w:val="•"/>
      <w:lvlJc w:val="left"/>
      <w:pPr>
        <w:ind w:left="5294" w:hanging="360"/>
      </w:pPr>
      <w:rPr>
        <w:rFonts w:hint="default"/>
      </w:rPr>
    </w:lvl>
    <w:lvl w:ilvl="4" w:tplc="B290D376">
      <w:start w:val="1"/>
      <w:numFmt w:val="bullet"/>
      <w:lvlText w:val="•"/>
      <w:lvlJc w:val="left"/>
      <w:pPr>
        <w:ind w:left="6228" w:hanging="360"/>
      </w:pPr>
      <w:rPr>
        <w:rFonts w:hint="default"/>
      </w:rPr>
    </w:lvl>
    <w:lvl w:ilvl="5" w:tplc="E4DC80EC">
      <w:start w:val="1"/>
      <w:numFmt w:val="bullet"/>
      <w:lvlText w:val="•"/>
      <w:lvlJc w:val="left"/>
      <w:pPr>
        <w:ind w:left="7163" w:hanging="360"/>
      </w:pPr>
      <w:rPr>
        <w:rFonts w:hint="default"/>
      </w:rPr>
    </w:lvl>
    <w:lvl w:ilvl="6" w:tplc="3AD8D7F2">
      <w:start w:val="1"/>
      <w:numFmt w:val="bullet"/>
      <w:lvlText w:val="•"/>
      <w:lvlJc w:val="left"/>
      <w:pPr>
        <w:ind w:left="8098" w:hanging="360"/>
      </w:pPr>
      <w:rPr>
        <w:rFonts w:hint="default"/>
      </w:rPr>
    </w:lvl>
    <w:lvl w:ilvl="7" w:tplc="FD2638D8">
      <w:start w:val="1"/>
      <w:numFmt w:val="bullet"/>
      <w:lvlText w:val="•"/>
      <w:lvlJc w:val="left"/>
      <w:pPr>
        <w:ind w:left="9032" w:hanging="360"/>
      </w:pPr>
      <w:rPr>
        <w:rFonts w:hint="default"/>
      </w:rPr>
    </w:lvl>
    <w:lvl w:ilvl="8" w:tplc="38043C98">
      <w:start w:val="1"/>
      <w:numFmt w:val="bullet"/>
      <w:lvlText w:val="•"/>
      <w:lvlJc w:val="left"/>
      <w:pPr>
        <w:ind w:left="9967" w:hanging="360"/>
      </w:pPr>
      <w:rPr>
        <w:rFonts w:hint="default"/>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010B12"/>
    <w:multiLevelType w:val="hybridMultilevel"/>
    <w:tmpl w:val="A82E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3"/>
  </w:num>
  <w:num w:numId="4">
    <w:abstractNumId w:val="9"/>
  </w:num>
  <w:num w:numId="5">
    <w:abstractNumId w:val="9"/>
    <w:lvlOverride w:ilvl="0">
      <w:startOverride w:val="1"/>
    </w:lvlOverride>
  </w:num>
  <w:num w:numId="6">
    <w:abstractNumId w:val="10"/>
  </w:num>
  <w:num w:numId="7">
    <w:abstractNumId w:val="22"/>
  </w:num>
  <w:num w:numId="8">
    <w:abstractNumId w:val="2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5"/>
  </w:num>
  <w:num w:numId="17">
    <w:abstractNumId w:val="12"/>
  </w:num>
  <w:num w:numId="18">
    <w:abstractNumId w:val="16"/>
  </w:num>
  <w:num w:numId="19">
    <w:abstractNumId w:val="20"/>
  </w:num>
  <w:num w:numId="20">
    <w:abstractNumId w:val="24"/>
  </w:num>
  <w:num w:numId="21">
    <w:abstractNumId w:val="17"/>
  </w:num>
  <w:num w:numId="22">
    <w:abstractNumId w:val="29"/>
  </w:num>
  <w:num w:numId="23">
    <w:abstractNumId w:val="32"/>
  </w:num>
  <w:num w:numId="24">
    <w:abstractNumId w:val="27"/>
  </w:num>
  <w:num w:numId="25">
    <w:abstractNumId w:val="34"/>
  </w:num>
  <w:num w:numId="26">
    <w:abstractNumId w:val="11"/>
  </w:num>
  <w:num w:numId="27">
    <w:abstractNumId w:val="26"/>
  </w:num>
  <w:num w:numId="28">
    <w:abstractNumId w:val="15"/>
  </w:num>
  <w:num w:numId="29">
    <w:abstractNumId w:val="14"/>
  </w:num>
  <w:num w:numId="30">
    <w:abstractNumId w:val="18"/>
  </w:num>
  <w:num w:numId="31">
    <w:abstractNumId w:val="19"/>
  </w:num>
  <w:num w:numId="32">
    <w:abstractNumId w:val="21"/>
  </w:num>
  <w:num w:numId="33">
    <w:abstractNumId w:val="30"/>
  </w:num>
  <w:num w:numId="34">
    <w:abstractNumId w:val="31"/>
  </w:num>
  <w:num w:numId="35">
    <w:abstractNumId w:val="13"/>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documentProtection w:formatting="1"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6B61"/>
    <w:rsid w:val="00007FD8"/>
    <w:rsid w:val="000117F8"/>
    <w:rsid w:val="000148E7"/>
    <w:rsid w:val="00022B45"/>
    <w:rsid w:val="00023390"/>
    <w:rsid w:val="00024CA2"/>
    <w:rsid w:val="0002527E"/>
    <w:rsid w:val="000258BA"/>
    <w:rsid w:val="00026139"/>
    <w:rsid w:val="000266B5"/>
    <w:rsid w:val="00027071"/>
    <w:rsid w:val="00027601"/>
    <w:rsid w:val="00033321"/>
    <w:rsid w:val="000338E5"/>
    <w:rsid w:val="00033ECC"/>
    <w:rsid w:val="0003422F"/>
    <w:rsid w:val="00046FF0"/>
    <w:rsid w:val="00050176"/>
    <w:rsid w:val="00052625"/>
    <w:rsid w:val="00054227"/>
    <w:rsid w:val="00062B65"/>
    <w:rsid w:val="00064B8C"/>
    <w:rsid w:val="00064D51"/>
    <w:rsid w:val="000650C0"/>
    <w:rsid w:val="00067456"/>
    <w:rsid w:val="00071506"/>
    <w:rsid w:val="0007154F"/>
    <w:rsid w:val="00081AB1"/>
    <w:rsid w:val="00085E6F"/>
    <w:rsid w:val="00087F83"/>
    <w:rsid w:val="00090316"/>
    <w:rsid w:val="00091B5A"/>
    <w:rsid w:val="00093981"/>
    <w:rsid w:val="00093CD9"/>
    <w:rsid w:val="000B067A"/>
    <w:rsid w:val="000B1540"/>
    <w:rsid w:val="000B33FD"/>
    <w:rsid w:val="000B4ABA"/>
    <w:rsid w:val="000B7F6C"/>
    <w:rsid w:val="000C4B16"/>
    <w:rsid w:val="000C50C3"/>
    <w:rsid w:val="000C5F77"/>
    <w:rsid w:val="000D21F6"/>
    <w:rsid w:val="000D42C3"/>
    <w:rsid w:val="000D4500"/>
    <w:rsid w:val="000D56E4"/>
    <w:rsid w:val="000D7AEA"/>
    <w:rsid w:val="000E01A9"/>
    <w:rsid w:val="000E2C66"/>
    <w:rsid w:val="000E6E7D"/>
    <w:rsid w:val="000F08F8"/>
    <w:rsid w:val="000F123C"/>
    <w:rsid w:val="000F2E2E"/>
    <w:rsid w:val="000F2FED"/>
    <w:rsid w:val="0010014A"/>
    <w:rsid w:val="00100F6D"/>
    <w:rsid w:val="0010616D"/>
    <w:rsid w:val="00110478"/>
    <w:rsid w:val="00114BF9"/>
    <w:rsid w:val="00115410"/>
    <w:rsid w:val="0011711B"/>
    <w:rsid w:val="0011771D"/>
    <w:rsid w:val="00117F8A"/>
    <w:rsid w:val="001210A5"/>
    <w:rsid w:val="00121B9B"/>
    <w:rsid w:val="00122ADC"/>
    <w:rsid w:val="001237AA"/>
    <w:rsid w:val="00130F59"/>
    <w:rsid w:val="00133EC0"/>
    <w:rsid w:val="00134AF9"/>
    <w:rsid w:val="00141CE5"/>
    <w:rsid w:val="00144908"/>
    <w:rsid w:val="001571C7"/>
    <w:rsid w:val="00161094"/>
    <w:rsid w:val="00161E49"/>
    <w:rsid w:val="00172A55"/>
    <w:rsid w:val="00175615"/>
    <w:rsid w:val="001758CD"/>
    <w:rsid w:val="0017665C"/>
    <w:rsid w:val="00177AD2"/>
    <w:rsid w:val="001815A8"/>
    <w:rsid w:val="001840FA"/>
    <w:rsid w:val="00187AE5"/>
    <w:rsid w:val="00190079"/>
    <w:rsid w:val="001924A4"/>
    <w:rsid w:val="0019622E"/>
    <w:rsid w:val="001966A7"/>
    <w:rsid w:val="001A049B"/>
    <w:rsid w:val="001A4627"/>
    <w:rsid w:val="001A4979"/>
    <w:rsid w:val="001B15D3"/>
    <w:rsid w:val="001B3443"/>
    <w:rsid w:val="001B6084"/>
    <w:rsid w:val="001C0326"/>
    <w:rsid w:val="001C192F"/>
    <w:rsid w:val="001C3C42"/>
    <w:rsid w:val="001D7869"/>
    <w:rsid w:val="001F2F78"/>
    <w:rsid w:val="001F6140"/>
    <w:rsid w:val="001F7B36"/>
    <w:rsid w:val="00201C4D"/>
    <w:rsid w:val="002026CD"/>
    <w:rsid w:val="002033FC"/>
    <w:rsid w:val="002044BB"/>
    <w:rsid w:val="00205A93"/>
    <w:rsid w:val="00210B09"/>
    <w:rsid w:val="00210C9E"/>
    <w:rsid w:val="00211840"/>
    <w:rsid w:val="00220E5F"/>
    <w:rsid w:val="002212B5"/>
    <w:rsid w:val="002213C0"/>
    <w:rsid w:val="002252FE"/>
    <w:rsid w:val="00226668"/>
    <w:rsid w:val="00233809"/>
    <w:rsid w:val="00236073"/>
    <w:rsid w:val="00240046"/>
    <w:rsid w:val="00242DF5"/>
    <w:rsid w:val="0024797F"/>
    <w:rsid w:val="0025119E"/>
    <w:rsid w:val="00251269"/>
    <w:rsid w:val="002527A5"/>
    <w:rsid w:val="002535C0"/>
    <w:rsid w:val="00256F1B"/>
    <w:rsid w:val="002579FE"/>
    <w:rsid w:val="0026311C"/>
    <w:rsid w:val="0026668C"/>
    <w:rsid w:val="00266AC1"/>
    <w:rsid w:val="0027178C"/>
    <w:rsid w:val="002719FA"/>
    <w:rsid w:val="00272668"/>
    <w:rsid w:val="0027330B"/>
    <w:rsid w:val="00274BDA"/>
    <w:rsid w:val="00276932"/>
    <w:rsid w:val="002803AD"/>
    <w:rsid w:val="00282052"/>
    <w:rsid w:val="0028519E"/>
    <w:rsid w:val="002856A5"/>
    <w:rsid w:val="002872ED"/>
    <w:rsid w:val="002905C2"/>
    <w:rsid w:val="00291EF5"/>
    <w:rsid w:val="00295AF2"/>
    <w:rsid w:val="00295C91"/>
    <w:rsid w:val="00297151"/>
    <w:rsid w:val="002A6B1F"/>
    <w:rsid w:val="002B20E6"/>
    <w:rsid w:val="002B42A3"/>
    <w:rsid w:val="002C0CDD"/>
    <w:rsid w:val="002D26AB"/>
    <w:rsid w:val="002E057C"/>
    <w:rsid w:val="002E0E38"/>
    <w:rsid w:val="002E1A1D"/>
    <w:rsid w:val="002E4081"/>
    <w:rsid w:val="002E5B78"/>
    <w:rsid w:val="002F3AE3"/>
    <w:rsid w:val="002F53CA"/>
    <w:rsid w:val="00301432"/>
    <w:rsid w:val="0030464B"/>
    <w:rsid w:val="0030786C"/>
    <w:rsid w:val="00307B14"/>
    <w:rsid w:val="003233DE"/>
    <w:rsid w:val="0032466B"/>
    <w:rsid w:val="00326D60"/>
    <w:rsid w:val="00327B44"/>
    <w:rsid w:val="003330EB"/>
    <w:rsid w:val="003348BE"/>
    <w:rsid w:val="00336605"/>
    <w:rsid w:val="003415FD"/>
    <w:rsid w:val="003429F0"/>
    <w:rsid w:val="0035097A"/>
    <w:rsid w:val="003540A4"/>
    <w:rsid w:val="00360E4E"/>
    <w:rsid w:val="00367C11"/>
    <w:rsid w:val="00370AAA"/>
    <w:rsid w:val="00370BB4"/>
    <w:rsid w:val="00371DCD"/>
    <w:rsid w:val="00375F77"/>
    <w:rsid w:val="003776CA"/>
    <w:rsid w:val="00377A78"/>
    <w:rsid w:val="00381BBE"/>
    <w:rsid w:val="00382903"/>
    <w:rsid w:val="003846FF"/>
    <w:rsid w:val="00385AD4"/>
    <w:rsid w:val="00387924"/>
    <w:rsid w:val="0039384D"/>
    <w:rsid w:val="00395C23"/>
    <w:rsid w:val="003A01C2"/>
    <w:rsid w:val="003A251F"/>
    <w:rsid w:val="003A2E4F"/>
    <w:rsid w:val="003A4438"/>
    <w:rsid w:val="003A5013"/>
    <w:rsid w:val="003A5078"/>
    <w:rsid w:val="003A62DD"/>
    <w:rsid w:val="003A7201"/>
    <w:rsid w:val="003A775A"/>
    <w:rsid w:val="003B0DAB"/>
    <w:rsid w:val="003B213A"/>
    <w:rsid w:val="003B24A2"/>
    <w:rsid w:val="003B43AD"/>
    <w:rsid w:val="003B7528"/>
    <w:rsid w:val="003C0FEC"/>
    <w:rsid w:val="003C15B8"/>
    <w:rsid w:val="003C2AC8"/>
    <w:rsid w:val="003D0618"/>
    <w:rsid w:val="003D17F9"/>
    <w:rsid w:val="003D2D88"/>
    <w:rsid w:val="003D3B82"/>
    <w:rsid w:val="003D41EA"/>
    <w:rsid w:val="003D4850"/>
    <w:rsid w:val="003D535A"/>
    <w:rsid w:val="003D5E7E"/>
    <w:rsid w:val="003D7EDA"/>
    <w:rsid w:val="003E10B8"/>
    <w:rsid w:val="003E35AF"/>
    <w:rsid w:val="003E5265"/>
    <w:rsid w:val="003F0955"/>
    <w:rsid w:val="003F36A2"/>
    <w:rsid w:val="003F6FE1"/>
    <w:rsid w:val="00400F00"/>
    <w:rsid w:val="00401159"/>
    <w:rsid w:val="00404F8B"/>
    <w:rsid w:val="00404FFC"/>
    <w:rsid w:val="00405256"/>
    <w:rsid w:val="00410031"/>
    <w:rsid w:val="004115A2"/>
    <w:rsid w:val="00415C81"/>
    <w:rsid w:val="00416731"/>
    <w:rsid w:val="00432378"/>
    <w:rsid w:val="0043547F"/>
    <w:rsid w:val="00435A97"/>
    <w:rsid w:val="00440D65"/>
    <w:rsid w:val="00441E26"/>
    <w:rsid w:val="004435E6"/>
    <w:rsid w:val="00447710"/>
    <w:rsid w:val="00447E31"/>
    <w:rsid w:val="00453923"/>
    <w:rsid w:val="00454B9B"/>
    <w:rsid w:val="00457858"/>
    <w:rsid w:val="00460B0B"/>
    <w:rsid w:val="00461023"/>
    <w:rsid w:val="00462FAC"/>
    <w:rsid w:val="00463D14"/>
    <w:rsid w:val="00464631"/>
    <w:rsid w:val="00464B79"/>
    <w:rsid w:val="00467BBF"/>
    <w:rsid w:val="00480E48"/>
    <w:rsid w:val="004867E2"/>
    <w:rsid w:val="004929A9"/>
    <w:rsid w:val="004A3BD5"/>
    <w:rsid w:val="004B77C4"/>
    <w:rsid w:val="004C2422"/>
    <w:rsid w:val="004C2FEC"/>
    <w:rsid w:val="004C6BCF"/>
    <w:rsid w:val="004D58BF"/>
    <w:rsid w:val="004E0294"/>
    <w:rsid w:val="004E4335"/>
    <w:rsid w:val="004E5ACF"/>
    <w:rsid w:val="004F13EE"/>
    <w:rsid w:val="004F2022"/>
    <w:rsid w:val="004F7C05"/>
    <w:rsid w:val="00501C94"/>
    <w:rsid w:val="005053FC"/>
    <w:rsid w:val="00506432"/>
    <w:rsid w:val="0051242B"/>
    <w:rsid w:val="0052051D"/>
    <w:rsid w:val="00520ACC"/>
    <w:rsid w:val="00534AE0"/>
    <w:rsid w:val="00545EE6"/>
    <w:rsid w:val="00552794"/>
    <w:rsid w:val="005550E7"/>
    <w:rsid w:val="0055534B"/>
    <w:rsid w:val="005564FB"/>
    <w:rsid w:val="005572C7"/>
    <w:rsid w:val="00557D5A"/>
    <w:rsid w:val="0056486D"/>
    <w:rsid w:val="005650ED"/>
    <w:rsid w:val="0056527E"/>
    <w:rsid w:val="00567831"/>
    <w:rsid w:val="005721E2"/>
    <w:rsid w:val="00575754"/>
    <w:rsid w:val="00581443"/>
    <w:rsid w:val="00591E20"/>
    <w:rsid w:val="0059221F"/>
    <w:rsid w:val="00595408"/>
    <w:rsid w:val="00595E84"/>
    <w:rsid w:val="005A0C59"/>
    <w:rsid w:val="005A48EB"/>
    <w:rsid w:val="005A6CFB"/>
    <w:rsid w:val="005A7F92"/>
    <w:rsid w:val="005B112E"/>
    <w:rsid w:val="005B3AB9"/>
    <w:rsid w:val="005B5146"/>
    <w:rsid w:val="005C5AEB"/>
    <w:rsid w:val="005D3846"/>
    <w:rsid w:val="005D6DB5"/>
    <w:rsid w:val="005E0A3F"/>
    <w:rsid w:val="005E6883"/>
    <w:rsid w:val="005E75C6"/>
    <w:rsid w:val="005E772F"/>
    <w:rsid w:val="005F4ECA"/>
    <w:rsid w:val="006041BE"/>
    <w:rsid w:val="006043C7"/>
    <w:rsid w:val="006220C8"/>
    <w:rsid w:val="00624B52"/>
    <w:rsid w:val="00631DF4"/>
    <w:rsid w:val="00634175"/>
    <w:rsid w:val="006408AC"/>
    <w:rsid w:val="00642B24"/>
    <w:rsid w:val="006511B6"/>
    <w:rsid w:val="00652742"/>
    <w:rsid w:val="006566D1"/>
    <w:rsid w:val="00657FF8"/>
    <w:rsid w:val="0066006E"/>
    <w:rsid w:val="00670D99"/>
    <w:rsid w:val="00670E2B"/>
    <w:rsid w:val="00671897"/>
    <w:rsid w:val="006734BB"/>
    <w:rsid w:val="00681A34"/>
    <w:rsid w:val="006821EB"/>
    <w:rsid w:val="00682DAA"/>
    <w:rsid w:val="00682F6E"/>
    <w:rsid w:val="0068667D"/>
    <w:rsid w:val="006900DD"/>
    <w:rsid w:val="0069169F"/>
    <w:rsid w:val="00693A79"/>
    <w:rsid w:val="00693A97"/>
    <w:rsid w:val="006A6326"/>
    <w:rsid w:val="006B2286"/>
    <w:rsid w:val="006B56BB"/>
    <w:rsid w:val="006C41BA"/>
    <w:rsid w:val="006C77A8"/>
    <w:rsid w:val="006D4098"/>
    <w:rsid w:val="006D7681"/>
    <w:rsid w:val="006D7B2E"/>
    <w:rsid w:val="006E02EA"/>
    <w:rsid w:val="006E0968"/>
    <w:rsid w:val="006E2AF6"/>
    <w:rsid w:val="006F08F8"/>
    <w:rsid w:val="00701275"/>
    <w:rsid w:val="00707F56"/>
    <w:rsid w:val="00711779"/>
    <w:rsid w:val="00712351"/>
    <w:rsid w:val="00713558"/>
    <w:rsid w:val="00715DA6"/>
    <w:rsid w:val="00720D08"/>
    <w:rsid w:val="00723B08"/>
    <w:rsid w:val="007263B9"/>
    <w:rsid w:val="00731EAC"/>
    <w:rsid w:val="00732B24"/>
    <w:rsid w:val="007334F8"/>
    <w:rsid w:val="007339CD"/>
    <w:rsid w:val="007359D8"/>
    <w:rsid w:val="007362D4"/>
    <w:rsid w:val="007415C4"/>
    <w:rsid w:val="00751A23"/>
    <w:rsid w:val="0075559D"/>
    <w:rsid w:val="00764E15"/>
    <w:rsid w:val="0076672A"/>
    <w:rsid w:val="00766B22"/>
    <w:rsid w:val="007706A1"/>
    <w:rsid w:val="00771CF7"/>
    <w:rsid w:val="00775E45"/>
    <w:rsid w:val="00776E74"/>
    <w:rsid w:val="00785169"/>
    <w:rsid w:val="007954AB"/>
    <w:rsid w:val="00795FF6"/>
    <w:rsid w:val="007A14C5"/>
    <w:rsid w:val="007A3E38"/>
    <w:rsid w:val="007A4A10"/>
    <w:rsid w:val="007B1760"/>
    <w:rsid w:val="007C289D"/>
    <w:rsid w:val="007C5B84"/>
    <w:rsid w:val="007C64E6"/>
    <w:rsid w:val="007C6D9C"/>
    <w:rsid w:val="007C7DDB"/>
    <w:rsid w:val="007D2CC7"/>
    <w:rsid w:val="007D673D"/>
    <w:rsid w:val="007E5DE6"/>
    <w:rsid w:val="007F2220"/>
    <w:rsid w:val="007F36E9"/>
    <w:rsid w:val="007F4B3E"/>
    <w:rsid w:val="007F588A"/>
    <w:rsid w:val="007F65C0"/>
    <w:rsid w:val="008127AF"/>
    <w:rsid w:val="00812B46"/>
    <w:rsid w:val="00815700"/>
    <w:rsid w:val="00817B70"/>
    <w:rsid w:val="008264EB"/>
    <w:rsid w:val="00826B8F"/>
    <w:rsid w:val="008317BE"/>
    <w:rsid w:val="00831E8A"/>
    <w:rsid w:val="00835C76"/>
    <w:rsid w:val="00841111"/>
    <w:rsid w:val="00841A2E"/>
    <w:rsid w:val="00843049"/>
    <w:rsid w:val="0085209B"/>
    <w:rsid w:val="00854360"/>
    <w:rsid w:val="008566D5"/>
    <w:rsid w:val="00856B66"/>
    <w:rsid w:val="00861A5F"/>
    <w:rsid w:val="008644AD"/>
    <w:rsid w:val="00865735"/>
    <w:rsid w:val="00865A8B"/>
    <w:rsid w:val="00865DDB"/>
    <w:rsid w:val="00867538"/>
    <w:rsid w:val="00867654"/>
    <w:rsid w:val="00873D90"/>
    <w:rsid w:val="00873FC8"/>
    <w:rsid w:val="00884C63"/>
    <w:rsid w:val="00885908"/>
    <w:rsid w:val="008864B7"/>
    <w:rsid w:val="00894B73"/>
    <w:rsid w:val="0089677E"/>
    <w:rsid w:val="00896E8C"/>
    <w:rsid w:val="008A7438"/>
    <w:rsid w:val="008B0D75"/>
    <w:rsid w:val="008B1334"/>
    <w:rsid w:val="008C0278"/>
    <w:rsid w:val="008C24E9"/>
    <w:rsid w:val="008D0533"/>
    <w:rsid w:val="008D42CB"/>
    <w:rsid w:val="008D48C9"/>
    <w:rsid w:val="008D5B79"/>
    <w:rsid w:val="008D6381"/>
    <w:rsid w:val="008E0C77"/>
    <w:rsid w:val="008E625F"/>
    <w:rsid w:val="008F097D"/>
    <w:rsid w:val="008F264D"/>
    <w:rsid w:val="00902DB5"/>
    <w:rsid w:val="009074E1"/>
    <w:rsid w:val="009112F7"/>
    <w:rsid w:val="009122AF"/>
    <w:rsid w:val="009127BC"/>
    <w:rsid w:val="00912D54"/>
    <w:rsid w:val="0091389F"/>
    <w:rsid w:val="009146AB"/>
    <w:rsid w:val="009208F7"/>
    <w:rsid w:val="00922517"/>
    <w:rsid w:val="00922722"/>
    <w:rsid w:val="009261E6"/>
    <w:rsid w:val="009268E1"/>
    <w:rsid w:val="00930969"/>
    <w:rsid w:val="00942C37"/>
    <w:rsid w:val="00945E7F"/>
    <w:rsid w:val="009557C1"/>
    <w:rsid w:val="00960D6E"/>
    <w:rsid w:val="009670CA"/>
    <w:rsid w:val="00972BC1"/>
    <w:rsid w:val="00974B59"/>
    <w:rsid w:val="009761B5"/>
    <w:rsid w:val="0098340B"/>
    <w:rsid w:val="00986830"/>
    <w:rsid w:val="009924C3"/>
    <w:rsid w:val="00993102"/>
    <w:rsid w:val="009C4A39"/>
    <w:rsid w:val="009C6F10"/>
    <w:rsid w:val="009D0EED"/>
    <w:rsid w:val="009D148F"/>
    <w:rsid w:val="009D3D70"/>
    <w:rsid w:val="009E4E16"/>
    <w:rsid w:val="009E6F7E"/>
    <w:rsid w:val="009E7A57"/>
    <w:rsid w:val="009F4F6A"/>
    <w:rsid w:val="009F5327"/>
    <w:rsid w:val="00A04084"/>
    <w:rsid w:val="00A06299"/>
    <w:rsid w:val="00A15F29"/>
    <w:rsid w:val="00A16E36"/>
    <w:rsid w:val="00A20260"/>
    <w:rsid w:val="00A21519"/>
    <w:rsid w:val="00A24961"/>
    <w:rsid w:val="00A24B10"/>
    <w:rsid w:val="00A30E9B"/>
    <w:rsid w:val="00A40FF8"/>
    <w:rsid w:val="00A4512D"/>
    <w:rsid w:val="00A50244"/>
    <w:rsid w:val="00A56F17"/>
    <w:rsid w:val="00A60589"/>
    <w:rsid w:val="00A624C6"/>
    <w:rsid w:val="00A627D7"/>
    <w:rsid w:val="00A656C7"/>
    <w:rsid w:val="00A705AF"/>
    <w:rsid w:val="00A72454"/>
    <w:rsid w:val="00A76294"/>
    <w:rsid w:val="00A77696"/>
    <w:rsid w:val="00A80557"/>
    <w:rsid w:val="00A81447"/>
    <w:rsid w:val="00A81888"/>
    <w:rsid w:val="00A81D33"/>
    <w:rsid w:val="00A87F79"/>
    <w:rsid w:val="00A930AE"/>
    <w:rsid w:val="00A957DB"/>
    <w:rsid w:val="00AA1A95"/>
    <w:rsid w:val="00AA260F"/>
    <w:rsid w:val="00AA4170"/>
    <w:rsid w:val="00AB1EE7"/>
    <w:rsid w:val="00AB4B37"/>
    <w:rsid w:val="00AB5762"/>
    <w:rsid w:val="00AC0C70"/>
    <w:rsid w:val="00AC1B62"/>
    <w:rsid w:val="00AC2679"/>
    <w:rsid w:val="00AC4BE4"/>
    <w:rsid w:val="00AC6BF9"/>
    <w:rsid w:val="00AD05E6"/>
    <w:rsid w:val="00AD0D3F"/>
    <w:rsid w:val="00AD431D"/>
    <w:rsid w:val="00AD5FC2"/>
    <w:rsid w:val="00AE1D7D"/>
    <w:rsid w:val="00AE2A8B"/>
    <w:rsid w:val="00AE3F64"/>
    <w:rsid w:val="00AE7F0C"/>
    <w:rsid w:val="00AF39F2"/>
    <w:rsid w:val="00AF3BAD"/>
    <w:rsid w:val="00AF72C8"/>
    <w:rsid w:val="00AF7386"/>
    <w:rsid w:val="00AF7934"/>
    <w:rsid w:val="00B00B81"/>
    <w:rsid w:val="00B04580"/>
    <w:rsid w:val="00B04B09"/>
    <w:rsid w:val="00B16A51"/>
    <w:rsid w:val="00B25440"/>
    <w:rsid w:val="00B26A1F"/>
    <w:rsid w:val="00B32222"/>
    <w:rsid w:val="00B3551E"/>
    <w:rsid w:val="00B3618D"/>
    <w:rsid w:val="00B36233"/>
    <w:rsid w:val="00B379D1"/>
    <w:rsid w:val="00B410D7"/>
    <w:rsid w:val="00B42851"/>
    <w:rsid w:val="00B45AC7"/>
    <w:rsid w:val="00B5372F"/>
    <w:rsid w:val="00B61129"/>
    <w:rsid w:val="00B6275D"/>
    <w:rsid w:val="00B67E7F"/>
    <w:rsid w:val="00B75A04"/>
    <w:rsid w:val="00B8234C"/>
    <w:rsid w:val="00B839B2"/>
    <w:rsid w:val="00B94252"/>
    <w:rsid w:val="00B94828"/>
    <w:rsid w:val="00B9715A"/>
    <w:rsid w:val="00BA14BE"/>
    <w:rsid w:val="00BA2732"/>
    <w:rsid w:val="00BA293D"/>
    <w:rsid w:val="00BA2A99"/>
    <w:rsid w:val="00BA4835"/>
    <w:rsid w:val="00BA4836"/>
    <w:rsid w:val="00BA49BC"/>
    <w:rsid w:val="00BA56B7"/>
    <w:rsid w:val="00BA7A1E"/>
    <w:rsid w:val="00BA7CA9"/>
    <w:rsid w:val="00BB2F6C"/>
    <w:rsid w:val="00BB3875"/>
    <w:rsid w:val="00BB3CC7"/>
    <w:rsid w:val="00BB5860"/>
    <w:rsid w:val="00BB6AAD"/>
    <w:rsid w:val="00BC4A19"/>
    <w:rsid w:val="00BC4E6D"/>
    <w:rsid w:val="00BC5815"/>
    <w:rsid w:val="00BD0617"/>
    <w:rsid w:val="00BD2E9B"/>
    <w:rsid w:val="00BE4806"/>
    <w:rsid w:val="00C00930"/>
    <w:rsid w:val="00C060AD"/>
    <w:rsid w:val="00C0670D"/>
    <w:rsid w:val="00C070D9"/>
    <w:rsid w:val="00C113BF"/>
    <w:rsid w:val="00C12CD9"/>
    <w:rsid w:val="00C2176E"/>
    <w:rsid w:val="00C23430"/>
    <w:rsid w:val="00C27D67"/>
    <w:rsid w:val="00C4631F"/>
    <w:rsid w:val="00C47058"/>
    <w:rsid w:val="00C50E16"/>
    <w:rsid w:val="00C51ECE"/>
    <w:rsid w:val="00C55258"/>
    <w:rsid w:val="00C620BF"/>
    <w:rsid w:val="00C64615"/>
    <w:rsid w:val="00C7211F"/>
    <w:rsid w:val="00C76F57"/>
    <w:rsid w:val="00C77913"/>
    <w:rsid w:val="00C82EEB"/>
    <w:rsid w:val="00C8700C"/>
    <w:rsid w:val="00C87AC0"/>
    <w:rsid w:val="00C971DC"/>
    <w:rsid w:val="00CA16B7"/>
    <w:rsid w:val="00CA4BE3"/>
    <w:rsid w:val="00CA4DF2"/>
    <w:rsid w:val="00CA60CF"/>
    <w:rsid w:val="00CA62AE"/>
    <w:rsid w:val="00CA79CF"/>
    <w:rsid w:val="00CB0083"/>
    <w:rsid w:val="00CB3107"/>
    <w:rsid w:val="00CB5B1A"/>
    <w:rsid w:val="00CC220B"/>
    <w:rsid w:val="00CC5C43"/>
    <w:rsid w:val="00CD02AE"/>
    <w:rsid w:val="00CD2A4F"/>
    <w:rsid w:val="00CE03CA"/>
    <w:rsid w:val="00CE0EFD"/>
    <w:rsid w:val="00CE22F1"/>
    <w:rsid w:val="00CE50F2"/>
    <w:rsid w:val="00CE6502"/>
    <w:rsid w:val="00CF0D74"/>
    <w:rsid w:val="00CF14A6"/>
    <w:rsid w:val="00CF2133"/>
    <w:rsid w:val="00CF4421"/>
    <w:rsid w:val="00CF7D3C"/>
    <w:rsid w:val="00D00738"/>
    <w:rsid w:val="00D07BD8"/>
    <w:rsid w:val="00D147EB"/>
    <w:rsid w:val="00D22064"/>
    <w:rsid w:val="00D2416F"/>
    <w:rsid w:val="00D27955"/>
    <w:rsid w:val="00D34667"/>
    <w:rsid w:val="00D34D47"/>
    <w:rsid w:val="00D401E1"/>
    <w:rsid w:val="00D408B4"/>
    <w:rsid w:val="00D45D94"/>
    <w:rsid w:val="00D4607F"/>
    <w:rsid w:val="00D524C8"/>
    <w:rsid w:val="00D543B0"/>
    <w:rsid w:val="00D57383"/>
    <w:rsid w:val="00D60E25"/>
    <w:rsid w:val="00D70E24"/>
    <w:rsid w:val="00D716B3"/>
    <w:rsid w:val="00D72B61"/>
    <w:rsid w:val="00D86300"/>
    <w:rsid w:val="00D87B9C"/>
    <w:rsid w:val="00D94945"/>
    <w:rsid w:val="00DA0D5A"/>
    <w:rsid w:val="00DA38A7"/>
    <w:rsid w:val="00DA3990"/>
    <w:rsid w:val="00DA3D1D"/>
    <w:rsid w:val="00DB0138"/>
    <w:rsid w:val="00DB22BC"/>
    <w:rsid w:val="00DB2986"/>
    <w:rsid w:val="00DB6286"/>
    <w:rsid w:val="00DB645F"/>
    <w:rsid w:val="00DB76E9"/>
    <w:rsid w:val="00DC0A67"/>
    <w:rsid w:val="00DC1D5E"/>
    <w:rsid w:val="00DC2313"/>
    <w:rsid w:val="00DC5220"/>
    <w:rsid w:val="00DC7910"/>
    <w:rsid w:val="00DD2061"/>
    <w:rsid w:val="00DD2E4D"/>
    <w:rsid w:val="00DD633D"/>
    <w:rsid w:val="00DD7DAB"/>
    <w:rsid w:val="00DE3355"/>
    <w:rsid w:val="00DE69AE"/>
    <w:rsid w:val="00DF183A"/>
    <w:rsid w:val="00DF486F"/>
    <w:rsid w:val="00DF5B5B"/>
    <w:rsid w:val="00DF7619"/>
    <w:rsid w:val="00E042D8"/>
    <w:rsid w:val="00E07EE7"/>
    <w:rsid w:val="00E10042"/>
    <w:rsid w:val="00E109DF"/>
    <w:rsid w:val="00E1103B"/>
    <w:rsid w:val="00E17B44"/>
    <w:rsid w:val="00E27FEA"/>
    <w:rsid w:val="00E301E7"/>
    <w:rsid w:val="00E4086F"/>
    <w:rsid w:val="00E43B3C"/>
    <w:rsid w:val="00E50188"/>
    <w:rsid w:val="00E515CB"/>
    <w:rsid w:val="00E51901"/>
    <w:rsid w:val="00E52260"/>
    <w:rsid w:val="00E523F0"/>
    <w:rsid w:val="00E62D45"/>
    <w:rsid w:val="00E639B6"/>
    <w:rsid w:val="00E6434B"/>
    <w:rsid w:val="00E6463D"/>
    <w:rsid w:val="00E72E9B"/>
    <w:rsid w:val="00E849DA"/>
    <w:rsid w:val="00E9040C"/>
    <w:rsid w:val="00E911F2"/>
    <w:rsid w:val="00E92E4D"/>
    <w:rsid w:val="00E93D99"/>
    <w:rsid w:val="00E9462E"/>
    <w:rsid w:val="00E9747F"/>
    <w:rsid w:val="00EA470E"/>
    <w:rsid w:val="00EA47A7"/>
    <w:rsid w:val="00EA57EB"/>
    <w:rsid w:val="00EB3226"/>
    <w:rsid w:val="00EC213A"/>
    <w:rsid w:val="00EC6603"/>
    <w:rsid w:val="00EC7744"/>
    <w:rsid w:val="00ED0DAD"/>
    <w:rsid w:val="00ED0F46"/>
    <w:rsid w:val="00ED2373"/>
    <w:rsid w:val="00EE3E8A"/>
    <w:rsid w:val="00EF6ECA"/>
    <w:rsid w:val="00F024E1"/>
    <w:rsid w:val="00F02DCA"/>
    <w:rsid w:val="00F06554"/>
    <w:rsid w:val="00F06C10"/>
    <w:rsid w:val="00F1096F"/>
    <w:rsid w:val="00F118AF"/>
    <w:rsid w:val="00F12589"/>
    <w:rsid w:val="00F12595"/>
    <w:rsid w:val="00F134D9"/>
    <w:rsid w:val="00F1403D"/>
    <w:rsid w:val="00F1463F"/>
    <w:rsid w:val="00F21302"/>
    <w:rsid w:val="00F2344D"/>
    <w:rsid w:val="00F30B7F"/>
    <w:rsid w:val="00F321DE"/>
    <w:rsid w:val="00F33777"/>
    <w:rsid w:val="00F355B6"/>
    <w:rsid w:val="00F40648"/>
    <w:rsid w:val="00F47DA2"/>
    <w:rsid w:val="00F50F43"/>
    <w:rsid w:val="00F519FC"/>
    <w:rsid w:val="00F57754"/>
    <w:rsid w:val="00F6239D"/>
    <w:rsid w:val="00F6664E"/>
    <w:rsid w:val="00F7004E"/>
    <w:rsid w:val="00F715D2"/>
    <w:rsid w:val="00F7274F"/>
    <w:rsid w:val="00F76FA8"/>
    <w:rsid w:val="00F93F08"/>
    <w:rsid w:val="00F94CED"/>
    <w:rsid w:val="00F97F0E"/>
    <w:rsid w:val="00FA07D3"/>
    <w:rsid w:val="00FA2CEE"/>
    <w:rsid w:val="00FA318C"/>
    <w:rsid w:val="00FA3D94"/>
    <w:rsid w:val="00FB2904"/>
    <w:rsid w:val="00FB6F92"/>
    <w:rsid w:val="00FC026E"/>
    <w:rsid w:val="00FC5124"/>
    <w:rsid w:val="00FD4731"/>
    <w:rsid w:val="00FE7465"/>
    <w:rsid w:val="00FF09B4"/>
    <w:rsid w:val="00FF0AB0"/>
    <w:rsid w:val="00FF28AC"/>
    <w:rsid w:val="00FF714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D03F2"/>
  <w15:docId w15:val="{C4C9B3CE-CF3D-4FBB-82D7-20F18123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26D60"/>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Recommendation,List Paragraph1,Bullets,standard lewis,CDHP List Paragraph,NAST Quote,Bullet point,CV text,Dot pt,F5 List Paragraph,FooterText,L,List Paragraph11,List Paragraph111,List Paragraph2,Medium Grid 1 - Accent 2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nhideWhenUsed/>
    <w:rsid w:val="00B94828"/>
    <w:pPr>
      <w:spacing w:after="120"/>
    </w:pPr>
  </w:style>
  <w:style w:type="character" w:customStyle="1" w:styleId="BodyTextChar">
    <w:name w:val="Body Text Char"/>
    <w:basedOn w:val="DefaultParagraphFont"/>
    <w:link w:val="BodyText"/>
    <w:uiPriority w:val="99"/>
    <w:rsid w:val="00B94828"/>
    <w:rPr>
      <w:rFonts w:ascii="Arial" w:hAnsi="Arial"/>
      <w:sz w:val="22"/>
      <w:szCs w:val="24"/>
      <w:lang w:eastAsia="en-US"/>
    </w:rPr>
  </w:style>
  <w:style w:type="paragraph" w:styleId="TOCHeading">
    <w:name w:val="TOC Heading"/>
    <w:basedOn w:val="Heading1"/>
    <w:next w:val="Normal"/>
    <w:uiPriority w:val="39"/>
    <w:unhideWhenUsed/>
    <w:qFormat/>
    <w:rsid w:val="00CA4DF2"/>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2">
    <w:name w:val="toc 2"/>
    <w:basedOn w:val="Normal"/>
    <w:next w:val="Normal"/>
    <w:autoRedefine/>
    <w:uiPriority w:val="39"/>
    <w:unhideWhenUsed/>
    <w:rsid w:val="00CA4DF2"/>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326D60"/>
    <w:pPr>
      <w:tabs>
        <w:tab w:val="right" w:leader="dot" w:pos="9060"/>
      </w:tabs>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326D60"/>
    <w:pPr>
      <w:tabs>
        <w:tab w:val="right" w:leader="dot" w:pos="9060"/>
      </w:tabs>
      <w:spacing w:after="100" w:line="259" w:lineRule="auto"/>
      <w:ind w:left="440"/>
    </w:pPr>
    <w:rPr>
      <w:rFonts w:asciiTheme="minorHAnsi" w:eastAsiaTheme="minorEastAsia" w:hAnsiTheme="minorHAnsi"/>
      <w:szCs w:val="22"/>
      <w:lang w:val="en-US"/>
    </w:rPr>
  </w:style>
  <w:style w:type="character" w:styleId="CommentReference">
    <w:name w:val="annotation reference"/>
    <w:basedOn w:val="DefaultParagraphFont"/>
    <w:uiPriority w:val="99"/>
    <w:semiHidden/>
    <w:unhideWhenUsed/>
    <w:rsid w:val="00CA4DF2"/>
    <w:rPr>
      <w:sz w:val="16"/>
      <w:szCs w:val="16"/>
    </w:rPr>
  </w:style>
  <w:style w:type="paragraph" w:styleId="CommentText">
    <w:name w:val="annotation text"/>
    <w:basedOn w:val="Normal"/>
    <w:link w:val="CommentTextChar"/>
    <w:uiPriority w:val="99"/>
    <w:semiHidden/>
    <w:unhideWhenUsed/>
    <w:rsid w:val="00CA4DF2"/>
    <w:pPr>
      <w:widowControl w:val="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CA4DF2"/>
    <w:rPr>
      <w:rFonts w:asciiTheme="minorHAnsi" w:eastAsiaTheme="minorHAnsi" w:hAnsiTheme="minorHAnsi" w:cstheme="minorBidi"/>
      <w:lang w:val="en-US" w:eastAsia="en-US"/>
    </w:rPr>
  </w:style>
  <w:style w:type="character" w:customStyle="1" w:styleId="ListParagraphChar">
    <w:name w:val="List Paragraph Char"/>
    <w:aliases w:val="Recommendation Char,List Paragraph1 Char,Bullets Char,standard lewis Char,CDHP List Paragraph Char,NAST Quote Char,Bullet point Char,CV text Char,Dot pt Char,F5 List Paragraph Char,FooterText Char,L Char,List Paragraph11 Char"/>
    <w:basedOn w:val="DefaultParagraphFont"/>
    <w:link w:val="ListParagraph"/>
    <w:uiPriority w:val="34"/>
    <w:locked/>
    <w:rsid w:val="00CA4DF2"/>
    <w:rPr>
      <w:rFonts w:ascii="Arial" w:hAnsi="Arial"/>
      <w:sz w:val="22"/>
      <w:szCs w:val="24"/>
      <w:lang w:eastAsia="en-US"/>
    </w:rPr>
  </w:style>
  <w:style w:type="character" w:styleId="FootnoteReference">
    <w:name w:val="footnote reference"/>
    <w:basedOn w:val="DefaultParagraphFont"/>
    <w:uiPriority w:val="99"/>
    <w:unhideWhenUsed/>
    <w:rsid w:val="00CA4DF2"/>
    <w:rPr>
      <w:vertAlign w:val="superscript"/>
    </w:rPr>
  </w:style>
  <w:style w:type="paragraph" w:styleId="CommentSubject">
    <w:name w:val="annotation subject"/>
    <w:basedOn w:val="CommentText"/>
    <w:next w:val="CommentText"/>
    <w:link w:val="CommentSubjectChar"/>
    <w:semiHidden/>
    <w:unhideWhenUsed/>
    <w:rsid w:val="0011771D"/>
    <w:pPr>
      <w:widowControl/>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11771D"/>
    <w:rPr>
      <w:rFonts w:ascii="Arial" w:eastAsiaTheme="minorHAnsi" w:hAnsi="Arial" w:cstheme="minorBidi"/>
      <w:b/>
      <w:bCs/>
      <w:lang w:val="en-US" w:eastAsia="en-US"/>
    </w:rPr>
  </w:style>
  <w:style w:type="character" w:styleId="FollowedHyperlink">
    <w:name w:val="FollowedHyperlink"/>
    <w:basedOn w:val="DefaultParagraphFont"/>
    <w:semiHidden/>
    <w:unhideWhenUsed/>
    <w:rsid w:val="00DA3990"/>
    <w:rPr>
      <w:color w:val="800080" w:themeColor="followedHyperlink"/>
      <w:u w:val="single"/>
    </w:rPr>
  </w:style>
  <w:style w:type="paragraph" w:styleId="Revision">
    <w:name w:val="Revision"/>
    <w:hidden/>
    <w:uiPriority w:val="99"/>
    <w:semiHidden/>
    <w:rsid w:val="00671897"/>
    <w:rPr>
      <w:rFonts w:ascii="Arial" w:hAnsi="Arial"/>
      <w:sz w:val="22"/>
      <w:szCs w:val="24"/>
      <w:lang w:eastAsia="en-US"/>
    </w:rPr>
  </w:style>
  <w:style w:type="character" w:customStyle="1" w:styleId="Heading1Char">
    <w:name w:val="Heading 1 Char"/>
    <w:basedOn w:val="DefaultParagraphFont"/>
    <w:link w:val="Heading1"/>
    <w:rsid w:val="00894B73"/>
    <w:rPr>
      <w:rFonts w:ascii="Arial" w:hAnsi="Arial" w:cs="Arial"/>
      <w:bCs/>
      <w:color w:val="3F4A75"/>
      <w:kern w:val="28"/>
      <w:sz w:val="36"/>
      <w:szCs w:val="36"/>
      <w:lang w:eastAsia="en-US"/>
    </w:rPr>
  </w:style>
  <w:style w:type="character" w:styleId="UnresolvedMention">
    <w:name w:val="Unresolved Mention"/>
    <w:basedOn w:val="DefaultParagraphFont"/>
    <w:uiPriority w:val="99"/>
    <w:semiHidden/>
    <w:unhideWhenUsed/>
    <w:rsid w:val="0032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7003">
      <w:bodyDiv w:val="1"/>
      <w:marLeft w:val="0"/>
      <w:marRight w:val="0"/>
      <w:marTop w:val="0"/>
      <w:marBottom w:val="0"/>
      <w:divBdr>
        <w:top w:val="none" w:sz="0" w:space="0" w:color="auto"/>
        <w:left w:val="none" w:sz="0" w:space="0" w:color="auto"/>
        <w:bottom w:val="none" w:sz="0" w:space="0" w:color="auto"/>
        <w:right w:val="none" w:sz="0" w:space="0" w:color="auto"/>
      </w:divBdr>
    </w:div>
    <w:div w:id="34559486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32495320">
      <w:bodyDiv w:val="1"/>
      <w:marLeft w:val="0"/>
      <w:marRight w:val="0"/>
      <w:marTop w:val="0"/>
      <w:marBottom w:val="0"/>
      <w:divBdr>
        <w:top w:val="none" w:sz="0" w:space="0" w:color="auto"/>
        <w:left w:val="none" w:sz="0" w:space="0" w:color="auto"/>
        <w:bottom w:val="none" w:sz="0" w:space="0" w:color="auto"/>
        <w:right w:val="none" w:sz="0" w:space="0" w:color="auto"/>
      </w:divBdr>
    </w:div>
    <w:div w:id="1917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act.gov.au/a/1978-44/" TargetMode="External"/><Relationship Id="rId13" Type="http://schemas.openxmlformats.org/officeDocument/2006/relationships/hyperlink" Target="https://www.legislation.tas.gov.au/view/html/inforce/current/act-1985-118" TargetMode="External"/><Relationship Id="rId18" Type="http://schemas.openxmlformats.org/officeDocument/2006/relationships/hyperlink" Target="https://www1.health.gov.au/internet/main/publishing.nsf/Content/health-privatehealth-prostheseslist.htm" TargetMode="External"/><Relationship Id="rId3" Type="http://schemas.openxmlformats.org/officeDocument/2006/relationships/hyperlink" Target="https://www.donatelife.gov.au/about-us/corporate-transparency/government-reports" TargetMode="External"/><Relationship Id="rId7" Type="http://schemas.openxmlformats.org/officeDocument/2006/relationships/hyperlink" Target="https://apps.who.int/iris/handle/10665/273230" TargetMode="External"/><Relationship Id="rId12" Type="http://schemas.openxmlformats.org/officeDocument/2006/relationships/hyperlink" Target="https://legislation.sa.gov.au/LZ/C/A/TRANSPLANTATION%20AND%20ANATOMY%20ACT%201983.aspx" TargetMode="External"/><Relationship Id="rId17" Type="http://schemas.openxmlformats.org/officeDocument/2006/relationships/hyperlink" Target="https://apps.who.int/gb/ebwha/pdf_files/WHA63/A63_R22-en.pdf?ua=1" TargetMode="External"/><Relationship Id="rId2" Type="http://schemas.openxmlformats.org/officeDocument/2006/relationships/hyperlink" Target="https://www.tga.gov.au/regulatory-framework-biologicals" TargetMode="External"/><Relationship Id="rId16" Type="http://schemas.openxmlformats.org/officeDocument/2006/relationships/hyperlink" Target="https://apps.who.int/gb/ebwha/pdf_files/WHA63/A63_R22-en.pdf?ua=1" TargetMode="External"/><Relationship Id="rId20" Type="http://schemas.openxmlformats.org/officeDocument/2006/relationships/hyperlink" Target="https://www.legislation.gov.au/Latest/C2017C00206" TargetMode="External"/><Relationship Id="rId1" Type="http://schemas.openxmlformats.org/officeDocument/2006/relationships/hyperlink" Target="https://www.donatelife.gov.au/about-us/corporate-transparency/government-reports" TargetMode="External"/><Relationship Id="rId6" Type="http://schemas.openxmlformats.org/officeDocument/2006/relationships/hyperlink" Target="https://www.tga.gov.au/artg" TargetMode="External"/><Relationship Id="rId11" Type="http://schemas.openxmlformats.org/officeDocument/2006/relationships/hyperlink" Target="https://www.legislation.qld.gov.au/view/html/inforce/current/act-1979-074" TargetMode="External"/><Relationship Id="rId5" Type="http://schemas.openxmlformats.org/officeDocument/2006/relationships/hyperlink" Target="https://www.tga.gov.au/regulatory-framework-biologicals" TargetMode="External"/><Relationship Id="rId15" Type="http://schemas.openxmlformats.org/officeDocument/2006/relationships/hyperlink" Target="https://www.legislation.wa.gov.au/legislation/statutes.nsf/law_a364.html" TargetMode="External"/><Relationship Id="rId10" Type="http://schemas.openxmlformats.org/officeDocument/2006/relationships/hyperlink" Target="https://legislation.nt.gov.au/Legislation/TRANSPLANTATION-AND-ANATOMY-ACT-1979" TargetMode="External"/><Relationship Id="rId19" Type="http://schemas.openxmlformats.org/officeDocument/2006/relationships/hyperlink" Target="https://apps.who.int/gb/ebwha/pdf_files/WHA63/A63_R22-en.pdf?ua=1" TargetMode="External"/><Relationship Id="rId4" Type="http://schemas.openxmlformats.org/officeDocument/2006/relationships/hyperlink" Target="https://www.nhmrc.gov.au/research-policy/ethics/ethical-guidelines-organ-and-tissue-donation-and-transplantation" TargetMode="External"/><Relationship Id="rId9" Type="http://schemas.openxmlformats.org/officeDocument/2006/relationships/hyperlink" Target="https://www.legislation.nsw.gov.au/" TargetMode="External"/><Relationship Id="rId14" Type="http://schemas.openxmlformats.org/officeDocument/2006/relationships/hyperlink" Target="http://www.legislation.vic.gov.au/Domino/Web_Notes/LDMS/PubLawToday.nsf/a12f6f60fbd56800ca256de500201e54/1a2332f7cdb4c891ca257d810080c652!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Props1.xml><?xml version="1.0" encoding="utf-8"?>
<ds:datastoreItem xmlns:ds="http://schemas.openxmlformats.org/officeDocument/2006/customXml" ds:itemID="{7C72F12A-7D94-415D-AB72-10786D079AC3}">
  <ds:schemaRefs>
    <ds:schemaRef ds:uri="http://schemas.openxmlformats.org/officeDocument/2006/bibliography"/>
  </ds:schemaRefs>
</ds:datastoreItem>
</file>

<file path=customXml/itemProps2.xml><?xml version="1.0" encoding="utf-8"?>
<ds:datastoreItem xmlns:ds="http://schemas.openxmlformats.org/officeDocument/2006/customXml" ds:itemID="{DC06D5B2-C7ED-4AEF-94CC-10509D9DDB00}">
  <ds:schemaRefs>
    <ds:schemaRef ds:uri="http://schemas.microsoft.com/sharepoint/v3/contenttype/forms"/>
  </ds:schemaRefs>
</ds:datastoreItem>
</file>

<file path=customXml/itemProps3.xml><?xml version="1.0" encoding="utf-8"?>
<ds:datastoreItem xmlns:ds="http://schemas.openxmlformats.org/officeDocument/2006/customXml" ds:itemID="{B002C7BC-CAAC-4CFA-A420-AF1DA63B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EE89D-ECF3-491A-BFDA-1EFE420A61EF}">
  <ds:schemaRefs>
    <ds:schemaRef ds:uri="http://schemas.microsoft.com/office/2006/metadata/properties"/>
    <ds:schemaRef ds:uri="http://schemas.microsoft.com/office/infopath/2007/PartnerControls"/>
    <ds:schemaRef ds:uri="E93AF2D8-2509-41D6-BA06-7AC2DF3B417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7153</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dc:creator>
  <cp:lastModifiedBy>DAWES, Hollie</cp:lastModifiedBy>
  <cp:revision>4</cp:revision>
  <dcterms:created xsi:type="dcterms:W3CDTF">2022-09-06T07:09:00Z</dcterms:created>
  <dcterms:modified xsi:type="dcterms:W3CDTF">2022-09-07T00:50:00Z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0x010100266966F133664895A6EE3632470D45F50096CAB00AEEFA494F8855472756C40A7A</vt:lpwstr>
  </property>
</Properties>
</file>