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2.xml" ContentType="application/vnd.openxmlformats-officedocument.themeOverride+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04AFF8" w14:textId="5DDCE763" w:rsidR="009633A2" w:rsidRPr="00DD19D8" w:rsidRDefault="00531A80" w:rsidP="0052291D">
      <w:pPr>
        <w:pStyle w:val="Title"/>
        <w:ind w:left="-567" w:right="2352"/>
        <w:rPr>
          <w:rFonts w:ascii="KPMG Extralight" w:hAnsi="KPMG Extralight"/>
          <w:color w:val="00338D" w:themeColor="text2"/>
          <w:sz w:val="144"/>
          <w:szCs w:val="144"/>
          <w:lang w:eastAsia="en-AU"/>
        </w:rPr>
      </w:pPr>
      <w:bookmarkStart w:id="0" w:name="_Hlk75263872"/>
      <w:r>
        <w:rPr>
          <w:noProof/>
          <w:color w:val="00338D" w:themeColor="text2"/>
        </w:rPr>
        <w:drawing>
          <wp:anchor distT="0" distB="0" distL="114300" distR="114300" simplePos="0" relativeHeight="251698176" behindDoc="1" locked="0" layoutInCell="1" allowOverlap="1" wp14:anchorId="6E5ADCA0" wp14:editId="7BEC4F8D">
            <wp:simplePos x="0" y="0"/>
            <wp:positionH relativeFrom="column">
              <wp:posOffset>-1214203</wp:posOffset>
            </wp:positionH>
            <wp:positionV relativeFrom="paragraph">
              <wp:posOffset>-1885763</wp:posOffset>
            </wp:positionV>
            <wp:extent cx="7560000" cy="10692000"/>
            <wp:effectExtent l="0" t="0" r="3175" b="0"/>
            <wp:wrapNone/>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sidR="00CC2227" w:rsidRPr="00DD19D8">
        <w:rPr>
          <w:rFonts w:ascii="KPMG Extralight" w:hAnsi="KPMG Extralight"/>
          <w:color w:val="00338D" w:themeColor="text2"/>
          <w:sz w:val="144"/>
          <w:szCs w:val="144"/>
          <w:lang w:eastAsia="en-AU"/>
        </w:rPr>
        <w:t>Evaluation of the Aged Care Quality Standards</w:t>
      </w:r>
    </w:p>
    <w:bookmarkEnd w:id="0"/>
    <w:p w14:paraId="7DBB623E" w14:textId="38B91D76" w:rsidR="00DE4FA6" w:rsidRPr="00A737B8" w:rsidRDefault="00DE4FA6" w:rsidP="00243CD3">
      <w:pPr>
        <w:pStyle w:val="BodyText1"/>
        <w:ind w:left="-532"/>
        <w:rPr>
          <w:b/>
          <w:bCs/>
          <w:color w:val="00338D" w:themeColor="text2"/>
          <w:sz w:val="32"/>
          <w:szCs w:val="36"/>
        </w:rPr>
      </w:pPr>
      <w:r w:rsidRPr="00A737B8">
        <w:rPr>
          <w:b/>
          <w:bCs/>
          <w:color w:val="00338D" w:themeColor="text2"/>
          <w:sz w:val="32"/>
          <w:szCs w:val="36"/>
        </w:rPr>
        <w:t xml:space="preserve">Evaluation Report </w:t>
      </w:r>
    </w:p>
    <w:p w14:paraId="026187B7" w14:textId="5275D956" w:rsidR="00D522A6" w:rsidRPr="00DD19D8" w:rsidRDefault="00127E58" w:rsidP="00243CD3">
      <w:pPr>
        <w:pStyle w:val="BodyText1"/>
        <w:ind w:left="-532"/>
        <w:rPr>
          <w:color w:val="00338D" w:themeColor="text2"/>
        </w:rPr>
      </w:pPr>
      <w:bookmarkStart w:id="1" w:name="_Hlk83829264"/>
      <w:bookmarkEnd w:id="1"/>
      <w:r>
        <w:rPr>
          <w:color w:val="00338D" w:themeColor="text2"/>
        </w:rPr>
        <w:t>January 2022</w:t>
      </w:r>
    </w:p>
    <w:p w14:paraId="791A9767" w14:textId="5449FB57" w:rsidR="00CC2227" w:rsidRDefault="00CC2227" w:rsidP="00243CD3">
      <w:pPr>
        <w:ind w:left="-532"/>
        <w:sectPr w:rsidR="00CC2227" w:rsidSect="00DD19D8">
          <w:pgSz w:w="11906" w:h="16838" w:code="9"/>
          <w:pgMar w:top="2948" w:right="1418" w:bottom="1418" w:left="1899" w:header="567" w:footer="709" w:gutter="0"/>
          <w:cols w:space="708"/>
          <w:docGrid w:linePitch="360"/>
        </w:sectPr>
      </w:pPr>
    </w:p>
    <w:p w14:paraId="5FF017C7" w14:textId="583D4996" w:rsidR="005769E0" w:rsidRPr="005138FF" w:rsidRDefault="003433BA" w:rsidP="00DC5E8D">
      <w:pPr>
        <w:pStyle w:val="Heading1Noshow"/>
        <w:rPr>
          <w:color w:val="00338D" w:themeColor="text2"/>
        </w:rPr>
      </w:pPr>
      <w:bookmarkStart w:id="2" w:name="_Toc73349374"/>
      <w:bookmarkStart w:id="3" w:name="_Toc73345494"/>
      <w:bookmarkStart w:id="4" w:name="_Toc74754856"/>
      <w:r w:rsidRPr="005138FF">
        <w:rPr>
          <w:noProof/>
          <w:color w:val="00338D" w:themeColor="text2"/>
          <w:sz w:val="24"/>
          <w:szCs w:val="28"/>
        </w:rPr>
        <w:lastRenderedPageBreak/>
        <w:drawing>
          <wp:anchor distT="0" distB="0" distL="114300" distR="114300" simplePos="0" relativeHeight="251670528" behindDoc="0" locked="0" layoutInCell="1" allowOverlap="1" wp14:anchorId="54E7A404" wp14:editId="77D2E29C">
            <wp:simplePos x="0" y="0"/>
            <wp:positionH relativeFrom="column">
              <wp:posOffset>2909570</wp:posOffset>
            </wp:positionH>
            <wp:positionV relativeFrom="paragraph">
              <wp:posOffset>745490</wp:posOffset>
            </wp:positionV>
            <wp:extent cx="2963545" cy="2925556"/>
            <wp:effectExtent l="0" t="0" r="8255" b="8255"/>
            <wp:wrapNone/>
            <wp:docPr id="819" name="Picture 8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Picture 819">
                      <a:extLst>
                        <a:ext uri="{C183D7F6-B498-43B3-948B-1728B52AA6E4}">
                          <adec:decorative xmlns:adec="http://schemas.microsoft.com/office/drawing/2017/decorative" val="1"/>
                        </a:ext>
                      </a:extLst>
                    </pic:cNvPr>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714" t="6766" r="7969" b="6617"/>
                    <a:stretch/>
                  </pic:blipFill>
                  <pic:spPr bwMode="auto">
                    <a:xfrm>
                      <a:off x="0" y="0"/>
                      <a:ext cx="2965140" cy="2927130"/>
                    </a:xfrm>
                    <a:prstGeom prst="rect">
                      <a:avLst/>
                    </a:prstGeom>
                    <a:solidFill>
                      <a:schemeClr val="tx2"/>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69E0" w:rsidRPr="005138FF">
        <w:rPr>
          <w:color w:val="00338D" w:themeColor="text2"/>
        </w:rPr>
        <w:t>Acknowledgements</w:t>
      </w:r>
      <w:bookmarkEnd w:id="2"/>
      <w:bookmarkEnd w:id="3"/>
      <w:bookmarkEnd w:id="4"/>
    </w:p>
    <w:p w14:paraId="107FC805" w14:textId="423CDEE0" w:rsidR="005769E0" w:rsidRPr="005138FF" w:rsidRDefault="005769E0" w:rsidP="003E1978">
      <w:pPr>
        <w:pStyle w:val="BodyText1"/>
        <w:ind w:right="4817"/>
        <w:rPr>
          <w:color w:val="00338D" w:themeColor="text2"/>
          <w:sz w:val="24"/>
          <w:szCs w:val="28"/>
        </w:rPr>
      </w:pPr>
      <w:r w:rsidRPr="005138FF">
        <w:rPr>
          <w:color w:val="00338D" w:themeColor="text2"/>
          <w:sz w:val="24"/>
          <w:szCs w:val="28"/>
        </w:rPr>
        <w:t>KPMG acknowledges the Aboriginal people of the many traditional lands and language groups of Australia.</w:t>
      </w:r>
    </w:p>
    <w:p w14:paraId="11293286" w14:textId="6FEA0172" w:rsidR="005769E0" w:rsidRPr="005138FF" w:rsidRDefault="005769E0" w:rsidP="003E1978">
      <w:pPr>
        <w:pStyle w:val="BodyText1"/>
        <w:ind w:right="4817"/>
        <w:rPr>
          <w:color w:val="00338D" w:themeColor="text2"/>
          <w:sz w:val="24"/>
          <w:szCs w:val="28"/>
        </w:rPr>
      </w:pPr>
      <w:r w:rsidRPr="005138FF">
        <w:rPr>
          <w:color w:val="00338D" w:themeColor="text2"/>
          <w:sz w:val="24"/>
          <w:szCs w:val="28"/>
        </w:rPr>
        <w:t xml:space="preserve">We acknowledge the wisdom of Aboriginal Elders both past and present and pay our respects to Aboriginal communities of today. </w:t>
      </w:r>
    </w:p>
    <w:p w14:paraId="7483F5D3" w14:textId="77777777" w:rsidR="005769E0" w:rsidRPr="005138FF" w:rsidRDefault="005769E0" w:rsidP="003E1978">
      <w:pPr>
        <w:pStyle w:val="BodyText1"/>
        <w:ind w:right="4817"/>
        <w:rPr>
          <w:color w:val="00338D" w:themeColor="text2"/>
          <w:sz w:val="24"/>
          <w:szCs w:val="28"/>
        </w:rPr>
      </w:pPr>
      <w:r w:rsidRPr="005138FF">
        <w:rPr>
          <w:color w:val="00338D" w:themeColor="text2"/>
          <w:sz w:val="24"/>
          <w:szCs w:val="28"/>
        </w:rPr>
        <w:t xml:space="preserve">• • • • • </w:t>
      </w:r>
    </w:p>
    <w:p w14:paraId="057A93DF" w14:textId="752E576F" w:rsidR="005769E0" w:rsidRPr="005138FF" w:rsidRDefault="005769E0" w:rsidP="003E1978">
      <w:pPr>
        <w:pStyle w:val="BodyText1"/>
        <w:ind w:right="4817"/>
        <w:rPr>
          <w:color w:val="00338D" w:themeColor="text2"/>
          <w:sz w:val="24"/>
          <w:szCs w:val="28"/>
        </w:rPr>
      </w:pPr>
      <w:r w:rsidRPr="005138FF">
        <w:rPr>
          <w:color w:val="00338D" w:themeColor="text2"/>
          <w:sz w:val="24"/>
          <w:szCs w:val="28"/>
        </w:rPr>
        <w:t xml:space="preserve">KPMG would like to sincerely thank all stakeholders for making themselves available throughout the evaluation, and for supplying their data, </w:t>
      </w:r>
      <w:r w:rsidR="00983EAA" w:rsidRPr="005138FF">
        <w:rPr>
          <w:color w:val="00338D" w:themeColor="text2"/>
          <w:sz w:val="24"/>
          <w:szCs w:val="28"/>
        </w:rPr>
        <w:t>documentation,</w:t>
      </w:r>
      <w:r w:rsidRPr="005138FF">
        <w:rPr>
          <w:color w:val="00338D" w:themeColor="text2"/>
          <w:sz w:val="24"/>
          <w:szCs w:val="28"/>
        </w:rPr>
        <w:t xml:space="preserve"> and insights to support this Evaluation. </w:t>
      </w:r>
    </w:p>
    <w:p w14:paraId="4A877AFF" w14:textId="7C745541" w:rsidR="005769E0" w:rsidRPr="00DD19D8" w:rsidRDefault="005769E0" w:rsidP="003E1978">
      <w:pPr>
        <w:spacing w:before="0" w:after="160" w:line="256" w:lineRule="auto"/>
        <w:rPr>
          <w:color w:val="FFFFFF" w:themeColor="background1"/>
        </w:rPr>
      </w:pPr>
    </w:p>
    <w:p w14:paraId="3F67A2A8" w14:textId="77777777" w:rsidR="005769E0" w:rsidRPr="00DD19D8" w:rsidRDefault="005769E0" w:rsidP="005769E0">
      <w:pPr>
        <w:spacing w:before="0" w:after="160" w:line="256" w:lineRule="auto"/>
        <w:rPr>
          <w:color w:val="FFFFFF" w:themeColor="background1"/>
        </w:rPr>
      </w:pPr>
    </w:p>
    <w:p w14:paraId="6D7CFC79" w14:textId="77777777" w:rsidR="00210C9A" w:rsidRPr="005138FF" w:rsidRDefault="00210C9A" w:rsidP="00DC5E8D">
      <w:pPr>
        <w:pStyle w:val="BodyText1"/>
        <w:rPr>
          <w:b/>
          <w:bCs/>
          <w:color w:val="00338D" w:themeColor="text2"/>
        </w:rPr>
      </w:pPr>
      <w:r w:rsidRPr="005138FF">
        <w:rPr>
          <w:b/>
          <w:bCs/>
          <w:color w:val="00338D" w:themeColor="text2"/>
        </w:rPr>
        <w:t>Disclaimer</w:t>
      </w:r>
    </w:p>
    <w:p w14:paraId="6EEE9C79" w14:textId="77777777" w:rsidR="00210C9A" w:rsidRPr="005138FF" w:rsidRDefault="00210C9A" w:rsidP="00DC5E8D">
      <w:pPr>
        <w:pStyle w:val="BodyText1"/>
        <w:rPr>
          <w:b/>
          <w:bCs/>
          <w:color w:val="00338D" w:themeColor="text2"/>
        </w:rPr>
      </w:pPr>
      <w:r w:rsidRPr="005138FF">
        <w:rPr>
          <w:b/>
          <w:bCs/>
          <w:color w:val="00338D" w:themeColor="text2"/>
        </w:rPr>
        <w:t>Inherent Limitations</w:t>
      </w:r>
    </w:p>
    <w:p w14:paraId="52F5CB29" w14:textId="77777777" w:rsidR="00210C9A" w:rsidRPr="005138FF" w:rsidRDefault="00210C9A" w:rsidP="00DC5E8D">
      <w:pPr>
        <w:pStyle w:val="BodyText1"/>
        <w:rPr>
          <w:color w:val="00338D" w:themeColor="text2"/>
        </w:rPr>
      </w:pPr>
      <w:r w:rsidRPr="005138FF">
        <w:rPr>
          <w:color w:val="00338D" w:themeColor="text2"/>
        </w:rPr>
        <w:t xml:space="preserve">This </w:t>
      </w:r>
      <w:r w:rsidRPr="005138FF">
        <w:rPr>
          <w:bCs/>
          <w:color w:val="00338D" w:themeColor="text2"/>
        </w:rPr>
        <w:t>Final Evaluation Report</w:t>
      </w:r>
      <w:r w:rsidRPr="005138FF">
        <w:rPr>
          <w:color w:val="00338D" w:themeColor="text2"/>
        </w:rPr>
        <w:t xml:space="preserve"> has been prepared as outlined in the </w:t>
      </w:r>
      <w:r w:rsidRPr="005138FF">
        <w:rPr>
          <w:bCs/>
          <w:color w:val="00338D" w:themeColor="text2"/>
        </w:rPr>
        <w:t xml:space="preserve">purpose and </w:t>
      </w:r>
      <w:r w:rsidRPr="005138FF">
        <w:rPr>
          <w:color w:val="00338D" w:themeColor="text2"/>
        </w:rPr>
        <w:t>scope section</w:t>
      </w:r>
      <w:r w:rsidRPr="005138FF">
        <w:rPr>
          <w:bCs/>
          <w:color w:val="00338D" w:themeColor="text2"/>
        </w:rPr>
        <w:t xml:space="preserve"> of this document.</w:t>
      </w:r>
      <w:r w:rsidRPr="005138FF">
        <w:rPr>
          <w:color w:val="00338D" w:themeColor="text2"/>
        </w:rPr>
        <w:t xml:space="preserve"> The services provided in connection with this engagement comprise an advisory engagement, which is not subject to assurance or other standards issued by the Australian Auditing and Assurance Standards Board and, consequently no opinions or conclusions intended to convey assurance have been expressed. </w:t>
      </w:r>
    </w:p>
    <w:p w14:paraId="3A7FD1D1" w14:textId="77777777" w:rsidR="00210C9A" w:rsidRPr="005138FF" w:rsidRDefault="00210C9A" w:rsidP="00DC5E8D">
      <w:pPr>
        <w:pStyle w:val="BodyText1"/>
        <w:rPr>
          <w:color w:val="00338D" w:themeColor="text2"/>
        </w:rPr>
      </w:pPr>
      <w:r w:rsidRPr="005138FF">
        <w:rPr>
          <w:color w:val="00338D" w:themeColor="text2"/>
        </w:rPr>
        <w:t>No warranty of completeness, accuracy or reliability is given in relation to the statements and representations made by, and the information and documentation provided by</w:t>
      </w:r>
      <w:r w:rsidRPr="005138FF">
        <w:rPr>
          <w:bCs/>
          <w:color w:val="00338D" w:themeColor="text2"/>
        </w:rPr>
        <w:t xml:space="preserve"> stakeholders consulted as part of the process</w:t>
      </w:r>
      <w:r w:rsidRPr="005138FF">
        <w:rPr>
          <w:color w:val="00338D" w:themeColor="text2"/>
        </w:rPr>
        <w:t>.</w:t>
      </w:r>
    </w:p>
    <w:p w14:paraId="54A1044F" w14:textId="77777777" w:rsidR="00210C9A" w:rsidRPr="005138FF" w:rsidRDefault="00210C9A" w:rsidP="00DC5E8D">
      <w:pPr>
        <w:pStyle w:val="BodyText1"/>
        <w:rPr>
          <w:bCs/>
          <w:color w:val="00338D" w:themeColor="text2"/>
        </w:rPr>
      </w:pPr>
      <w:r w:rsidRPr="005138FF">
        <w:rPr>
          <w:bCs/>
          <w:color w:val="00338D" w:themeColor="text2"/>
        </w:rPr>
        <w:t>KPMG have indicated within this document the sources of the information provided. We have not sought to independently verify those sources unless otherwise noted within the report.</w:t>
      </w:r>
    </w:p>
    <w:p w14:paraId="402F2C2E" w14:textId="77777777" w:rsidR="00210C9A" w:rsidRPr="005138FF" w:rsidRDefault="00210C9A" w:rsidP="00DC5E8D">
      <w:pPr>
        <w:pStyle w:val="BodyText1"/>
        <w:rPr>
          <w:bCs/>
          <w:color w:val="00338D" w:themeColor="text2"/>
        </w:rPr>
      </w:pPr>
      <w:r w:rsidRPr="005138FF">
        <w:rPr>
          <w:bCs/>
          <w:color w:val="00338D" w:themeColor="text2"/>
        </w:rPr>
        <w:t>KPMG is under no obligation in any circumstance to update this document, in either oral or written form, for events occurring after the report has been issued in final form.</w:t>
      </w:r>
    </w:p>
    <w:p w14:paraId="6CBEC69C" w14:textId="77777777" w:rsidR="00210C9A" w:rsidRPr="005138FF" w:rsidRDefault="00210C9A" w:rsidP="00DC5E8D">
      <w:pPr>
        <w:pStyle w:val="BodyText1"/>
        <w:rPr>
          <w:bCs/>
          <w:color w:val="00338D" w:themeColor="text2"/>
        </w:rPr>
      </w:pPr>
      <w:r w:rsidRPr="005138FF">
        <w:rPr>
          <w:bCs/>
          <w:color w:val="00338D" w:themeColor="text2"/>
        </w:rPr>
        <w:t>The findings in this document have been formed on the above basis.</w:t>
      </w:r>
    </w:p>
    <w:p w14:paraId="6DD65012" w14:textId="77777777" w:rsidR="00210C9A" w:rsidRPr="005138FF" w:rsidRDefault="00210C9A" w:rsidP="00DC5E8D">
      <w:pPr>
        <w:pStyle w:val="BodyText1"/>
        <w:rPr>
          <w:b/>
          <w:bCs/>
          <w:color w:val="00338D" w:themeColor="text2"/>
        </w:rPr>
      </w:pPr>
      <w:r w:rsidRPr="005138FF">
        <w:rPr>
          <w:b/>
          <w:bCs/>
          <w:color w:val="00338D" w:themeColor="text2"/>
        </w:rPr>
        <w:t>Third Party Reliance</w:t>
      </w:r>
    </w:p>
    <w:p w14:paraId="51CAB70D" w14:textId="77777777" w:rsidR="00210C9A" w:rsidRPr="005138FF" w:rsidRDefault="00210C9A" w:rsidP="00DC5E8D">
      <w:pPr>
        <w:pStyle w:val="BodyText1"/>
        <w:rPr>
          <w:bCs/>
          <w:color w:val="00338D" w:themeColor="text2"/>
        </w:rPr>
      </w:pPr>
      <w:r w:rsidRPr="005138FF">
        <w:rPr>
          <w:bCs/>
          <w:color w:val="00338D" w:themeColor="text2"/>
        </w:rPr>
        <w:t>This Final Evaluation Report is solely for the purpose set out in the purpose and scope section and for the Department of Health information and is not to be used for any other purpose or distributed to any other party without KPMG’s prior written consent.</w:t>
      </w:r>
    </w:p>
    <w:p w14:paraId="68DD58F1" w14:textId="77777777" w:rsidR="00210C9A" w:rsidRPr="005138FF" w:rsidRDefault="00210C9A" w:rsidP="00DC5E8D">
      <w:pPr>
        <w:pStyle w:val="BodyText1"/>
        <w:rPr>
          <w:bCs/>
          <w:color w:val="00338D" w:themeColor="text2"/>
        </w:rPr>
      </w:pPr>
      <w:r w:rsidRPr="005138FF">
        <w:rPr>
          <w:bCs/>
          <w:color w:val="00338D" w:themeColor="text2"/>
        </w:rPr>
        <w:t>This Final Evaluation Report has been prepared at the request of the Department of Health in accordance with the terms of KPMG’s contract dated 28 May 2021. Other than our responsibility to the Department of Health, neither KPMG nor any member or employee of KPMG undertakes responsibility arising in any way from reliance placed by a third party on this report. Any reliance placed is that party’s sole responsibility.</w:t>
      </w:r>
    </w:p>
    <w:p w14:paraId="0C7A3C15" w14:textId="77777777" w:rsidR="00243CD3" w:rsidRDefault="00243CD3" w:rsidP="005769E0">
      <w:pPr>
        <w:spacing w:before="0" w:after="160" w:line="256" w:lineRule="auto"/>
        <w:sectPr w:rsidR="00243CD3" w:rsidSect="00AA7081">
          <w:headerReference w:type="even" r:id="rId13"/>
          <w:headerReference w:type="default" r:id="rId14"/>
          <w:footerReference w:type="default" r:id="rId15"/>
          <w:headerReference w:type="first" r:id="rId16"/>
          <w:pgSz w:w="11906" w:h="16838" w:code="9"/>
          <w:pgMar w:top="1418" w:right="1418" w:bottom="1418" w:left="1418" w:header="709" w:footer="454" w:gutter="0"/>
          <w:pgNumType w:fmt="lowerRoman" w:start="1"/>
          <w:cols w:space="708"/>
          <w:docGrid w:linePitch="360"/>
        </w:sectPr>
      </w:pPr>
    </w:p>
    <w:p w14:paraId="2A2629CF" w14:textId="026E58B5" w:rsidR="001D5EFD" w:rsidRDefault="001D5EFD" w:rsidP="00DC5E8D">
      <w:pPr>
        <w:pStyle w:val="Heading1Noshow"/>
        <w:pageBreakBefore/>
      </w:pPr>
      <w:r w:rsidRPr="00DC5E8D">
        <w:lastRenderedPageBreak/>
        <w:t>Contents</w:t>
      </w:r>
    </w:p>
    <w:p w14:paraId="038BE835" w14:textId="64C40427" w:rsidR="00717D2B" w:rsidRDefault="00717D2B" w:rsidP="00243CD3">
      <w:pPr>
        <w:pStyle w:val="BodyText1"/>
      </w:pPr>
    </w:p>
    <w:p w14:paraId="47EAF7D0" w14:textId="15310B0F" w:rsidR="0026519E" w:rsidRDefault="008035AB">
      <w:pPr>
        <w:pStyle w:val="TOC1"/>
        <w:rPr>
          <w:rFonts w:asciiTheme="minorHAnsi" w:eastAsiaTheme="minorEastAsia" w:hAnsiTheme="minorHAnsi"/>
          <w:b w:val="0"/>
          <w:sz w:val="22"/>
          <w:lang w:eastAsia="en-AU"/>
        </w:rPr>
      </w:pPr>
      <w:r>
        <w:fldChar w:fldCharType="begin"/>
      </w:r>
      <w:r>
        <w:instrText xml:space="preserve"> TOC \h \z \t "Heading 1,1,Heading 2,2,Appendix heading,1,Heading 1_Divider,1,Heading 1_Divider_No show,1" </w:instrText>
      </w:r>
      <w:r>
        <w:fldChar w:fldCharType="separate"/>
      </w:r>
      <w:hyperlink w:anchor="_Toc113448671" w:history="1">
        <w:r w:rsidR="0026519E" w:rsidRPr="008C1452">
          <w:rPr>
            <w:rStyle w:val="Hyperlink"/>
          </w:rPr>
          <w:t>Glossary</w:t>
        </w:r>
        <w:r w:rsidR="0026519E">
          <w:rPr>
            <w:webHidden/>
          </w:rPr>
          <w:tab/>
        </w:r>
        <w:r w:rsidR="0026519E">
          <w:rPr>
            <w:webHidden/>
          </w:rPr>
          <w:fldChar w:fldCharType="begin"/>
        </w:r>
        <w:r w:rsidR="0026519E">
          <w:rPr>
            <w:webHidden/>
          </w:rPr>
          <w:instrText xml:space="preserve"> PAGEREF _Toc113448671 \h </w:instrText>
        </w:r>
        <w:r w:rsidR="0026519E">
          <w:rPr>
            <w:webHidden/>
          </w:rPr>
        </w:r>
        <w:r w:rsidR="0026519E">
          <w:rPr>
            <w:webHidden/>
          </w:rPr>
          <w:fldChar w:fldCharType="separate"/>
        </w:r>
        <w:r w:rsidR="0026519E">
          <w:rPr>
            <w:webHidden/>
          </w:rPr>
          <w:t>1</w:t>
        </w:r>
        <w:r w:rsidR="0026519E">
          <w:rPr>
            <w:webHidden/>
          </w:rPr>
          <w:fldChar w:fldCharType="end"/>
        </w:r>
      </w:hyperlink>
    </w:p>
    <w:p w14:paraId="1C31CF9D" w14:textId="145713C3" w:rsidR="0026519E" w:rsidRDefault="0026519E">
      <w:pPr>
        <w:pStyle w:val="TOC1"/>
        <w:rPr>
          <w:rFonts w:asciiTheme="minorHAnsi" w:eastAsiaTheme="minorEastAsia" w:hAnsiTheme="minorHAnsi"/>
          <w:b w:val="0"/>
          <w:sz w:val="22"/>
          <w:lang w:eastAsia="en-AU"/>
        </w:rPr>
      </w:pPr>
      <w:hyperlink w:anchor="_Toc113448672" w:history="1">
        <w:r w:rsidRPr="008C1452">
          <w:rPr>
            <w:rStyle w:val="Hyperlink"/>
          </w:rPr>
          <w:t>Executive summary</w:t>
        </w:r>
        <w:r>
          <w:rPr>
            <w:webHidden/>
          </w:rPr>
          <w:tab/>
        </w:r>
        <w:r>
          <w:rPr>
            <w:webHidden/>
          </w:rPr>
          <w:fldChar w:fldCharType="begin"/>
        </w:r>
        <w:r>
          <w:rPr>
            <w:webHidden/>
          </w:rPr>
          <w:instrText xml:space="preserve"> PAGEREF _Toc113448672 \h </w:instrText>
        </w:r>
        <w:r>
          <w:rPr>
            <w:webHidden/>
          </w:rPr>
        </w:r>
        <w:r>
          <w:rPr>
            <w:webHidden/>
          </w:rPr>
          <w:fldChar w:fldCharType="separate"/>
        </w:r>
        <w:r>
          <w:rPr>
            <w:webHidden/>
          </w:rPr>
          <w:t>2</w:t>
        </w:r>
        <w:r>
          <w:rPr>
            <w:webHidden/>
          </w:rPr>
          <w:fldChar w:fldCharType="end"/>
        </w:r>
      </w:hyperlink>
    </w:p>
    <w:p w14:paraId="3DF686D6" w14:textId="321E0196" w:rsidR="0026519E" w:rsidRDefault="0026519E">
      <w:pPr>
        <w:pStyle w:val="TOC1"/>
        <w:rPr>
          <w:rFonts w:asciiTheme="minorHAnsi" w:eastAsiaTheme="minorEastAsia" w:hAnsiTheme="minorHAnsi"/>
          <w:b w:val="0"/>
          <w:sz w:val="22"/>
          <w:lang w:eastAsia="en-AU"/>
        </w:rPr>
      </w:pPr>
      <w:hyperlink w:anchor="_Toc113448673" w:history="1">
        <w:r w:rsidRPr="008C1452">
          <w:rPr>
            <w:rStyle w:val="Hyperlink"/>
          </w:rPr>
          <w:t>1.</w:t>
        </w:r>
        <w:r>
          <w:rPr>
            <w:rFonts w:asciiTheme="minorHAnsi" w:eastAsiaTheme="minorEastAsia" w:hAnsiTheme="minorHAnsi"/>
            <w:b w:val="0"/>
            <w:sz w:val="22"/>
            <w:lang w:eastAsia="en-AU"/>
          </w:rPr>
          <w:tab/>
        </w:r>
        <w:r w:rsidRPr="008C1452">
          <w:rPr>
            <w:rStyle w:val="Hyperlink"/>
          </w:rPr>
          <w:t>Introduction and context</w:t>
        </w:r>
        <w:r>
          <w:rPr>
            <w:webHidden/>
          </w:rPr>
          <w:tab/>
        </w:r>
        <w:r>
          <w:rPr>
            <w:webHidden/>
          </w:rPr>
          <w:fldChar w:fldCharType="begin"/>
        </w:r>
        <w:r>
          <w:rPr>
            <w:webHidden/>
          </w:rPr>
          <w:instrText xml:space="preserve"> PAGEREF _Toc113448673 \h </w:instrText>
        </w:r>
        <w:r>
          <w:rPr>
            <w:webHidden/>
          </w:rPr>
        </w:r>
        <w:r>
          <w:rPr>
            <w:webHidden/>
          </w:rPr>
          <w:fldChar w:fldCharType="separate"/>
        </w:r>
        <w:r>
          <w:rPr>
            <w:webHidden/>
          </w:rPr>
          <w:t>6</w:t>
        </w:r>
        <w:r>
          <w:rPr>
            <w:webHidden/>
          </w:rPr>
          <w:fldChar w:fldCharType="end"/>
        </w:r>
      </w:hyperlink>
    </w:p>
    <w:p w14:paraId="359FA08D" w14:textId="5ADCA097" w:rsidR="0026519E" w:rsidRDefault="0026519E">
      <w:pPr>
        <w:pStyle w:val="TOC2"/>
        <w:rPr>
          <w:rFonts w:asciiTheme="minorHAnsi" w:eastAsiaTheme="minorEastAsia" w:hAnsiTheme="minorHAnsi"/>
          <w:sz w:val="22"/>
          <w:lang w:eastAsia="en-AU"/>
        </w:rPr>
      </w:pPr>
      <w:hyperlink w:anchor="_Toc113448674" w:history="1">
        <w:r w:rsidRPr="008C1452">
          <w:rPr>
            <w:rStyle w:val="Hyperlink"/>
          </w:rPr>
          <w:t>1.1 Project context</w:t>
        </w:r>
        <w:r>
          <w:rPr>
            <w:webHidden/>
          </w:rPr>
          <w:tab/>
        </w:r>
        <w:r>
          <w:rPr>
            <w:webHidden/>
          </w:rPr>
          <w:fldChar w:fldCharType="begin"/>
        </w:r>
        <w:r>
          <w:rPr>
            <w:webHidden/>
          </w:rPr>
          <w:instrText xml:space="preserve"> PAGEREF _Toc113448674 \h </w:instrText>
        </w:r>
        <w:r>
          <w:rPr>
            <w:webHidden/>
          </w:rPr>
        </w:r>
        <w:r>
          <w:rPr>
            <w:webHidden/>
          </w:rPr>
          <w:fldChar w:fldCharType="separate"/>
        </w:r>
        <w:r>
          <w:rPr>
            <w:webHidden/>
          </w:rPr>
          <w:t>7</w:t>
        </w:r>
        <w:r>
          <w:rPr>
            <w:webHidden/>
          </w:rPr>
          <w:fldChar w:fldCharType="end"/>
        </w:r>
      </w:hyperlink>
    </w:p>
    <w:p w14:paraId="47DF0EC6" w14:textId="427B7A50" w:rsidR="0026519E" w:rsidRDefault="0026519E">
      <w:pPr>
        <w:pStyle w:val="TOC2"/>
        <w:rPr>
          <w:rFonts w:asciiTheme="minorHAnsi" w:eastAsiaTheme="minorEastAsia" w:hAnsiTheme="minorHAnsi"/>
          <w:sz w:val="22"/>
          <w:lang w:eastAsia="en-AU"/>
        </w:rPr>
      </w:pPr>
      <w:hyperlink w:anchor="_Toc113448675" w:history="1">
        <w:r w:rsidRPr="008C1452">
          <w:rPr>
            <w:rStyle w:val="Hyperlink"/>
          </w:rPr>
          <w:t>1.2 Purpose and scope of this project</w:t>
        </w:r>
        <w:r>
          <w:rPr>
            <w:webHidden/>
          </w:rPr>
          <w:tab/>
        </w:r>
        <w:r>
          <w:rPr>
            <w:webHidden/>
          </w:rPr>
          <w:fldChar w:fldCharType="begin"/>
        </w:r>
        <w:r>
          <w:rPr>
            <w:webHidden/>
          </w:rPr>
          <w:instrText xml:space="preserve"> PAGEREF _Toc113448675 \h </w:instrText>
        </w:r>
        <w:r>
          <w:rPr>
            <w:webHidden/>
          </w:rPr>
        </w:r>
        <w:r>
          <w:rPr>
            <w:webHidden/>
          </w:rPr>
          <w:fldChar w:fldCharType="separate"/>
        </w:r>
        <w:r>
          <w:rPr>
            <w:webHidden/>
          </w:rPr>
          <w:t>7</w:t>
        </w:r>
        <w:r>
          <w:rPr>
            <w:webHidden/>
          </w:rPr>
          <w:fldChar w:fldCharType="end"/>
        </w:r>
      </w:hyperlink>
    </w:p>
    <w:p w14:paraId="53469BB1" w14:textId="46B50794" w:rsidR="0026519E" w:rsidRDefault="0026519E">
      <w:pPr>
        <w:pStyle w:val="TOC2"/>
        <w:rPr>
          <w:rFonts w:asciiTheme="minorHAnsi" w:eastAsiaTheme="minorEastAsia" w:hAnsiTheme="minorHAnsi"/>
          <w:sz w:val="22"/>
          <w:lang w:eastAsia="en-AU"/>
        </w:rPr>
      </w:pPr>
      <w:hyperlink w:anchor="_Toc113448676" w:history="1">
        <w:r w:rsidRPr="008C1452">
          <w:rPr>
            <w:rStyle w:val="Hyperlink"/>
          </w:rPr>
          <w:t>1.3 Limitations</w:t>
        </w:r>
        <w:r>
          <w:rPr>
            <w:webHidden/>
          </w:rPr>
          <w:tab/>
        </w:r>
        <w:r>
          <w:rPr>
            <w:webHidden/>
          </w:rPr>
          <w:fldChar w:fldCharType="begin"/>
        </w:r>
        <w:r>
          <w:rPr>
            <w:webHidden/>
          </w:rPr>
          <w:instrText xml:space="preserve"> PAGEREF _Toc113448676 \h </w:instrText>
        </w:r>
        <w:r>
          <w:rPr>
            <w:webHidden/>
          </w:rPr>
        </w:r>
        <w:r>
          <w:rPr>
            <w:webHidden/>
          </w:rPr>
          <w:fldChar w:fldCharType="separate"/>
        </w:r>
        <w:r>
          <w:rPr>
            <w:webHidden/>
          </w:rPr>
          <w:t>8</w:t>
        </w:r>
        <w:r>
          <w:rPr>
            <w:webHidden/>
          </w:rPr>
          <w:fldChar w:fldCharType="end"/>
        </w:r>
      </w:hyperlink>
    </w:p>
    <w:p w14:paraId="56CFC65E" w14:textId="5255FE06" w:rsidR="0026519E" w:rsidRDefault="0026519E">
      <w:pPr>
        <w:pStyle w:val="TOC2"/>
        <w:rPr>
          <w:rFonts w:asciiTheme="minorHAnsi" w:eastAsiaTheme="minorEastAsia" w:hAnsiTheme="minorHAnsi"/>
          <w:sz w:val="22"/>
          <w:lang w:eastAsia="en-AU"/>
        </w:rPr>
      </w:pPr>
      <w:hyperlink w:anchor="_Toc113448677" w:history="1">
        <w:r w:rsidRPr="008C1452">
          <w:rPr>
            <w:rStyle w:val="Hyperlink"/>
          </w:rPr>
          <w:t>1.4 Structure of the report</w:t>
        </w:r>
        <w:r>
          <w:rPr>
            <w:webHidden/>
          </w:rPr>
          <w:tab/>
        </w:r>
        <w:r>
          <w:rPr>
            <w:webHidden/>
          </w:rPr>
          <w:fldChar w:fldCharType="begin"/>
        </w:r>
        <w:r>
          <w:rPr>
            <w:webHidden/>
          </w:rPr>
          <w:instrText xml:space="preserve"> PAGEREF _Toc113448677 \h </w:instrText>
        </w:r>
        <w:r>
          <w:rPr>
            <w:webHidden/>
          </w:rPr>
        </w:r>
        <w:r>
          <w:rPr>
            <w:webHidden/>
          </w:rPr>
          <w:fldChar w:fldCharType="separate"/>
        </w:r>
        <w:r>
          <w:rPr>
            <w:webHidden/>
          </w:rPr>
          <w:t>9</w:t>
        </w:r>
        <w:r>
          <w:rPr>
            <w:webHidden/>
          </w:rPr>
          <w:fldChar w:fldCharType="end"/>
        </w:r>
      </w:hyperlink>
    </w:p>
    <w:p w14:paraId="7BF9E1A8" w14:textId="3AD5CA9B" w:rsidR="0026519E" w:rsidRDefault="0026519E">
      <w:pPr>
        <w:pStyle w:val="TOC1"/>
        <w:rPr>
          <w:rFonts w:asciiTheme="minorHAnsi" w:eastAsiaTheme="minorEastAsia" w:hAnsiTheme="minorHAnsi"/>
          <w:b w:val="0"/>
          <w:sz w:val="22"/>
          <w:lang w:eastAsia="en-AU"/>
        </w:rPr>
      </w:pPr>
      <w:hyperlink w:anchor="_Toc113448678" w:history="1">
        <w:r w:rsidRPr="008C1452">
          <w:rPr>
            <w:rStyle w:val="Hyperlink"/>
          </w:rPr>
          <w:t>2.</w:t>
        </w:r>
        <w:r>
          <w:rPr>
            <w:rFonts w:asciiTheme="minorHAnsi" w:eastAsiaTheme="minorEastAsia" w:hAnsiTheme="minorHAnsi"/>
            <w:b w:val="0"/>
            <w:sz w:val="22"/>
            <w:lang w:eastAsia="en-AU"/>
          </w:rPr>
          <w:tab/>
        </w:r>
        <w:r w:rsidRPr="008C1452">
          <w:rPr>
            <w:rStyle w:val="Hyperlink"/>
          </w:rPr>
          <w:t>The Aged Care Quality Standards and Royal Commission findings</w:t>
        </w:r>
        <w:r>
          <w:rPr>
            <w:webHidden/>
          </w:rPr>
          <w:tab/>
        </w:r>
        <w:r>
          <w:rPr>
            <w:webHidden/>
          </w:rPr>
          <w:fldChar w:fldCharType="begin"/>
        </w:r>
        <w:r>
          <w:rPr>
            <w:webHidden/>
          </w:rPr>
          <w:instrText xml:space="preserve"> PAGEREF _Toc113448678 \h </w:instrText>
        </w:r>
        <w:r>
          <w:rPr>
            <w:webHidden/>
          </w:rPr>
        </w:r>
        <w:r>
          <w:rPr>
            <w:webHidden/>
          </w:rPr>
          <w:fldChar w:fldCharType="separate"/>
        </w:r>
        <w:r>
          <w:rPr>
            <w:webHidden/>
          </w:rPr>
          <w:t>11</w:t>
        </w:r>
        <w:r>
          <w:rPr>
            <w:webHidden/>
          </w:rPr>
          <w:fldChar w:fldCharType="end"/>
        </w:r>
      </w:hyperlink>
    </w:p>
    <w:p w14:paraId="3C52DE3F" w14:textId="36673E68" w:rsidR="0026519E" w:rsidRDefault="0026519E">
      <w:pPr>
        <w:pStyle w:val="TOC2"/>
        <w:rPr>
          <w:rFonts w:asciiTheme="minorHAnsi" w:eastAsiaTheme="minorEastAsia" w:hAnsiTheme="minorHAnsi"/>
          <w:sz w:val="22"/>
          <w:lang w:eastAsia="en-AU"/>
        </w:rPr>
      </w:pPr>
      <w:hyperlink w:anchor="_Toc113448679" w:history="1">
        <w:r w:rsidRPr="008C1452">
          <w:rPr>
            <w:rStyle w:val="Hyperlink"/>
          </w:rPr>
          <w:t>2.1 About the Aged Care Quality Standards</w:t>
        </w:r>
        <w:r>
          <w:rPr>
            <w:webHidden/>
          </w:rPr>
          <w:tab/>
        </w:r>
        <w:r>
          <w:rPr>
            <w:webHidden/>
          </w:rPr>
          <w:fldChar w:fldCharType="begin"/>
        </w:r>
        <w:r>
          <w:rPr>
            <w:webHidden/>
          </w:rPr>
          <w:instrText xml:space="preserve"> PAGEREF _Toc113448679 \h </w:instrText>
        </w:r>
        <w:r>
          <w:rPr>
            <w:webHidden/>
          </w:rPr>
        </w:r>
        <w:r>
          <w:rPr>
            <w:webHidden/>
          </w:rPr>
          <w:fldChar w:fldCharType="separate"/>
        </w:r>
        <w:r>
          <w:rPr>
            <w:webHidden/>
          </w:rPr>
          <w:t>12</w:t>
        </w:r>
        <w:r>
          <w:rPr>
            <w:webHidden/>
          </w:rPr>
          <w:fldChar w:fldCharType="end"/>
        </w:r>
      </w:hyperlink>
    </w:p>
    <w:p w14:paraId="5224E63C" w14:textId="1D2CB199" w:rsidR="0026519E" w:rsidRDefault="0026519E">
      <w:pPr>
        <w:pStyle w:val="TOC1"/>
        <w:rPr>
          <w:rFonts w:asciiTheme="minorHAnsi" w:eastAsiaTheme="minorEastAsia" w:hAnsiTheme="minorHAnsi"/>
          <w:b w:val="0"/>
          <w:sz w:val="22"/>
          <w:lang w:eastAsia="en-AU"/>
        </w:rPr>
      </w:pPr>
      <w:hyperlink w:anchor="_Toc113448680" w:history="1">
        <w:r w:rsidRPr="008C1452">
          <w:rPr>
            <w:rStyle w:val="Hyperlink"/>
          </w:rPr>
          <w:t>3.</w:t>
        </w:r>
        <w:r>
          <w:rPr>
            <w:rFonts w:asciiTheme="minorHAnsi" w:eastAsiaTheme="minorEastAsia" w:hAnsiTheme="minorHAnsi"/>
            <w:b w:val="0"/>
            <w:sz w:val="22"/>
            <w:lang w:eastAsia="en-AU"/>
          </w:rPr>
          <w:tab/>
        </w:r>
        <w:r w:rsidRPr="008C1452">
          <w:rPr>
            <w:rStyle w:val="Hyperlink"/>
          </w:rPr>
          <w:t>Royal Commission findings and recommendations</w:t>
        </w:r>
        <w:r>
          <w:rPr>
            <w:webHidden/>
          </w:rPr>
          <w:tab/>
        </w:r>
        <w:r>
          <w:rPr>
            <w:webHidden/>
          </w:rPr>
          <w:fldChar w:fldCharType="begin"/>
        </w:r>
        <w:r>
          <w:rPr>
            <w:webHidden/>
          </w:rPr>
          <w:instrText xml:space="preserve"> PAGEREF _Toc113448680 \h </w:instrText>
        </w:r>
        <w:r>
          <w:rPr>
            <w:webHidden/>
          </w:rPr>
        </w:r>
        <w:r>
          <w:rPr>
            <w:webHidden/>
          </w:rPr>
          <w:fldChar w:fldCharType="separate"/>
        </w:r>
        <w:r>
          <w:rPr>
            <w:webHidden/>
          </w:rPr>
          <w:t>16</w:t>
        </w:r>
        <w:r>
          <w:rPr>
            <w:webHidden/>
          </w:rPr>
          <w:fldChar w:fldCharType="end"/>
        </w:r>
      </w:hyperlink>
    </w:p>
    <w:p w14:paraId="6CA17358" w14:textId="2C629EBD" w:rsidR="0026519E" w:rsidRDefault="0026519E">
      <w:pPr>
        <w:pStyle w:val="TOC2"/>
        <w:rPr>
          <w:rFonts w:asciiTheme="minorHAnsi" w:eastAsiaTheme="minorEastAsia" w:hAnsiTheme="minorHAnsi"/>
          <w:sz w:val="22"/>
          <w:lang w:eastAsia="en-AU"/>
        </w:rPr>
      </w:pPr>
      <w:hyperlink w:anchor="_Toc113448681" w:history="1">
        <w:r w:rsidRPr="008C1452">
          <w:rPr>
            <w:rStyle w:val="Hyperlink"/>
          </w:rPr>
          <w:t>3.1</w:t>
        </w:r>
        <w:r>
          <w:rPr>
            <w:rFonts w:asciiTheme="minorHAnsi" w:eastAsiaTheme="minorEastAsia" w:hAnsiTheme="minorHAnsi"/>
            <w:sz w:val="22"/>
            <w:lang w:eastAsia="en-AU"/>
          </w:rPr>
          <w:tab/>
        </w:r>
        <w:r w:rsidRPr="008C1452">
          <w:rPr>
            <w:rStyle w:val="Hyperlink"/>
          </w:rPr>
          <w:t>Royal Commission findings</w:t>
        </w:r>
        <w:r>
          <w:rPr>
            <w:webHidden/>
          </w:rPr>
          <w:tab/>
        </w:r>
        <w:r>
          <w:rPr>
            <w:webHidden/>
          </w:rPr>
          <w:fldChar w:fldCharType="begin"/>
        </w:r>
        <w:r>
          <w:rPr>
            <w:webHidden/>
          </w:rPr>
          <w:instrText xml:space="preserve"> PAGEREF _Toc113448681 \h </w:instrText>
        </w:r>
        <w:r>
          <w:rPr>
            <w:webHidden/>
          </w:rPr>
        </w:r>
        <w:r>
          <w:rPr>
            <w:webHidden/>
          </w:rPr>
          <w:fldChar w:fldCharType="separate"/>
        </w:r>
        <w:r>
          <w:rPr>
            <w:webHidden/>
          </w:rPr>
          <w:t>17</w:t>
        </w:r>
        <w:r>
          <w:rPr>
            <w:webHidden/>
          </w:rPr>
          <w:fldChar w:fldCharType="end"/>
        </w:r>
      </w:hyperlink>
    </w:p>
    <w:p w14:paraId="08D2F839" w14:textId="67385104" w:rsidR="0026519E" w:rsidRDefault="0026519E">
      <w:pPr>
        <w:pStyle w:val="TOC2"/>
        <w:rPr>
          <w:rFonts w:asciiTheme="minorHAnsi" w:eastAsiaTheme="minorEastAsia" w:hAnsiTheme="minorHAnsi"/>
          <w:sz w:val="22"/>
          <w:lang w:eastAsia="en-AU"/>
        </w:rPr>
      </w:pPr>
      <w:hyperlink w:anchor="_Toc113448682" w:history="1">
        <w:r w:rsidRPr="008C1452">
          <w:rPr>
            <w:rStyle w:val="Hyperlink"/>
          </w:rPr>
          <w:t>3.2</w:t>
        </w:r>
        <w:r>
          <w:rPr>
            <w:rFonts w:asciiTheme="minorHAnsi" w:eastAsiaTheme="minorEastAsia" w:hAnsiTheme="minorHAnsi"/>
            <w:sz w:val="22"/>
            <w:lang w:eastAsia="en-AU"/>
          </w:rPr>
          <w:tab/>
        </w:r>
        <w:r w:rsidRPr="008C1452">
          <w:rPr>
            <w:rStyle w:val="Hyperlink"/>
          </w:rPr>
          <w:t>Royal Commission recommendations</w:t>
        </w:r>
        <w:r>
          <w:rPr>
            <w:webHidden/>
          </w:rPr>
          <w:tab/>
        </w:r>
        <w:r>
          <w:rPr>
            <w:webHidden/>
          </w:rPr>
          <w:fldChar w:fldCharType="begin"/>
        </w:r>
        <w:r>
          <w:rPr>
            <w:webHidden/>
          </w:rPr>
          <w:instrText xml:space="preserve"> PAGEREF _Toc113448682 \h </w:instrText>
        </w:r>
        <w:r>
          <w:rPr>
            <w:webHidden/>
          </w:rPr>
        </w:r>
        <w:r>
          <w:rPr>
            <w:webHidden/>
          </w:rPr>
          <w:fldChar w:fldCharType="separate"/>
        </w:r>
        <w:r>
          <w:rPr>
            <w:webHidden/>
          </w:rPr>
          <w:t>19</w:t>
        </w:r>
        <w:r>
          <w:rPr>
            <w:webHidden/>
          </w:rPr>
          <w:fldChar w:fldCharType="end"/>
        </w:r>
      </w:hyperlink>
    </w:p>
    <w:p w14:paraId="208962EC" w14:textId="725E794A" w:rsidR="0026519E" w:rsidRDefault="0026519E">
      <w:pPr>
        <w:pStyle w:val="TOC2"/>
        <w:rPr>
          <w:rFonts w:asciiTheme="minorHAnsi" w:eastAsiaTheme="minorEastAsia" w:hAnsiTheme="minorHAnsi"/>
          <w:sz w:val="22"/>
          <w:lang w:eastAsia="en-AU"/>
        </w:rPr>
      </w:pPr>
      <w:hyperlink w:anchor="_Toc113448683" w:history="1">
        <w:r w:rsidRPr="008C1452">
          <w:rPr>
            <w:rStyle w:val="Hyperlink"/>
          </w:rPr>
          <w:t>3.3</w:t>
        </w:r>
        <w:r>
          <w:rPr>
            <w:rFonts w:asciiTheme="minorHAnsi" w:eastAsiaTheme="minorEastAsia" w:hAnsiTheme="minorHAnsi"/>
            <w:sz w:val="22"/>
            <w:lang w:eastAsia="en-AU"/>
          </w:rPr>
          <w:tab/>
        </w:r>
        <w:r w:rsidRPr="008C1452">
          <w:rPr>
            <w:rStyle w:val="Hyperlink"/>
          </w:rPr>
          <w:t>Australian Government response to the Final Report</w:t>
        </w:r>
        <w:r>
          <w:rPr>
            <w:webHidden/>
          </w:rPr>
          <w:tab/>
        </w:r>
        <w:r>
          <w:rPr>
            <w:webHidden/>
          </w:rPr>
          <w:fldChar w:fldCharType="begin"/>
        </w:r>
        <w:r>
          <w:rPr>
            <w:webHidden/>
          </w:rPr>
          <w:instrText xml:space="preserve"> PAGEREF _Toc113448683 \h </w:instrText>
        </w:r>
        <w:r>
          <w:rPr>
            <w:webHidden/>
          </w:rPr>
        </w:r>
        <w:r>
          <w:rPr>
            <w:webHidden/>
          </w:rPr>
          <w:fldChar w:fldCharType="separate"/>
        </w:r>
        <w:r>
          <w:rPr>
            <w:webHidden/>
          </w:rPr>
          <w:t>20</w:t>
        </w:r>
        <w:r>
          <w:rPr>
            <w:webHidden/>
          </w:rPr>
          <w:fldChar w:fldCharType="end"/>
        </w:r>
      </w:hyperlink>
    </w:p>
    <w:p w14:paraId="51A4C4C3" w14:textId="072915A2" w:rsidR="0026519E" w:rsidRDefault="0026519E">
      <w:pPr>
        <w:pStyle w:val="TOC1"/>
        <w:rPr>
          <w:rFonts w:asciiTheme="minorHAnsi" w:eastAsiaTheme="minorEastAsia" w:hAnsiTheme="minorHAnsi"/>
          <w:b w:val="0"/>
          <w:sz w:val="22"/>
          <w:lang w:eastAsia="en-AU"/>
        </w:rPr>
      </w:pPr>
      <w:hyperlink w:anchor="_Toc113448684" w:history="1">
        <w:r w:rsidRPr="008C1452">
          <w:rPr>
            <w:rStyle w:val="Hyperlink"/>
          </w:rPr>
          <w:t>4.</w:t>
        </w:r>
        <w:r>
          <w:rPr>
            <w:rFonts w:asciiTheme="minorHAnsi" w:eastAsiaTheme="minorEastAsia" w:hAnsiTheme="minorHAnsi"/>
            <w:b w:val="0"/>
            <w:sz w:val="22"/>
            <w:lang w:eastAsia="en-AU"/>
          </w:rPr>
          <w:tab/>
        </w:r>
        <w:r w:rsidRPr="008C1452">
          <w:rPr>
            <w:rStyle w:val="Hyperlink"/>
          </w:rPr>
          <w:t>Evaluation methodology</w:t>
        </w:r>
        <w:r>
          <w:rPr>
            <w:webHidden/>
          </w:rPr>
          <w:tab/>
        </w:r>
        <w:r>
          <w:rPr>
            <w:webHidden/>
          </w:rPr>
          <w:fldChar w:fldCharType="begin"/>
        </w:r>
        <w:r>
          <w:rPr>
            <w:webHidden/>
          </w:rPr>
          <w:instrText xml:space="preserve"> PAGEREF _Toc113448684 \h </w:instrText>
        </w:r>
        <w:r>
          <w:rPr>
            <w:webHidden/>
          </w:rPr>
        </w:r>
        <w:r>
          <w:rPr>
            <w:webHidden/>
          </w:rPr>
          <w:fldChar w:fldCharType="separate"/>
        </w:r>
        <w:r>
          <w:rPr>
            <w:webHidden/>
          </w:rPr>
          <w:t>22</w:t>
        </w:r>
        <w:r>
          <w:rPr>
            <w:webHidden/>
          </w:rPr>
          <w:fldChar w:fldCharType="end"/>
        </w:r>
      </w:hyperlink>
    </w:p>
    <w:p w14:paraId="391D3C31" w14:textId="5BDD58F1" w:rsidR="0026519E" w:rsidRDefault="0026519E">
      <w:pPr>
        <w:pStyle w:val="TOC2"/>
        <w:rPr>
          <w:rFonts w:asciiTheme="minorHAnsi" w:eastAsiaTheme="minorEastAsia" w:hAnsiTheme="minorHAnsi"/>
          <w:sz w:val="22"/>
          <w:lang w:eastAsia="en-AU"/>
        </w:rPr>
      </w:pPr>
      <w:hyperlink w:anchor="_Toc113448685" w:history="1">
        <w:r w:rsidRPr="008C1452">
          <w:rPr>
            <w:rStyle w:val="Hyperlink"/>
          </w:rPr>
          <w:t>4.1 Desktop review</w:t>
        </w:r>
        <w:r>
          <w:rPr>
            <w:webHidden/>
          </w:rPr>
          <w:tab/>
        </w:r>
        <w:r>
          <w:rPr>
            <w:webHidden/>
          </w:rPr>
          <w:fldChar w:fldCharType="begin"/>
        </w:r>
        <w:r>
          <w:rPr>
            <w:webHidden/>
          </w:rPr>
          <w:instrText xml:space="preserve"> PAGEREF _Toc113448685 \h </w:instrText>
        </w:r>
        <w:r>
          <w:rPr>
            <w:webHidden/>
          </w:rPr>
        </w:r>
        <w:r>
          <w:rPr>
            <w:webHidden/>
          </w:rPr>
          <w:fldChar w:fldCharType="separate"/>
        </w:r>
        <w:r>
          <w:rPr>
            <w:webHidden/>
          </w:rPr>
          <w:t>23</w:t>
        </w:r>
        <w:r>
          <w:rPr>
            <w:webHidden/>
          </w:rPr>
          <w:fldChar w:fldCharType="end"/>
        </w:r>
      </w:hyperlink>
    </w:p>
    <w:p w14:paraId="319AE4FD" w14:textId="08D90417" w:rsidR="0026519E" w:rsidRDefault="0026519E">
      <w:pPr>
        <w:pStyle w:val="TOC2"/>
        <w:rPr>
          <w:rFonts w:asciiTheme="minorHAnsi" w:eastAsiaTheme="minorEastAsia" w:hAnsiTheme="minorHAnsi"/>
          <w:sz w:val="22"/>
          <w:lang w:eastAsia="en-AU"/>
        </w:rPr>
      </w:pPr>
      <w:hyperlink w:anchor="_Toc113448686" w:history="1">
        <w:r w:rsidRPr="008C1452">
          <w:rPr>
            <w:rStyle w:val="Hyperlink"/>
          </w:rPr>
          <w:t>4.2 Lightning review</w:t>
        </w:r>
        <w:r>
          <w:rPr>
            <w:webHidden/>
          </w:rPr>
          <w:tab/>
        </w:r>
        <w:r>
          <w:rPr>
            <w:webHidden/>
          </w:rPr>
          <w:fldChar w:fldCharType="begin"/>
        </w:r>
        <w:r>
          <w:rPr>
            <w:webHidden/>
          </w:rPr>
          <w:instrText xml:space="preserve"> PAGEREF _Toc113448686 \h </w:instrText>
        </w:r>
        <w:r>
          <w:rPr>
            <w:webHidden/>
          </w:rPr>
        </w:r>
        <w:r>
          <w:rPr>
            <w:webHidden/>
          </w:rPr>
          <w:fldChar w:fldCharType="separate"/>
        </w:r>
        <w:r>
          <w:rPr>
            <w:webHidden/>
          </w:rPr>
          <w:t>23</w:t>
        </w:r>
        <w:r>
          <w:rPr>
            <w:webHidden/>
          </w:rPr>
          <w:fldChar w:fldCharType="end"/>
        </w:r>
      </w:hyperlink>
    </w:p>
    <w:p w14:paraId="1E4F98CD" w14:textId="2ADABE02" w:rsidR="0026519E" w:rsidRDefault="0026519E">
      <w:pPr>
        <w:pStyle w:val="TOC2"/>
        <w:rPr>
          <w:rFonts w:asciiTheme="minorHAnsi" w:eastAsiaTheme="minorEastAsia" w:hAnsiTheme="minorHAnsi"/>
          <w:sz w:val="22"/>
          <w:lang w:eastAsia="en-AU"/>
        </w:rPr>
      </w:pPr>
      <w:hyperlink w:anchor="_Toc113448687" w:history="1">
        <w:r w:rsidRPr="008C1452">
          <w:rPr>
            <w:rStyle w:val="Hyperlink"/>
          </w:rPr>
          <w:t>4.3 Program Logic</w:t>
        </w:r>
        <w:r>
          <w:rPr>
            <w:webHidden/>
          </w:rPr>
          <w:tab/>
        </w:r>
        <w:r>
          <w:rPr>
            <w:webHidden/>
          </w:rPr>
          <w:fldChar w:fldCharType="begin"/>
        </w:r>
        <w:r>
          <w:rPr>
            <w:webHidden/>
          </w:rPr>
          <w:instrText xml:space="preserve"> PAGEREF _Toc113448687 \h </w:instrText>
        </w:r>
        <w:r>
          <w:rPr>
            <w:webHidden/>
          </w:rPr>
        </w:r>
        <w:r>
          <w:rPr>
            <w:webHidden/>
          </w:rPr>
          <w:fldChar w:fldCharType="separate"/>
        </w:r>
        <w:r>
          <w:rPr>
            <w:webHidden/>
          </w:rPr>
          <w:t>25</w:t>
        </w:r>
        <w:r>
          <w:rPr>
            <w:webHidden/>
          </w:rPr>
          <w:fldChar w:fldCharType="end"/>
        </w:r>
      </w:hyperlink>
    </w:p>
    <w:p w14:paraId="6EA5B09C" w14:textId="6A91E9EE" w:rsidR="0026519E" w:rsidRDefault="0026519E">
      <w:pPr>
        <w:pStyle w:val="TOC1"/>
        <w:rPr>
          <w:rFonts w:asciiTheme="minorHAnsi" w:eastAsiaTheme="minorEastAsia" w:hAnsiTheme="minorHAnsi"/>
          <w:b w:val="0"/>
          <w:sz w:val="22"/>
          <w:lang w:eastAsia="en-AU"/>
        </w:rPr>
      </w:pPr>
      <w:hyperlink w:anchor="_Toc113448688" w:history="1">
        <w:r w:rsidRPr="008C1452">
          <w:rPr>
            <w:rStyle w:val="Hyperlink"/>
          </w:rPr>
          <w:t>5.</w:t>
        </w:r>
        <w:r>
          <w:rPr>
            <w:rFonts w:asciiTheme="minorHAnsi" w:eastAsiaTheme="minorEastAsia" w:hAnsiTheme="minorHAnsi"/>
            <w:b w:val="0"/>
            <w:sz w:val="22"/>
            <w:lang w:eastAsia="en-AU"/>
          </w:rPr>
          <w:tab/>
        </w:r>
        <w:r w:rsidRPr="008C1452">
          <w:rPr>
            <w:rStyle w:val="Hyperlink"/>
          </w:rPr>
          <w:t>Findings: Key evaluation question 1</w:t>
        </w:r>
        <w:r>
          <w:rPr>
            <w:webHidden/>
          </w:rPr>
          <w:tab/>
        </w:r>
        <w:r>
          <w:rPr>
            <w:webHidden/>
          </w:rPr>
          <w:fldChar w:fldCharType="begin"/>
        </w:r>
        <w:r>
          <w:rPr>
            <w:webHidden/>
          </w:rPr>
          <w:instrText xml:space="preserve"> PAGEREF _Toc113448688 \h </w:instrText>
        </w:r>
        <w:r>
          <w:rPr>
            <w:webHidden/>
          </w:rPr>
        </w:r>
        <w:r>
          <w:rPr>
            <w:webHidden/>
          </w:rPr>
          <w:fldChar w:fldCharType="separate"/>
        </w:r>
        <w:r>
          <w:rPr>
            <w:webHidden/>
          </w:rPr>
          <w:t>26</w:t>
        </w:r>
        <w:r>
          <w:rPr>
            <w:webHidden/>
          </w:rPr>
          <w:fldChar w:fldCharType="end"/>
        </w:r>
      </w:hyperlink>
    </w:p>
    <w:p w14:paraId="65753D17" w14:textId="3A25D2FC" w:rsidR="0026519E" w:rsidRDefault="0026519E">
      <w:pPr>
        <w:pStyle w:val="TOC2"/>
        <w:rPr>
          <w:rFonts w:asciiTheme="minorHAnsi" w:eastAsiaTheme="minorEastAsia" w:hAnsiTheme="minorHAnsi"/>
          <w:sz w:val="22"/>
          <w:lang w:eastAsia="en-AU"/>
        </w:rPr>
      </w:pPr>
      <w:hyperlink w:anchor="_Toc113448689" w:history="1">
        <w:r w:rsidRPr="008C1452">
          <w:rPr>
            <w:rStyle w:val="Hyperlink"/>
          </w:rPr>
          <w:t>5.1 What implementation activities were conducted for providers and other stakeholders to support the implementation of the Quality Standards?</w:t>
        </w:r>
        <w:r>
          <w:rPr>
            <w:webHidden/>
          </w:rPr>
          <w:tab/>
        </w:r>
        <w:r>
          <w:rPr>
            <w:webHidden/>
          </w:rPr>
          <w:fldChar w:fldCharType="begin"/>
        </w:r>
        <w:r>
          <w:rPr>
            <w:webHidden/>
          </w:rPr>
          <w:instrText xml:space="preserve"> PAGEREF _Toc113448689 \h </w:instrText>
        </w:r>
        <w:r>
          <w:rPr>
            <w:webHidden/>
          </w:rPr>
        </w:r>
        <w:r>
          <w:rPr>
            <w:webHidden/>
          </w:rPr>
          <w:fldChar w:fldCharType="separate"/>
        </w:r>
        <w:r>
          <w:rPr>
            <w:webHidden/>
          </w:rPr>
          <w:t>28</w:t>
        </w:r>
        <w:r>
          <w:rPr>
            <w:webHidden/>
          </w:rPr>
          <w:fldChar w:fldCharType="end"/>
        </w:r>
      </w:hyperlink>
    </w:p>
    <w:p w14:paraId="5DB59543" w14:textId="4C193863" w:rsidR="0026519E" w:rsidRDefault="0026519E">
      <w:pPr>
        <w:pStyle w:val="TOC2"/>
        <w:rPr>
          <w:rFonts w:asciiTheme="minorHAnsi" w:eastAsiaTheme="minorEastAsia" w:hAnsiTheme="minorHAnsi"/>
          <w:sz w:val="22"/>
          <w:lang w:eastAsia="en-AU"/>
        </w:rPr>
      </w:pPr>
      <w:hyperlink w:anchor="_Toc113448690" w:history="1">
        <w:r w:rsidRPr="008C1452">
          <w:rPr>
            <w:rStyle w:val="Hyperlink"/>
          </w:rPr>
          <w:t>5.2 How effectively have guidance materials, tools, resources, and activities supported the implementation of the Standards by providers?</w:t>
        </w:r>
        <w:r>
          <w:rPr>
            <w:webHidden/>
          </w:rPr>
          <w:tab/>
        </w:r>
        <w:r>
          <w:rPr>
            <w:webHidden/>
          </w:rPr>
          <w:fldChar w:fldCharType="begin"/>
        </w:r>
        <w:r>
          <w:rPr>
            <w:webHidden/>
          </w:rPr>
          <w:instrText xml:space="preserve"> PAGEREF _Toc113448690 \h </w:instrText>
        </w:r>
        <w:r>
          <w:rPr>
            <w:webHidden/>
          </w:rPr>
        </w:r>
        <w:r>
          <w:rPr>
            <w:webHidden/>
          </w:rPr>
          <w:fldChar w:fldCharType="separate"/>
        </w:r>
        <w:r>
          <w:rPr>
            <w:webHidden/>
          </w:rPr>
          <w:t>31</w:t>
        </w:r>
        <w:r>
          <w:rPr>
            <w:webHidden/>
          </w:rPr>
          <w:fldChar w:fldCharType="end"/>
        </w:r>
      </w:hyperlink>
    </w:p>
    <w:p w14:paraId="1A2C197D" w14:textId="518D7075" w:rsidR="0026519E" w:rsidRDefault="0026519E">
      <w:pPr>
        <w:pStyle w:val="TOC2"/>
        <w:rPr>
          <w:rFonts w:asciiTheme="minorHAnsi" w:eastAsiaTheme="minorEastAsia" w:hAnsiTheme="minorHAnsi"/>
          <w:sz w:val="22"/>
          <w:lang w:eastAsia="en-AU"/>
        </w:rPr>
      </w:pPr>
      <w:hyperlink w:anchor="_Toc113448691" w:history="1">
        <w:r w:rsidRPr="008C1452">
          <w:rPr>
            <w:rStyle w:val="Hyperlink"/>
          </w:rPr>
          <w:t>5.3 What were the key barriers and enablers to the implementation of the Standards? What other external factors have impacted the implementation of the Standards?</w:t>
        </w:r>
        <w:r>
          <w:rPr>
            <w:webHidden/>
          </w:rPr>
          <w:tab/>
        </w:r>
        <w:r>
          <w:rPr>
            <w:webHidden/>
          </w:rPr>
          <w:fldChar w:fldCharType="begin"/>
        </w:r>
        <w:r>
          <w:rPr>
            <w:webHidden/>
          </w:rPr>
          <w:instrText xml:space="preserve"> PAGEREF _Toc113448691 \h </w:instrText>
        </w:r>
        <w:r>
          <w:rPr>
            <w:webHidden/>
          </w:rPr>
        </w:r>
        <w:r>
          <w:rPr>
            <w:webHidden/>
          </w:rPr>
          <w:fldChar w:fldCharType="separate"/>
        </w:r>
        <w:r>
          <w:rPr>
            <w:webHidden/>
          </w:rPr>
          <w:t>33</w:t>
        </w:r>
        <w:r>
          <w:rPr>
            <w:webHidden/>
          </w:rPr>
          <w:fldChar w:fldCharType="end"/>
        </w:r>
      </w:hyperlink>
    </w:p>
    <w:p w14:paraId="28DA8456" w14:textId="7895402A" w:rsidR="0026519E" w:rsidRDefault="0026519E">
      <w:pPr>
        <w:pStyle w:val="TOC2"/>
        <w:rPr>
          <w:rFonts w:asciiTheme="minorHAnsi" w:eastAsiaTheme="minorEastAsia" w:hAnsiTheme="minorHAnsi"/>
          <w:sz w:val="22"/>
          <w:lang w:eastAsia="en-AU"/>
        </w:rPr>
      </w:pPr>
      <w:hyperlink w:anchor="_Toc113448692" w:history="1">
        <w:r w:rsidRPr="008C1452">
          <w:rPr>
            <w:rStyle w:val="Hyperlink"/>
            <w:lang w:eastAsia="en-AU"/>
          </w:rPr>
          <w:t>5.4 What can be learnt from the implementation of the Standards to inform future review and changes to the Standards?</w:t>
        </w:r>
        <w:r>
          <w:rPr>
            <w:webHidden/>
          </w:rPr>
          <w:tab/>
        </w:r>
        <w:r>
          <w:rPr>
            <w:webHidden/>
          </w:rPr>
          <w:fldChar w:fldCharType="begin"/>
        </w:r>
        <w:r>
          <w:rPr>
            <w:webHidden/>
          </w:rPr>
          <w:instrText xml:space="preserve"> PAGEREF _Toc113448692 \h </w:instrText>
        </w:r>
        <w:r>
          <w:rPr>
            <w:webHidden/>
          </w:rPr>
        </w:r>
        <w:r>
          <w:rPr>
            <w:webHidden/>
          </w:rPr>
          <w:fldChar w:fldCharType="separate"/>
        </w:r>
        <w:r>
          <w:rPr>
            <w:webHidden/>
          </w:rPr>
          <w:t>36</w:t>
        </w:r>
        <w:r>
          <w:rPr>
            <w:webHidden/>
          </w:rPr>
          <w:fldChar w:fldCharType="end"/>
        </w:r>
      </w:hyperlink>
    </w:p>
    <w:p w14:paraId="6213AC5C" w14:textId="54942499" w:rsidR="0026519E" w:rsidRDefault="0026519E">
      <w:pPr>
        <w:pStyle w:val="TOC2"/>
        <w:rPr>
          <w:rFonts w:asciiTheme="minorHAnsi" w:eastAsiaTheme="minorEastAsia" w:hAnsiTheme="minorHAnsi"/>
          <w:sz w:val="22"/>
          <w:lang w:eastAsia="en-AU"/>
        </w:rPr>
      </w:pPr>
      <w:hyperlink w:anchor="_Toc113448693" w:history="1">
        <w:r w:rsidRPr="008C1452">
          <w:rPr>
            <w:rStyle w:val="Hyperlink"/>
            <w:lang w:eastAsia="en-AU"/>
          </w:rPr>
          <w:t>5.5 What changes are required to align the Standards with future reform in the aged care sector?</w:t>
        </w:r>
        <w:r>
          <w:rPr>
            <w:webHidden/>
          </w:rPr>
          <w:tab/>
        </w:r>
        <w:r>
          <w:rPr>
            <w:webHidden/>
          </w:rPr>
          <w:fldChar w:fldCharType="begin"/>
        </w:r>
        <w:r>
          <w:rPr>
            <w:webHidden/>
          </w:rPr>
          <w:instrText xml:space="preserve"> PAGEREF _Toc113448693 \h </w:instrText>
        </w:r>
        <w:r>
          <w:rPr>
            <w:webHidden/>
          </w:rPr>
        </w:r>
        <w:r>
          <w:rPr>
            <w:webHidden/>
          </w:rPr>
          <w:fldChar w:fldCharType="separate"/>
        </w:r>
        <w:r>
          <w:rPr>
            <w:webHidden/>
          </w:rPr>
          <w:t>37</w:t>
        </w:r>
        <w:r>
          <w:rPr>
            <w:webHidden/>
          </w:rPr>
          <w:fldChar w:fldCharType="end"/>
        </w:r>
      </w:hyperlink>
    </w:p>
    <w:p w14:paraId="27C82C73" w14:textId="67ADCA78" w:rsidR="0026519E" w:rsidRDefault="0026519E">
      <w:pPr>
        <w:pStyle w:val="TOC1"/>
        <w:rPr>
          <w:rFonts w:asciiTheme="minorHAnsi" w:eastAsiaTheme="minorEastAsia" w:hAnsiTheme="minorHAnsi"/>
          <w:b w:val="0"/>
          <w:sz w:val="22"/>
          <w:lang w:eastAsia="en-AU"/>
        </w:rPr>
      </w:pPr>
      <w:hyperlink w:anchor="_Toc113448694" w:history="1">
        <w:r w:rsidRPr="008C1452">
          <w:rPr>
            <w:rStyle w:val="Hyperlink"/>
          </w:rPr>
          <w:t>6.</w:t>
        </w:r>
        <w:r>
          <w:rPr>
            <w:rFonts w:asciiTheme="minorHAnsi" w:eastAsiaTheme="minorEastAsia" w:hAnsiTheme="minorHAnsi"/>
            <w:b w:val="0"/>
            <w:sz w:val="22"/>
            <w:lang w:eastAsia="en-AU"/>
          </w:rPr>
          <w:tab/>
        </w:r>
        <w:r w:rsidRPr="008C1452">
          <w:rPr>
            <w:rStyle w:val="Hyperlink"/>
          </w:rPr>
          <w:t>Findings: Key evaluation question 2</w:t>
        </w:r>
        <w:r>
          <w:rPr>
            <w:webHidden/>
          </w:rPr>
          <w:tab/>
        </w:r>
        <w:r>
          <w:rPr>
            <w:webHidden/>
          </w:rPr>
          <w:fldChar w:fldCharType="begin"/>
        </w:r>
        <w:r>
          <w:rPr>
            <w:webHidden/>
          </w:rPr>
          <w:instrText xml:space="preserve"> PAGEREF _Toc113448694 \h </w:instrText>
        </w:r>
        <w:r>
          <w:rPr>
            <w:webHidden/>
          </w:rPr>
        </w:r>
        <w:r>
          <w:rPr>
            <w:webHidden/>
          </w:rPr>
          <w:fldChar w:fldCharType="separate"/>
        </w:r>
        <w:r>
          <w:rPr>
            <w:webHidden/>
          </w:rPr>
          <w:t>40</w:t>
        </w:r>
        <w:r>
          <w:rPr>
            <w:webHidden/>
          </w:rPr>
          <w:fldChar w:fldCharType="end"/>
        </w:r>
      </w:hyperlink>
    </w:p>
    <w:p w14:paraId="455E0840" w14:textId="559F0141" w:rsidR="0026519E" w:rsidRDefault="0026519E">
      <w:pPr>
        <w:pStyle w:val="TOC2"/>
        <w:rPr>
          <w:rFonts w:asciiTheme="minorHAnsi" w:eastAsiaTheme="minorEastAsia" w:hAnsiTheme="minorHAnsi"/>
          <w:sz w:val="22"/>
          <w:lang w:eastAsia="en-AU"/>
        </w:rPr>
      </w:pPr>
      <w:hyperlink w:anchor="_Toc113448695" w:history="1">
        <w:r w:rsidRPr="008C1452">
          <w:rPr>
            <w:rStyle w:val="Hyperlink"/>
          </w:rPr>
          <w:t>6.1 Are the Standards clear and easy to understand?</w:t>
        </w:r>
        <w:r>
          <w:rPr>
            <w:webHidden/>
          </w:rPr>
          <w:tab/>
        </w:r>
        <w:r>
          <w:rPr>
            <w:webHidden/>
          </w:rPr>
          <w:fldChar w:fldCharType="begin"/>
        </w:r>
        <w:r>
          <w:rPr>
            <w:webHidden/>
          </w:rPr>
          <w:instrText xml:space="preserve"> PAGEREF _Toc113448695 \h </w:instrText>
        </w:r>
        <w:r>
          <w:rPr>
            <w:webHidden/>
          </w:rPr>
        </w:r>
        <w:r>
          <w:rPr>
            <w:webHidden/>
          </w:rPr>
          <w:fldChar w:fldCharType="separate"/>
        </w:r>
        <w:r>
          <w:rPr>
            <w:webHidden/>
          </w:rPr>
          <w:t>42</w:t>
        </w:r>
        <w:r>
          <w:rPr>
            <w:webHidden/>
          </w:rPr>
          <w:fldChar w:fldCharType="end"/>
        </w:r>
      </w:hyperlink>
    </w:p>
    <w:p w14:paraId="436F5C3C" w14:textId="10E71C3B" w:rsidR="0026519E" w:rsidRDefault="0026519E">
      <w:pPr>
        <w:pStyle w:val="TOC2"/>
        <w:rPr>
          <w:rFonts w:asciiTheme="minorHAnsi" w:eastAsiaTheme="minorEastAsia" w:hAnsiTheme="minorHAnsi"/>
          <w:sz w:val="22"/>
          <w:lang w:eastAsia="en-AU"/>
        </w:rPr>
      </w:pPr>
      <w:hyperlink w:anchor="_Toc113448696" w:history="1">
        <w:r w:rsidRPr="008C1452">
          <w:rPr>
            <w:rStyle w:val="Hyperlink"/>
          </w:rPr>
          <w:t>6.2 Are the Standards valid and reliable?</w:t>
        </w:r>
        <w:r>
          <w:rPr>
            <w:webHidden/>
          </w:rPr>
          <w:tab/>
        </w:r>
        <w:r>
          <w:rPr>
            <w:webHidden/>
          </w:rPr>
          <w:fldChar w:fldCharType="begin"/>
        </w:r>
        <w:r>
          <w:rPr>
            <w:webHidden/>
          </w:rPr>
          <w:instrText xml:space="preserve"> PAGEREF _Toc113448696 \h </w:instrText>
        </w:r>
        <w:r>
          <w:rPr>
            <w:webHidden/>
          </w:rPr>
        </w:r>
        <w:r>
          <w:rPr>
            <w:webHidden/>
          </w:rPr>
          <w:fldChar w:fldCharType="separate"/>
        </w:r>
        <w:r>
          <w:rPr>
            <w:webHidden/>
          </w:rPr>
          <w:t>45</w:t>
        </w:r>
        <w:r>
          <w:rPr>
            <w:webHidden/>
          </w:rPr>
          <w:fldChar w:fldCharType="end"/>
        </w:r>
      </w:hyperlink>
    </w:p>
    <w:p w14:paraId="22325399" w14:textId="75785245" w:rsidR="0026519E" w:rsidRDefault="0026519E">
      <w:pPr>
        <w:pStyle w:val="TOC2"/>
        <w:rPr>
          <w:rFonts w:asciiTheme="minorHAnsi" w:eastAsiaTheme="minorEastAsia" w:hAnsiTheme="minorHAnsi"/>
          <w:sz w:val="22"/>
          <w:lang w:eastAsia="en-AU"/>
        </w:rPr>
      </w:pPr>
      <w:hyperlink w:anchor="_Toc113448697" w:history="1">
        <w:r w:rsidRPr="008C1452">
          <w:rPr>
            <w:rStyle w:val="Hyperlink"/>
          </w:rPr>
          <w:t>6.3 Are the Standards sufficiently flexible for application across all service types and settings?</w:t>
        </w:r>
        <w:r>
          <w:rPr>
            <w:webHidden/>
          </w:rPr>
          <w:tab/>
        </w:r>
        <w:r>
          <w:rPr>
            <w:webHidden/>
          </w:rPr>
          <w:fldChar w:fldCharType="begin"/>
        </w:r>
        <w:r>
          <w:rPr>
            <w:webHidden/>
          </w:rPr>
          <w:instrText xml:space="preserve"> PAGEREF _Toc113448697 \h </w:instrText>
        </w:r>
        <w:r>
          <w:rPr>
            <w:webHidden/>
          </w:rPr>
        </w:r>
        <w:r>
          <w:rPr>
            <w:webHidden/>
          </w:rPr>
          <w:fldChar w:fldCharType="separate"/>
        </w:r>
        <w:r>
          <w:rPr>
            <w:webHidden/>
          </w:rPr>
          <w:t>49</w:t>
        </w:r>
        <w:r>
          <w:rPr>
            <w:webHidden/>
          </w:rPr>
          <w:fldChar w:fldCharType="end"/>
        </w:r>
      </w:hyperlink>
    </w:p>
    <w:p w14:paraId="7FBDDA56" w14:textId="2B38A67E" w:rsidR="0026519E" w:rsidRDefault="0026519E">
      <w:pPr>
        <w:pStyle w:val="TOC2"/>
        <w:rPr>
          <w:rFonts w:asciiTheme="minorHAnsi" w:eastAsiaTheme="minorEastAsia" w:hAnsiTheme="minorHAnsi"/>
          <w:sz w:val="22"/>
          <w:lang w:eastAsia="en-AU"/>
        </w:rPr>
      </w:pPr>
      <w:hyperlink w:anchor="_Toc113448698" w:history="1">
        <w:r w:rsidRPr="008C1452">
          <w:rPr>
            <w:rStyle w:val="Hyperlink"/>
          </w:rPr>
          <w:t>6.4 Are there aspects of the Standards that could be harmonised? What benefit would this provide?</w:t>
        </w:r>
        <w:r>
          <w:rPr>
            <w:webHidden/>
          </w:rPr>
          <w:tab/>
        </w:r>
        <w:r>
          <w:rPr>
            <w:webHidden/>
          </w:rPr>
          <w:fldChar w:fldCharType="begin"/>
        </w:r>
        <w:r>
          <w:rPr>
            <w:webHidden/>
          </w:rPr>
          <w:instrText xml:space="preserve"> PAGEREF _Toc113448698 \h </w:instrText>
        </w:r>
        <w:r>
          <w:rPr>
            <w:webHidden/>
          </w:rPr>
        </w:r>
        <w:r>
          <w:rPr>
            <w:webHidden/>
          </w:rPr>
          <w:fldChar w:fldCharType="separate"/>
        </w:r>
        <w:r>
          <w:rPr>
            <w:webHidden/>
          </w:rPr>
          <w:t>50</w:t>
        </w:r>
        <w:r>
          <w:rPr>
            <w:webHidden/>
          </w:rPr>
          <w:fldChar w:fldCharType="end"/>
        </w:r>
      </w:hyperlink>
    </w:p>
    <w:p w14:paraId="316E1991" w14:textId="2F878311" w:rsidR="0026519E" w:rsidRDefault="0026519E">
      <w:pPr>
        <w:pStyle w:val="TOC2"/>
        <w:rPr>
          <w:rFonts w:asciiTheme="minorHAnsi" w:eastAsiaTheme="minorEastAsia" w:hAnsiTheme="minorHAnsi"/>
          <w:sz w:val="22"/>
          <w:lang w:eastAsia="en-AU"/>
        </w:rPr>
      </w:pPr>
      <w:hyperlink w:anchor="_Toc113448699" w:history="1">
        <w:r w:rsidRPr="008C1452">
          <w:rPr>
            <w:rStyle w:val="Hyperlink"/>
          </w:rPr>
          <w:t>6.5 Are there gaps?</w:t>
        </w:r>
        <w:r>
          <w:rPr>
            <w:webHidden/>
          </w:rPr>
          <w:tab/>
        </w:r>
        <w:r>
          <w:rPr>
            <w:webHidden/>
          </w:rPr>
          <w:fldChar w:fldCharType="begin"/>
        </w:r>
        <w:r>
          <w:rPr>
            <w:webHidden/>
          </w:rPr>
          <w:instrText xml:space="preserve"> PAGEREF _Toc113448699 \h </w:instrText>
        </w:r>
        <w:r>
          <w:rPr>
            <w:webHidden/>
          </w:rPr>
        </w:r>
        <w:r>
          <w:rPr>
            <w:webHidden/>
          </w:rPr>
          <w:fldChar w:fldCharType="separate"/>
        </w:r>
        <w:r>
          <w:rPr>
            <w:webHidden/>
          </w:rPr>
          <w:t>52</w:t>
        </w:r>
        <w:r>
          <w:rPr>
            <w:webHidden/>
          </w:rPr>
          <w:fldChar w:fldCharType="end"/>
        </w:r>
      </w:hyperlink>
    </w:p>
    <w:p w14:paraId="67D7A11F" w14:textId="285120B1" w:rsidR="0026519E" w:rsidRDefault="0026519E">
      <w:pPr>
        <w:pStyle w:val="TOC2"/>
        <w:rPr>
          <w:rFonts w:asciiTheme="minorHAnsi" w:eastAsiaTheme="minorEastAsia" w:hAnsiTheme="minorHAnsi"/>
          <w:sz w:val="22"/>
          <w:lang w:eastAsia="en-AU"/>
        </w:rPr>
      </w:pPr>
      <w:hyperlink w:anchor="_Toc113448700" w:history="1">
        <w:r w:rsidRPr="008C1452">
          <w:rPr>
            <w:rStyle w:val="Hyperlink"/>
          </w:rPr>
          <w:t>6.6 Are there suggestions for improving individual standards?</w:t>
        </w:r>
        <w:r>
          <w:rPr>
            <w:webHidden/>
          </w:rPr>
          <w:tab/>
        </w:r>
        <w:r>
          <w:rPr>
            <w:webHidden/>
          </w:rPr>
          <w:fldChar w:fldCharType="begin"/>
        </w:r>
        <w:r>
          <w:rPr>
            <w:webHidden/>
          </w:rPr>
          <w:instrText xml:space="preserve"> PAGEREF _Toc113448700 \h </w:instrText>
        </w:r>
        <w:r>
          <w:rPr>
            <w:webHidden/>
          </w:rPr>
        </w:r>
        <w:r>
          <w:rPr>
            <w:webHidden/>
          </w:rPr>
          <w:fldChar w:fldCharType="separate"/>
        </w:r>
        <w:r>
          <w:rPr>
            <w:webHidden/>
          </w:rPr>
          <w:t>57</w:t>
        </w:r>
        <w:r>
          <w:rPr>
            <w:webHidden/>
          </w:rPr>
          <w:fldChar w:fldCharType="end"/>
        </w:r>
      </w:hyperlink>
    </w:p>
    <w:p w14:paraId="564D0D1C" w14:textId="19AC4923" w:rsidR="0026519E" w:rsidRDefault="0026519E">
      <w:pPr>
        <w:pStyle w:val="TOC1"/>
        <w:rPr>
          <w:rFonts w:asciiTheme="minorHAnsi" w:eastAsiaTheme="minorEastAsia" w:hAnsiTheme="minorHAnsi"/>
          <w:b w:val="0"/>
          <w:sz w:val="22"/>
          <w:lang w:eastAsia="en-AU"/>
        </w:rPr>
      </w:pPr>
      <w:hyperlink w:anchor="_Toc113448701" w:history="1">
        <w:r w:rsidRPr="008C1452">
          <w:rPr>
            <w:rStyle w:val="Hyperlink"/>
          </w:rPr>
          <w:t>7.</w:t>
        </w:r>
        <w:r>
          <w:rPr>
            <w:rFonts w:asciiTheme="minorHAnsi" w:eastAsiaTheme="minorEastAsia" w:hAnsiTheme="minorHAnsi"/>
            <w:b w:val="0"/>
            <w:sz w:val="22"/>
            <w:lang w:eastAsia="en-AU"/>
          </w:rPr>
          <w:tab/>
        </w:r>
        <w:r w:rsidRPr="008C1452">
          <w:rPr>
            <w:rStyle w:val="Hyperlink"/>
          </w:rPr>
          <w:t>Findings: Key evaluation question 3</w:t>
        </w:r>
        <w:r>
          <w:rPr>
            <w:webHidden/>
          </w:rPr>
          <w:tab/>
        </w:r>
        <w:r>
          <w:rPr>
            <w:webHidden/>
          </w:rPr>
          <w:fldChar w:fldCharType="begin"/>
        </w:r>
        <w:r>
          <w:rPr>
            <w:webHidden/>
          </w:rPr>
          <w:instrText xml:space="preserve"> PAGEREF _Toc113448701 \h </w:instrText>
        </w:r>
        <w:r>
          <w:rPr>
            <w:webHidden/>
          </w:rPr>
        </w:r>
        <w:r>
          <w:rPr>
            <w:webHidden/>
          </w:rPr>
          <w:fldChar w:fldCharType="separate"/>
        </w:r>
        <w:r>
          <w:rPr>
            <w:webHidden/>
          </w:rPr>
          <w:t>61</w:t>
        </w:r>
        <w:r>
          <w:rPr>
            <w:webHidden/>
          </w:rPr>
          <w:fldChar w:fldCharType="end"/>
        </w:r>
      </w:hyperlink>
    </w:p>
    <w:p w14:paraId="64FCC5C2" w14:textId="26B11637" w:rsidR="0026519E" w:rsidRDefault="0026519E">
      <w:pPr>
        <w:pStyle w:val="TOC2"/>
        <w:rPr>
          <w:rFonts w:asciiTheme="minorHAnsi" w:eastAsiaTheme="minorEastAsia" w:hAnsiTheme="minorHAnsi"/>
          <w:sz w:val="22"/>
          <w:lang w:eastAsia="en-AU"/>
        </w:rPr>
      </w:pPr>
      <w:hyperlink w:anchor="_Toc113448702" w:history="1">
        <w:r w:rsidRPr="008C1452">
          <w:rPr>
            <w:rStyle w:val="Hyperlink"/>
          </w:rPr>
          <w:t>7.1 To what extent are the intended outcomes being achieved? (Short</w:t>
        </w:r>
        <w:r w:rsidRPr="008C1452">
          <w:rPr>
            <w:rStyle w:val="Hyperlink"/>
          </w:rPr>
          <w:noBreakHyphen/>
          <w:t>term outcomes)</w:t>
        </w:r>
        <w:r>
          <w:rPr>
            <w:webHidden/>
          </w:rPr>
          <w:tab/>
        </w:r>
        <w:r>
          <w:rPr>
            <w:webHidden/>
          </w:rPr>
          <w:fldChar w:fldCharType="begin"/>
        </w:r>
        <w:r>
          <w:rPr>
            <w:webHidden/>
          </w:rPr>
          <w:instrText xml:space="preserve"> PAGEREF _Toc113448702 \h </w:instrText>
        </w:r>
        <w:r>
          <w:rPr>
            <w:webHidden/>
          </w:rPr>
        </w:r>
        <w:r>
          <w:rPr>
            <w:webHidden/>
          </w:rPr>
          <w:fldChar w:fldCharType="separate"/>
        </w:r>
        <w:r>
          <w:rPr>
            <w:webHidden/>
          </w:rPr>
          <w:t>63</w:t>
        </w:r>
        <w:r>
          <w:rPr>
            <w:webHidden/>
          </w:rPr>
          <w:fldChar w:fldCharType="end"/>
        </w:r>
      </w:hyperlink>
    </w:p>
    <w:p w14:paraId="503B9478" w14:textId="778215B5" w:rsidR="0026519E" w:rsidRDefault="0026519E">
      <w:pPr>
        <w:pStyle w:val="TOC2"/>
        <w:rPr>
          <w:rFonts w:asciiTheme="minorHAnsi" w:eastAsiaTheme="minorEastAsia" w:hAnsiTheme="minorHAnsi"/>
          <w:sz w:val="22"/>
          <w:lang w:eastAsia="en-AU"/>
        </w:rPr>
      </w:pPr>
      <w:hyperlink w:anchor="_Toc113448703" w:history="1">
        <w:r w:rsidRPr="008C1452">
          <w:rPr>
            <w:rStyle w:val="Hyperlink"/>
          </w:rPr>
          <w:t>7.2 Is there a difference in impacts based on service types, consumer diversity, location of service provider or diversity of service provider, and regulator?</w:t>
        </w:r>
        <w:r>
          <w:rPr>
            <w:webHidden/>
          </w:rPr>
          <w:tab/>
        </w:r>
        <w:r>
          <w:rPr>
            <w:webHidden/>
          </w:rPr>
          <w:fldChar w:fldCharType="begin"/>
        </w:r>
        <w:r>
          <w:rPr>
            <w:webHidden/>
          </w:rPr>
          <w:instrText xml:space="preserve"> PAGEREF _Toc113448703 \h </w:instrText>
        </w:r>
        <w:r>
          <w:rPr>
            <w:webHidden/>
          </w:rPr>
        </w:r>
        <w:r>
          <w:rPr>
            <w:webHidden/>
          </w:rPr>
          <w:fldChar w:fldCharType="separate"/>
        </w:r>
        <w:r>
          <w:rPr>
            <w:webHidden/>
          </w:rPr>
          <w:t>69</w:t>
        </w:r>
        <w:r>
          <w:rPr>
            <w:webHidden/>
          </w:rPr>
          <w:fldChar w:fldCharType="end"/>
        </w:r>
      </w:hyperlink>
    </w:p>
    <w:p w14:paraId="18BB9623" w14:textId="3B43911E" w:rsidR="0026519E" w:rsidRDefault="0026519E">
      <w:pPr>
        <w:pStyle w:val="TOC2"/>
        <w:rPr>
          <w:rFonts w:asciiTheme="minorHAnsi" w:eastAsiaTheme="minorEastAsia" w:hAnsiTheme="minorHAnsi"/>
          <w:sz w:val="22"/>
          <w:lang w:eastAsia="en-AU"/>
        </w:rPr>
      </w:pPr>
      <w:hyperlink w:anchor="_Toc113448704" w:history="1">
        <w:r w:rsidRPr="008C1452">
          <w:rPr>
            <w:rStyle w:val="Hyperlink"/>
          </w:rPr>
          <w:t>7.3 What other factors may have contributed to or hindered the achievement of the outcomes?</w:t>
        </w:r>
        <w:r>
          <w:rPr>
            <w:webHidden/>
          </w:rPr>
          <w:tab/>
        </w:r>
        <w:r>
          <w:rPr>
            <w:webHidden/>
          </w:rPr>
          <w:fldChar w:fldCharType="begin"/>
        </w:r>
        <w:r>
          <w:rPr>
            <w:webHidden/>
          </w:rPr>
          <w:instrText xml:space="preserve"> PAGEREF _Toc113448704 \h </w:instrText>
        </w:r>
        <w:r>
          <w:rPr>
            <w:webHidden/>
          </w:rPr>
        </w:r>
        <w:r>
          <w:rPr>
            <w:webHidden/>
          </w:rPr>
          <w:fldChar w:fldCharType="separate"/>
        </w:r>
        <w:r>
          <w:rPr>
            <w:webHidden/>
          </w:rPr>
          <w:t>71</w:t>
        </w:r>
        <w:r>
          <w:rPr>
            <w:webHidden/>
          </w:rPr>
          <w:fldChar w:fldCharType="end"/>
        </w:r>
      </w:hyperlink>
    </w:p>
    <w:p w14:paraId="6F7B8EAF" w14:textId="4FC7A788" w:rsidR="0026519E" w:rsidRDefault="0026519E">
      <w:pPr>
        <w:pStyle w:val="TOC1"/>
        <w:rPr>
          <w:rFonts w:asciiTheme="minorHAnsi" w:eastAsiaTheme="minorEastAsia" w:hAnsiTheme="minorHAnsi"/>
          <w:b w:val="0"/>
          <w:sz w:val="22"/>
          <w:lang w:eastAsia="en-AU"/>
        </w:rPr>
      </w:pPr>
      <w:hyperlink w:anchor="_Toc113448705" w:history="1">
        <w:r w:rsidRPr="008C1452">
          <w:rPr>
            <w:rStyle w:val="Hyperlink"/>
          </w:rPr>
          <w:t>8.</w:t>
        </w:r>
        <w:r>
          <w:rPr>
            <w:rFonts w:asciiTheme="minorHAnsi" w:eastAsiaTheme="minorEastAsia" w:hAnsiTheme="minorHAnsi"/>
            <w:b w:val="0"/>
            <w:sz w:val="22"/>
            <w:lang w:eastAsia="en-AU"/>
          </w:rPr>
          <w:tab/>
        </w:r>
        <w:r w:rsidRPr="008C1452">
          <w:rPr>
            <w:rStyle w:val="Hyperlink"/>
          </w:rPr>
          <w:t>Conclusion and considerations for the review of the Standards</w:t>
        </w:r>
        <w:r>
          <w:rPr>
            <w:webHidden/>
          </w:rPr>
          <w:tab/>
        </w:r>
        <w:r>
          <w:rPr>
            <w:webHidden/>
          </w:rPr>
          <w:fldChar w:fldCharType="begin"/>
        </w:r>
        <w:r>
          <w:rPr>
            <w:webHidden/>
          </w:rPr>
          <w:instrText xml:space="preserve"> PAGEREF _Toc113448705 \h </w:instrText>
        </w:r>
        <w:r>
          <w:rPr>
            <w:webHidden/>
          </w:rPr>
        </w:r>
        <w:r>
          <w:rPr>
            <w:webHidden/>
          </w:rPr>
          <w:fldChar w:fldCharType="separate"/>
        </w:r>
        <w:r>
          <w:rPr>
            <w:webHidden/>
          </w:rPr>
          <w:t>73</w:t>
        </w:r>
        <w:r>
          <w:rPr>
            <w:webHidden/>
          </w:rPr>
          <w:fldChar w:fldCharType="end"/>
        </w:r>
      </w:hyperlink>
    </w:p>
    <w:p w14:paraId="721DC4D6" w14:textId="48605518" w:rsidR="0026519E" w:rsidRDefault="0026519E">
      <w:pPr>
        <w:pStyle w:val="TOC2"/>
        <w:rPr>
          <w:rFonts w:asciiTheme="minorHAnsi" w:eastAsiaTheme="minorEastAsia" w:hAnsiTheme="minorHAnsi"/>
          <w:sz w:val="22"/>
          <w:lang w:eastAsia="en-AU"/>
        </w:rPr>
      </w:pPr>
      <w:hyperlink w:anchor="_Toc113448706" w:history="1">
        <w:r w:rsidRPr="008C1452">
          <w:rPr>
            <w:rStyle w:val="Hyperlink"/>
          </w:rPr>
          <w:t>8.1 Conclusions</w:t>
        </w:r>
        <w:r>
          <w:rPr>
            <w:webHidden/>
          </w:rPr>
          <w:tab/>
        </w:r>
        <w:r>
          <w:rPr>
            <w:webHidden/>
          </w:rPr>
          <w:fldChar w:fldCharType="begin"/>
        </w:r>
        <w:r>
          <w:rPr>
            <w:webHidden/>
          </w:rPr>
          <w:instrText xml:space="preserve"> PAGEREF _Toc113448706 \h </w:instrText>
        </w:r>
        <w:r>
          <w:rPr>
            <w:webHidden/>
          </w:rPr>
        </w:r>
        <w:r>
          <w:rPr>
            <w:webHidden/>
          </w:rPr>
          <w:fldChar w:fldCharType="separate"/>
        </w:r>
        <w:r>
          <w:rPr>
            <w:webHidden/>
          </w:rPr>
          <w:t>74</w:t>
        </w:r>
        <w:r>
          <w:rPr>
            <w:webHidden/>
          </w:rPr>
          <w:fldChar w:fldCharType="end"/>
        </w:r>
      </w:hyperlink>
    </w:p>
    <w:p w14:paraId="7B1529EB" w14:textId="4CBF2F1C" w:rsidR="0026519E" w:rsidRDefault="0026519E">
      <w:pPr>
        <w:pStyle w:val="TOC1"/>
        <w:rPr>
          <w:rFonts w:asciiTheme="minorHAnsi" w:eastAsiaTheme="minorEastAsia" w:hAnsiTheme="minorHAnsi"/>
          <w:b w:val="0"/>
          <w:sz w:val="22"/>
          <w:lang w:eastAsia="en-AU"/>
        </w:rPr>
      </w:pPr>
      <w:hyperlink w:anchor="_Toc113448707" w:history="1">
        <w:r w:rsidRPr="008C1452">
          <w:rPr>
            <w:rStyle w:val="Hyperlink"/>
          </w:rPr>
          <w:t>Appendices</w:t>
        </w:r>
        <w:r>
          <w:rPr>
            <w:webHidden/>
          </w:rPr>
          <w:tab/>
        </w:r>
        <w:r>
          <w:rPr>
            <w:webHidden/>
          </w:rPr>
          <w:fldChar w:fldCharType="begin"/>
        </w:r>
        <w:r>
          <w:rPr>
            <w:webHidden/>
          </w:rPr>
          <w:instrText xml:space="preserve"> PAGEREF _Toc113448707 \h </w:instrText>
        </w:r>
        <w:r>
          <w:rPr>
            <w:webHidden/>
          </w:rPr>
        </w:r>
        <w:r>
          <w:rPr>
            <w:webHidden/>
          </w:rPr>
          <w:fldChar w:fldCharType="separate"/>
        </w:r>
        <w:r>
          <w:rPr>
            <w:webHidden/>
          </w:rPr>
          <w:t>77</w:t>
        </w:r>
        <w:r>
          <w:rPr>
            <w:webHidden/>
          </w:rPr>
          <w:fldChar w:fldCharType="end"/>
        </w:r>
      </w:hyperlink>
    </w:p>
    <w:p w14:paraId="75F61707" w14:textId="522C2F28" w:rsidR="0026519E" w:rsidRDefault="0026519E">
      <w:pPr>
        <w:pStyle w:val="TOC2"/>
        <w:rPr>
          <w:rFonts w:asciiTheme="minorHAnsi" w:eastAsiaTheme="minorEastAsia" w:hAnsiTheme="minorHAnsi"/>
          <w:sz w:val="22"/>
          <w:lang w:eastAsia="en-AU"/>
        </w:rPr>
      </w:pPr>
      <w:hyperlink w:anchor="_Toc113448708" w:history="1">
        <w:r w:rsidRPr="008C1452">
          <w:rPr>
            <w:rStyle w:val="Hyperlink"/>
          </w:rPr>
          <w:t>Appendix A: Program Logic</w:t>
        </w:r>
        <w:r>
          <w:rPr>
            <w:webHidden/>
          </w:rPr>
          <w:tab/>
        </w:r>
        <w:r>
          <w:rPr>
            <w:webHidden/>
          </w:rPr>
          <w:fldChar w:fldCharType="begin"/>
        </w:r>
        <w:r>
          <w:rPr>
            <w:webHidden/>
          </w:rPr>
          <w:instrText xml:space="preserve"> PAGEREF _Toc113448708 \h </w:instrText>
        </w:r>
        <w:r>
          <w:rPr>
            <w:webHidden/>
          </w:rPr>
        </w:r>
        <w:r>
          <w:rPr>
            <w:webHidden/>
          </w:rPr>
          <w:fldChar w:fldCharType="separate"/>
        </w:r>
        <w:r>
          <w:rPr>
            <w:webHidden/>
          </w:rPr>
          <w:t>78</w:t>
        </w:r>
        <w:r>
          <w:rPr>
            <w:webHidden/>
          </w:rPr>
          <w:fldChar w:fldCharType="end"/>
        </w:r>
      </w:hyperlink>
    </w:p>
    <w:p w14:paraId="7CDE4EB7" w14:textId="7496CDB0" w:rsidR="0026519E" w:rsidRDefault="0026519E">
      <w:pPr>
        <w:pStyle w:val="TOC2"/>
        <w:rPr>
          <w:rFonts w:asciiTheme="minorHAnsi" w:eastAsiaTheme="minorEastAsia" w:hAnsiTheme="minorHAnsi"/>
          <w:sz w:val="22"/>
          <w:lang w:eastAsia="en-AU"/>
        </w:rPr>
      </w:pPr>
      <w:hyperlink w:anchor="_Toc113448709" w:history="1">
        <w:r w:rsidRPr="008C1452">
          <w:rPr>
            <w:rStyle w:val="Hyperlink"/>
          </w:rPr>
          <w:t>Appendix B: Stakeholder Participation</w:t>
        </w:r>
        <w:r>
          <w:rPr>
            <w:webHidden/>
          </w:rPr>
          <w:tab/>
        </w:r>
        <w:r>
          <w:rPr>
            <w:webHidden/>
          </w:rPr>
          <w:fldChar w:fldCharType="begin"/>
        </w:r>
        <w:r>
          <w:rPr>
            <w:webHidden/>
          </w:rPr>
          <w:instrText xml:space="preserve"> PAGEREF _Toc113448709 \h </w:instrText>
        </w:r>
        <w:r>
          <w:rPr>
            <w:webHidden/>
          </w:rPr>
        </w:r>
        <w:r>
          <w:rPr>
            <w:webHidden/>
          </w:rPr>
          <w:fldChar w:fldCharType="separate"/>
        </w:r>
        <w:r>
          <w:rPr>
            <w:webHidden/>
          </w:rPr>
          <w:t>79</w:t>
        </w:r>
        <w:r>
          <w:rPr>
            <w:webHidden/>
          </w:rPr>
          <w:fldChar w:fldCharType="end"/>
        </w:r>
      </w:hyperlink>
    </w:p>
    <w:p w14:paraId="777EC753" w14:textId="362D5496" w:rsidR="0026519E" w:rsidRDefault="0026519E">
      <w:pPr>
        <w:pStyle w:val="TOC2"/>
        <w:rPr>
          <w:rFonts w:asciiTheme="minorHAnsi" w:eastAsiaTheme="minorEastAsia" w:hAnsiTheme="minorHAnsi"/>
          <w:sz w:val="22"/>
          <w:lang w:eastAsia="en-AU"/>
        </w:rPr>
      </w:pPr>
      <w:hyperlink w:anchor="_Toc113448710" w:history="1">
        <w:r w:rsidRPr="008C1452">
          <w:rPr>
            <w:rStyle w:val="Hyperlink"/>
          </w:rPr>
          <w:t>Appendix C: Consumer Outcome Statements of the Standards</w:t>
        </w:r>
        <w:r>
          <w:rPr>
            <w:webHidden/>
          </w:rPr>
          <w:tab/>
        </w:r>
        <w:r>
          <w:rPr>
            <w:webHidden/>
          </w:rPr>
          <w:fldChar w:fldCharType="begin"/>
        </w:r>
        <w:r>
          <w:rPr>
            <w:webHidden/>
          </w:rPr>
          <w:instrText xml:space="preserve"> PAGEREF _Toc113448710 \h </w:instrText>
        </w:r>
        <w:r>
          <w:rPr>
            <w:webHidden/>
          </w:rPr>
        </w:r>
        <w:r>
          <w:rPr>
            <w:webHidden/>
          </w:rPr>
          <w:fldChar w:fldCharType="separate"/>
        </w:r>
        <w:r>
          <w:rPr>
            <w:webHidden/>
          </w:rPr>
          <w:t>80</w:t>
        </w:r>
        <w:r>
          <w:rPr>
            <w:webHidden/>
          </w:rPr>
          <w:fldChar w:fldCharType="end"/>
        </w:r>
      </w:hyperlink>
    </w:p>
    <w:p w14:paraId="55B1BD4D" w14:textId="5B72324C" w:rsidR="0026519E" w:rsidRDefault="0026519E">
      <w:pPr>
        <w:pStyle w:val="TOC2"/>
        <w:rPr>
          <w:rFonts w:asciiTheme="minorHAnsi" w:eastAsiaTheme="minorEastAsia" w:hAnsiTheme="minorHAnsi"/>
          <w:sz w:val="22"/>
          <w:lang w:eastAsia="en-AU"/>
        </w:rPr>
      </w:pPr>
      <w:hyperlink w:anchor="_Toc113448711" w:history="1">
        <w:r w:rsidRPr="008C1452">
          <w:rPr>
            <w:rStyle w:val="Hyperlink"/>
          </w:rPr>
          <w:t>Appendix D: Additional information on the Commission’s assessment methodology</w:t>
        </w:r>
        <w:r>
          <w:rPr>
            <w:webHidden/>
          </w:rPr>
          <w:tab/>
        </w:r>
        <w:r>
          <w:rPr>
            <w:webHidden/>
          </w:rPr>
          <w:fldChar w:fldCharType="begin"/>
        </w:r>
        <w:r>
          <w:rPr>
            <w:webHidden/>
          </w:rPr>
          <w:instrText xml:space="preserve"> PAGEREF _Toc113448711 \h </w:instrText>
        </w:r>
        <w:r>
          <w:rPr>
            <w:webHidden/>
          </w:rPr>
        </w:r>
        <w:r>
          <w:rPr>
            <w:webHidden/>
          </w:rPr>
          <w:fldChar w:fldCharType="separate"/>
        </w:r>
        <w:r>
          <w:rPr>
            <w:webHidden/>
          </w:rPr>
          <w:t>81</w:t>
        </w:r>
        <w:r>
          <w:rPr>
            <w:webHidden/>
          </w:rPr>
          <w:fldChar w:fldCharType="end"/>
        </w:r>
      </w:hyperlink>
    </w:p>
    <w:p w14:paraId="2F69195B" w14:textId="1EB82072" w:rsidR="00717D2B" w:rsidRDefault="008035AB" w:rsidP="00243CD3">
      <w:pPr>
        <w:pStyle w:val="BodyText1"/>
      </w:pPr>
      <w:r>
        <w:fldChar w:fldCharType="end"/>
      </w:r>
    </w:p>
    <w:p w14:paraId="4DDACA54" w14:textId="77777777" w:rsidR="00AA7081" w:rsidRDefault="00AA7081" w:rsidP="00073CE5">
      <w:pPr>
        <w:pStyle w:val="BodyText1"/>
      </w:pPr>
    </w:p>
    <w:p w14:paraId="1DE29B89" w14:textId="1DBBEF5F" w:rsidR="00243CD3" w:rsidRPr="00243CD3" w:rsidRDefault="00243CD3" w:rsidP="00073CE5">
      <w:pPr>
        <w:pStyle w:val="BodyText1"/>
        <w:sectPr w:rsidR="00243CD3" w:rsidRPr="00243CD3" w:rsidSect="00AA7081">
          <w:headerReference w:type="default" r:id="rId17"/>
          <w:footerReference w:type="default" r:id="rId18"/>
          <w:pgSz w:w="11906" w:h="16838" w:code="9"/>
          <w:pgMar w:top="1418" w:right="1418" w:bottom="1418" w:left="1418" w:header="709" w:footer="454" w:gutter="0"/>
          <w:pgNumType w:fmt="lowerRoman" w:start="1"/>
          <w:cols w:space="708"/>
          <w:docGrid w:linePitch="360"/>
        </w:sectPr>
      </w:pPr>
    </w:p>
    <w:p w14:paraId="0BAA9080" w14:textId="21FB10B6" w:rsidR="00E52711" w:rsidRDefault="00E52711" w:rsidP="00902874">
      <w:pPr>
        <w:pStyle w:val="Heading1"/>
        <w:numPr>
          <w:ilvl w:val="0"/>
          <w:numId w:val="0"/>
        </w:numPr>
        <w:ind w:left="964" w:hanging="964"/>
      </w:pPr>
      <w:bookmarkStart w:id="5" w:name="_Toc88804059"/>
      <w:bookmarkStart w:id="6" w:name="_Toc89930024"/>
      <w:bookmarkStart w:id="7" w:name="_Toc90453344"/>
      <w:bookmarkStart w:id="8" w:name="_Toc113448671"/>
      <w:r w:rsidRPr="00DC5E8D">
        <w:lastRenderedPageBreak/>
        <w:t>Glossary</w:t>
      </w:r>
      <w:bookmarkEnd w:id="5"/>
      <w:bookmarkEnd w:id="6"/>
      <w:bookmarkEnd w:id="7"/>
      <w:bookmarkEnd w:id="8"/>
    </w:p>
    <w:tbl>
      <w:tblPr>
        <w:tblStyle w:val="TableGridLight"/>
        <w:tblW w:w="0" w:type="auto"/>
        <w:tblLook w:val="0620" w:firstRow="1" w:lastRow="0" w:firstColumn="0" w:lastColumn="0" w:noHBand="1" w:noVBand="1"/>
      </w:tblPr>
      <w:tblGrid>
        <w:gridCol w:w="2268"/>
        <w:gridCol w:w="6792"/>
      </w:tblGrid>
      <w:tr w:rsidR="00894351" w:rsidRPr="00894351" w14:paraId="62A5B347" w14:textId="77777777" w:rsidTr="00A94BA2">
        <w:trPr>
          <w:cnfStyle w:val="100000000000" w:firstRow="1" w:lastRow="0" w:firstColumn="0" w:lastColumn="0" w:oddVBand="0" w:evenVBand="0" w:oddHBand="0" w:evenHBand="0" w:firstRowFirstColumn="0" w:firstRowLastColumn="0" w:lastRowFirstColumn="0" w:lastRowLastColumn="0"/>
          <w:tblHeader/>
        </w:trPr>
        <w:tc>
          <w:tcPr>
            <w:tcW w:w="2268" w:type="dxa"/>
          </w:tcPr>
          <w:p w14:paraId="3B9A06B5" w14:textId="3B7C0A6C" w:rsidR="00751FC1" w:rsidRPr="00894351" w:rsidRDefault="00751FC1" w:rsidP="00575CC4">
            <w:pPr>
              <w:pStyle w:val="Tableheading"/>
            </w:pPr>
            <w:r w:rsidRPr="00894351">
              <w:t>Term</w:t>
            </w:r>
          </w:p>
        </w:tc>
        <w:tc>
          <w:tcPr>
            <w:tcW w:w="6792" w:type="dxa"/>
          </w:tcPr>
          <w:p w14:paraId="1F001EAE" w14:textId="2F68CFC3" w:rsidR="00751FC1" w:rsidRPr="00894351" w:rsidRDefault="00751FC1" w:rsidP="00575CC4">
            <w:pPr>
              <w:pStyle w:val="Tableheading"/>
            </w:pPr>
            <w:r w:rsidRPr="00894351">
              <w:t>Definitions</w:t>
            </w:r>
          </w:p>
        </w:tc>
      </w:tr>
      <w:tr w:rsidR="0071590F" w14:paraId="65FB20E2" w14:textId="77777777" w:rsidTr="00DD67B1">
        <w:tc>
          <w:tcPr>
            <w:tcW w:w="2268" w:type="dxa"/>
          </w:tcPr>
          <w:p w14:paraId="6AFCE279" w14:textId="2867DE4C" w:rsidR="0071590F" w:rsidRPr="00DC5E8D" w:rsidRDefault="0071590F" w:rsidP="00DC5E8D">
            <w:pPr>
              <w:pStyle w:val="Tabletext"/>
              <w:rPr>
                <w:b/>
                <w:bCs/>
              </w:rPr>
            </w:pPr>
            <w:r w:rsidRPr="00DC5E8D">
              <w:rPr>
                <w:b/>
                <w:bCs/>
              </w:rPr>
              <w:t>AACQA</w:t>
            </w:r>
          </w:p>
        </w:tc>
        <w:tc>
          <w:tcPr>
            <w:tcW w:w="6792" w:type="dxa"/>
          </w:tcPr>
          <w:p w14:paraId="02893D23" w14:textId="41B719DC" w:rsidR="0071590F" w:rsidRPr="005D30C6" w:rsidRDefault="0071590F" w:rsidP="00DC5E8D">
            <w:pPr>
              <w:pStyle w:val="Tabletext"/>
            </w:pPr>
            <w:r w:rsidRPr="0071590F">
              <w:t xml:space="preserve">Australian Aged Care Quality Agency </w:t>
            </w:r>
          </w:p>
        </w:tc>
      </w:tr>
      <w:tr w:rsidR="00C764BA" w14:paraId="73C16DDA" w14:textId="77777777" w:rsidTr="00DD67B1">
        <w:tc>
          <w:tcPr>
            <w:tcW w:w="2268" w:type="dxa"/>
          </w:tcPr>
          <w:p w14:paraId="7A5D2ADA" w14:textId="1A074BBE" w:rsidR="00C764BA" w:rsidRPr="00DC5E8D" w:rsidRDefault="00C764BA" w:rsidP="00DC5E8D">
            <w:pPr>
              <w:pStyle w:val="Tabletext"/>
              <w:rPr>
                <w:b/>
                <w:bCs/>
              </w:rPr>
            </w:pPr>
            <w:r w:rsidRPr="00DC5E8D">
              <w:rPr>
                <w:b/>
                <w:bCs/>
              </w:rPr>
              <w:t>Accredit</w:t>
            </w:r>
            <w:r w:rsidR="00FF2B4F" w:rsidRPr="00DC5E8D">
              <w:rPr>
                <w:b/>
                <w:bCs/>
              </w:rPr>
              <w:t xml:space="preserve">ed </w:t>
            </w:r>
            <w:r w:rsidR="008A4006" w:rsidRPr="00DC5E8D">
              <w:rPr>
                <w:b/>
                <w:bCs/>
              </w:rPr>
              <w:t>Service</w:t>
            </w:r>
          </w:p>
        </w:tc>
        <w:tc>
          <w:tcPr>
            <w:tcW w:w="6792" w:type="dxa"/>
          </w:tcPr>
          <w:p w14:paraId="6341F0D8" w14:textId="3B08CDF3" w:rsidR="00C764BA" w:rsidRPr="005D30C6" w:rsidRDefault="003E0491" w:rsidP="00DC5E8D">
            <w:pPr>
              <w:pStyle w:val="Tabletext"/>
            </w:pPr>
            <w:r w:rsidRPr="005D30C6">
              <w:t>A service which has been approved by the Commission to provide care and services to aged care consumers</w:t>
            </w:r>
          </w:p>
        </w:tc>
      </w:tr>
      <w:tr w:rsidR="0071590F" w14:paraId="378998C8" w14:textId="77777777" w:rsidTr="00DD67B1">
        <w:tc>
          <w:tcPr>
            <w:tcW w:w="2268" w:type="dxa"/>
          </w:tcPr>
          <w:p w14:paraId="04004BB6" w14:textId="7193086E" w:rsidR="0071590F" w:rsidRPr="00DC5E8D" w:rsidRDefault="0071590F" w:rsidP="00DC5E8D">
            <w:pPr>
              <w:pStyle w:val="Tabletext"/>
              <w:rPr>
                <w:b/>
                <w:bCs/>
              </w:rPr>
            </w:pPr>
            <w:r w:rsidRPr="00DC5E8D">
              <w:rPr>
                <w:b/>
                <w:bCs/>
              </w:rPr>
              <w:t>ACFA</w:t>
            </w:r>
          </w:p>
        </w:tc>
        <w:tc>
          <w:tcPr>
            <w:tcW w:w="6792" w:type="dxa"/>
          </w:tcPr>
          <w:p w14:paraId="1A653406" w14:textId="2472241D" w:rsidR="0071590F" w:rsidRDefault="0071590F" w:rsidP="00DC5E8D">
            <w:pPr>
              <w:pStyle w:val="Tabletext"/>
            </w:pPr>
            <w:r w:rsidRPr="0071590F">
              <w:t>Aged Care Financing Authority</w:t>
            </w:r>
          </w:p>
        </w:tc>
      </w:tr>
      <w:tr w:rsidR="00C21559" w14:paraId="4DE86425" w14:textId="77777777" w:rsidTr="00DD67B1">
        <w:tc>
          <w:tcPr>
            <w:tcW w:w="2268" w:type="dxa"/>
          </w:tcPr>
          <w:p w14:paraId="75C88440" w14:textId="68122B4F" w:rsidR="00C21559" w:rsidRPr="00DC5E8D" w:rsidRDefault="00C21559" w:rsidP="00DC5E8D">
            <w:pPr>
              <w:pStyle w:val="Tabletext"/>
              <w:rPr>
                <w:b/>
                <w:bCs/>
              </w:rPr>
            </w:pPr>
            <w:r w:rsidRPr="00DC5E8D">
              <w:rPr>
                <w:b/>
                <w:bCs/>
              </w:rPr>
              <w:t>ACSQHC</w:t>
            </w:r>
          </w:p>
        </w:tc>
        <w:tc>
          <w:tcPr>
            <w:tcW w:w="6792" w:type="dxa"/>
          </w:tcPr>
          <w:p w14:paraId="288693FF" w14:textId="16EAD776" w:rsidR="00C21559" w:rsidRPr="005D30C6" w:rsidRDefault="00C21559" w:rsidP="00DC5E8D">
            <w:pPr>
              <w:pStyle w:val="Tabletext"/>
            </w:pPr>
            <w:r>
              <w:t xml:space="preserve">Australian Commission </w:t>
            </w:r>
            <w:r w:rsidR="00200422">
              <w:t xml:space="preserve">on Safety and Quality in Health Care </w:t>
            </w:r>
          </w:p>
        </w:tc>
      </w:tr>
      <w:tr w:rsidR="00C764BA" w14:paraId="6C990711" w14:textId="77777777" w:rsidTr="00DD67B1">
        <w:tc>
          <w:tcPr>
            <w:tcW w:w="2268" w:type="dxa"/>
          </w:tcPr>
          <w:p w14:paraId="22DF91F4" w14:textId="4E76F8A5" w:rsidR="00C764BA" w:rsidRPr="00DC5E8D" w:rsidRDefault="00C764BA" w:rsidP="00DC5E8D">
            <w:pPr>
              <w:pStyle w:val="Tabletext"/>
              <w:rPr>
                <w:b/>
                <w:bCs/>
              </w:rPr>
            </w:pPr>
            <w:r w:rsidRPr="00DC5E8D">
              <w:rPr>
                <w:b/>
                <w:bCs/>
              </w:rPr>
              <w:t>Approved Provider</w:t>
            </w:r>
          </w:p>
        </w:tc>
        <w:tc>
          <w:tcPr>
            <w:tcW w:w="6792" w:type="dxa"/>
          </w:tcPr>
          <w:p w14:paraId="75EEFE27" w14:textId="6572DEFF" w:rsidR="00C764BA" w:rsidRDefault="005D30C6" w:rsidP="00DC5E8D">
            <w:pPr>
              <w:pStyle w:val="Tabletext"/>
            </w:pPr>
            <w:r>
              <w:t>A provider or service</w:t>
            </w:r>
            <w:r w:rsidR="00FF2B4F">
              <w:t xml:space="preserve"> approved by the Commission to deliver residential care, home care </w:t>
            </w:r>
            <w:r>
              <w:t xml:space="preserve">package or flexible care program care </w:t>
            </w:r>
            <w:r w:rsidR="008A4006">
              <w:t>and services</w:t>
            </w:r>
          </w:p>
        </w:tc>
      </w:tr>
      <w:tr w:rsidR="006F435F" w14:paraId="1937918A" w14:textId="77777777" w:rsidTr="00DD67B1">
        <w:tc>
          <w:tcPr>
            <w:tcW w:w="2268" w:type="dxa"/>
          </w:tcPr>
          <w:p w14:paraId="23415799" w14:textId="5D325EDF" w:rsidR="006F435F" w:rsidRPr="00DC5E8D" w:rsidRDefault="006F435F" w:rsidP="00DC5E8D">
            <w:pPr>
              <w:pStyle w:val="Tabletext"/>
              <w:rPr>
                <w:b/>
                <w:bCs/>
              </w:rPr>
            </w:pPr>
            <w:r w:rsidRPr="00DC5E8D">
              <w:rPr>
                <w:b/>
                <w:bCs/>
              </w:rPr>
              <w:t>AN-ACC</w:t>
            </w:r>
          </w:p>
        </w:tc>
        <w:tc>
          <w:tcPr>
            <w:tcW w:w="6792" w:type="dxa"/>
          </w:tcPr>
          <w:p w14:paraId="1CCA5550" w14:textId="48F3B648" w:rsidR="006F435F" w:rsidRDefault="00877A13" w:rsidP="00DC5E8D">
            <w:pPr>
              <w:pStyle w:val="Tabletext"/>
            </w:pPr>
            <w:r>
              <w:t>Australian National Aged Care Classification</w:t>
            </w:r>
          </w:p>
        </w:tc>
      </w:tr>
      <w:tr w:rsidR="0071590F" w14:paraId="796A431A" w14:textId="77777777" w:rsidTr="00DD67B1">
        <w:tc>
          <w:tcPr>
            <w:tcW w:w="2268" w:type="dxa"/>
          </w:tcPr>
          <w:p w14:paraId="2E86AE7F" w14:textId="75F25479" w:rsidR="0071590F" w:rsidRPr="00DC5E8D" w:rsidRDefault="0071590F" w:rsidP="00DC5E8D">
            <w:pPr>
              <w:pStyle w:val="Tabletext"/>
              <w:rPr>
                <w:b/>
                <w:bCs/>
              </w:rPr>
            </w:pPr>
            <w:r w:rsidRPr="00DC5E8D">
              <w:rPr>
                <w:b/>
                <w:bCs/>
              </w:rPr>
              <w:t>CALD</w:t>
            </w:r>
          </w:p>
        </w:tc>
        <w:tc>
          <w:tcPr>
            <w:tcW w:w="6792" w:type="dxa"/>
          </w:tcPr>
          <w:p w14:paraId="7FE11832" w14:textId="062A47BF" w:rsidR="0071590F" w:rsidRDefault="0071590F" w:rsidP="00DC5E8D">
            <w:pPr>
              <w:pStyle w:val="Tabletext"/>
            </w:pPr>
            <w:r w:rsidRPr="0071590F">
              <w:t>culturally and linguistically diverse</w:t>
            </w:r>
          </w:p>
        </w:tc>
      </w:tr>
      <w:tr w:rsidR="00966A7C" w14:paraId="79C24D59" w14:textId="77777777" w:rsidTr="00DD67B1">
        <w:tc>
          <w:tcPr>
            <w:tcW w:w="2268" w:type="dxa"/>
          </w:tcPr>
          <w:p w14:paraId="34EDAFB4" w14:textId="00C8717E" w:rsidR="00966A7C" w:rsidRPr="00DC5E8D" w:rsidRDefault="00966A7C" w:rsidP="00DC5E8D">
            <w:pPr>
              <w:pStyle w:val="Tabletext"/>
              <w:rPr>
                <w:b/>
                <w:bCs/>
              </w:rPr>
            </w:pPr>
            <w:r w:rsidRPr="00DC5E8D">
              <w:rPr>
                <w:b/>
                <w:bCs/>
              </w:rPr>
              <w:t>CH</w:t>
            </w:r>
            <w:r w:rsidR="004D2078" w:rsidRPr="00DC5E8D">
              <w:rPr>
                <w:b/>
                <w:bCs/>
              </w:rPr>
              <w:t>SP</w:t>
            </w:r>
          </w:p>
        </w:tc>
        <w:tc>
          <w:tcPr>
            <w:tcW w:w="6792" w:type="dxa"/>
          </w:tcPr>
          <w:p w14:paraId="1D7A5958" w14:textId="03AD37A1" w:rsidR="00966A7C" w:rsidRDefault="008E38D5" w:rsidP="00DC5E8D">
            <w:pPr>
              <w:pStyle w:val="Tabletext"/>
            </w:pPr>
            <w:r>
              <w:t xml:space="preserve">Commonwealth Home Support </w:t>
            </w:r>
            <w:r w:rsidR="008A4006">
              <w:t>Programme</w:t>
            </w:r>
          </w:p>
        </w:tc>
      </w:tr>
      <w:tr w:rsidR="00751FC1" w14:paraId="699EACE1" w14:textId="77777777" w:rsidTr="00DD67B1">
        <w:tc>
          <w:tcPr>
            <w:tcW w:w="2268" w:type="dxa"/>
          </w:tcPr>
          <w:p w14:paraId="09DBA23B" w14:textId="6007A6C4" w:rsidR="00751FC1" w:rsidRPr="00DC5E8D" w:rsidRDefault="007015D2" w:rsidP="00DC5E8D">
            <w:pPr>
              <w:pStyle w:val="Tabletext"/>
              <w:rPr>
                <w:b/>
                <w:bCs/>
              </w:rPr>
            </w:pPr>
            <w:r w:rsidRPr="00DC5E8D">
              <w:rPr>
                <w:b/>
                <w:bCs/>
              </w:rPr>
              <w:t>Commission</w:t>
            </w:r>
          </w:p>
        </w:tc>
        <w:tc>
          <w:tcPr>
            <w:tcW w:w="6792" w:type="dxa"/>
          </w:tcPr>
          <w:p w14:paraId="49EB7970" w14:textId="0B19E824" w:rsidR="00751FC1" w:rsidRDefault="00CD4BB1" w:rsidP="00DC5E8D">
            <w:pPr>
              <w:pStyle w:val="Tabletext"/>
            </w:pPr>
            <w:r>
              <w:t xml:space="preserve">Australian </w:t>
            </w:r>
            <w:r w:rsidRPr="00340535">
              <w:t>Aged Care Quality and Safety Commission</w:t>
            </w:r>
            <w:r w:rsidR="00647E62" w:rsidRPr="00340535">
              <w:t xml:space="preserve"> (ACQSC </w:t>
            </w:r>
            <w:r w:rsidR="005A6DC3" w:rsidRPr="00340535">
              <w:t>in</w:t>
            </w:r>
            <w:r w:rsidR="005A6DC3">
              <w:t xml:space="preserve"> referencing)</w:t>
            </w:r>
          </w:p>
        </w:tc>
      </w:tr>
      <w:tr w:rsidR="00F30D97" w14:paraId="39F75495" w14:textId="77777777" w:rsidTr="00DD67B1">
        <w:tc>
          <w:tcPr>
            <w:tcW w:w="2268" w:type="dxa"/>
          </w:tcPr>
          <w:p w14:paraId="3A6D9983" w14:textId="49D0F3B2" w:rsidR="00F30D97" w:rsidRPr="00DC5E8D" w:rsidRDefault="00F30D97" w:rsidP="00DC5E8D">
            <w:pPr>
              <w:pStyle w:val="Tabletext"/>
              <w:rPr>
                <w:b/>
                <w:bCs/>
              </w:rPr>
            </w:pPr>
            <w:r w:rsidRPr="00DC5E8D">
              <w:rPr>
                <w:b/>
                <w:bCs/>
              </w:rPr>
              <w:t>Consumer</w:t>
            </w:r>
          </w:p>
        </w:tc>
        <w:tc>
          <w:tcPr>
            <w:tcW w:w="6792" w:type="dxa"/>
          </w:tcPr>
          <w:p w14:paraId="19A715AD" w14:textId="304352A1" w:rsidR="00B025E9" w:rsidRDefault="00B025E9" w:rsidP="00DC5E8D">
            <w:pPr>
              <w:pStyle w:val="Tabletext"/>
            </w:pPr>
            <w:r>
              <w:t>A care recipient, or a person who is a recipient of a Commonwealth-funded aged care service</w:t>
            </w:r>
          </w:p>
        </w:tc>
      </w:tr>
      <w:tr w:rsidR="003903C7" w14:paraId="03ADDFA0" w14:textId="77777777" w:rsidTr="00DD67B1">
        <w:tc>
          <w:tcPr>
            <w:tcW w:w="2268" w:type="dxa"/>
          </w:tcPr>
          <w:p w14:paraId="3A57BCD7" w14:textId="6422A0FD" w:rsidR="003903C7" w:rsidRPr="00DC5E8D" w:rsidRDefault="003903C7" w:rsidP="00DC5E8D">
            <w:pPr>
              <w:pStyle w:val="Tabletext"/>
              <w:rPr>
                <w:b/>
                <w:bCs/>
              </w:rPr>
            </w:pPr>
            <w:r w:rsidRPr="00DC5E8D">
              <w:rPr>
                <w:b/>
                <w:bCs/>
              </w:rPr>
              <w:t>CER</w:t>
            </w:r>
          </w:p>
        </w:tc>
        <w:tc>
          <w:tcPr>
            <w:tcW w:w="6792" w:type="dxa"/>
          </w:tcPr>
          <w:p w14:paraId="52F45D58" w14:textId="0E8A15E0" w:rsidR="003903C7" w:rsidRDefault="003903C7" w:rsidP="00DC5E8D">
            <w:pPr>
              <w:pStyle w:val="Tabletext"/>
            </w:pPr>
            <w:r>
              <w:t>Consumer Experience Reports</w:t>
            </w:r>
          </w:p>
        </w:tc>
      </w:tr>
      <w:tr w:rsidR="00751FC1" w14:paraId="30E1F307" w14:textId="77777777" w:rsidTr="00DD67B1">
        <w:tc>
          <w:tcPr>
            <w:tcW w:w="2268" w:type="dxa"/>
          </w:tcPr>
          <w:p w14:paraId="075B22DC" w14:textId="776E854E" w:rsidR="00751FC1" w:rsidRPr="00DC5E8D" w:rsidRDefault="00CD4BB1" w:rsidP="00DC5E8D">
            <w:pPr>
              <w:pStyle w:val="Tabletext"/>
              <w:rPr>
                <w:b/>
                <w:bCs/>
              </w:rPr>
            </w:pPr>
            <w:r w:rsidRPr="00DC5E8D">
              <w:rPr>
                <w:b/>
                <w:bCs/>
              </w:rPr>
              <w:t>Department</w:t>
            </w:r>
          </w:p>
        </w:tc>
        <w:tc>
          <w:tcPr>
            <w:tcW w:w="6792" w:type="dxa"/>
          </w:tcPr>
          <w:p w14:paraId="4E5513B5" w14:textId="660A9B92" w:rsidR="00751FC1" w:rsidRDefault="00CD4BB1" w:rsidP="00DC5E8D">
            <w:pPr>
              <w:pStyle w:val="Tabletext"/>
            </w:pPr>
            <w:r>
              <w:t xml:space="preserve">The </w:t>
            </w:r>
            <w:r w:rsidR="005418A8">
              <w:t>Commonwealth</w:t>
            </w:r>
            <w:r>
              <w:t xml:space="preserve"> Department of Health</w:t>
            </w:r>
          </w:p>
        </w:tc>
      </w:tr>
      <w:tr w:rsidR="005831D2" w14:paraId="23D37EA1" w14:textId="77777777" w:rsidTr="00DD67B1">
        <w:tc>
          <w:tcPr>
            <w:tcW w:w="2268" w:type="dxa"/>
          </w:tcPr>
          <w:p w14:paraId="0415096A" w14:textId="2E96763A" w:rsidR="005831D2" w:rsidRPr="00DC5E8D" w:rsidRDefault="005831D2" w:rsidP="00DC5E8D">
            <w:pPr>
              <w:pStyle w:val="Tabletext"/>
              <w:rPr>
                <w:b/>
                <w:bCs/>
              </w:rPr>
            </w:pPr>
            <w:r w:rsidRPr="00DC5E8D">
              <w:rPr>
                <w:b/>
                <w:bCs/>
              </w:rPr>
              <w:t>Flexible Care</w:t>
            </w:r>
          </w:p>
        </w:tc>
        <w:tc>
          <w:tcPr>
            <w:tcW w:w="6792" w:type="dxa"/>
          </w:tcPr>
          <w:p w14:paraId="3616CD6C" w14:textId="4DED74F3" w:rsidR="005831D2" w:rsidRDefault="00495C8E" w:rsidP="00DC5E8D">
            <w:pPr>
              <w:pStyle w:val="Tabletext"/>
            </w:pPr>
            <w:r>
              <w:t xml:space="preserve">Various </w:t>
            </w:r>
            <w:hyperlink r:id="rId19" w:history="1">
              <w:r w:rsidRPr="00495C8E">
                <w:t>flexible</w:t>
              </w:r>
              <w:r>
                <w:t xml:space="preserve"> and short-term</w:t>
              </w:r>
              <w:r w:rsidRPr="00495C8E">
                <w:t xml:space="preserve"> care</w:t>
              </w:r>
            </w:hyperlink>
            <w:r>
              <w:t xml:space="preserve"> programs</w:t>
            </w:r>
            <w:r w:rsidRPr="00495C8E">
              <w:t>, including multi-purpose services, innovative care, transition care and short-term restorative care</w:t>
            </w:r>
            <w:r>
              <w:t xml:space="preserve"> </w:t>
            </w:r>
          </w:p>
        </w:tc>
      </w:tr>
      <w:tr w:rsidR="00C50F07" w14:paraId="3DD9DCE4" w14:textId="77777777" w:rsidTr="00DD67B1">
        <w:tc>
          <w:tcPr>
            <w:tcW w:w="2268" w:type="dxa"/>
          </w:tcPr>
          <w:p w14:paraId="78BD7608" w14:textId="71D4F9AE" w:rsidR="00C50F07" w:rsidRPr="00DC5E8D" w:rsidRDefault="00C50F07" w:rsidP="00DC5E8D">
            <w:pPr>
              <w:pStyle w:val="Tabletext"/>
              <w:rPr>
                <w:b/>
                <w:bCs/>
              </w:rPr>
            </w:pPr>
            <w:r w:rsidRPr="00DC5E8D">
              <w:rPr>
                <w:b/>
                <w:bCs/>
              </w:rPr>
              <w:t>Guidance</w:t>
            </w:r>
          </w:p>
        </w:tc>
        <w:tc>
          <w:tcPr>
            <w:tcW w:w="6792" w:type="dxa"/>
          </w:tcPr>
          <w:p w14:paraId="1765F7A3" w14:textId="6DA2599C" w:rsidR="00C50F07" w:rsidRDefault="00FD4765" w:rsidP="00DC5E8D">
            <w:pPr>
              <w:pStyle w:val="Tabletext"/>
            </w:pPr>
            <w:r>
              <w:t xml:space="preserve">Guidance </w:t>
            </w:r>
            <w:r w:rsidR="00DF5529">
              <w:t>and Resources for Providers to support the Aged Care Quality Standards</w:t>
            </w:r>
            <w:r>
              <w:t xml:space="preserve"> </w:t>
            </w:r>
          </w:p>
        </w:tc>
      </w:tr>
      <w:tr w:rsidR="00F5334E" w14:paraId="6BE40203" w14:textId="77777777" w:rsidTr="00DD67B1">
        <w:tc>
          <w:tcPr>
            <w:tcW w:w="2268" w:type="dxa"/>
          </w:tcPr>
          <w:p w14:paraId="19E5CC81" w14:textId="7AAD4DBE" w:rsidR="00F5334E" w:rsidRPr="00DC5E8D" w:rsidRDefault="00F5334E" w:rsidP="00DC5E8D">
            <w:pPr>
              <w:pStyle w:val="Tabletext"/>
              <w:rPr>
                <w:b/>
                <w:bCs/>
              </w:rPr>
            </w:pPr>
            <w:r w:rsidRPr="00DC5E8D">
              <w:rPr>
                <w:b/>
                <w:bCs/>
              </w:rPr>
              <w:t>HCP</w:t>
            </w:r>
          </w:p>
        </w:tc>
        <w:tc>
          <w:tcPr>
            <w:tcW w:w="6792" w:type="dxa"/>
          </w:tcPr>
          <w:p w14:paraId="1FE33E91" w14:textId="3D090659" w:rsidR="00F5334E" w:rsidRDefault="00F5334E" w:rsidP="00DC5E8D">
            <w:pPr>
              <w:pStyle w:val="Tabletext"/>
            </w:pPr>
            <w:r>
              <w:t>Home Care Packages</w:t>
            </w:r>
          </w:p>
        </w:tc>
      </w:tr>
      <w:tr w:rsidR="00751FC1" w14:paraId="2AAA7073" w14:textId="77777777" w:rsidTr="00DD67B1">
        <w:tc>
          <w:tcPr>
            <w:tcW w:w="2268" w:type="dxa"/>
          </w:tcPr>
          <w:p w14:paraId="67351913" w14:textId="4B5FA447" w:rsidR="00751FC1" w:rsidRPr="00DC5E8D" w:rsidRDefault="005A37CE" w:rsidP="00DC5E8D">
            <w:pPr>
              <w:pStyle w:val="Tabletext"/>
              <w:rPr>
                <w:b/>
                <w:bCs/>
              </w:rPr>
            </w:pPr>
            <w:r w:rsidRPr="00DC5E8D">
              <w:rPr>
                <w:b/>
                <w:bCs/>
              </w:rPr>
              <w:t>Home Care</w:t>
            </w:r>
          </w:p>
        </w:tc>
        <w:tc>
          <w:tcPr>
            <w:tcW w:w="6792" w:type="dxa"/>
          </w:tcPr>
          <w:p w14:paraId="7B0FDD51" w14:textId="0382C9CB" w:rsidR="00751FC1" w:rsidRDefault="005A37CE" w:rsidP="00DC5E8D">
            <w:pPr>
              <w:pStyle w:val="Tabletext"/>
            </w:pPr>
            <w:r>
              <w:t xml:space="preserve">Home Care refers to </w:t>
            </w:r>
            <w:r w:rsidR="0055019D">
              <w:t>the two main</w:t>
            </w:r>
            <w:r w:rsidR="00152684">
              <w:t xml:space="preserve"> care programs in Australia</w:t>
            </w:r>
            <w:r w:rsidR="00F5334E">
              <w:t xml:space="preserve"> provided in a home or community setting</w:t>
            </w:r>
            <w:r w:rsidR="00152684">
              <w:t xml:space="preserve">, </w:t>
            </w:r>
            <w:r w:rsidR="00F5334E">
              <w:t xml:space="preserve">including HCP and CHSP programs. It can also refer to other flexible care programs provided in </w:t>
            </w:r>
            <w:r w:rsidR="00655D4A">
              <w:t>a community (non</w:t>
            </w:r>
            <w:r w:rsidR="00D153B3">
              <w:noBreakHyphen/>
            </w:r>
            <w:r w:rsidR="00655D4A">
              <w:t>residential) setting</w:t>
            </w:r>
          </w:p>
        </w:tc>
      </w:tr>
      <w:tr w:rsidR="00751FC1" w14:paraId="69D2F0DD" w14:textId="77777777" w:rsidTr="00DD67B1">
        <w:tc>
          <w:tcPr>
            <w:tcW w:w="2268" w:type="dxa"/>
          </w:tcPr>
          <w:p w14:paraId="67A8C7B6" w14:textId="1CAE0D3C" w:rsidR="00751FC1" w:rsidRPr="00DC5E8D" w:rsidRDefault="00655D4A" w:rsidP="00DC5E8D">
            <w:pPr>
              <w:pStyle w:val="Tabletext"/>
              <w:rPr>
                <w:b/>
                <w:bCs/>
              </w:rPr>
            </w:pPr>
            <w:r w:rsidRPr="00DC5E8D">
              <w:rPr>
                <w:b/>
                <w:bCs/>
              </w:rPr>
              <w:t>NATSIFACP</w:t>
            </w:r>
          </w:p>
        </w:tc>
        <w:tc>
          <w:tcPr>
            <w:tcW w:w="6792" w:type="dxa"/>
          </w:tcPr>
          <w:p w14:paraId="51028C73" w14:textId="690FDD88" w:rsidR="00751FC1" w:rsidRDefault="00CB3AC5" w:rsidP="00DC5E8D">
            <w:pPr>
              <w:pStyle w:val="Tabletext"/>
            </w:pPr>
            <w:r>
              <w:t>Na</w:t>
            </w:r>
            <w:r w:rsidR="004731F7">
              <w:t>tional Aboriginal an</w:t>
            </w:r>
            <w:r w:rsidR="00D153B3">
              <w:t>d</w:t>
            </w:r>
            <w:r w:rsidR="004731F7">
              <w:t xml:space="preserve"> Torres Strait Islander Flexible Aged Care Program</w:t>
            </w:r>
          </w:p>
        </w:tc>
      </w:tr>
      <w:tr w:rsidR="00E26DE9" w14:paraId="7C758EEE" w14:textId="77777777" w:rsidTr="00DD67B1">
        <w:tc>
          <w:tcPr>
            <w:tcW w:w="2268" w:type="dxa"/>
          </w:tcPr>
          <w:p w14:paraId="2CCCFC8B" w14:textId="3AD5A007" w:rsidR="00E26DE9" w:rsidRPr="00DC5E8D" w:rsidRDefault="00E26DE9" w:rsidP="00DC5E8D">
            <w:pPr>
              <w:pStyle w:val="Tabletext"/>
              <w:rPr>
                <w:b/>
                <w:bCs/>
              </w:rPr>
            </w:pPr>
            <w:r w:rsidRPr="00DC5E8D">
              <w:rPr>
                <w:b/>
                <w:bCs/>
              </w:rPr>
              <w:t>NSQHS</w:t>
            </w:r>
          </w:p>
        </w:tc>
        <w:tc>
          <w:tcPr>
            <w:tcW w:w="6792" w:type="dxa"/>
          </w:tcPr>
          <w:p w14:paraId="4F0135B0" w14:textId="4DEF03BC" w:rsidR="00E26DE9" w:rsidRDefault="00E26DE9" w:rsidP="00DC5E8D">
            <w:pPr>
              <w:pStyle w:val="Tabletext"/>
            </w:pPr>
            <w:r>
              <w:t>National Safety and Quality Health Service Standards</w:t>
            </w:r>
          </w:p>
        </w:tc>
      </w:tr>
      <w:tr w:rsidR="00751FC1" w14:paraId="204E41A9" w14:textId="77777777" w:rsidTr="00DD67B1">
        <w:tc>
          <w:tcPr>
            <w:tcW w:w="2268" w:type="dxa"/>
          </w:tcPr>
          <w:p w14:paraId="5C6F4D5D" w14:textId="2A329012" w:rsidR="00751FC1" w:rsidRPr="00DC5E8D" w:rsidRDefault="009E662A" w:rsidP="00DC5E8D">
            <w:pPr>
              <w:pStyle w:val="Tabletext"/>
              <w:rPr>
                <w:b/>
                <w:bCs/>
              </w:rPr>
            </w:pPr>
            <w:r w:rsidRPr="00DC5E8D">
              <w:rPr>
                <w:b/>
                <w:bCs/>
              </w:rPr>
              <w:t>NDIS</w:t>
            </w:r>
          </w:p>
        </w:tc>
        <w:tc>
          <w:tcPr>
            <w:tcW w:w="6792" w:type="dxa"/>
          </w:tcPr>
          <w:p w14:paraId="34F7C506" w14:textId="61B8A620" w:rsidR="00751FC1" w:rsidRDefault="009E662A" w:rsidP="00DC5E8D">
            <w:pPr>
              <w:pStyle w:val="Tabletext"/>
            </w:pPr>
            <w:r>
              <w:t>National Disability Insurance Scheme, may also refer to the NDIS Commission or Standards</w:t>
            </w:r>
          </w:p>
        </w:tc>
      </w:tr>
      <w:tr w:rsidR="00421515" w14:paraId="20A34601" w14:textId="77777777" w:rsidTr="00DD67B1">
        <w:tc>
          <w:tcPr>
            <w:tcW w:w="2268" w:type="dxa"/>
          </w:tcPr>
          <w:p w14:paraId="12AC0207" w14:textId="1A05D549" w:rsidR="00421515" w:rsidRPr="00DC5E8D" w:rsidRDefault="00421515" w:rsidP="00DC5E8D">
            <w:pPr>
              <w:pStyle w:val="Tabletext"/>
              <w:rPr>
                <w:b/>
                <w:bCs/>
              </w:rPr>
            </w:pPr>
            <w:r w:rsidRPr="00DC5E8D">
              <w:rPr>
                <w:b/>
                <w:bCs/>
              </w:rPr>
              <w:t>Peak representative</w:t>
            </w:r>
          </w:p>
        </w:tc>
        <w:tc>
          <w:tcPr>
            <w:tcW w:w="6792" w:type="dxa"/>
          </w:tcPr>
          <w:p w14:paraId="6BD68B1A" w14:textId="381A7AE2" w:rsidR="00421515" w:rsidRDefault="00286760" w:rsidP="00DC5E8D">
            <w:pPr>
              <w:pStyle w:val="Tabletext"/>
            </w:pPr>
            <w:r>
              <w:t xml:space="preserve">Representative from a number of aged care consumer and provider </w:t>
            </w:r>
            <w:r w:rsidR="00FF436B">
              <w:t>representative peak bodies and organisations</w:t>
            </w:r>
          </w:p>
        </w:tc>
      </w:tr>
      <w:tr w:rsidR="0071590F" w14:paraId="11FC84DB" w14:textId="77777777" w:rsidTr="00DD67B1">
        <w:tc>
          <w:tcPr>
            <w:tcW w:w="2268" w:type="dxa"/>
          </w:tcPr>
          <w:p w14:paraId="608CD386" w14:textId="64E3F322" w:rsidR="0071590F" w:rsidRPr="00DC5E8D" w:rsidRDefault="0071590F" w:rsidP="00DC5E8D">
            <w:pPr>
              <w:pStyle w:val="Tabletext"/>
              <w:rPr>
                <w:b/>
                <w:bCs/>
              </w:rPr>
            </w:pPr>
            <w:r w:rsidRPr="00DC5E8D">
              <w:rPr>
                <w:b/>
                <w:bCs/>
              </w:rPr>
              <w:t>QI Program</w:t>
            </w:r>
          </w:p>
        </w:tc>
        <w:tc>
          <w:tcPr>
            <w:tcW w:w="6792" w:type="dxa"/>
          </w:tcPr>
          <w:p w14:paraId="159BB85D" w14:textId="145294B6" w:rsidR="0071590F" w:rsidRDefault="000F0F66" w:rsidP="00DC5E8D">
            <w:pPr>
              <w:pStyle w:val="Tabletext"/>
            </w:pPr>
            <w:r>
              <w:t xml:space="preserve">National Aged Care Mandatory </w:t>
            </w:r>
            <w:r w:rsidR="0071590F">
              <w:t>Q</w:t>
            </w:r>
            <w:r w:rsidR="0071590F" w:rsidRPr="0071590F">
              <w:t xml:space="preserve">uality Indicator Program </w:t>
            </w:r>
          </w:p>
        </w:tc>
      </w:tr>
      <w:tr w:rsidR="008A4006" w14:paraId="3447CB55" w14:textId="77777777" w:rsidTr="00DD67B1">
        <w:tc>
          <w:tcPr>
            <w:tcW w:w="2268" w:type="dxa"/>
          </w:tcPr>
          <w:p w14:paraId="1C1880D3" w14:textId="0D34D240" w:rsidR="008A4006" w:rsidRPr="00DC5E8D" w:rsidRDefault="008A4006" w:rsidP="00DC5E8D">
            <w:pPr>
              <w:pStyle w:val="Tabletext"/>
              <w:rPr>
                <w:b/>
                <w:bCs/>
              </w:rPr>
            </w:pPr>
            <w:r w:rsidRPr="00DC5E8D">
              <w:rPr>
                <w:b/>
                <w:bCs/>
              </w:rPr>
              <w:t>Royal Commission</w:t>
            </w:r>
          </w:p>
        </w:tc>
        <w:tc>
          <w:tcPr>
            <w:tcW w:w="6792" w:type="dxa"/>
          </w:tcPr>
          <w:p w14:paraId="7312D379" w14:textId="3E729387" w:rsidR="008A4006" w:rsidRDefault="008A4006" w:rsidP="00DC5E8D">
            <w:pPr>
              <w:pStyle w:val="Tabletext"/>
            </w:pPr>
            <w:r>
              <w:t xml:space="preserve">Royal Commission into the Quality and Safety of Aged Care </w:t>
            </w:r>
          </w:p>
        </w:tc>
      </w:tr>
      <w:tr w:rsidR="00983C57" w14:paraId="5276B428" w14:textId="77777777" w:rsidTr="00DD67B1">
        <w:tc>
          <w:tcPr>
            <w:tcW w:w="2268" w:type="dxa"/>
          </w:tcPr>
          <w:p w14:paraId="06E30FA8" w14:textId="45D607B3" w:rsidR="00983C57" w:rsidRPr="00DC5E8D" w:rsidRDefault="00983C57" w:rsidP="00DC5E8D">
            <w:pPr>
              <w:pStyle w:val="Tabletext"/>
              <w:rPr>
                <w:b/>
                <w:bCs/>
              </w:rPr>
            </w:pPr>
            <w:r w:rsidRPr="00DC5E8D">
              <w:rPr>
                <w:b/>
                <w:bCs/>
              </w:rPr>
              <w:t>Service Provider</w:t>
            </w:r>
          </w:p>
        </w:tc>
        <w:tc>
          <w:tcPr>
            <w:tcW w:w="6792" w:type="dxa"/>
          </w:tcPr>
          <w:p w14:paraId="4FDC535B" w14:textId="297EB84A" w:rsidR="00983C57" w:rsidRDefault="00495C8E" w:rsidP="00DC5E8D">
            <w:pPr>
              <w:pStyle w:val="Tabletext"/>
            </w:pPr>
            <w:r>
              <w:t>Provider of CHSP or NATSIFACP, not required to be a</w:t>
            </w:r>
            <w:r w:rsidR="002907B2">
              <w:t xml:space="preserve">n </w:t>
            </w:r>
            <w:r>
              <w:t>approved</w:t>
            </w:r>
            <w:r w:rsidR="00B0309C">
              <w:t xml:space="preserve"> </w:t>
            </w:r>
            <w:r w:rsidR="002907B2">
              <w:t>provider</w:t>
            </w:r>
            <w:r w:rsidR="00B0309C">
              <w:t xml:space="preserve"> </w:t>
            </w:r>
          </w:p>
        </w:tc>
      </w:tr>
      <w:tr w:rsidR="0071590F" w14:paraId="1F213B8A" w14:textId="77777777" w:rsidTr="00DD67B1">
        <w:tc>
          <w:tcPr>
            <w:tcW w:w="2268" w:type="dxa"/>
          </w:tcPr>
          <w:p w14:paraId="4C5C6738" w14:textId="5B85A519" w:rsidR="0071590F" w:rsidRPr="00DC5E8D" w:rsidRDefault="0071590F" w:rsidP="00DC5E8D">
            <w:pPr>
              <w:pStyle w:val="Tabletext"/>
              <w:rPr>
                <w:b/>
                <w:bCs/>
              </w:rPr>
            </w:pPr>
            <w:r w:rsidRPr="00DC5E8D">
              <w:rPr>
                <w:b/>
                <w:bCs/>
              </w:rPr>
              <w:t>SIRS</w:t>
            </w:r>
          </w:p>
        </w:tc>
        <w:tc>
          <w:tcPr>
            <w:tcW w:w="6792" w:type="dxa"/>
          </w:tcPr>
          <w:p w14:paraId="0FF0ACC8" w14:textId="1A33397C" w:rsidR="0071590F" w:rsidRDefault="0071590F" w:rsidP="00DC5E8D">
            <w:pPr>
              <w:pStyle w:val="Tabletext"/>
            </w:pPr>
            <w:r w:rsidRPr="0071590F">
              <w:t>Serious Incidence Report Scheme</w:t>
            </w:r>
          </w:p>
        </w:tc>
      </w:tr>
      <w:tr w:rsidR="009239C2" w14:paraId="3AA6152D" w14:textId="77777777" w:rsidTr="00DD67B1">
        <w:tc>
          <w:tcPr>
            <w:tcW w:w="2268" w:type="dxa"/>
          </w:tcPr>
          <w:p w14:paraId="5B489AA5" w14:textId="31928177" w:rsidR="009239C2" w:rsidRPr="00DC5E8D" w:rsidRDefault="009239C2" w:rsidP="00DC5E8D">
            <w:pPr>
              <w:pStyle w:val="Tabletext"/>
              <w:rPr>
                <w:b/>
                <w:bCs/>
              </w:rPr>
            </w:pPr>
            <w:r w:rsidRPr="00DC5E8D">
              <w:rPr>
                <w:b/>
                <w:bCs/>
              </w:rPr>
              <w:t>Stakeholder</w:t>
            </w:r>
          </w:p>
        </w:tc>
        <w:tc>
          <w:tcPr>
            <w:tcW w:w="6792" w:type="dxa"/>
          </w:tcPr>
          <w:p w14:paraId="0B619BE3" w14:textId="77FBAF15" w:rsidR="009239C2" w:rsidRPr="0071590F" w:rsidRDefault="009239C2" w:rsidP="00DC5E8D">
            <w:pPr>
              <w:pStyle w:val="Tabletext"/>
            </w:pPr>
            <w:r>
              <w:t>KPMG consulted a range of stakeholders as part of this evaluation</w:t>
            </w:r>
            <w:r w:rsidR="002B1462">
              <w:t>, including aged care service providers, consumers, carers or family members of a consumer, health professionals, consumer peak bodies and provider peak bodies</w:t>
            </w:r>
            <w:r w:rsidR="0041274B">
              <w:t>.</w:t>
            </w:r>
          </w:p>
        </w:tc>
      </w:tr>
      <w:tr w:rsidR="00751FC1" w14:paraId="06037F22" w14:textId="77777777" w:rsidTr="00DD67B1">
        <w:tc>
          <w:tcPr>
            <w:tcW w:w="2268" w:type="dxa"/>
          </w:tcPr>
          <w:p w14:paraId="7539B8FF" w14:textId="26DD2A04" w:rsidR="00751FC1" w:rsidRPr="00DC5E8D" w:rsidRDefault="000806B8" w:rsidP="00DC5E8D">
            <w:pPr>
              <w:pStyle w:val="Tabletext"/>
              <w:rPr>
                <w:b/>
                <w:bCs/>
              </w:rPr>
            </w:pPr>
            <w:r w:rsidRPr="00DC5E8D">
              <w:rPr>
                <w:b/>
                <w:bCs/>
              </w:rPr>
              <w:t>STRC</w:t>
            </w:r>
          </w:p>
        </w:tc>
        <w:tc>
          <w:tcPr>
            <w:tcW w:w="6792" w:type="dxa"/>
          </w:tcPr>
          <w:p w14:paraId="427B0F37" w14:textId="172E0FD9" w:rsidR="00751FC1" w:rsidRDefault="008E38D5" w:rsidP="00DC5E8D">
            <w:pPr>
              <w:pStyle w:val="Tabletext"/>
            </w:pPr>
            <w:r>
              <w:t>Short-term Restorative Care Programme</w:t>
            </w:r>
          </w:p>
        </w:tc>
      </w:tr>
      <w:tr w:rsidR="00751FC1" w14:paraId="79482211" w14:textId="77777777" w:rsidTr="00DD67B1">
        <w:tc>
          <w:tcPr>
            <w:tcW w:w="2268" w:type="dxa"/>
          </w:tcPr>
          <w:p w14:paraId="4F310023" w14:textId="3FC83B7D" w:rsidR="00751FC1" w:rsidRPr="00DC5E8D" w:rsidRDefault="00DF5529" w:rsidP="00DC5E8D">
            <w:pPr>
              <w:pStyle w:val="Tabletext"/>
              <w:rPr>
                <w:b/>
                <w:bCs/>
              </w:rPr>
            </w:pPr>
            <w:r w:rsidRPr="00DC5E8D">
              <w:rPr>
                <w:b/>
                <w:bCs/>
              </w:rPr>
              <w:t>Standards</w:t>
            </w:r>
            <w:r w:rsidR="0009359B" w:rsidRPr="00DC5E8D">
              <w:rPr>
                <w:b/>
                <w:bCs/>
              </w:rPr>
              <w:t xml:space="preserve"> or Quality Standards</w:t>
            </w:r>
          </w:p>
        </w:tc>
        <w:tc>
          <w:tcPr>
            <w:tcW w:w="6792" w:type="dxa"/>
          </w:tcPr>
          <w:p w14:paraId="25DF0ED1" w14:textId="57B3D08C" w:rsidR="00751FC1" w:rsidRDefault="00DF5529" w:rsidP="00DC5E8D">
            <w:pPr>
              <w:pStyle w:val="Tabletext"/>
            </w:pPr>
            <w:r>
              <w:t>Aged Care Quality Stand</w:t>
            </w:r>
            <w:r w:rsidR="007E5150">
              <w:t>ards</w:t>
            </w:r>
          </w:p>
        </w:tc>
      </w:tr>
    </w:tbl>
    <w:p w14:paraId="4A65252E" w14:textId="7787EAC0" w:rsidR="00894351" w:rsidRDefault="00894351">
      <w:pPr>
        <w:spacing w:before="0" w:after="160" w:line="259" w:lineRule="auto"/>
      </w:pPr>
      <w:bookmarkStart w:id="9" w:name="_Toc88804060"/>
      <w:bookmarkStart w:id="10" w:name="_Toc89930025"/>
      <w:r>
        <w:br w:type="page"/>
      </w:r>
    </w:p>
    <w:p w14:paraId="46DF33C0" w14:textId="3223EFEE" w:rsidR="005E2488" w:rsidRPr="005E2488" w:rsidRDefault="005E2488" w:rsidP="005E2488">
      <w:r w:rsidRPr="005E2488">
        <w:lastRenderedPageBreak/>
        <w:drawing>
          <wp:anchor distT="0" distB="0" distL="114300" distR="114300" simplePos="0" relativeHeight="251669503" behindDoc="1" locked="0" layoutInCell="1" allowOverlap="1" wp14:anchorId="35C6EAC6" wp14:editId="2E79F5EE">
            <wp:simplePos x="0" y="0"/>
            <wp:positionH relativeFrom="column">
              <wp:posOffset>-929525</wp:posOffset>
            </wp:positionH>
            <wp:positionV relativeFrom="paragraph">
              <wp:posOffset>-897832</wp:posOffset>
            </wp:positionV>
            <wp:extent cx="7560000" cy="10692000"/>
            <wp:effectExtent l="0" t="0" r="3175" b="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1B485683" w14:textId="14D7B413" w:rsidR="00220874" w:rsidRDefault="00894351" w:rsidP="005E2488">
      <w:pPr>
        <w:pStyle w:val="Heading1Divider"/>
        <w:numPr>
          <w:ilvl w:val="0"/>
          <w:numId w:val="0"/>
        </w:numPr>
        <w:ind w:left="357"/>
      </w:pPr>
      <w:bookmarkStart w:id="11" w:name="_Toc113448672"/>
      <w:r>
        <w:t>Executive summary</w:t>
      </w:r>
      <w:bookmarkEnd w:id="11"/>
    </w:p>
    <w:p w14:paraId="7FA34F7C" w14:textId="04A401B8" w:rsidR="00BD59CB" w:rsidRDefault="00BD59CB" w:rsidP="00243CD3">
      <w:pPr>
        <w:pStyle w:val="HeadingLevel1NoNumber"/>
      </w:pPr>
      <w:bookmarkStart w:id="12" w:name="_Toc88804061"/>
      <w:bookmarkEnd w:id="9"/>
      <w:bookmarkEnd w:id="10"/>
      <w:r w:rsidRPr="00243CD3">
        <w:lastRenderedPageBreak/>
        <w:t>Executive</w:t>
      </w:r>
      <w:r>
        <w:t xml:space="preserve"> Summary</w:t>
      </w:r>
      <w:bookmarkEnd w:id="12"/>
    </w:p>
    <w:p w14:paraId="7D9F6807" w14:textId="5566C745" w:rsidR="0096492D" w:rsidRPr="00231A99" w:rsidRDefault="0096492D" w:rsidP="00067537">
      <w:pPr>
        <w:pStyle w:val="HeadingLevel2NoNumber"/>
      </w:pPr>
      <w:r w:rsidRPr="00231A99">
        <w:t>Project context</w:t>
      </w:r>
    </w:p>
    <w:p w14:paraId="0C09A449" w14:textId="5318E894" w:rsidR="00B11DDB" w:rsidRPr="00067537" w:rsidRDefault="00B11DDB" w:rsidP="00067537">
      <w:pPr>
        <w:pStyle w:val="BodyText1"/>
      </w:pPr>
      <w:r w:rsidRPr="00B11DDB">
        <w:t>The A</w:t>
      </w:r>
      <w:r w:rsidRPr="00067537">
        <w:t>ged Care Quality Standards (the Standards) were introduced on 1 July 2019. The Standards are the first single set of standards to apply across all Commonwealth subsidised aged care service types in Australia.</w:t>
      </w:r>
    </w:p>
    <w:p w14:paraId="47EF8E2F" w14:textId="6B0AD421" w:rsidR="00362419" w:rsidRPr="00067537" w:rsidRDefault="00B11DDB" w:rsidP="00067537">
      <w:pPr>
        <w:pStyle w:val="BodyText1"/>
      </w:pPr>
      <w:r w:rsidRPr="00067537">
        <w:t xml:space="preserve">The Royal Commission into Aged Care Quality and Safety (the Royal Commission) made </w:t>
      </w:r>
      <w:proofErr w:type="gramStart"/>
      <w:r w:rsidRPr="00067537">
        <w:t>a number of</w:t>
      </w:r>
      <w:proofErr w:type="gramEnd"/>
      <w:r w:rsidRPr="00067537">
        <w:t xml:space="preserve"> findings and recommendations in relation to the effectiveness and monitoring of the Standards.</w:t>
      </w:r>
      <w:r w:rsidR="001611EC" w:rsidRPr="00067537">
        <w:t xml:space="preserve"> There was support for the ‘consumer’ focus of the Standards, but experts were critical of their lack of detail and lack of objective </w:t>
      </w:r>
      <w:r w:rsidR="00F7487B" w:rsidRPr="00067537">
        <w:t>measurements and</w:t>
      </w:r>
      <w:r w:rsidR="001611EC" w:rsidRPr="00067537">
        <w:t xml:space="preserve"> identified specific gaps in the Standards. </w:t>
      </w:r>
      <w:r w:rsidRPr="00067537">
        <w:t>The Royal Commission recommended that an urgent review of the Quality Standards be undertaken, and that the review should be repeated on a periodic basis (Recommendation 20).</w:t>
      </w:r>
    </w:p>
    <w:p w14:paraId="3F039078" w14:textId="6EBFE780" w:rsidR="001611EC" w:rsidRPr="00067537" w:rsidRDefault="001611EC" w:rsidP="00067537">
      <w:pPr>
        <w:pStyle w:val="BodyText1"/>
      </w:pPr>
      <w:r w:rsidRPr="00067537">
        <w:t xml:space="preserve">KPMG was commissioned by the Commonwealth Department of </w:t>
      </w:r>
      <w:r w:rsidR="00983EAA" w:rsidRPr="00067537">
        <w:t>Health</w:t>
      </w:r>
      <w:r w:rsidRPr="00067537">
        <w:t xml:space="preserve"> (the Department) in May 2021 to undertake an evaluation of the Aged Care Quality Standards (the Standards). The Evaluation included examination of:</w:t>
      </w:r>
    </w:p>
    <w:p w14:paraId="06CA224A" w14:textId="77777777" w:rsidR="001611EC" w:rsidRPr="00067537" w:rsidRDefault="001611EC" w:rsidP="00067537">
      <w:pPr>
        <w:pStyle w:val="Bullet1stlevel"/>
      </w:pPr>
      <w:r w:rsidRPr="006215B9">
        <w:t xml:space="preserve">The clarity </w:t>
      </w:r>
      <w:r w:rsidRPr="002A4AE3">
        <w:t>of</w:t>
      </w:r>
      <w:r w:rsidRPr="006215B9">
        <w:t xml:space="preserve"> the wording an</w:t>
      </w:r>
      <w:r w:rsidRPr="00067537">
        <w:t>d intent of the Standards</w:t>
      </w:r>
    </w:p>
    <w:p w14:paraId="13922A6E" w14:textId="77777777" w:rsidR="001611EC" w:rsidRPr="00067537" w:rsidRDefault="001611EC" w:rsidP="00067537">
      <w:pPr>
        <w:pStyle w:val="Bullet1stlevel"/>
      </w:pPr>
      <w:r w:rsidRPr="00067537">
        <w:t>The relevance of the Standards to each aged care service program</w:t>
      </w:r>
    </w:p>
    <w:p w14:paraId="6972849E" w14:textId="77777777" w:rsidR="001611EC" w:rsidRPr="00067537" w:rsidRDefault="001611EC" w:rsidP="00067537">
      <w:pPr>
        <w:pStyle w:val="Bullet1stlevel"/>
      </w:pPr>
      <w:r w:rsidRPr="00067537">
        <w:t xml:space="preserve">Whether the Standards are achievable and measurable </w:t>
      </w:r>
    </w:p>
    <w:p w14:paraId="69568640" w14:textId="77777777" w:rsidR="001611EC" w:rsidRPr="00067537" w:rsidRDefault="001611EC" w:rsidP="00067537">
      <w:pPr>
        <w:pStyle w:val="Bullet1stlevel"/>
      </w:pPr>
      <w:r w:rsidRPr="00067537">
        <w:t xml:space="preserve">The impact of the Standards on consumers, providers and other key stakeholders including on the regulator’s assessment, monitoring, </w:t>
      </w:r>
      <w:proofErr w:type="gramStart"/>
      <w:r w:rsidRPr="00067537">
        <w:t>compliance</w:t>
      </w:r>
      <w:proofErr w:type="gramEnd"/>
      <w:r w:rsidRPr="00067537">
        <w:t xml:space="preserve"> and complaints activities</w:t>
      </w:r>
    </w:p>
    <w:p w14:paraId="376931D2" w14:textId="77777777" w:rsidR="001611EC" w:rsidRDefault="001611EC" w:rsidP="00067537">
      <w:pPr>
        <w:pStyle w:val="Bullet1stlevel"/>
      </w:pPr>
      <w:r w:rsidRPr="00067537">
        <w:t>Contextual factors that have imp</w:t>
      </w:r>
      <w:r w:rsidRPr="006215B9">
        <w:t>acted the implementation of the Standards.</w:t>
      </w:r>
    </w:p>
    <w:p w14:paraId="79E82EA2" w14:textId="501058E6" w:rsidR="001611EC" w:rsidRDefault="00D67AF3" w:rsidP="00334396">
      <w:pPr>
        <w:pStyle w:val="HeadingLevel2NoNumber"/>
        <w:tabs>
          <w:tab w:val="clear" w:pos="720"/>
        </w:tabs>
      </w:pPr>
      <w:r>
        <w:t>Evaluation Findings</w:t>
      </w:r>
    </w:p>
    <w:p w14:paraId="3C78B1DF" w14:textId="77A3B27A" w:rsidR="005F6997" w:rsidRDefault="001611EC" w:rsidP="002A4AE3">
      <w:pPr>
        <w:pStyle w:val="BodyText1"/>
      </w:pPr>
      <w:r>
        <w:t>A summary of findings against each Key Evaluation Question for the</w:t>
      </w:r>
      <w:r w:rsidR="00707B7E">
        <w:t xml:space="preserve"> Evaluation is presented below.</w:t>
      </w:r>
    </w:p>
    <w:tbl>
      <w:tblPr>
        <w:tblStyle w:val="TableGridLight"/>
        <w:tblW w:w="0" w:type="auto"/>
        <w:tblLook w:val="0620" w:firstRow="1" w:lastRow="0" w:firstColumn="0" w:lastColumn="0" w:noHBand="1" w:noVBand="1"/>
      </w:tblPr>
      <w:tblGrid>
        <w:gridCol w:w="2127"/>
        <w:gridCol w:w="6933"/>
      </w:tblGrid>
      <w:tr w:rsidR="00894351" w:rsidRPr="00894351" w14:paraId="237A8E55" w14:textId="77777777" w:rsidTr="00A94BA2">
        <w:trPr>
          <w:cnfStyle w:val="100000000000" w:firstRow="1" w:lastRow="0" w:firstColumn="0" w:lastColumn="0" w:oddVBand="0" w:evenVBand="0" w:oddHBand="0" w:evenHBand="0" w:firstRowFirstColumn="0" w:firstRowLastColumn="0" w:lastRowFirstColumn="0" w:lastRowLastColumn="0"/>
          <w:tblHeader/>
        </w:trPr>
        <w:tc>
          <w:tcPr>
            <w:tcW w:w="2127" w:type="dxa"/>
          </w:tcPr>
          <w:p w14:paraId="6FE7FD3E" w14:textId="3E9CD660" w:rsidR="00D9318B" w:rsidRPr="00894351" w:rsidRDefault="00D9318B" w:rsidP="00575CC4">
            <w:pPr>
              <w:pStyle w:val="Tableheading"/>
              <w:rPr>
                <w:noProof/>
                <w:szCs w:val="24"/>
              </w:rPr>
            </w:pPr>
            <w:r w:rsidRPr="00894351">
              <w:t>Summary of findings</w:t>
            </w:r>
          </w:p>
        </w:tc>
        <w:tc>
          <w:tcPr>
            <w:tcW w:w="6933" w:type="dxa"/>
          </w:tcPr>
          <w:p w14:paraId="31EB1B14" w14:textId="77777777" w:rsidR="00D9318B" w:rsidRPr="00894351" w:rsidRDefault="00D9318B" w:rsidP="00575CC4">
            <w:pPr>
              <w:pStyle w:val="Tableheading"/>
            </w:pPr>
          </w:p>
        </w:tc>
      </w:tr>
      <w:tr w:rsidR="00707B7E" w:rsidRPr="00707B7E" w14:paraId="33C17FD7" w14:textId="77777777" w:rsidTr="00894351">
        <w:tc>
          <w:tcPr>
            <w:tcW w:w="2127" w:type="dxa"/>
          </w:tcPr>
          <w:p w14:paraId="6BA4393C" w14:textId="3F142E40" w:rsidR="00DC5212" w:rsidRDefault="00DC5212" w:rsidP="00073CE5">
            <w:pPr>
              <w:pStyle w:val="Tabletext"/>
              <w:rPr>
                <w:b/>
                <w:color w:val="00338D" w:themeColor="text2"/>
                <w:sz w:val="20"/>
                <w:szCs w:val="24"/>
              </w:rPr>
            </w:pPr>
            <w:r w:rsidRPr="00DC5212">
              <w:rPr>
                <w:b/>
                <w:noProof/>
                <w:color w:val="00338D" w:themeColor="text2"/>
                <w:sz w:val="20"/>
                <w:szCs w:val="24"/>
              </w:rPr>
              <w:drawing>
                <wp:inline distT="0" distB="0" distL="0" distR="0" wp14:anchorId="47349D90" wp14:editId="23132337">
                  <wp:extent cx="884615" cy="884615"/>
                  <wp:effectExtent l="0" t="0" r="0" b="0"/>
                  <wp:docPr id="457" name="Picture 4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89274" cy="889274"/>
                          </a:xfrm>
                          <a:prstGeom prst="rect">
                            <a:avLst/>
                          </a:prstGeom>
                          <a:noFill/>
                          <a:ln>
                            <a:noFill/>
                          </a:ln>
                        </pic:spPr>
                      </pic:pic>
                    </a:graphicData>
                  </a:graphic>
                </wp:inline>
              </w:drawing>
            </w:r>
          </w:p>
          <w:p w14:paraId="5AA9F752" w14:textId="1634B387" w:rsidR="00DC5212" w:rsidRPr="00894351" w:rsidRDefault="00707B7E" w:rsidP="00894351">
            <w:pPr>
              <w:pStyle w:val="Tablequestionbold"/>
              <w:rPr>
                <w:color w:val="auto"/>
                <w:sz w:val="18"/>
                <w:szCs w:val="22"/>
              </w:rPr>
            </w:pPr>
            <w:r w:rsidRPr="00894351">
              <w:t>Key Evaluation Question 1:</w:t>
            </w:r>
            <w:r w:rsidRPr="00894351">
              <w:rPr>
                <w:color w:val="auto"/>
                <w:sz w:val="18"/>
                <w:szCs w:val="22"/>
              </w:rPr>
              <w:t xml:space="preserve"> </w:t>
            </w:r>
          </w:p>
          <w:p w14:paraId="153B40D2" w14:textId="49659FA2" w:rsidR="00707B7E" w:rsidRPr="00656AF4" w:rsidRDefault="00707B7E" w:rsidP="00894351">
            <w:pPr>
              <w:pStyle w:val="Tabletextbold0"/>
            </w:pPr>
            <w:r w:rsidRPr="00894351">
              <w:t>How have broader contextual factors impacted on the implementation of the Standards?</w:t>
            </w:r>
          </w:p>
        </w:tc>
        <w:tc>
          <w:tcPr>
            <w:tcW w:w="6933" w:type="dxa"/>
          </w:tcPr>
          <w:p w14:paraId="709AB919" w14:textId="77777777" w:rsidR="00707B7E" w:rsidRPr="00707B7E" w:rsidRDefault="00707B7E" w:rsidP="00F626EE">
            <w:pPr>
              <w:pStyle w:val="TableBullet1"/>
            </w:pPr>
            <w:r w:rsidRPr="00707B7E">
              <w:t xml:space="preserve">The </w:t>
            </w:r>
            <w:r w:rsidRPr="00F02685">
              <w:t>Commission</w:t>
            </w:r>
            <w:r w:rsidRPr="00707B7E">
              <w:t xml:space="preserve"> and Department undertook a range of activities to support the implementation of the Standards with the sector.</w:t>
            </w:r>
          </w:p>
          <w:p w14:paraId="7ABBDF87" w14:textId="4DEE9C01" w:rsidR="00707B7E" w:rsidRPr="00707B7E" w:rsidRDefault="00A21E73" w:rsidP="00F626EE">
            <w:pPr>
              <w:pStyle w:val="TableBullet1"/>
            </w:pPr>
            <w:r>
              <w:t>A</w:t>
            </w:r>
            <w:r w:rsidR="00707B7E" w:rsidRPr="00707B7E">
              <w:t xml:space="preserve"> number of providers reported that implementation activities had supported their organisation to implement the Standards</w:t>
            </w:r>
            <w:r>
              <w:t>. However,</w:t>
            </w:r>
            <w:r w:rsidR="00707B7E" w:rsidRPr="00707B7E">
              <w:t xml:space="preserve"> concerns were raised surrounding the timeframes for implementation of the Standards, the level of detail provided in guidance material, the mode of delivery and audience for certain activities, and provider perceptions on their readiness to implement the Standards were mixed.</w:t>
            </w:r>
          </w:p>
          <w:p w14:paraId="147B2A2B" w14:textId="3C99D335" w:rsidR="00707B7E" w:rsidRPr="00707B7E" w:rsidRDefault="00707B7E" w:rsidP="00F626EE">
            <w:pPr>
              <w:pStyle w:val="TableBullet1"/>
            </w:pPr>
            <w:r w:rsidRPr="00707B7E">
              <w:t>A number of themes emerged as enablers and barriers to implementing the Standards, including workforce and governance, implementation support from other sector stakeholders, resourcing and associated costs and reform and change fatigue. A majority of survey respondents from providers indicated that they experienced challenges with implementing the Standards.</w:t>
            </w:r>
            <w:r w:rsidR="000B7229">
              <w:t xml:space="preserve"> </w:t>
            </w:r>
            <w:r w:rsidR="000B7229" w:rsidRPr="00020BCB">
              <w:t>The most common reported barriers experienced by providers in implementing the Standards were related to workforce, including staff availability, capacity and skills</w:t>
            </w:r>
            <w:r w:rsidR="000B7229">
              <w:t xml:space="preserve"> and </w:t>
            </w:r>
            <w:r w:rsidR="000B7229" w:rsidRPr="00020BCB">
              <w:t>cost of compliance</w:t>
            </w:r>
            <w:r w:rsidR="000B7229">
              <w:t>.</w:t>
            </w:r>
            <w:r w:rsidR="00190CAB">
              <w:t xml:space="preserve"> </w:t>
            </w:r>
          </w:p>
          <w:p w14:paraId="46A9048B" w14:textId="1D92A236" w:rsidR="00707B7E" w:rsidRDefault="00707B7E" w:rsidP="00F626EE">
            <w:pPr>
              <w:pStyle w:val="TableBullet1"/>
            </w:pPr>
            <w:r w:rsidRPr="00707B7E">
              <w:t xml:space="preserve">Specific recommendations were made by stakeholders to improve the implementation of the Standards, including increased learning opportunities and guidance, increased implementation time and support, consistent and transparent </w:t>
            </w:r>
            <w:r w:rsidR="000F1AC8">
              <w:t xml:space="preserve">information about how the Commission assesses provider </w:t>
            </w:r>
            <w:r w:rsidR="000F1AC8">
              <w:lastRenderedPageBreak/>
              <w:t>performance against the Standards</w:t>
            </w:r>
            <w:r w:rsidRPr="00707B7E">
              <w:t xml:space="preserve"> and increased consultation and promotion of the Standards to consumers.</w:t>
            </w:r>
          </w:p>
          <w:p w14:paraId="1D32750F" w14:textId="08086F78" w:rsidR="00707B7E" w:rsidRPr="00707B7E" w:rsidRDefault="00707B7E" w:rsidP="00F626EE">
            <w:pPr>
              <w:pStyle w:val="TableBullet1"/>
            </w:pPr>
            <w:r w:rsidRPr="00707B7E">
              <w:t>Changes to the Standards will need to be considered and aligned to a range of future reform initiatives identified by the Royal Commission and some existing aged care programs.</w:t>
            </w:r>
          </w:p>
        </w:tc>
      </w:tr>
      <w:tr w:rsidR="00707B7E" w:rsidRPr="00707B7E" w14:paraId="49F10918" w14:textId="77777777" w:rsidTr="00894351">
        <w:tc>
          <w:tcPr>
            <w:tcW w:w="2127" w:type="dxa"/>
          </w:tcPr>
          <w:p w14:paraId="35908EF6" w14:textId="05C93DED" w:rsidR="00DC5212" w:rsidRDefault="00DC5212" w:rsidP="00073CE5">
            <w:pPr>
              <w:pStyle w:val="Tabletext"/>
              <w:rPr>
                <w:b/>
              </w:rPr>
            </w:pPr>
            <w:r w:rsidRPr="00DC5212">
              <w:rPr>
                <w:b/>
                <w:noProof/>
                <w:color w:val="00338D" w:themeColor="text2"/>
                <w:sz w:val="20"/>
                <w:szCs w:val="24"/>
              </w:rPr>
              <w:lastRenderedPageBreak/>
              <w:drawing>
                <wp:inline distT="0" distB="0" distL="0" distR="0" wp14:anchorId="14595650" wp14:editId="303AB4AC">
                  <wp:extent cx="884615" cy="884615"/>
                  <wp:effectExtent l="0" t="0" r="0" b="0"/>
                  <wp:docPr id="458" name="Picture 4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89274" cy="889274"/>
                          </a:xfrm>
                          <a:prstGeom prst="rect">
                            <a:avLst/>
                          </a:prstGeom>
                          <a:noFill/>
                          <a:ln>
                            <a:noFill/>
                          </a:ln>
                        </pic:spPr>
                      </pic:pic>
                    </a:graphicData>
                  </a:graphic>
                </wp:inline>
              </w:drawing>
            </w:r>
          </w:p>
          <w:p w14:paraId="24715F34" w14:textId="4416B0FC" w:rsidR="00DC5212" w:rsidRPr="00DC5212" w:rsidRDefault="00707B7E" w:rsidP="00894351">
            <w:pPr>
              <w:pStyle w:val="Tablequestionbold"/>
            </w:pPr>
            <w:r w:rsidRPr="00DC5212">
              <w:t xml:space="preserve">Key Evaluation Question 2: </w:t>
            </w:r>
          </w:p>
          <w:p w14:paraId="44468493" w14:textId="4581ED17" w:rsidR="00707B7E" w:rsidRPr="00894351" w:rsidRDefault="00707B7E" w:rsidP="00894351">
            <w:pPr>
              <w:pStyle w:val="Tabletextbold0"/>
            </w:pPr>
            <w:r w:rsidRPr="00894351">
              <w:t>What improvements could be made to refine the Standards’ clarity, validity, applicability, and reliability?</w:t>
            </w:r>
          </w:p>
        </w:tc>
        <w:tc>
          <w:tcPr>
            <w:tcW w:w="6933" w:type="dxa"/>
          </w:tcPr>
          <w:p w14:paraId="5F616B2B" w14:textId="5FF5B99C" w:rsidR="00707B7E" w:rsidRDefault="00707B7E" w:rsidP="00F626EE">
            <w:pPr>
              <w:pStyle w:val="TableBullet1"/>
            </w:pPr>
            <w:proofErr w:type="gramStart"/>
            <w:r>
              <w:t>The majority of</w:t>
            </w:r>
            <w:proofErr w:type="gramEnd"/>
            <w:r>
              <w:t xml:space="preserve"> stakeholders agreed that the wording of the Standards is clear and that they understand the intent of the Standards. However, some providers raised challenges in putting certain more complex themes of the Standards into practice such as cultural safety and cultural diversity, dignity of risk, best practice and governance. A large proportion of providers consulted also highlighted challenges in understanding</w:t>
            </w:r>
            <w:r w:rsidR="007D024F">
              <w:t xml:space="preserve"> </w:t>
            </w:r>
            <w:r>
              <w:t>the expectations of the Commission</w:t>
            </w:r>
            <w:r w:rsidR="00665B42">
              <w:t xml:space="preserve"> </w:t>
            </w:r>
            <w:r w:rsidR="005E321C">
              <w:t>and how they assess performance against the Standards</w:t>
            </w:r>
            <w:r>
              <w:t>.</w:t>
            </w:r>
          </w:p>
          <w:p w14:paraId="375943DD" w14:textId="04440855" w:rsidR="00707B7E" w:rsidRDefault="00707B7E" w:rsidP="00F626EE">
            <w:pPr>
              <w:pStyle w:val="TableBullet1"/>
            </w:pPr>
            <w:r>
              <w:t>There was a high level of agreement that the Standards represent stakeholder expectations of quality aged care, however ‘gap areas’ were identified. New issues or requirements were identified under each Standard and stakeholders articulated the need for the Standards to address specific themes articulated in the Royal Commission.</w:t>
            </w:r>
          </w:p>
          <w:p w14:paraId="51758F37" w14:textId="3CAB3A23" w:rsidR="003D62F3" w:rsidRPr="003D62F3" w:rsidRDefault="003D62F3" w:rsidP="003D62F3">
            <w:pPr>
              <w:pStyle w:val="TableBullet1"/>
            </w:pPr>
            <w:r w:rsidRPr="003D62F3">
              <w:t xml:space="preserve">Overall providers perceived that they can consistently assess their own performance against Standards. However, there was a view by providers that there is a level of inconsistency in the Commission’s assessment of provider performance. The assessment methodology used by the Commission was out of scope for this Evaluation. KPMG did not evaluate the effectiveness of the assessment process as part of the evaluation and any references made to </w:t>
            </w:r>
            <w:r w:rsidR="00F90796">
              <w:t xml:space="preserve">the </w:t>
            </w:r>
            <w:r w:rsidRPr="003D62F3">
              <w:t xml:space="preserve">assessment </w:t>
            </w:r>
            <w:r w:rsidR="00F90796">
              <w:t xml:space="preserve">process </w:t>
            </w:r>
            <w:r w:rsidRPr="003D62F3">
              <w:t>relate specifically to stakeholder views. The Commission continuously refines and improves its assessment methodology and there are certain design aspects of the assessment methodology that may have influenced these views. The Evaluation found that the Standards are sufficiently flexible across all service types and settings, however some home care providers expressed a view that the Standards were more targeted at residential aged care. The majority of stakeholder also supported further harmonisation of the Standards.</w:t>
            </w:r>
          </w:p>
          <w:p w14:paraId="6058CE59" w14:textId="06392A03" w:rsidR="00707B7E" w:rsidRPr="00707B7E" w:rsidRDefault="00707B7E" w:rsidP="00F626EE">
            <w:pPr>
              <w:pStyle w:val="TableBullet1"/>
            </w:pPr>
            <w:r>
              <w:t xml:space="preserve">There are improvements that could be made to individual standards, including removal of </w:t>
            </w:r>
            <w:r w:rsidR="00F90796">
              <w:t xml:space="preserve">perceived </w:t>
            </w:r>
            <w:r>
              <w:t xml:space="preserve">repetition within the Standards and reducing instances where there are multiple concepts contained within a requirement. There is also opportunity to introduce more prescriptive or detailed requirements within the Standards to address the issue of measurability identified by the Royal Commission and meet provider requests for clarity on the expectations of the Commission. </w:t>
            </w:r>
          </w:p>
        </w:tc>
      </w:tr>
      <w:tr w:rsidR="00707B7E" w:rsidRPr="00707B7E" w14:paraId="66203224" w14:textId="77777777" w:rsidTr="00894351">
        <w:tc>
          <w:tcPr>
            <w:tcW w:w="2127" w:type="dxa"/>
          </w:tcPr>
          <w:p w14:paraId="0F3682EA" w14:textId="39491171" w:rsidR="00DC5212" w:rsidRPr="00DC5212" w:rsidRDefault="00DC5212" w:rsidP="00073CE5">
            <w:pPr>
              <w:pStyle w:val="Tabletext"/>
              <w:rPr>
                <w:bCs/>
              </w:rPr>
            </w:pPr>
            <w:r w:rsidRPr="00DC5212">
              <w:rPr>
                <w:b/>
                <w:noProof/>
                <w:color w:val="00338D" w:themeColor="text2"/>
                <w:sz w:val="20"/>
                <w:szCs w:val="24"/>
              </w:rPr>
              <w:drawing>
                <wp:inline distT="0" distB="0" distL="0" distR="0" wp14:anchorId="432EEC00" wp14:editId="5731ED18">
                  <wp:extent cx="884615" cy="884615"/>
                  <wp:effectExtent l="0" t="0" r="0" b="0"/>
                  <wp:docPr id="459" name="Picture 4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89274" cy="889274"/>
                          </a:xfrm>
                          <a:prstGeom prst="rect">
                            <a:avLst/>
                          </a:prstGeom>
                          <a:noFill/>
                          <a:ln>
                            <a:noFill/>
                          </a:ln>
                        </pic:spPr>
                      </pic:pic>
                    </a:graphicData>
                  </a:graphic>
                </wp:inline>
              </w:drawing>
            </w:r>
          </w:p>
          <w:p w14:paraId="2EDFD3E1" w14:textId="4AF40A28" w:rsidR="00DC5212" w:rsidRPr="00DC5212" w:rsidRDefault="00707B7E" w:rsidP="00894351">
            <w:pPr>
              <w:pStyle w:val="Tablequestionbold"/>
            </w:pPr>
            <w:r w:rsidRPr="00DC5212">
              <w:t xml:space="preserve">Key Evaluation Question 3: </w:t>
            </w:r>
          </w:p>
          <w:p w14:paraId="56E5826B" w14:textId="2C5E0B2F" w:rsidR="00707B7E" w:rsidRPr="00656AF4" w:rsidRDefault="00707B7E" w:rsidP="00894351">
            <w:pPr>
              <w:pStyle w:val="Tabletextbold0"/>
            </w:pPr>
            <w:r w:rsidRPr="00656AF4">
              <w:t xml:space="preserve">What impact has the Standards had on consumers, </w:t>
            </w:r>
            <w:proofErr w:type="gramStart"/>
            <w:r w:rsidRPr="00656AF4">
              <w:t>providers</w:t>
            </w:r>
            <w:proofErr w:type="gramEnd"/>
            <w:r w:rsidRPr="00656AF4">
              <w:t xml:space="preserve"> and other key stakeholders? To what extent are the intended outcomes being achieved?</w:t>
            </w:r>
          </w:p>
        </w:tc>
        <w:tc>
          <w:tcPr>
            <w:tcW w:w="6933" w:type="dxa"/>
          </w:tcPr>
          <w:p w14:paraId="1DBDCFA4" w14:textId="5BC679A2" w:rsidR="00707B7E" w:rsidRDefault="00707B7E" w:rsidP="00F626EE">
            <w:pPr>
              <w:pStyle w:val="TableBullet1"/>
            </w:pPr>
            <w:r>
              <w:t>There is evidence of providers making changes to meet the new Standards.</w:t>
            </w:r>
            <w:r w:rsidR="002A7750">
              <w:t xml:space="preserve"> </w:t>
            </w:r>
            <w:r w:rsidR="002A7750" w:rsidRPr="00150EF5">
              <w:t>The most common activities undertaken were revisions to policies and procedures, workforce development and training, consultation with consumers, their families and carers, and revisions to governance arrangements.</w:t>
            </w:r>
          </w:p>
          <w:p w14:paraId="15D39B2D" w14:textId="1CE6E9B9" w:rsidR="00707B7E" w:rsidRDefault="00707B7E" w:rsidP="00F626EE">
            <w:pPr>
              <w:pStyle w:val="TableBullet1"/>
            </w:pPr>
            <w:r>
              <w:t xml:space="preserve">There is evidence that providers have an increased focus on quality </w:t>
            </w:r>
            <w:r w:rsidR="00F544AC">
              <w:t>for</w:t>
            </w:r>
            <w:r>
              <w:t xml:space="preserve"> consumers in some segments of the sector.</w:t>
            </w:r>
            <w:r w:rsidR="002A7750">
              <w:t xml:space="preserve"> </w:t>
            </w:r>
            <w:r w:rsidR="002A7750" w:rsidRPr="00150EF5">
              <w:t>A majority of stakeholder</w:t>
            </w:r>
            <w:r w:rsidR="002A7750">
              <w:t xml:space="preserve"> groups</w:t>
            </w:r>
            <w:r w:rsidR="002A7750" w:rsidRPr="00150EF5">
              <w:t xml:space="preserve"> surveyed reported the Standards have improved quality outcomes for consumers, and some data indicates potential improvements of consumer outcomes.</w:t>
            </w:r>
          </w:p>
          <w:p w14:paraId="71F4C398" w14:textId="647F0167" w:rsidR="00707B7E" w:rsidRDefault="00707B7E" w:rsidP="00F21ADD">
            <w:pPr>
              <w:pStyle w:val="TableBullet1"/>
            </w:pPr>
            <w:r>
              <w:t xml:space="preserve">There are differences in impact based on service types, consumer diversity and location. </w:t>
            </w:r>
            <w:r w:rsidR="007A7D0E" w:rsidRPr="00150EF5">
              <w:t xml:space="preserve">Ongoing impact for providers included some identified improvements in work practices in some segments. Providers raised significant concerns of the increased regulatory burden and impact on the workforce. </w:t>
            </w:r>
            <w:r w:rsidR="00F21ADD" w:rsidRPr="00F21ADD">
              <w:t xml:space="preserve">The impact on the Commission was significant, particularly to </w:t>
            </w:r>
            <w:r w:rsidR="00F21ADD" w:rsidRPr="00F21ADD">
              <w:lastRenderedPageBreak/>
              <w:t>support ongoing education activities for the sector and increased regulatory activity.</w:t>
            </w:r>
          </w:p>
          <w:p w14:paraId="55D11F2C" w14:textId="77777777" w:rsidR="00F21ADD" w:rsidRPr="00F21ADD" w:rsidRDefault="00F21ADD" w:rsidP="00F21ADD">
            <w:pPr>
              <w:pStyle w:val="TableBullet1"/>
            </w:pPr>
            <w:r w:rsidRPr="00F21ADD">
              <w:t>Some examples of unintended consequences were raised by some stakeholder groups, including in relation to the use of restrictive practices by providers.</w:t>
            </w:r>
          </w:p>
          <w:p w14:paraId="3DC91465" w14:textId="6DF60792" w:rsidR="00707B7E" w:rsidRDefault="00707B7E" w:rsidP="00F626EE">
            <w:pPr>
              <w:pStyle w:val="TableBullet1"/>
            </w:pPr>
            <w:r>
              <w:t>Overall, stakeholders confirmed it was too early in the implementation phase and there are limits in the available data to determine the extent of the impact of the Standards.</w:t>
            </w:r>
          </w:p>
        </w:tc>
      </w:tr>
    </w:tbl>
    <w:p w14:paraId="7212A317" w14:textId="5C0B0564" w:rsidR="001611EC" w:rsidRPr="006215B9" w:rsidRDefault="0096492D" w:rsidP="00334396">
      <w:pPr>
        <w:pStyle w:val="HeadingLevel2NoNumber"/>
        <w:tabs>
          <w:tab w:val="clear" w:pos="720"/>
        </w:tabs>
      </w:pPr>
      <w:r>
        <w:lastRenderedPageBreak/>
        <w:t>Conclusions</w:t>
      </w:r>
    </w:p>
    <w:p w14:paraId="62515A1C" w14:textId="7D5FC918" w:rsidR="0096492D" w:rsidRPr="00824F5E" w:rsidRDefault="0096492D" w:rsidP="00067537">
      <w:pPr>
        <w:pStyle w:val="BodyText1"/>
      </w:pPr>
      <w:r w:rsidRPr="00843D61">
        <w:t>The implementation of any new set of standards is intentional and transformational for a</w:t>
      </w:r>
      <w:r>
        <w:t xml:space="preserve"> </w:t>
      </w:r>
      <w:r w:rsidRPr="00843D61">
        <w:t>sector or industry</w:t>
      </w:r>
      <w:r>
        <w:t xml:space="preserve"> and </w:t>
      </w:r>
      <w:r w:rsidRPr="00C443B8">
        <w:t>was a significant change for the aged care sector. The Standards introduced new themes and requirements</w:t>
      </w:r>
      <w:r w:rsidR="0083197D">
        <w:t xml:space="preserve"> </w:t>
      </w:r>
      <w:r w:rsidR="00E0578C">
        <w:t xml:space="preserve">centred on </w:t>
      </w:r>
      <w:r w:rsidR="00804FF7">
        <w:t>consumer outcomes</w:t>
      </w:r>
      <w:r w:rsidRPr="00C443B8">
        <w:t xml:space="preserve">. The framing of the new Standards introduced more complex dimensions to meeting specific requirements which </w:t>
      </w:r>
      <w:r>
        <w:t>were</w:t>
      </w:r>
      <w:r w:rsidRPr="00C443B8">
        <w:t xml:space="preserve"> less binary in nature.</w:t>
      </w:r>
      <w:r>
        <w:t xml:space="preserve"> As such, a high proportion of providers experienced challenges with implementing the Standards and some providers continue to experience challenges w</w:t>
      </w:r>
      <w:r w:rsidRPr="00067537">
        <w:t>ith implementing more complex domains within the Standards and understanding the expectations of the Commission</w:t>
      </w:r>
      <w:r w:rsidR="00381819" w:rsidRPr="00824F5E">
        <w:t xml:space="preserve"> </w:t>
      </w:r>
      <w:r w:rsidR="002D4978" w:rsidRPr="00824F5E">
        <w:t>and how they assess performance against the Standards.</w:t>
      </w:r>
    </w:p>
    <w:p w14:paraId="65FABEE8" w14:textId="59140F16" w:rsidR="0096492D" w:rsidRPr="00BF7578" w:rsidRDefault="0096492D" w:rsidP="00067537">
      <w:pPr>
        <w:pStyle w:val="BodyText1"/>
      </w:pPr>
      <w:r w:rsidRPr="00824F5E">
        <w:t xml:space="preserve">The Royal Commission highlighted a range of improvement areas for the Standards which were consistent with stakeholder perspectives provided during this </w:t>
      </w:r>
      <w:r w:rsidRPr="000E4BC5">
        <w:t>Evaluation. Despite having these concerns, the Royal Commission noted that ‘</w:t>
      </w:r>
      <w:r w:rsidRPr="00DD67B1">
        <w:t>the current Aged Care Quality Standards have only relatively recently come into effect and were the result of an extensive process of consultation’, and as such did not recommend introducing a new set of Standards at this time.</w:t>
      </w:r>
    </w:p>
    <w:p w14:paraId="49F4FFD5" w14:textId="26E1CE6D" w:rsidR="0096492D" w:rsidRDefault="0096492D" w:rsidP="00824F5E">
      <w:pPr>
        <w:pStyle w:val="BodyText1"/>
      </w:pPr>
      <w:r w:rsidRPr="00BF7578">
        <w:t>There is opportunity to enhance the current set of Standards in the short to medium term</w:t>
      </w:r>
      <w:r w:rsidR="00162812" w:rsidRPr="00BF7578">
        <w:t xml:space="preserve">, </w:t>
      </w:r>
      <w:r w:rsidR="004265F6" w:rsidRPr="00BF7578">
        <w:t>as part of the process for reviewing of the Standards</w:t>
      </w:r>
      <w:r w:rsidR="00151B29" w:rsidRPr="00BF7578">
        <w:t>,</w:t>
      </w:r>
      <w:r w:rsidRPr="00BF7578">
        <w:t xml:space="preserve"> to address concerns raised during the Royal Commission and this Evaluation. This is likely to require more focused attention and refinements to the requirements statements within the St</w:t>
      </w:r>
      <w:r w:rsidRPr="0096492D">
        <w:t>andards</w:t>
      </w:r>
      <w:r>
        <w:t>, including:</w:t>
      </w:r>
    </w:p>
    <w:p w14:paraId="599E0BE4" w14:textId="77777777" w:rsidR="0096492D" w:rsidRDefault="0096492D" w:rsidP="002A4AE3">
      <w:pPr>
        <w:pStyle w:val="Bullet1stlevel"/>
      </w:pPr>
      <w:r w:rsidRPr="00894351">
        <w:rPr>
          <w:rStyle w:val="Strong"/>
        </w:rPr>
        <w:t>Addressing gaps</w:t>
      </w:r>
      <w:r>
        <w:t xml:space="preserve"> identified by the Royal Commission and supported by stakeholders as part of this Evaluation.</w:t>
      </w:r>
    </w:p>
    <w:p w14:paraId="1F3B07F1" w14:textId="360C7559" w:rsidR="0096492D" w:rsidRDefault="0096492D" w:rsidP="002A4AE3">
      <w:pPr>
        <w:pStyle w:val="Bullet1stlevel"/>
      </w:pPr>
      <w:r w:rsidRPr="00894351">
        <w:rPr>
          <w:rStyle w:val="Strong"/>
        </w:rPr>
        <w:t>Removing</w:t>
      </w:r>
      <w:r w:rsidR="00274736" w:rsidRPr="00894351">
        <w:rPr>
          <w:rStyle w:val="Strong"/>
        </w:rPr>
        <w:t xml:space="preserve"> perceived</w:t>
      </w:r>
      <w:r w:rsidRPr="00894351">
        <w:rPr>
          <w:rStyle w:val="Strong"/>
        </w:rPr>
        <w:t xml:space="preserve"> repetition within specific Standards</w:t>
      </w:r>
      <w:r w:rsidRPr="00691AAB">
        <w:t xml:space="preserve"> through </w:t>
      </w:r>
      <w:r w:rsidR="005B2955" w:rsidRPr="005B2955">
        <w:t xml:space="preserve">the inclusion of more detailed requirements under existing Standards to distinguish between requirements under different Standards where there are common elements or perceived </w:t>
      </w:r>
      <w:r w:rsidR="00983EAA" w:rsidRPr="005B2955">
        <w:t>repetition.</w:t>
      </w:r>
    </w:p>
    <w:p w14:paraId="36AC616C" w14:textId="77777777" w:rsidR="0096492D" w:rsidRDefault="0096492D" w:rsidP="002A4AE3">
      <w:pPr>
        <w:pStyle w:val="Bullet1stlevel"/>
      </w:pPr>
      <w:r w:rsidRPr="00894351">
        <w:rPr>
          <w:rStyle w:val="Strong"/>
        </w:rPr>
        <w:t>Expanding requirements statements with multiple concepts</w:t>
      </w:r>
      <w:r>
        <w:t xml:space="preserve"> into separate requirements statements.</w:t>
      </w:r>
    </w:p>
    <w:p w14:paraId="0E2240E8" w14:textId="586EE361" w:rsidR="0096492D" w:rsidRPr="0020306D" w:rsidRDefault="0096492D" w:rsidP="002A4AE3">
      <w:pPr>
        <w:pStyle w:val="Bullet1stlevel"/>
      </w:pPr>
      <w:r w:rsidRPr="00894351">
        <w:rPr>
          <w:rStyle w:val="Strong"/>
        </w:rPr>
        <w:t>Improving measurability of the Standards</w:t>
      </w:r>
      <w:r>
        <w:rPr>
          <w:b/>
          <w:bCs/>
        </w:rPr>
        <w:t xml:space="preserve"> </w:t>
      </w:r>
      <w:r w:rsidRPr="0020306D">
        <w:t>through amendments to existing requirements or the introduction of new, more detailed requirement statements.</w:t>
      </w:r>
    </w:p>
    <w:p w14:paraId="5F7AC935" w14:textId="61A11A00" w:rsidR="0096492D" w:rsidRPr="00117B7F" w:rsidRDefault="0096492D" w:rsidP="0096492D">
      <w:pPr>
        <w:pStyle w:val="BodyText1"/>
      </w:pPr>
      <w:r>
        <w:t xml:space="preserve">In the longer term there is opportunity to pursue greater alignment of standards between </w:t>
      </w:r>
      <w:r w:rsidRPr="00702B03">
        <w:t>sectors</w:t>
      </w:r>
      <w:r>
        <w:t>. Any changes to the Standards need to be considered and designed within the context of broader changes occurring within the aged care sector including those that directly relate to the Standards</w:t>
      </w:r>
      <w:r w:rsidR="0023762A">
        <w:t xml:space="preserve"> and with consideration of the </w:t>
      </w:r>
      <w:r w:rsidR="00B63726">
        <w:t xml:space="preserve">significant </w:t>
      </w:r>
      <w:r w:rsidR="007F74BA">
        <w:t>investment to implement</w:t>
      </w:r>
      <w:r w:rsidR="007E2FB8">
        <w:t>. This includes relevant reform commitments by the Australian Government</w:t>
      </w:r>
      <w:r>
        <w:t xml:space="preserve"> such as:</w:t>
      </w:r>
    </w:p>
    <w:p w14:paraId="0F7F733D" w14:textId="7C6F49E3" w:rsidR="00B619ED" w:rsidRPr="00824F5E" w:rsidRDefault="00B619ED" w:rsidP="00067537">
      <w:pPr>
        <w:pStyle w:val="Bullet1stlevel"/>
      </w:pPr>
      <w:r>
        <w:t>Qu</w:t>
      </w:r>
      <w:r w:rsidRPr="00067537">
        <w:t xml:space="preserve">ality Indicators Program and introduction of further indicators should be aligned with/or inform measuring performance against the </w:t>
      </w:r>
      <w:r w:rsidR="00B95D84" w:rsidRPr="00824F5E">
        <w:t>S</w:t>
      </w:r>
      <w:r w:rsidRPr="00824F5E">
        <w:t xml:space="preserve">tandards </w:t>
      </w:r>
    </w:p>
    <w:p w14:paraId="20920C18" w14:textId="77777777" w:rsidR="0096492D" w:rsidRPr="00824F5E" w:rsidRDefault="0096492D" w:rsidP="00824F5E">
      <w:pPr>
        <w:pStyle w:val="Bullet1stlevel"/>
      </w:pPr>
      <w:r w:rsidRPr="00824F5E">
        <w:t xml:space="preserve">Review and amendments to the Clinical Standard by ACQSHC </w:t>
      </w:r>
    </w:p>
    <w:p w14:paraId="6FCDEA26" w14:textId="4CA90E55" w:rsidR="00883902" w:rsidRDefault="0096492D" w:rsidP="00824F5E">
      <w:pPr>
        <w:pStyle w:val="Bullet1stlevel"/>
        <w:sectPr w:rsidR="00883902" w:rsidSect="003E1978">
          <w:pgSz w:w="11906" w:h="16838"/>
          <w:pgMar w:top="1418" w:right="1418" w:bottom="1418" w:left="1418" w:header="709" w:footer="453" w:gutter="0"/>
          <w:pgNumType w:start="1"/>
          <w:cols w:space="708"/>
          <w:docGrid w:linePitch="360"/>
        </w:sectPr>
      </w:pPr>
      <w:r w:rsidRPr="000E4BC5">
        <w:t xml:space="preserve">Introduction of new measures to monitoring the quality and safety of aged care, including a new </w:t>
      </w:r>
      <w:r w:rsidR="00D94B32" w:rsidRPr="000E4BC5">
        <w:t>star ratings syst</w:t>
      </w:r>
      <w:r w:rsidR="00D94B32">
        <w:t>em</w:t>
      </w:r>
      <w:r w:rsidR="00274736">
        <w:t>.</w:t>
      </w:r>
    </w:p>
    <w:p w14:paraId="249E9F80" w14:textId="3E68E4AC" w:rsidR="005B2955" w:rsidRDefault="00536A67" w:rsidP="009A76BC">
      <w:pPr>
        <w:pStyle w:val="Bullet1stlevel"/>
        <w:numPr>
          <w:ilvl w:val="0"/>
          <w:numId w:val="0"/>
        </w:numPr>
      </w:pPr>
      <w:r>
        <w:rPr>
          <w:noProof/>
        </w:rPr>
        <w:lastRenderedPageBreak/>
        <w:drawing>
          <wp:anchor distT="0" distB="0" distL="114300" distR="114300" simplePos="0" relativeHeight="251700224" behindDoc="1" locked="0" layoutInCell="1" allowOverlap="1" wp14:anchorId="59197273" wp14:editId="5DC8450A">
            <wp:simplePos x="0" y="0"/>
            <wp:positionH relativeFrom="column">
              <wp:posOffset>-885190</wp:posOffset>
            </wp:positionH>
            <wp:positionV relativeFrom="paragraph">
              <wp:posOffset>-885190</wp:posOffset>
            </wp:positionV>
            <wp:extent cx="7560000" cy="10692000"/>
            <wp:effectExtent l="0" t="0" r="3175"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36D0E383" w14:textId="4B370FED" w:rsidR="00F02685" w:rsidRPr="00F02685" w:rsidRDefault="002E200E" w:rsidP="00067537">
      <w:pPr>
        <w:pStyle w:val="Heading1Divider"/>
      </w:pPr>
      <w:bookmarkStart w:id="13" w:name="_Toc88804062"/>
      <w:bookmarkStart w:id="14" w:name="_Toc89930026"/>
      <w:bookmarkStart w:id="15" w:name="_Toc90453345"/>
      <w:bookmarkStart w:id="16" w:name="_Toc113448673"/>
      <w:r w:rsidRPr="000D37E0">
        <w:t>Introduction and context</w:t>
      </w:r>
      <w:bookmarkEnd w:id="13"/>
      <w:bookmarkEnd w:id="14"/>
      <w:bookmarkEnd w:id="15"/>
      <w:bookmarkEnd w:id="16"/>
    </w:p>
    <w:p w14:paraId="47E0A413" w14:textId="3520D9C4" w:rsidR="00F02685" w:rsidRPr="00F02685" w:rsidRDefault="00F02685" w:rsidP="00F02685">
      <w:pPr>
        <w:pStyle w:val="HeadingLevel1NoNumber"/>
      </w:pPr>
      <w:bookmarkStart w:id="17" w:name="_Toc88804063"/>
      <w:r>
        <w:lastRenderedPageBreak/>
        <w:t>Introduction and Context</w:t>
      </w:r>
      <w:bookmarkEnd w:id="17"/>
    </w:p>
    <w:p w14:paraId="057D44A5" w14:textId="313CFBA3" w:rsidR="00522447" w:rsidRPr="00073CE5" w:rsidRDefault="002E200E" w:rsidP="00067537">
      <w:pPr>
        <w:pStyle w:val="IntroPara"/>
      </w:pPr>
      <w:r w:rsidRPr="00073CE5">
        <w:t xml:space="preserve">This section </w:t>
      </w:r>
      <w:r w:rsidR="00BB6B7C" w:rsidRPr="00073CE5">
        <w:t xml:space="preserve">presents the </w:t>
      </w:r>
      <w:r w:rsidR="008017B5" w:rsidRPr="00073CE5">
        <w:t xml:space="preserve">project </w:t>
      </w:r>
      <w:r w:rsidR="00BB6B7C" w:rsidRPr="00073CE5">
        <w:t>context and the purpose, scope and methodology employed to conduct this Evaluation.</w:t>
      </w:r>
    </w:p>
    <w:p w14:paraId="7D2B84A5" w14:textId="6CA4DB9B" w:rsidR="001C45CB" w:rsidRPr="001C6987" w:rsidRDefault="00BC091F" w:rsidP="001C6987">
      <w:pPr>
        <w:pStyle w:val="Heading2"/>
      </w:pPr>
      <w:bookmarkStart w:id="18" w:name="_Toc88804064"/>
      <w:bookmarkStart w:id="19" w:name="_Toc89930027"/>
      <w:bookmarkStart w:id="20" w:name="_Toc90453346"/>
      <w:bookmarkStart w:id="21" w:name="_Toc113448674"/>
      <w:r w:rsidRPr="001C6987">
        <w:t xml:space="preserve">1.1 </w:t>
      </w:r>
      <w:r w:rsidR="007779FC" w:rsidRPr="001C6987">
        <w:t>Project context</w:t>
      </w:r>
      <w:bookmarkEnd w:id="18"/>
      <w:bookmarkEnd w:id="19"/>
      <w:bookmarkEnd w:id="20"/>
      <w:bookmarkEnd w:id="21"/>
    </w:p>
    <w:p w14:paraId="085476FA" w14:textId="42B69FBF" w:rsidR="00D827AA" w:rsidRDefault="000F0F66" w:rsidP="0031745A">
      <w:pPr>
        <w:pStyle w:val="BodyText1"/>
      </w:pPr>
      <w:r>
        <w:t xml:space="preserve">The Aged Care Quality Standards (the Standards) were introduced on 1 July 2019. </w:t>
      </w:r>
      <w:r w:rsidR="007779FC">
        <w:t xml:space="preserve">The </w:t>
      </w:r>
      <w:r w:rsidR="00077990">
        <w:t>Standards</w:t>
      </w:r>
      <w:r w:rsidR="007779FC">
        <w:t xml:space="preserve"> are the first single set of standards to apply across all Commonwealth </w:t>
      </w:r>
      <w:r w:rsidR="00055832">
        <w:t>subsidised</w:t>
      </w:r>
      <w:r w:rsidR="007779FC">
        <w:t xml:space="preserve"> aged care service types in Australia.</w:t>
      </w:r>
      <w:r w:rsidR="00055832">
        <w:t xml:space="preserve"> </w:t>
      </w:r>
      <w:r w:rsidR="00055832" w:rsidRPr="00055832">
        <w:t>The Standards focus on outcomes for consumers and reflect the level of care and services the community can expect from organisations that provide Commonwealth subsidised aged care services.</w:t>
      </w:r>
      <w:r w:rsidR="00DE419B">
        <w:t xml:space="preserve"> </w:t>
      </w:r>
    </w:p>
    <w:p w14:paraId="5725861E" w14:textId="0F14D063" w:rsidR="00464192" w:rsidRDefault="00464192" w:rsidP="0031745A">
      <w:pPr>
        <w:pStyle w:val="BodyText1"/>
      </w:pPr>
      <w:r>
        <w:t>The Royal Commission into Aged Care Quality and Safety (the Royal Commission) was established on 8</w:t>
      </w:r>
      <w:r w:rsidR="00EB0DC7">
        <w:t> </w:t>
      </w:r>
      <w:r>
        <w:t xml:space="preserve">October 2018. A number of findings and recommendations were made in relation to the effectiveness and monitoring of the Standards. The Royal Commission highlighted a number of urgent priority areas covering clinical and infection control outcomes, nutritional needs including preferences and religious and cultural considerations, dementia care, palliative care and provider governance (Recommendations 19 and 90). Additional areas for review included matters relating to workforce training and deployment, advance care plans, the Aged Care Diversity Framework and a focus on quality of life (Recommendation 21). The Royal Commission recommended that an urgent review of the Quality Standards be undertaken, and that the review should be repeated on a periodic basis (Recommendation 20). </w:t>
      </w:r>
    </w:p>
    <w:p w14:paraId="626A6A99" w14:textId="112D6C97" w:rsidR="00464192" w:rsidRDefault="00464192" w:rsidP="0031745A">
      <w:pPr>
        <w:pStyle w:val="BodyText1"/>
      </w:pPr>
      <w:r>
        <w:t xml:space="preserve">On 1 March 2021, the </w:t>
      </w:r>
      <w:r w:rsidR="00474380">
        <w:t xml:space="preserve">Australian </w:t>
      </w:r>
      <w:r>
        <w:t xml:space="preserve">Government announced its intention to </w:t>
      </w:r>
      <w:r w:rsidR="0051134A">
        <w:t xml:space="preserve">undertake </w:t>
      </w:r>
      <w:r w:rsidR="001C18C7">
        <w:t xml:space="preserve">an </w:t>
      </w:r>
      <w:r w:rsidR="0051134A">
        <w:t xml:space="preserve">urgent </w:t>
      </w:r>
      <w:r>
        <w:t xml:space="preserve">review </w:t>
      </w:r>
      <w:r w:rsidR="001C18C7">
        <w:t>of the Standards. The</w:t>
      </w:r>
      <w:r w:rsidR="00C05529">
        <w:t xml:space="preserve"> final </w:t>
      </w:r>
      <w:r w:rsidR="003A5EBE">
        <w:t xml:space="preserve">report </w:t>
      </w:r>
      <w:r w:rsidR="001C18C7">
        <w:t xml:space="preserve">for the review </w:t>
      </w:r>
      <w:r w:rsidR="003A5EBE">
        <w:t xml:space="preserve">is due to </w:t>
      </w:r>
      <w:r w:rsidR="004618F6">
        <w:t>Government in December 202</w:t>
      </w:r>
      <w:r w:rsidR="000B5615">
        <w:t xml:space="preserve">2. </w:t>
      </w:r>
      <w:r w:rsidR="00204B8B">
        <w:t xml:space="preserve">In addition to </w:t>
      </w:r>
      <w:r w:rsidR="007011AB">
        <w:t xml:space="preserve">addressing Recommendation </w:t>
      </w:r>
      <w:r w:rsidR="007A5E08">
        <w:t>19</w:t>
      </w:r>
      <w:r w:rsidR="007011AB">
        <w:t>, t</w:t>
      </w:r>
      <w:r w:rsidR="000B5615">
        <w:t xml:space="preserve">he </w:t>
      </w:r>
      <w:r w:rsidR="00B11DDB">
        <w:t>review</w:t>
      </w:r>
      <w:r w:rsidR="000B5615">
        <w:t xml:space="preserve"> will</w:t>
      </w:r>
      <w:r w:rsidR="00523B42">
        <w:t xml:space="preserve"> consider and </w:t>
      </w:r>
      <w:r w:rsidR="003A5BD1">
        <w:t>include findings</w:t>
      </w:r>
      <w:r w:rsidR="00523B42">
        <w:t xml:space="preserve"> </w:t>
      </w:r>
      <w:r w:rsidR="007A5E08">
        <w:t>in relation to R</w:t>
      </w:r>
      <w:r w:rsidR="000B5615">
        <w:t>e</w:t>
      </w:r>
      <w:r w:rsidR="000F39A8">
        <w:t>commendations 20 and 21</w:t>
      </w:r>
      <w:r>
        <w:t>. It was separately announced that the review of clinical care standards for aged care would be the responsibility of the Australian Commission on Safety and Quality in Health Care (ACSQHC) from 1 July 2021.</w:t>
      </w:r>
      <w:r w:rsidR="00566239">
        <w:t xml:space="preserve"> </w:t>
      </w:r>
      <w:r w:rsidR="00F6755B">
        <w:t xml:space="preserve">The Government also committed to reviewing </w:t>
      </w:r>
      <w:r w:rsidR="000653F2">
        <w:t xml:space="preserve">four key priority areas: </w:t>
      </w:r>
      <w:r w:rsidR="00283576">
        <w:t>diversity, dementi</w:t>
      </w:r>
      <w:r w:rsidR="00674931">
        <w:t>a, food and nutrition and governance</w:t>
      </w:r>
      <w:r w:rsidR="000653F2">
        <w:t xml:space="preserve">. </w:t>
      </w:r>
      <w:r w:rsidR="00566239">
        <w:t xml:space="preserve">Further information on the Royal Commission findings and recommendations is presented at Section </w:t>
      </w:r>
      <w:r w:rsidR="000F0F66">
        <w:fldChar w:fldCharType="begin" w:fldLock="1"/>
      </w:r>
      <w:r w:rsidR="000F0F66">
        <w:instrText xml:space="preserve"> REF _Ref85383147 \r \h </w:instrText>
      </w:r>
      <w:r w:rsidR="000F0F66">
        <w:fldChar w:fldCharType="separate"/>
      </w:r>
      <w:r w:rsidR="00453533">
        <w:t>3</w:t>
      </w:r>
      <w:r w:rsidR="000F0F66">
        <w:fldChar w:fldCharType="end"/>
      </w:r>
      <w:r w:rsidR="000F0F66">
        <w:t xml:space="preserve"> of this report</w:t>
      </w:r>
      <w:r w:rsidR="00566239">
        <w:t>.</w:t>
      </w:r>
    </w:p>
    <w:p w14:paraId="04F7B9B3" w14:textId="4CAF9139" w:rsidR="00877287" w:rsidRPr="0026652B" w:rsidRDefault="00BC091F" w:rsidP="001C6987">
      <w:pPr>
        <w:pStyle w:val="Heading2"/>
      </w:pPr>
      <w:bookmarkStart w:id="22" w:name="_Toc88804065"/>
      <w:bookmarkStart w:id="23" w:name="_Toc89930028"/>
      <w:bookmarkStart w:id="24" w:name="_Toc90453347"/>
      <w:bookmarkStart w:id="25" w:name="_Toc113448675"/>
      <w:r>
        <w:t xml:space="preserve">1.2 </w:t>
      </w:r>
      <w:r w:rsidR="00464192" w:rsidRPr="007B7CDB">
        <w:t>Purpose</w:t>
      </w:r>
      <w:r w:rsidR="00464192" w:rsidRPr="0026652B">
        <w:t xml:space="preserve"> and scope of this project</w:t>
      </w:r>
      <w:bookmarkEnd w:id="22"/>
      <w:bookmarkEnd w:id="23"/>
      <w:bookmarkEnd w:id="24"/>
      <w:bookmarkEnd w:id="25"/>
    </w:p>
    <w:p w14:paraId="4EC58FBF" w14:textId="4EB913EC" w:rsidR="009A261F" w:rsidRDefault="009A261F" w:rsidP="0031745A">
      <w:pPr>
        <w:pStyle w:val="BodyText1"/>
      </w:pPr>
      <w:r>
        <w:t xml:space="preserve">To inform the </w:t>
      </w:r>
      <w:r w:rsidR="00474380">
        <w:t>Australian</w:t>
      </w:r>
      <w:r>
        <w:t xml:space="preserve"> Government’s review</w:t>
      </w:r>
      <w:r w:rsidR="00BB5451">
        <w:t xml:space="preserve"> of the Standards</w:t>
      </w:r>
      <w:r>
        <w:t>, KPMG was engaged by the Department of Health (the Department) to undertake an evaluation of the Standards</w:t>
      </w:r>
      <w:r w:rsidR="001B688E">
        <w:t xml:space="preserve"> (the Evaluation)</w:t>
      </w:r>
      <w:r>
        <w:t>. The Evaluation include</w:t>
      </w:r>
      <w:r w:rsidR="00B24C1F">
        <w:t>d</w:t>
      </w:r>
      <w:r>
        <w:t xml:space="preserve"> examination of:</w:t>
      </w:r>
    </w:p>
    <w:p w14:paraId="0C286543" w14:textId="7E6A83EB" w:rsidR="009A261F" w:rsidRPr="006215B9" w:rsidRDefault="009A261F" w:rsidP="002A4AE3">
      <w:pPr>
        <w:pStyle w:val="Bullet1stlevel"/>
      </w:pPr>
      <w:r w:rsidRPr="006215B9">
        <w:t>The clarity of the wording and intent of the Standards</w:t>
      </w:r>
    </w:p>
    <w:p w14:paraId="04C16AC6" w14:textId="5753DA7C" w:rsidR="009A261F" w:rsidRPr="006215B9" w:rsidRDefault="009A261F" w:rsidP="002A4AE3">
      <w:pPr>
        <w:pStyle w:val="Bullet1stlevel"/>
      </w:pPr>
      <w:r w:rsidRPr="006215B9">
        <w:t>The relevance of the Standards to each aged care service program</w:t>
      </w:r>
    </w:p>
    <w:p w14:paraId="0B29E096" w14:textId="46F1BAA9" w:rsidR="009A261F" w:rsidRPr="006215B9" w:rsidRDefault="009A261F" w:rsidP="002A4AE3">
      <w:pPr>
        <w:pStyle w:val="Bullet1stlevel"/>
      </w:pPr>
      <w:r w:rsidRPr="006215B9">
        <w:t xml:space="preserve">Whether the Standards are achievable and measurable </w:t>
      </w:r>
    </w:p>
    <w:p w14:paraId="5AB56E11" w14:textId="03E97CB2" w:rsidR="00284CAB" w:rsidRPr="006215B9" w:rsidRDefault="009A261F" w:rsidP="002A4AE3">
      <w:pPr>
        <w:pStyle w:val="Bullet1stlevel"/>
      </w:pPr>
      <w:r w:rsidRPr="006215B9">
        <w:t>The impact of the Standards on consumers, providers and other key stakeholders including on the regulator’s assessment, monitoring, compliance and complaints activities</w:t>
      </w:r>
    </w:p>
    <w:p w14:paraId="77AB8DF2" w14:textId="15DCF0A0" w:rsidR="00B278C4" w:rsidRPr="006215B9" w:rsidRDefault="00B278C4" w:rsidP="002A4AE3">
      <w:pPr>
        <w:pStyle w:val="Bullet1stlevel"/>
      </w:pPr>
      <w:r w:rsidRPr="006215B9">
        <w:t>Contextual factors that have impacted the implementation of the Standards.</w:t>
      </w:r>
    </w:p>
    <w:p w14:paraId="55642F1D" w14:textId="7CFDC31A" w:rsidR="001C18DF" w:rsidRDefault="001D4030" w:rsidP="0031745A">
      <w:pPr>
        <w:pStyle w:val="BodyText1"/>
      </w:pPr>
      <w:r>
        <w:t xml:space="preserve">The questions and sub-questions </w:t>
      </w:r>
      <w:r w:rsidR="00707367">
        <w:t xml:space="preserve">presented in </w:t>
      </w:r>
      <w:r w:rsidR="005B33F6">
        <w:fldChar w:fldCharType="begin" w:fldLock="1"/>
      </w:r>
      <w:r w:rsidR="005B33F6">
        <w:instrText xml:space="preserve"> REF _Ref84509659 \h </w:instrText>
      </w:r>
      <w:r w:rsidR="005B33F6">
        <w:fldChar w:fldCharType="separate"/>
      </w:r>
      <w:r w:rsidR="00453533" w:rsidRPr="00707367">
        <w:t xml:space="preserve">Table </w:t>
      </w:r>
      <w:r w:rsidR="00453533">
        <w:rPr>
          <w:noProof/>
        </w:rPr>
        <w:t>1</w:t>
      </w:r>
      <w:r w:rsidR="005B33F6">
        <w:fldChar w:fldCharType="end"/>
      </w:r>
      <w:r w:rsidR="00707367">
        <w:t xml:space="preserve"> </w:t>
      </w:r>
      <w:r>
        <w:t xml:space="preserve">guided the conduct of the </w:t>
      </w:r>
      <w:r w:rsidR="00675415">
        <w:t>E</w:t>
      </w:r>
      <w:r>
        <w:t>valuation</w:t>
      </w:r>
      <w:r w:rsidR="00707367">
        <w:t xml:space="preserve">. </w:t>
      </w:r>
      <w:r w:rsidR="00707367" w:rsidRPr="00707367">
        <w:t xml:space="preserve">The evaluation questions were developed through a co-design approach with the Department and </w:t>
      </w:r>
      <w:r w:rsidR="00707367" w:rsidRPr="00DE4DC2">
        <w:t>the Aged Care Quality and Safety Commission</w:t>
      </w:r>
      <w:r w:rsidR="005B33F6" w:rsidRPr="00DE4DC2">
        <w:t xml:space="preserve"> (the Commission)</w:t>
      </w:r>
      <w:r w:rsidR="00707367" w:rsidRPr="00DE4DC2">
        <w:t>.</w:t>
      </w:r>
      <w:r w:rsidR="00707367" w:rsidRPr="00707367">
        <w:t xml:space="preserve"> </w:t>
      </w:r>
    </w:p>
    <w:p w14:paraId="177E3AE6" w14:textId="280A9C06" w:rsidR="00E92B68" w:rsidRPr="00231A99" w:rsidRDefault="00707367" w:rsidP="004E63ED">
      <w:pPr>
        <w:pStyle w:val="Caption"/>
      </w:pPr>
      <w:bookmarkStart w:id="26" w:name="_Ref84509659"/>
      <w:bookmarkStart w:id="27" w:name="_Toc85369336"/>
      <w:r w:rsidRPr="00231A99">
        <w:lastRenderedPageBreak/>
        <w:t xml:space="preserve">Table </w:t>
      </w:r>
      <w:r w:rsidRPr="00231A99">
        <w:fldChar w:fldCharType="begin"/>
      </w:r>
      <w:r w:rsidRPr="00231A99">
        <w:instrText>SEQ Table \* ARABIC</w:instrText>
      </w:r>
      <w:r w:rsidRPr="00231A99">
        <w:fldChar w:fldCharType="separate"/>
      </w:r>
      <w:r w:rsidR="0083123A" w:rsidRPr="00231A99">
        <w:rPr>
          <w:noProof/>
        </w:rPr>
        <w:t>1</w:t>
      </w:r>
      <w:r w:rsidRPr="00231A99">
        <w:fldChar w:fldCharType="end"/>
      </w:r>
      <w:bookmarkEnd w:id="26"/>
      <w:r w:rsidRPr="00231A99">
        <w:t>: Evaluation questions and sub-questions</w:t>
      </w:r>
      <w:bookmarkEnd w:id="27"/>
    </w:p>
    <w:tbl>
      <w:tblPr>
        <w:tblStyle w:val="TableGrid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1275"/>
        <w:gridCol w:w="1843"/>
        <w:gridCol w:w="5952"/>
      </w:tblGrid>
      <w:tr w:rsidR="005E2488" w:rsidRPr="005E2488" w14:paraId="6C5516EC" w14:textId="77777777" w:rsidTr="00A94BA2">
        <w:trPr>
          <w:cnfStyle w:val="100000000000" w:firstRow="1" w:lastRow="0" w:firstColumn="0" w:lastColumn="0" w:oddVBand="0" w:evenVBand="0" w:oddHBand="0" w:evenHBand="0" w:firstRowFirstColumn="0" w:firstRowLastColumn="0" w:lastRowFirstColumn="0" w:lastRowLastColumn="0"/>
          <w:tblHeader/>
        </w:trPr>
        <w:tc>
          <w:tcPr>
            <w:tcW w:w="703" w:type="pct"/>
            <w:tcBorders>
              <w:bottom w:val="single" w:sz="4" w:space="0" w:color="00338D" w:themeColor="text2"/>
            </w:tcBorders>
          </w:tcPr>
          <w:p w14:paraId="47C9CC1E" w14:textId="681E95BC" w:rsidR="00442044" w:rsidRPr="005E2488" w:rsidRDefault="00442044" w:rsidP="004E63ED">
            <w:pPr>
              <w:pStyle w:val="Tableheading"/>
              <w:keepNext/>
            </w:pPr>
          </w:p>
        </w:tc>
        <w:tc>
          <w:tcPr>
            <w:tcW w:w="1016" w:type="pct"/>
            <w:tcBorders>
              <w:bottom w:val="single" w:sz="4" w:space="0" w:color="00338D" w:themeColor="text2"/>
            </w:tcBorders>
          </w:tcPr>
          <w:p w14:paraId="0A38093A" w14:textId="05733886" w:rsidR="000A0823" w:rsidRPr="005E2488" w:rsidRDefault="000A0823" w:rsidP="004E63ED">
            <w:pPr>
              <w:pStyle w:val="Tableheading"/>
              <w:keepNext/>
            </w:pPr>
            <w:r w:rsidRPr="005E2488">
              <w:t xml:space="preserve">Question </w:t>
            </w:r>
          </w:p>
        </w:tc>
        <w:tc>
          <w:tcPr>
            <w:tcW w:w="3281" w:type="pct"/>
            <w:tcBorders>
              <w:bottom w:val="single" w:sz="4" w:space="0" w:color="00338D" w:themeColor="text2"/>
            </w:tcBorders>
          </w:tcPr>
          <w:p w14:paraId="002A2835" w14:textId="161DB279" w:rsidR="0098220D" w:rsidRPr="005E2488" w:rsidRDefault="000A0823" w:rsidP="004E63ED">
            <w:pPr>
              <w:pStyle w:val="Tableheading"/>
              <w:keepNext/>
            </w:pPr>
            <w:r w:rsidRPr="005E2488">
              <w:t>Sub-Questions</w:t>
            </w:r>
          </w:p>
        </w:tc>
      </w:tr>
      <w:tr w:rsidR="00F631D2" w:rsidRPr="00073CE5" w14:paraId="0258ADC2" w14:textId="77777777" w:rsidTr="00FF1571">
        <w:tc>
          <w:tcPr>
            <w:tcW w:w="703" w:type="pct"/>
            <w:tcBorders>
              <w:top w:val="single" w:sz="4" w:space="0" w:color="00338D" w:themeColor="text2"/>
              <w:bottom w:val="single" w:sz="4" w:space="0" w:color="808080" w:themeColor="background1" w:themeShade="80"/>
            </w:tcBorders>
          </w:tcPr>
          <w:p w14:paraId="1E7ED397" w14:textId="77777777" w:rsidR="00F631D2" w:rsidRDefault="00F631D2" w:rsidP="00575CC4">
            <w:pPr>
              <w:pStyle w:val="Tableheading"/>
            </w:pPr>
            <w:r w:rsidRPr="00DC5212">
              <w:rPr>
                <w:noProof/>
              </w:rPr>
              <w:drawing>
                <wp:inline distT="0" distB="0" distL="0" distR="0" wp14:anchorId="1FDD8756" wp14:editId="109DA95D">
                  <wp:extent cx="581025" cy="581025"/>
                  <wp:effectExtent l="0" t="0" r="9525" b="9525"/>
                  <wp:docPr id="461" name="Picture 4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5315" cy="585315"/>
                          </a:xfrm>
                          <a:prstGeom prst="rect">
                            <a:avLst/>
                          </a:prstGeom>
                          <a:noFill/>
                          <a:ln>
                            <a:noFill/>
                          </a:ln>
                        </pic:spPr>
                      </pic:pic>
                    </a:graphicData>
                  </a:graphic>
                </wp:inline>
              </w:drawing>
            </w:r>
          </w:p>
          <w:p w14:paraId="662AA6FA" w14:textId="183043C7" w:rsidR="00170C2B" w:rsidRPr="00073CE5" w:rsidRDefault="00170C2B" w:rsidP="005E2488">
            <w:pPr>
              <w:pStyle w:val="Tablequestionbold"/>
            </w:pPr>
            <w:r w:rsidRPr="00170C2B">
              <w:t>Key Evaluation Question 1</w:t>
            </w:r>
          </w:p>
        </w:tc>
        <w:tc>
          <w:tcPr>
            <w:tcW w:w="1016" w:type="pct"/>
            <w:tcBorders>
              <w:top w:val="single" w:sz="4" w:space="0" w:color="00338D" w:themeColor="text2"/>
              <w:bottom w:val="single" w:sz="4" w:space="0" w:color="808080" w:themeColor="background1" w:themeShade="80"/>
            </w:tcBorders>
          </w:tcPr>
          <w:p w14:paraId="0D54C2DA" w14:textId="142C2DB5" w:rsidR="00F631D2" w:rsidRPr="00073CE5" w:rsidRDefault="00F631D2" w:rsidP="00CD3D14">
            <w:pPr>
              <w:pStyle w:val="Tabletextbold0"/>
            </w:pPr>
            <w:r w:rsidRPr="00DC5212">
              <w:t xml:space="preserve">How have broader contextual factors impacted </w:t>
            </w:r>
            <w:r w:rsidRPr="005E2488">
              <w:t>the</w:t>
            </w:r>
            <w:r w:rsidRPr="00DC5212">
              <w:t xml:space="preserve"> implementation of the Standards?</w:t>
            </w:r>
          </w:p>
        </w:tc>
        <w:tc>
          <w:tcPr>
            <w:tcW w:w="3281" w:type="pct"/>
            <w:tcBorders>
              <w:top w:val="single" w:sz="4" w:space="0" w:color="00338D" w:themeColor="text2"/>
              <w:bottom w:val="single" w:sz="4" w:space="0" w:color="808080" w:themeColor="background1" w:themeShade="80"/>
            </w:tcBorders>
          </w:tcPr>
          <w:p w14:paraId="55F99EE9" w14:textId="77777777" w:rsidR="00170C2B" w:rsidRDefault="00170C2B" w:rsidP="00FF1571">
            <w:pPr>
              <w:pStyle w:val="Tabletext"/>
              <w:ind w:left="458" w:hanging="425"/>
            </w:pPr>
            <w:r>
              <w:t>(a)</w:t>
            </w:r>
            <w:r>
              <w:tab/>
              <w:t>What were the key barriers and enablers to the implementation of the Standards?</w:t>
            </w:r>
          </w:p>
          <w:p w14:paraId="64522BE8" w14:textId="77777777" w:rsidR="00170C2B" w:rsidRDefault="00170C2B" w:rsidP="00FF1571">
            <w:pPr>
              <w:pStyle w:val="Tabletext"/>
              <w:ind w:left="458" w:hanging="425"/>
            </w:pPr>
            <w:r>
              <w:t>(b)</w:t>
            </w:r>
            <w:r>
              <w:tab/>
              <w:t>What other external factors have impacted the implementation of the Standards?</w:t>
            </w:r>
          </w:p>
          <w:p w14:paraId="3F6B4643" w14:textId="77777777" w:rsidR="00170C2B" w:rsidRDefault="00170C2B" w:rsidP="00FF1571">
            <w:pPr>
              <w:pStyle w:val="Tabletext"/>
              <w:ind w:left="458" w:hanging="425"/>
            </w:pPr>
            <w:r>
              <w:t>(c)</w:t>
            </w:r>
            <w:r>
              <w:tab/>
              <w:t>What implementation activities were conducted for providers and other stakeholders to support the implementation of the Standards (e.g., guidance materials, tools, resources)?</w:t>
            </w:r>
          </w:p>
          <w:p w14:paraId="11735029" w14:textId="77777777" w:rsidR="00170C2B" w:rsidRDefault="00170C2B" w:rsidP="00FF1571">
            <w:pPr>
              <w:pStyle w:val="Tabletext"/>
              <w:ind w:left="458" w:hanging="425"/>
            </w:pPr>
            <w:r>
              <w:t>(d)</w:t>
            </w:r>
            <w:r>
              <w:tab/>
              <w:t>How effectively have guidance materials, tools, resources and activities supported the implementation of the Standards by providers?</w:t>
            </w:r>
          </w:p>
          <w:p w14:paraId="0FD6E3E1" w14:textId="77777777" w:rsidR="00170C2B" w:rsidRDefault="00170C2B" w:rsidP="00FF1571">
            <w:pPr>
              <w:pStyle w:val="Tabletext"/>
              <w:ind w:left="458" w:hanging="425"/>
            </w:pPr>
            <w:r>
              <w:t>(e)</w:t>
            </w:r>
            <w:r>
              <w:tab/>
              <w:t>What can be learnt from the implementation of the Standards to inform future review and changes to the Standards?</w:t>
            </w:r>
          </w:p>
          <w:p w14:paraId="07C3EC9B" w14:textId="41F0DDF1" w:rsidR="00F631D2" w:rsidRPr="00073CE5" w:rsidRDefault="00170C2B" w:rsidP="00FF1571">
            <w:pPr>
              <w:pStyle w:val="Tabletext"/>
              <w:ind w:left="458" w:hanging="425"/>
            </w:pPr>
            <w:r>
              <w:t>(f)</w:t>
            </w:r>
            <w:r>
              <w:tab/>
              <w:t>What changes are required to align the Standards with future reform in the aged care sector?</w:t>
            </w:r>
          </w:p>
        </w:tc>
      </w:tr>
      <w:tr w:rsidR="00F631D2" w:rsidRPr="00073CE5" w14:paraId="7BF2BF95" w14:textId="77777777" w:rsidTr="00FF1571">
        <w:tc>
          <w:tcPr>
            <w:tcW w:w="703" w:type="pct"/>
            <w:tcBorders>
              <w:top w:val="single" w:sz="4" w:space="0" w:color="808080" w:themeColor="background1" w:themeShade="80"/>
              <w:bottom w:val="single" w:sz="4" w:space="0" w:color="808080" w:themeColor="background1" w:themeShade="80"/>
            </w:tcBorders>
          </w:tcPr>
          <w:p w14:paraId="6EEE9432" w14:textId="1E5F3237" w:rsidR="00F631D2" w:rsidRDefault="00B00479" w:rsidP="00575CC4">
            <w:pPr>
              <w:pStyle w:val="Tableheading"/>
            </w:pPr>
            <w:r w:rsidRPr="00DC5212">
              <w:rPr>
                <w:noProof/>
              </w:rPr>
              <w:drawing>
                <wp:inline distT="0" distB="0" distL="0" distR="0" wp14:anchorId="451628DE" wp14:editId="7E2AB206">
                  <wp:extent cx="581025" cy="581025"/>
                  <wp:effectExtent l="0" t="0" r="9525" b="9525"/>
                  <wp:docPr id="452" name="Picture 4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5315" cy="585315"/>
                          </a:xfrm>
                          <a:prstGeom prst="rect">
                            <a:avLst/>
                          </a:prstGeom>
                          <a:noFill/>
                          <a:ln>
                            <a:noFill/>
                          </a:ln>
                        </pic:spPr>
                      </pic:pic>
                    </a:graphicData>
                  </a:graphic>
                </wp:inline>
              </w:drawing>
            </w:r>
          </w:p>
          <w:p w14:paraId="1D806FAC" w14:textId="1B72EFBA" w:rsidR="009E1741" w:rsidRPr="00073CE5" w:rsidRDefault="009E1741" w:rsidP="005E2488">
            <w:pPr>
              <w:pStyle w:val="Tablequestionbold"/>
            </w:pPr>
            <w:r w:rsidRPr="009E1741">
              <w:t>Key Evaluation Question 2</w:t>
            </w:r>
          </w:p>
        </w:tc>
        <w:tc>
          <w:tcPr>
            <w:tcW w:w="1016" w:type="pct"/>
            <w:tcBorders>
              <w:top w:val="single" w:sz="4" w:space="0" w:color="808080" w:themeColor="background1" w:themeShade="80"/>
              <w:bottom w:val="single" w:sz="4" w:space="0" w:color="808080" w:themeColor="background1" w:themeShade="80"/>
            </w:tcBorders>
          </w:tcPr>
          <w:p w14:paraId="6348CD42" w14:textId="4E3AE49E" w:rsidR="00F631D2" w:rsidRPr="00073CE5" w:rsidRDefault="009E1741" w:rsidP="005E2488">
            <w:pPr>
              <w:pStyle w:val="Tabletextbold0"/>
            </w:pPr>
            <w:r w:rsidRPr="009E1741">
              <w:t xml:space="preserve">What improvements could be made to refine the Standards’ clarity, validity, </w:t>
            </w:r>
            <w:proofErr w:type="gramStart"/>
            <w:r w:rsidRPr="009E1741">
              <w:t>applicability</w:t>
            </w:r>
            <w:proofErr w:type="gramEnd"/>
            <w:r w:rsidRPr="009E1741">
              <w:t xml:space="preserve"> and reliability?</w:t>
            </w:r>
          </w:p>
        </w:tc>
        <w:tc>
          <w:tcPr>
            <w:tcW w:w="3281" w:type="pct"/>
            <w:tcBorders>
              <w:top w:val="single" w:sz="4" w:space="0" w:color="808080" w:themeColor="background1" w:themeShade="80"/>
              <w:bottom w:val="single" w:sz="4" w:space="0" w:color="808080" w:themeColor="background1" w:themeShade="80"/>
            </w:tcBorders>
          </w:tcPr>
          <w:p w14:paraId="71237B64" w14:textId="77777777" w:rsidR="009E1741" w:rsidRPr="009E1741" w:rsidRDefault="009E1741" w:rsidP="00FF1571">
            <w:pPr>
              <w:pStyle w:val="Tabletext"/>
              <w:ind w:left="458" w:hanging="425"/>
            </w:pPr>
            <w:r w:rsidRPr="009E1741">
              <w:t>(a)</w:t>
            </w:r>
            <w:r w:rsidRPr="009E1741">
              <w:tab/>
              <w:t>Are the Standards clear and easy to understand?</w:t>
            </w:r>
          </w:p>
          <w:p w14:paraId="7941B066" w14:textId="77777777" w:rsidR="009E1741" w:rsidRPr="009E1741" w:rsidRDefault="009E1741" w:rsidP="00FF1571">
            <w:pPr>
              <w:pStyle w:val="Tabletext"/>
              <w:ind w:left="458" w:hanging="425"/>
            </w:pPr>
            <w:r w:rsidRPr="009E1741">
              <w:t>(b)</w:t>
            </w:r>
            <w:r w:rsidRPr="009E1741">
              <w:tab/>
              <w:t>Are the Standards valid and reliable? Do they represent stakeholders’ expectations of quality aged care? Do they support consistent assessment of performance?</w:t>
            </w:r>
          </w:p>
          <w:p w14:paraId="681929AB" w14:textId="77777777" w:rsidR="009E1741" w:rsidRPr="009E1741" w:rsidRDefault="009E1741" w:rsidP="00FF1571">
            <w:pPr>
              <w:pStyle w:val="Tabletext"/>
              <w:ind w:left="458" w:hanging="425"/>
            </w:pPr>
            <w:r w:rsidRPr="009E1741">
              <w:t>(c)</w:t>
            </w:r>
            <w:r w:rsidRPr="009E1741">
              <w:tab/>
              <w:t>Are the Standards sufficiently flexible for application across all service types and settings?</w:t>
            </w:r>
          </w:p>
          <w:p w14:paraId="286085A0" w14:textId="77777777" w:rsidR="009E1741" w:rsidRPr="009E1741" w:rsidRDefault="009E1741" w:rsidP="00FF1571">
            <w:pPr>
              <w:pStyle w:val="Tabletext"/>
              <w:ind w:left="458" w:hanging="425"/>
            </w:pPr>
            <w:r w:rsidRPr="009E1741">
              <w:t>(d)</w:t>
            </w:r>
            <w:r w:rsidRPr="009E1741">
              <w:tab/>
              <w:t>Are there any gaps?</w:t>
            </w:r>
          </w:p>
          <w:p w14:paraId="19F3124F" w14:textId="77777777" w:rsidR="009E1741" w:rsidRPr="009E1741" w:rsidRDefault="009E1741" w:rsidP="00FF1571">
            <w:pPr>
              <w:pStyle w:val="Tabletext"/>
              <w:ind w:left="458" w:hanging="425"/>
            </w:pPr>
            <w:r w:rsidRPr="009E1741">
              <w:t>(e)</w:t>
            </w:r>
            <w:r w:rsidRPr="009E1741">
              <w:tab/>
              <w:t>Are there aspects of the Standards that could be harmonised? What benefit would this provide?</w:t>
            </w:r>
          </w:p>
          <w:p w14:paraId="7AF74A85" w14:textId="1D12299B" w:rsidR="00F631D2" w:rsidRPr="009E1741" w:rsidRDefault="009E1741" w:rsidP="00FF1571">
            <w:pPr>
              <w:pStyle w:val="Tabletext"/>
              <w:ind w:left="458" w:hanging="425"/>
            </w:pPr>
            <w:r w:rsidRPr="009E1741">
              <w:t>(f)</w:t>
            </w:r>
            <w:r w:rsidRPr="009E1741">
              <w:tab/>
              <w:t>Are there suggestions for improving individual Standards?</w:t>
            </w:r>
          </w:p>
        </w:tc>
      </w:tr>
      <w:tr w:rsidR="009E1741" w:rsidRPr="00073CE5" w14:paraId="0BE4635B" w14:textId="77777777" w:rsidTr="00FF1571">
        <w:tc>
          <w:tcPr>
            <w:tcW w:w="703" w:type="pct"/>
            <w:tcBorders>
              <w:top w:val="single" w:sz="4" w:space="0" w:color="808080" w:themeColor="background1" w:themeShade="80"/>
            </w:tcBorders>
          </w:tcPr>
          <w:p w14:paraId="20455317" w14:textId="5F33DAF6" w:rsidR="009E1741" w:rsidRDefault="00B00479" w:rsidP="00575CC4">
            <w:pPr>
              <w:pStyle w:val="Tableheading"/>
            </w:pPr>
            <w:r w:rsidRPr="00DC5212">
              <w:rPr>
                <w:noProof/>
              </w:rPr>
              <w:drawing>
                <wp:inline distT="0" distB="0" distL="0" distR="0" wp14:anchorId="6363F86A" wp14:editId="0D3DEDAD">
                  <wp:extent cx="581025" cy="581025"/>
                  <wp:effectExtent l="0" t="0" r="9525" b="9525"/>
                  <wp:docPr id="463" name="Picture 4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5315" cy="585315"/>
                          </a:xfrm>
                          <a:prstGeom prst="rect">
                            <a:avLst/>
                          </a:prstGeom>
                          <a:noFill/>
                          <a:ln>
                            <a:noFill/>
                          </a:ln>
                        </pic:spPr>
                      </pic:pic>
                    </a:graphicData>
                  </a:graphic>
                </wp:inline>
              </w:drawing>
            </w:r>
          </w:p>
          <w:p w14:paraId="7B40439E" w14:textId="2CA37B6B" w:rsidR="00B00479" w:rsidRPr="00073CE5" w:rsidRDefault="00B00479" w:rsidP="005E2488">
            <w:pPr>
              <w:pStyle w:val="Tablequestionbold"/>
            </w:pPr>
            <w:r w:rsidRPr="00B00479">
              <w:t>Key Evaluation Question 3</w:t>
            </w:r>
          </w:p>
        </w:tc>
        <w:tc>
          <w:tcPr>
            <w:tcW w:w="1016" w:type="pct"/>
            <w:tcBorders>
              <w:top w:val="single" w:sz="4" w:space="0" w:color="808080" w:themeColor="background1" w:themeShade="80"/>
            </w:tcBorders>
          </w:tcPr>
          <w:p w14:paraId="6B6EF46A" w14:textId="74D3D6A5" w:rsidR="009E1741" w:rsidRPr="00073CE5" w:rsidRDefault="00B00479" w:rsidP="005E2488">
            <w:pPr>
              <w:pStyle w:val="Tabletextbold0"/>
            </w:pPr>
            <w:r w:rsidRPr="00B00479">
              <w:t xml:space="preserve">What impact has the Standards had on consumers, </w:t>
            </w:r>
            <w:proofErr w:type="gramStart"/>
            <w:r w:rsidRPr="00B00479">
              <w:t>providers</w:t>
            </w:r>
            <w:proofErr w:type="gramEnd"/>
            <w:r w:rsidRPr="00B00479">
              <w:t xml:space="preserve"> and other key stakeholders? To what extent are the intended outcomes being achieved?</w:t>
            </w:r>
          </w:p>
        </w:tc>
        <w:tc>
          <w:tcPr>
            <w:tcW w:w="3281" w:type="pct"/>
            <w:tcBorders>
              <w:top w:val="single" w:sz="4" w:space="0" w:color="808080" w:themeColor="background1" w:themeShade="80"/>
            </w:tcBorders>
          </w:tcPr>
          <w:p w14:paraId="10541F5F" w14:textId="285F30D2" w:rsidR="00EB6499" w:rsidRDefault="00EB6499" w:rsidP="00FF1571">
            <w:pPr>
              <w:pStyle w:val="Tabletext"/>
              <w:ind w:left="458" w:hanging="425"/>
            </w:pPr>
            <w:r>
              <w:t>(a)</w:t>
            </w:r>
            <w:r>
              <w:tab/>
              <w:t>To what extent are the intended outcomes being achieved (short-term outcomes)? Is there evidence of providers making changes to meet the new Standards? Do service providers have an increased focus on quality outcomes for consumers? I.e. are service providers achieving the consumer outcomes (defined under each Standard)?</w:t>
            </w:r>
          </w:p>
          <w:p w14:paraId="06443B02" w14:textId="77777777" w:rsidR="00EB6499" w:rsidRDefault="00EB6499" w:rsidP="00FF1571">
            <w:pPr>
              <w:pStyle w:val="Tabletext"/>
              <w:ind w:left="458" w:hanging="425"/>
            </w:pPr>
            <w:r>
              <w:t>(b)</w:t>
            </w:r>
            <w:r>
              <w:tab/>
              <w:t>Is there a difference in impacts based on service types, consumer diversity, location of service provider or diversity of service provider, and regulator?</w:t>
            </w:r>
          </w:p>
          <w:p w14:paraId="1AA375A1" w14:textId="029877C0" w:rsidR="009E1741" w:rsidRPr="009E1741" w:rsidRDefault="00EB6499" w:rsidP="00FF1571">
            <w:pPr>
              <w:pStyle w:val="Tabletext"/>
              <w:ind w:left="458" w:hanging="425"/>
            </w:pPr>
            <w:r>
              <w:t>(c)</w:t>
            </w:r>
            <w:r>
              <w:tab/>
              <w:t>What other factors may have contributed to or hindered the achievement of the outcomes?</w:t>
            </w:r>
          </w:p>
        </w:tc>
      </w:tr>
    </w:tbl>
    <w:p w14:paraId="0B15656F" w14:textId="3A07B4CE" w:rsidR="00707367" w:rsidRDefault="00707367" w:rsidP="004E63ED">
      <w:pPr>
        <w:pStyle w:val="Source0"/>
      </w:pPr>
      <w:r>
        <w:t xml:space="preserve">Source: </w:t>
      </w:r>
      <w:r w:rsidR="001873F2">
        <w:t>KPMG</w:t>
      </w:r>
      <w:r w:rsidR="00DC5212">
        <w:t>.</w:t>
      </w:r>
    </w:p>
    <w:p w14:paraId="3D3C1AB6" w14:textId="07EDFC76" w:rsidR="00F32E5D" w:rsidRPr="00231A99" w:rsidRDefault="00F32E5D" w:rsidP="00231A99">
      <w:pPr>
        <w:pStyle w:val="HeadingLevel3NoNumber"/>
      </w:pPr>
      <w:r w:rsidRPr="00231A99">
        <w:t>Out of scope</w:t>
      </w:r>
    </w:p>
    <w:p w14:paraId="00CA5637" w14:textId="05C04C4F" w:rsidR="009135A3" w:rsidRDefault="009135A3" w:rsidP="0031745A">
      <w:pPr>
        <w:pStyle w:val="BodyText1"/>
      </w:pPr>
      <w:r>
        <w:t>The following domains were out of scope for this evaluation:</w:t>
      </w:r>
    </w:p>
    <w:p w14:paraId="1B6A2D1B" w14:textId="078E3B4B" w:rsidR="009135A3" w:rsidRDefault="009135A3" w:rsidP="002A4AE3">
      <w:pPr>
        <w:pStyle w:val="Bullet1stlevel"/>
      </w:pPr>
      <w:r>
        <w:t>Evaluation of the development of the Standards</w:t>
      </w:r>
      <w:r w:rsidR="005E7D48">
        <w:rPr>
          <w:rFonts w:ascii="ZWAdobeF" w:hAnsi="ZWAdobeF" w:cs="ZWAdobeF"/>
          <w:sz w:val="2"/>
          <w:szCs w:val="2"/>
        </w:rPr>
        <w:t>0F</w:t>
      </w:r>
      <w:r w:rsidR="00C523E7">
        <w:rPr>
          <w:rStyle w:val="FootnoteReference"/>
        </w:rPr>
        <w:footnoteReference w:id="2"/>
      </w:r>
    </w:p>
    <w:p w14:paraId="78AEC1C1" w14:textId="6369E93E" w:rsidR="008C6CE5" w:rsidRDefault="009135A3" w:rsidP="002A4AE3">
      <w:pPr>
        <w:pStyle w:val="Bullet1stlevel"/>
      </w:pPr>
      <w:r>
        <w:t>Evaluation of the regulation of performance against the Standards.</w:t>
      </w:r>
    </w:p>
    <w:p w14:paraId="6EBCDD9E" w14:textId="4613833E" w:rsidR="00991221" w:rsidRDefault="00BC091F" w:rsidP="00334396">
      <w:pPr>
        <w:pStyle w:val="Heading2"/>
      </w:pPr>
      <w:bookmarkStart w:id="28" w:name="_Ref84577697"/>
      <w:bookmarkStart w:id="29" w:name="_Toc88804066"/>
      <w:bookmarkStart w:id="30" w:name="_Toc89930029"/>
      <w:bookmarkStart w:id="31" w:name="_Toc90453348"/>
      <w:bookmarkStart w:id="32" w:name="_Toc113448676"/>
      <w:r>
        <w:t xml:space="preserve">1.3 </w:t>
      </w:r>
      <w:r w:rsidR="00991221">
        <w:t>Limitations</w:t>
      </w:r>
      <w:bookmarkEnd w:id="28"/>
      <w:bookmarkEnd w:id="29"/>
      <w:bookmarkEnd w:id="30"/>
      <w:bookmarkEnd w:id="31"/>
      <w:bookmarkEnd w:id="32"/>
    </w:p>
    <w:p w14:paraId="31C78EE5" w14:textId="50194C2E" w:rsidR="00991221" w:rsidRDefault="00991221" w:rsidP="0031745A">
      <w:pPr>
        <w:pStyle w:val="BodyText1"/>
      </w:pPr>
      <w:r w:rsidRPr="00931F18">
        <w:t>The</w:t>
      </w:r>
      <w:r>
        <w:t xml:space="preserve"> </w:t>
      </w:r>
      <w:r w:rsidR="00A362BC">
        <w:t>following</w:t>
      </w:r>
      <w:r>
        <w:t xml:space="preserve"> limitations </w:t>
      </w:r>
      <w:r w:rsidR="00955B8C">
        <w:t>should</w:t>
      </w:r>
      <w:r w:rsidR="009A5104">
        <w:t xml:space="preserve"> be considered </w:t>
      </w:r>
      <w:r w:rsidR="00010DD0">
        <w:t>when reviewing and interpreting</w:t>
      </w:r>
      <w:r w:rsidR="009A5104">
        <w:t xml:space="preserve"> the </w:t>
      </w:r>
      <w:r w:rsidR="00010DD0">
        <w:t>findings presented in this report</w:t>
      </w:r>
      <w:r>
        <w:t>:</w:t>
      </w:r>
    </w:p>
    <w:p w14:paraId="4FC1B6FD" w14:textId="24D9CB53" w:rsidR="00241E90" w:rsidRPr="00241E90" w:rsidRDefault="00B41DD2" w:rsidP="002A4AE3">
      <w:pPr>
        <w:pStyle w:val="Bullet1stlevel"/>
      </w:pPr>
      <w:r w:rsidRPr="005E2488">
        <w:rPr>
          <w:rStyle w:val="Strong"/>
        </w:rPr>
        <w:t>Timeframe explored for this Evaluation</w:t>
      </w:r>
      <w:r w:rsidRPr="00B41DD2">
        <w:rPr>
          <w:b/>
          <w:bCs/>
        </w:rPr>
        <w:t xml:space="preserve">: </w:t>
      </w:r>
      <w:r w:rsidR="00991221" w:rsidRPr="006A4616">
        <w:t>The Standards have only been in place for two years. As such, this evaluation did not focus on the medium- and longer-term impacts associated with the Standards.</w:t>
      </w:r>
    </w:p>
    <w:p w14:paraId="433E9964" w14:textId="0DA56937" w:rsidR="000968A9" w:rsidRDefault="0064127F" w:rsidP="002A4AE3">
      <w:pPr>
        <w:pStyle w:val="Bullet1stlevel"/>
      </w:pPr>
      <w:r w:rsidRPr="005E2488">
        <w:rPr>
          <w:rStyle w:val="Strong"/>
        </w:rPr>
        <w:lastRenderedPageBreak/>
        <w:t xml:space="preserve">Availability of </w:t>
      </w:r>
      <w:r w:rsidR="00645896" w:rsidRPr="005E2488">
        <w:rPr>
          <w:rStyle w:val="Strong"/>
        </w:rPr>
        <w:t xml:space="preserve">quantitative </w:t>
      </w:r>
      <w:r w:rsidRPr="005E2488">
        <w:rPr>
          <w:rStyle w:val="Strong"/>
        </w:rPr>
        <w:t xml:space="preserve">data to support </w:t>
      </w:r>
      <w:r w:rsidR="00645896" w:rsidRPr="005E2488">
        <w:rPr>
          <w:rStyle w:val="Strong"/>
        </w:rPr>
        <w:t xml:space="preserve">the evaluation and to </w:t>
      </w:r>
      <w:r w:rsidR="006A5E58" w:rsidRPr="005E2488">
        <w:rPr>
          <w:rStyle w:val="Strong"/>
        </w:rPr>
        <w:t xml:space="preserve">complete </w:t>
      </w:r>
      <w:r w:rsidRPr="005E2488">
        <w:rPr>
          <w:rStyle w:val="Strong"/>
        </w:rPr>
        <w:t>a pre-post study:</w:t>
      </w:r>
      <w:r w:rsidRPr="005029CC">
        <w:t xml:space="preserve"> </w:t>
      </w:r>
      <w:r w:rsidR="000968A9" w:rsidRPr="0064127F">
        <w:t>A pre-post study was not able to be completed</w:t>
      </w:r>
      <w:r w:rsidR="00020B67">
        <w:t>. Given</w:t>
      </w:r>
      <w:r>
        <w:t xml:space="preserve"> the</w:t>
      </w:r>
      <w:r w:rsidR="000968A9" w:rsidRPr="0064127F">
        <w:t xml:space="preserve"> differences </w:t>
      </w:r>
      <w:r>
        <w:t>between the sets of standards</w:t>
      </w:r>
      <w:r w:rsidR="000968A9" w:rsidRPr="006A4616">
        <w:t xml:space="preserve"> in </w:t>
      </w:r>
      <w:r w:rsidR="00EF4DD3">
        <w:t>place prior to and post 1 July 2019</w:t>
      </w:r>
      <w:r w:rsidR="002075DD">
        <w:t>,</w:t>
      </w:r>
      <w:r w:rsidR="00020B67">
        <w:t xml:space="preserve"> </w:t>
      </w:r>
      <w:r w:rsidR="00020B67" w:rsidRPr="006A4616">
        <w:t xml:space="preserve">it </w:t>
      </w:r>
      <w:r w:rsidR="00020B67">
        <w:t>was</w:t>
      </w:r>
      <w:r w:rsidR="00020B67" w:rsidRPr="006A4616">
        <w:t xml:space="preserve"> not appropriate to compare levels of compliance against the different sets of standards</w:t>
      </w:r>
      <w:r w:rsidR="00020B67">
        <w:t>.</w:t>
      </w:r>
      <w:r w:rsidR="00536656">
        <w:t xml:space="preserve"> Performance data is also not yet available for every provider in the sector as the</w:t>
      </w:r>
      <w:r w:rsidR="000968A9" w:rsidRPr="006A4616">
        <w:t xml:space="preserve"> Accreditation and Quality Review Cycles (timeframes up to three years) have not been completed for all providers. </w:t>
      </w:r>
      <w:r w:rsidR="00046C96">
        <w:t>As such, this evaluation has drawn on stakeholder perspectives shared through the survey and consultations, the lightning review and findings from the Royal Commission</w:t>
      </w:r>
      <w:r w:rsidR="00F51E2E">
        <w:t>.</w:t>
      </w:r>
    </w:p>
    <w:p w14:paraId="64DDC4D5" w14:textId="54728C24" w:rsidR="00412743" w:rsidRPr="00C273FC" w:rsidRDefault="00592A25" w:rsidP="002A4AE3">
      <w:pPr>
        <w:pStyle w:val="Bullet1stlevel"/>
      </w:pPr>
      <w:r w:rsidRPr="005E2488">
        <w:rPr>
          <w:rStyle w:val="Strong"/>
        </w:rPr>
        <w:t>Representativeness of participants in stakeholder consultations:</w:t>
      </w:r>
      <w:r>
        <w:t xml:space="preserve"> </w:t>
      </w:r>
      <w:r w:rsidR="004908BA">
        <w:t>A</w:t>
      </w:r>
      <w:r>
        <w:t xml:space="preserve"> range of stakeholders were identified to participate in interviews. In some cases, these stakeholders represented a sample of a broader group. These samples had the potential of being biased and indicative, rather than definitive. Wherever possible, stakeholders</w:t>
      </w:r>
      <w:r w:rsidR="004908BA">
        <w:t xml:space="preserve"> from an organisation or group</w:t>
      </w:r>
      <w:r>
        <w:t xml:space="preserve"> were representative of an organisation or held an official role and were asked to provide information to support their views when that information was not already being collected from other sources</w:t>
      </w:r>
      <w:r w:rsidR="00685E07">
        <w:t>.</w:t>
      </w:r>
    </w:p>
    <w:p w14:paraId="1A03FC95" w14:textId="401A8A3C" w:rsidR="00130258" w:rsidRDefault="00D569F2" w:rsidP="002A4AE3">
      <w:pPr>
        <w:pStyle w:val="Bullet1stlevel"/>
      </w:pPr>
      <w:r w:rsidRPr="005E2488">
        <w:rPr>
          <w:rStyle w:val="Strong"/>
        </w:rPr>
        <w:t>Attribution:</w:t>
      </w:r>
      <w:r w:rsidRPr="005029CC">
        <w:t xml:space="preserve"> </w:t>
      </w:r>
      <w:r w:rsidRPr="00AB36EF">
        <w:t xml:space="preserve">In the absence of data to support a pre-post study, it is difficult to attribute the changes observed </w:t>
      </w:r>
      <w:r w:rsidR="00F0788C" w:rsidRPr="00AB36EF">
        <w:t xml:space="preserve">solely </w:t>
      </w:r>
      <w:proofErr w:type="gramStart"/>
      <w:r w:rsidR="00F0788C" w:rsidRPr="00AB36EF">
        <w:t>as a result of</w:t>
      </w:r>
      <w:proofErr w:type="gramEnd"/>
      <w:r w:rsidR="00F0788C" w:rsidRPr="00AB36EF">
        <w:t xml:space="preserve"> the Standards.</w:t>
      </w:r>
      <w:r w:rsidR="0003065F" w:rsidRPr="005029CC">
        <w:t xml:space="preserve"> </w:t>
      </w:r>
      <w:r w:rsidR="00AB36EF">
        <w:t>A range</w:t>
      </w:r>
      <w:r w:rsidR="0003065F">
        <w:t xml:space="preserve"> of </w:t>
      </w:r>
      <w:r w:rsidR="00AB36EF">
        <w:t>additional</w:t>
      </w:r>
      <w:r w:rsidR="00991221" w:rsidRPr="006A4616">
        <w:t xml:space="preserve"> contextual factors </w:t>
      </w:r>
      <w:r w:rsidR="00AB36EF" w:rsidRPr="006A4616">
        <w:t xml:space="preserve">were raised by stakeholders </w:t>
      </w:r>
      <w:r w:rsidR="00991221" w:rsidRPr="006A4616">
        <w:t xml:space="preserve">which impacted the implementation of the Standards and the experience of providers in transitioning to the </w:t>
      </w:r>
      <w:r w:rsidR="002075DD">
        <w:t>S</w:t>
      </w:r>
      <w:r w:rsidR="002075DD" w:rsidRPr="006A4616">
        <w:t>tandards</w:t>
      </w:r>
      <w:r w:rsidR="00265090">
        <w:t xml:space="preserve"> which are documented in this report</w:t>
      </w:r>
      <w:r w:rsidR="00991221" w:rsidRPr="006A4616">
        <w:t>.</w:t>
      </w:r>
      <w:r w:rsidR="00991221">
        <w:t xml:space="preserve"> The aged care sector has been significantly affected by these and other contextual factors during the period of implementation of the Standards. It is envisaged that these contextual factors impact findings of this evaluation more significantly than would otherwise be the case, or may be the case during future evaluations of the Standards. </w:t>
      </w:r>
    </w:p>
    <w:p w14:paraId="7DCB45A7" w14:textId="084D2EA1" w:rsidR="0041212C" w:rsidRPr="00D746D7" w:rsidRDefault="00D746D7" w:rsidP="002A4AE3">
      <w:pPr>
        <w:pStyle w:val="Bullet1stlevel"/>
        <w:rPr>
          <w:b/>
          <w:bCs/>
        </w:rPr>
      </w:pPr>
      <w:r w:rsidRPr="005E2488">
        <w:rPr>
          <w:rStyle w:val="Strong"/>
        </w:rPr>
        <w:t>Availability and accuracy of data:</w:t>
      </w:r>
      <w:r w:rsidRPr="00D746D7">
        <w:rPr>
          <w:b/>
          <w:bCs/>
        </w:rPr>
        <w:t xml:space="preserve"> </w:t>
      </w:r>
      <w:r w:rsidR="00700224">
        <w:t xml:space="preserve">There are </w:t>
      </w:r>
      <w:r w:rsidR="006E539C">
        <w:t xml:space="preserve">limitations on the availability and reliability of data sources to understand impact and </w:t>
      </w:r>
      <w:r w:rsidR="002114E3">
        <w:t xml:space="preserve">quality of the aged care sector as well as other relevant data points. Where there </w:t>
      </w:r>
      <w:r w:rsidR="00906D05">
        <w:t xml:space="preserve">are </w:t>
      </w:r>
      <w:r w:rsidR="002114E3">
        <w:t>limits on available and reliable data to suppor</w:t>
      </w:r>
      <w:r w:rsidR="00572227">
        <w:t xml:space="preserve">t </w:t>
      </w:r>
      <w:r w:rsidR="00B65523">
        <w:t xml:space="preserve">conclusive evidence </w:t>
      </w:r>
      <w:r w:rsidR="00572227">
        <w:t xml:space="preserve">of findings of the evaluation questions, these are </w:t>
      </w:r>
      <w:r w:rsidR="00B65523">
        <w:t>highlighted through</w:t>
      </w:r>
      <w:r w:rsidR="00794243">
        <w:t>out</w:t>
      </w:r>
      <w:r w:rsidR="00B65523">
        <w:t xml:space="preserve"> the report. </w:t>
      </w:r>
    </w:p>
    <w:p w14:paraId="69ADBE2B" w14:textId="49771286" w:rsidR="00BA1FC3" w:rsidRDefault="00BA1FC3" w:rsidP="002A4AE3">
      <w:pPr>
        <w:pStyle w:val="Bullet1stlevel"/>
      </w:pPr>
      <w:r w:rsidRPr="005E2488">
        <w:rPr>
          <w:rStyle w:val="Strong"/>
        </w:rPr>
        <w:t>Alignment of evaluation questions:</w:t>
      </w:r>
      <w:r>
        <w:t xml:space="preserve"> </w:t>
      </w:r>
      <w:r w:rsidR="00F51E2E">
        <w:t>T</w:t>
      </w:r>
      <w:r>
        <w:t>he evaluation required analysis against each evaluation question as agreed with the Department. However, some evaluation questions related to more than one given evaluation domain, which meant that some findings were discussed across several domains where necessary.</w:t>
      </w:r>
    </w:p>
    <w:p w14:paraId="13154E2F" w14:textId="737B8457" w:rsidR="003E0B61" w:rsidRPr="003E0B61" w:rsidRDefault="00BC091F" w:rsidP="00334396">
      <w:pPr>
        <w:pStyle w:val="Heading2"/>
        <w:rPr>
          <w:noProof/>
        </w:rPr>
      </w:pPr>
      <w:bookmarkStart w:id="33" w:name="_Toc88804067"/>
      <w:bookmarkStart w:id="34" w:name="_Toc89930030"/>
      <w:bookmarkStart w:id="35" w:name="_Toc90453349"/>
      <w:bookmarkStart w:id="36" w:name="_Toc113448677"/>
      <w:r>
        <w:rPr>
          <w:noProof/>
        </w:rPr>
        <w:t xml:space="preserve">1.4 </w:t>
      </w:r>
      <w:r w:rsidR="00284197">
        <w:rPr>
          <w:noProof/>
        </w:rPr>
        <w:t>Structure of the report</w:t>
      </w:r>
      <w:bookmarkEnd w:id="33"/>
      <w:bookmarkEnd w:id="34"/>
      <w:bookmarkEnd w:id="35"/>
      <w:bookmarkEnd w:id="36"/>
    </w:p>
    <w:p w14:paraId="2C1C25C8" w14:textId="2DA6ECD9" w:rsidR="003F5B2B" w:rsidRPr="003F5B2B" w:rsidRDefault="002075DD" w:rsidP="008C6AD9">
      <w:pPr>
        <w:pStyle w:val="BodyText1"/>
        <w:rPr>
          <w:noProof/>
        </w:rPr>
      </w:pPr>
      <w:r>
        <w:rPr>
          <w:noProof/>
        </w:rPr>
        <w:t>This</w:t>
      </w:r>
      <w:r w:rsidR="00284197">
        <w:rPr>
          <w:noProof/>
        </w:rPr>
        <w:t xml:space="preserve"> report is structured in the following sections:</w:t>
      </w:r>
    </w:p>
    <w:p w14:paraId="293BEE12" w14:textId="35D40077" w:rsidR="00284197" w:rsidRDefault="00284197" w:rsidP="002A4AE3">
      <w:pPr>
        <w:pStyle w:val="Bullet1stlevel"/>
        <w:rPr>
          <w:noProof/>
        </w:rPr>
      </w:pPr>
      <w:r w:rsidRPr="005E2488">
        <w:rPr>
          <w:rStyle w:val="Strong"/>
        </w:rPr>
        <w:t>Section 1:</w:t>
      </w:r>
      <w:r w:rsidR="00DE4918">
        <w:rPr>
          <w:noProof/>
        </w:rPr>
        <w:t xml:space="preserve"> Provides</w:t>
      </w:r>
      <w:r w:rsidR="00DE4918" w:rsidRPr="00DE4918">
        <w:rPr>
          <w:noProof/>
        </w:rPr>
        <w:t xml:space="preserve"> the project context and the purpose, scope and methodology employed to conduct this Evaluation</w:t>
      </w:r>
    </w:p>
    <w:p w14:paraId="2E4D57BC" w14:textId="77777777" w:rsidR="00CA5816" w:rsidRDefault="00284197" w:rsidP="002A4AE3">
      <w:pPr>
        <w:pStyle w:val="Bullet1stlevel"/>
        <w:rPr>
          <w:noProof/>
        </w:rPr>
      </w:pPr>
      <w:r w:rsidRPr="005E2488">
        <w:rPr>
          <w:rStyle w:val="Strong"/>
        </w:rPr>
        <w:t>Section 2:</w:t>
      </w:r>
      <w:r w:rsidR="00DE4918" w:rsidRPr="005E2488">
        <w:rPr>
          <w:rStyle w:val="Strong"/>
        </w:rPr>
        <w:t xml:space="preserve"> </w:t>
      </w:r>
      <w:r w:rsidR="00DE4918">
        <w:rPr>
          <w:noProof/>
        </w:rPr>
        <w:t>P</w:t>
      </w:r>
      <w:r w:rsidR="00DE4918" w:rsidRPr="00DE4918">
        <w:rPr>
          <w:noProof/>
        </w:rPr>
        <w:t>rovides important contextual information about the Standards</w:t>
      </w:r>
    </w:p>
    <w:p w14:paraId="5429C81D" w14:textId="4A1434A2" w:rsidR="00284197" w:rsidRDefault="00CA5816" w:rsidP="002A4AE3">
      <w:pPr>
        <w:pStyle w:val="Bullet1stlevel"/>
        <w:rPr>
          <w:noProof/>
        </w:rPr>
      </w:pPr>
      <w:r w:rsidRPr="005E2488">
        <w:rPr>
          <w:rStyle w:val="Strong"/>
        </w:rPr>
        <w:t>Section 3:</w:t>
      </w:r>
      <w:r>
        <w:rPr>
          <w:noProof/>
        </w:rPr>
        <w:t xml:space="preserve"> P</w:t>
      </w:r>
      <w:r w:rsidRPr="00CA5816">
        <w:rPr>
          <w:noProof/>
        </w:rPr>
        <w:t>resents the</w:t>
      </w:r>
      <w:r w:rsidR="00DE4918" w:rsidRPr="00DE4918">
        <w:rPr>
          <w:noProof/>
        </w:rPr>
        <w:t xml:space="preserve"> findings and recommendations from the Royal Commission</w:t>
      </w:r>
      <w:r w:rsidRPr="00CA5816">
        <w:rPr>
          <w:noProof/>
        </w:rPr>
        <w:t xml:space="preserve"> in relation to the Standards.</w:t>
      </w:r>
    </w:p>
    <w:p w14:paraId="31DC58F7" w14:textId="02C3A8B6" w:rsidR="000752EB" w:rsidRDefault="00B460FD" w:rsidP="002A4AE3">
      <w:pPr>
        <w:pStyle w:val="Bullet1stlevel"/>
        <w:rPr>
          <w:noProof/>
        </w:rPr>
      </w:pPr>
      <w:r w:rsidRPr="005E2488">
        <w:rPr>
          <w:rStyle w:val="Strong"/>
        </w:rPr>
        <w:t xml:space="preserve">Section </w:t>
      </w:r>
      <w:r w:rsidR="000752EB" w:rsidRPr="005E2488">
        <w:rPr>
          <w:rStyle w:val="Strong"/>
        </w:rPr>
        <w:t>4:</w:t>
      </w:r>
      <w:r w:rsidR="000752EB">
        <w:rPr>
          <w:noProof/>
        </w:rPr>
        <w:t xml:space="preserve"> Provides the methodology used to conduct this Evaluation.</w:t>
      </w:r>
    </w:p>
    <w:p w14:paraId="7077D576" w14:textId="5FC72490" w:rsidR="00A40147" w:rsidRPr="00A40147" w:rsidRDefault="00B460FD" w:rsidP="002A4AE3">
      <w:pPr>
        <w:pStyle w:val="Bullet1stlevel"/>
        <w:rPr>
          <w:noProof/>
        </w:rPr>
      </w:pPr>
      <w:r w:rsidRPr="005E2488">
        <w:rPr>
          <w:rStyle w:val="Strong"/>
        </w:rPr>
        <w:t xml:space="preserve">Section </w:t>
      </w:r>
      <w:r w:rsidR="000752EB" w:rsidRPr="005E2488">
        <w:rPr>
          <w:rStyle w:val="Strong"/>
        </w:rPr>
        <w:t>5</w:t>
      </w:r>
      <w:r w:rsidRPr="005E2488">
        <w:rPr>
          <w:rStyle w:val="Strong"/>
        </w:rPr>
        <w:t>:</w:t>
      </w:r>
      <w:r w:rsidR="00484ECA" w:rsidRPr="00484ECA">
        <w:rPr>
          <w:b/>
          <w:bCs/>
          <w:noProof/>
        </w:rPr>
        <w:t xml:space="preserve"> </w:t>
      </w:r>
      <w:r w:rsidR="00484ECA">
        <w:rPr>
          <w:noProof/>
        </w:rPr>
        <w:t xml:space="preserve">Presents </w:t>
      </w:r>
      <w:r w:rsidR="00484ECA" w:rsidRPr="00484ECA">
        <w:rPr>
          <w:noProof/>
        </w:rPr>
        <w:t>findings</w:t>
      </w:r>
      <w:r w:rsidR="00484ECA">
        <w:rPr>
          <w:noProof/>
        </w:rPr>
        <w:t xml:space="preserve"> from the Evaluation</w:t>
      </w:r>
      <w:r w:rsidR="00484ECA" w:rsidRPr="00484ECA">
        <w:rPr>
          <w:noProof/>
        </w:rPr>
        <w:t xml:space="preserve"> related to Key Evaluation Question 1: How have broader contextual factors impacted on the implementation of the Standards?</w:t>
      </w:r>
    </w:p>
    <w:p w14:paraId="154B80E5" w14:textId="28F4770A" w:rsidR="00B460FD" w:rsidRDefault="00B460FD" w:rsidP="002A4AE3">
      <w:pPr>
        <w:pStyle w:val="Bullet1stlevel"/>
        <w:rPr>
          <w:noProof/>
        </w:rPr>
      </w:pPr>
      <w:r w:rsidRPr="005E2488">
        <w:rPr>
          <w:rStyle w:val="Strong"/>
        </w:rPr>
        <w:t xml:space="preserve">Section </w:t>
      </w:r>
      <w:r w:rsidR="000752EB" w:rsidRPr="005E2488">
        <w:rPr>
          <w:rStyle w:val="Strong"/>
        </w:rPr>
        <w:t>6</w:t>
      </w:r>
      <w:r w:rsidRPr="005E2488">
        <w:rPr>
          <w:rStyle w:val="Strong"/>
        </w:rPr>
        <w:t>:</w:t>
      </w:r>
      <w:r w:rsidR="00484ECA" w:rsidRPr="00484ECA">
        <w:rPr>
          <w:b/>
          <w:bCs/>
          <w:noProof/>
        </w:rPr>
        <w:t xml:space="preserve"> </w:t>
      </w:r>
      <w:r w:rsidR="00484ECA">
        <w:rPr>
          <w:noProof/>
        </w:rPr>
        <w:t xml:space="preserve">Presents </w:t>
      </w:r>
      <w:r w:rsidR="00484ECA" w:rsidRPr="00484ECA">
        <w:rPr>
          <w:noProof/>
        </w:rPr>
        <w:t>findings</w:t>
      </w:r>
      <w:r w:rsidR="00484ECA">
        <w:rPr>
          <w:noProof/>
        </w:rPr>
        <w:t xml:space="preserve"> from the Evaluation</w:t>
      </w:r>
      <w:r w:rsidR="00484ECA" w:rsidRPr="00484ECA">
        <w:rPr>
          <w:noProof/>
        </w:rPr>
        <w:t xml:space="preserve"> related to Key Evaluation Question</w:t>
      </w:r>
      <w:r w:rsidR="00484ECA">
        <w:rPr>
          <w:noProof/>
        </w:rPr>
        <w:t xml:space="preserve"> 2: </w:t>
      </w:r>
      <w:r w:rsidR="00484ECA" w:rsidRPr="00484ECA">
        <w:rPr>
          <w:noProof/>
        </w:rPr>
        <w:t>What improvements could be made to refine the standards’ clarity, validity, applicability and reliability?</w:t>
      </w:r>
    </w:p>
    <w:p w14:paraId="27FD4EBC" w14:textId="6D0E578F" w:rsidR="00B460FD" w:rsidRDefault="00B460FD" w:rsidP="002A4AE3">
      <w:pPr>
        <w:pStyle w:val="Bullet1stlevel"/>
        <w:rPr>
          <w:noProof/>
        </w:rPr>
      </w:pPr>
      <w:r w:rsidRPr="005E2488">
        <w:rPr>
          <w:rStyle w:val="Strong"/>
        </w:rPr>
        <w:t xml:space="preserve">Section </w:t>
      </w:r>
      <w:r w:rsidR="000752EB" w:rsidRPr="005E2488">
        <w:rPr>
          <w:rStyle w:val="Strong"/>
        </w:rPr>
        <w:t>7</w:t>
      </w:r>
      <w:r w:rsidRPr="005E2488">
        <w:rPr>
          <w:rStyle w:val="Strong"/>
        </w:rPr>
        <w:t>:</w:t>
      </w:r>
      <w:r w:rsidR="00484ECA" w:rsidRPr="005E2488">
        <w:rPr>
          <w:rStyle w:val="Strong"/>
        </w:rPr>
        <w:t xml:space="preserve"> </w:t>
      </w:r>
      <w:r w:rsidR="00484ECA">
        <w:rPr>
          <w:noProof/>
        </w:rPr>
        <w:t xml:space="preserve">Presents </w:t>
      </w:r>
      <w:r w:rsidR="00484ECA" w:rsidRPr="00484ECA">
        <w:rPr>
          <w:noProof/>
        </w:rPr>
        <w:t>findings</w:t>
      </w:r>
      <w:r w:rsidR="00484ECA">
        <w:rPr>
          <w:noProof/>
        </w:rPr>
        <w:t xml:space="preserve"> from the Evaluation</w:t>
      </w:r>
      <w:r w:rsidR="00484ECA" w:rsidRPr="00484ECA">
        <w:rPr>
          <w:noProof/>
        </w:rPr>
        <w:t xml:space="preserve"> related to Key Evaluation Question</w:t>
      </w:r>
      <w:r w:rsidR="00484ECA">
        <w:rPr>
          <w:noProof/>
        </w:rPr>
        <w:t xml:space="preserve"> 3: </w:t>
      </w:r>
      <w:r w:rsidR="00484ECA" w:rsidRPr="00484ECA">
        <w:rPr>
          <w:noProof/>
        </w:rPr>
        <w:t>What impact has the Standards had on consumers, providers and other key stakeholders? To what extent are the intended outcomes being achieved?</w:t>
      </w:r>
    </w:p>
    <w:p w14:paraId="3AF409FC" w14:textId="38EA855D" w:rsidR="00B460FD" w:rsidRDefault="00B460FD" w:rsidP="002A4AE3">
      <w:pPr>
        <w:pStyle w:val="Bullet1stlevel"/>
        <w:rPr>
          <w:noProof/>
        </w:rPr>
      </w:pPr>
      <w:r w:rsidRPr="005E2488">
        <w:rPr>
          <w:rStyle w:val="Strong"/>
        </w:rPr>
        <w:t xml:space="preserve">Section </w:t>
      </w:r>
      <w:r w:rsidR="000752EB" w:rsidRPr="005E2488">
        <w:rPr>
          <w:rStyle w:val="Strong"/>
        </w:rPr>
        <w:t>8</w:t>
      </w:r>
      <w:r w:rsidRPr="005E2488">
        <w:rPr>
          <w:rStyle w:val="Strong"/>
        </w:rPr>
        <w:t>:</w:t>
      </w:r>
      <w:r w:rsidR="00484ECA">
        <w:rPr>
          <w:noProof/>
        </w:rPr>
        <w:t xml:space="preserve"> Provides </w:t>
      </w:r>
      <w:r w:rsidR="00CD5BC6">
        <w:rPr>
          <w:noProof/>
        </w:rPr>
        <w:t>areas</w:t>
      </w:r>
      <w:r w:rsidR="00484ECA">
        <w:rPr>
          <w:noProof/>
        </w:rPr>
        <w:t xml:space="preserve"> for the Department to consider for the review of the Standards</w:t>
      </w:r>
      <w:r w:rsidR="00CD5BC6">
        <w:rPr>
          <w:noProof/>
        </w:rPr>
        <w:t xml:space="preserve"> and future amendments to the Standards</w:t>
      </w:r>
      <w:r w:rsidR="00484ECA">
        <w:rPr>
          <w:noProof/>
        </w:rPr>
        <w:t>.</w:t>
      </w:r>
    </w:p>
    <w:p w14:paraId="33780D32" w14:textId="716BABD5" w:rsidR="00B460FD" w:rsidRPr="005E2488" w:rsidRDefault="00B460FD" w:rsidP="002A4AE3">
      <w:pPr>
        <w:pStyle w:val="Bullet1stlevel"/>
        <w:rPr>
          <w:rStyle w:val="Strong"/>
        </w:rPr>
      </w:pPr>
      <w:r w:rsidRPr="005E2488">
        <w:rPr>
          <w:rStyle w:val="Strong"/>
        </w:rPr>
        <w:t>Appendices:</w:t>
      </w:r>
    </w:p>
    <w:p w14:paraId="418CB100" w14:textId="6DD1DC14" w:rsidR="00B460FD" w:rsidRDefault="002075DD" w:rsidP="00482116">
      <w:pPr>
        <w:pStyle w:val="Bullet2ndlevel"/>
        <w:rPr>
          <w:noProof/>
        </w:rPr>
      </w:pPr>
      <w:r>
        <w:fldChar w:fldCharType="begin" w:fldLock="1"/>
      </w:r>
      <w:r>
        <w:rPr>
          <w:noProof/>
        </w:rPr>
        <w:instrText xml:space="preserve"> REF _Ref85100621 \w \h </w:instrText>
      </w:r>
      <w:r>
        <w:fldChar w:fldCharType="separate"/>
      </w:r>
      <w:r w:rsidR="00453533">
        <w:rPr>
          <w:noProof/>
        </w:rPr>
        <w:t>Appendix A</w:t>
      </w:r>
      <w:r>
        <w:fldChar w:fldCharType="end"/>
      </w:r>
      <w:r>
        <w:rPr>
          <w:noProof/>
        </w:rPr>
        <w:fldChar w:fldCharType="begin" w:fldLock="1"/>
      </w:r>
      <w:r>
        <w:rPr>
          <w:noProof/>
        </w:rPr>
        <w:instrText xml:space="preserve"> REF _Ref85100621 \h </w:instrText>
      </w:r>
      <w:r w:rsidR="00482116">
        <w:rPr>
          <w:noProof/>
        </w:rPr>
        <w:instrText xml:space="preserve"> \* MERGEFORMAT </w:instrText>
      </w:r>
      <w:r>
        <w:rPr>
          <w:noProof/>
        </w:rPr>
      </w:r>
      <w:r>
        <w:rPr>
          <w:noProof/>
        </w:rPr>
        <w:fldChar w:fldCharType="separate"/>
      </w:r>
      <w:r w:rsidR="00453533">
        <w:t>: Program logic</w:t>
      </w:r>
      <w:r>
        <w:rPr>
          <w:noProof/>
        </w:rPr>
        <w:fldChar w:fldCharType="end"/>
      </w:r>
    </w:p>
    <w:p w14:paraId="766AFC05" w14:textId="3251D940" w:rsidR="00B460FD" w:rsidRDefault="002075DD" w:rsidP="00482116">
      <w:pPr>
        <w:pStyle w:val="Bullet2ndlevel"/>
      </w:pPr>
      <w:r>
        <w:rPr>
          <w:noProof/>
        </w:rPr>
        <w:fldChar w:fldCharType="begin" w:fldLock="1"/>
      </w:r>
      <w:r>
        <w:rPr>
          <w:noProof/>
        </w:rPr>
        <w:instrText xml:space="preserve"> REF _Ref85221999 \w \h </w:instrText>
      </w:r>
      <w:r>
        <w:rPr>
          <w:noProof/>
        </w:rPr>
      </w:r>
      <w:r>
        <w:rPr>
          <w:noProof/>
        </w:rPr>
        <w:fldChar w:fldCharType="separate"/>
      </w:r>
      <w:r w:rsidR="00453533">
        <w:rPr>
          <w:noProof/>
        </w:rPr>
        <w:t>Appendix B</w:t>
      </w:r>
      <w:r>
        <w:rPr>
          <w:noProof/>
        </w:rPr>
        <w:fldChar w:fldCharType="end"/>
      </w:r>
      <w:r>
        <w:rPr>
          <w:noProof/>
        </w:rPr>
        <w:fldChar w:fldCharType="begin" w:fldLock="1"/>
      </w:r>
      <w:r>
        <w:rPr>
          <w:noProof/>
        </w:rPr>
        <w:instrText xml:space="preserve"> REF _Ref85222011 \h </w:instrText>
      </w:r>
      <w:r>
        <w:rPr>
          <w:noProof/>
        </w:rPr>
      </w:r>
      <w:r>
        <w:rPr>
          <w:noProof/>
        </w:rPr>
        <w:fldChar w:fldCharType="separate"/>
      </w:r>
      <w:r w:rsidR="00453533">
        <w:t>: Stakeholder participation</w:t>
      </w:r>
      <w:r>
        <w:rPr>
          <w:noProof/>
        </w:rPr>
        <w:fldChar w:fldCharType="end"/>
      </w:r>
    </w:p>
    <w:p w14:paraId="3C95D3F1" w14:textId="4B8F32B0" w:rsidR="00AC3849" w:rsidRDefault="002075DD" w:rsidP="00482116">
      <w:pPr>
        <w:pStyle w:val="Bullet2ndlevel"/>
      </w:pPr>
      <w:r>
        <w:rPr>
          <w:noProof/>
        </w:rPr>
        <w:lastRenderedPageBreak/>
        <w:fldChar w:fldCharType="begin" w:fldLock="1"/>
      </w:r>
      <w:r>
        <w:instrText xml:space="preserve"> REF _Ref85222033 \w \h </w:instrText>
      </w:r>
      <w:r>
        <w:rPr>
          <w:noProof/>
        </w:rPr>
      </w:r>
      <w:r>
        <w:rPr>
          <w:noProof/>
        </w:rPr>
        <w:fldChar w:fldCharType="separate"/>
      </w:r>
      <w:r w:rsidR="00453533">
        <w:t>Appendix C</w:t>
      </w:r>
      <w:r>
        <w:rPr>
          <w:noProof/>
        </w:rPr>
        <w:fldChar w:fldCharType="end"/>
      </w:r>
      <w:r w:rsidRPr="00482116">
        <w:rPr>
          <w:noProof/>
        </w:rPr>
        <w:fldChar w:fldCharType="begin" w:fldLock="1"/>
      </w:r>
      <w:r>
        <w:rPr>
          <w:noProof/>
        </w:rPr>
        <w:instrText xml:space="preserve"> REF _Ref85222071 \h </w:instrText>
      </w:r>
      <w:r w:rsidR="00482116">
        <w:rPr>
          <w:noProof/>
        </w:rPr>
        <w:instrText xml:space="preserve"> \* MERGEFORMAT </w:instrText>
      </w:r>
      <w:r w:rsidRPr="00482116">
        <w:rPr>
          <w:noProof/>
        </w:rPr>
      </w:r>
      <w:r w:rsidRPr="00482116">
        <w:rPr>
          <w:noProof/>
        </w:rPr>
        <w:fldChar w:fldCharType="separate"/>
      </w:r>
      <w:r w:rsidR="00453533">
        <w:t>: Consumer Outcome Statements of the Standards</w:t>
      </w:r>
      <w:r w:rsidRPr="00482116">
        <w:fldChar w:fldCharType="end"/>
      </w:r>
    </w:p>
    <w:p w14:paraId="6EFFE78E" w14:textId="236AB118" w:rsidR="00D36810" w:rsidRDefault="00D36810" w:rsidP="00482116">
      <w:pPr>
        <w:pStyle w:val="Bullet2ndlevel"/>
      </w:pPr>
      <w:r>
        <w:t>Appendix D: Additional information on the Commission’s assessment methodology.</w:t>
      </w:r>
    </w:p>
    <w:p w14:paraId="4F18AACD" w14:textId="005D6673" w:rsidR="00943A6A" w:rsidRDefault="00943A6A" w:rsidP="00943A6A">
      <w:pPr>
        <w:pStyle w:val="Bullet2ndlevel"/>
        <w:numPr>
          <w:ilvl w:val="0"/>
          <w:numId w:val="0"/>
        </w:numPr>
        <w:ind w:left="680" w:hanging="340"/>
      </w:pPr>
    </w:p>
    <w:p w14:paraId="65F78AED" w14:textId="77777777" w:rsidR="00943A6A" w:rsidRDefault="00943A6A" w:rsidP="00943A6A">
      <w:pPr>
        <w:pStyle w:val="Bullet2ndlevel"/>
        <w:numPr>
          <w:ilvl w:val="0"/>
          <w:numId w:val="0"/>
        </w:numPr>
        <w:ind w:left="680" w:hanging="340"/>
        <w:sectPr w:rsidR="00943A6A" w:rsidSect="00883902">
          <w:pgSz w:w="11906" w:h="16838"/>
          <w:pgMar w:top="1418" w:right="1418" w:bottom="1418" w:left="1418" w:header="709" w:footer="453" w:gutter="0"/>
          <w:cols w:space="708"/>
          <w:docGrid w:linePitch="360"/>
        </w:sectPr>
      </w:pPr>
    </w:p>
    <w:p w14:paraId="73E5CA25" w14:textId="7740B1FF" w:rsidR="00B460FD" w:rsidRPr="00D2250F" w:rsidRDefault="00284A65" w:rsidP="00690935">
      <w:pPr>
        <w:pStyle w:val="Heading1Divider"/>
        <w:ind w:left="1134" w:hanging="992"/>
        <w:rPr>
          <w:sz w:val="62"/>
          <w:szCs w:val="40"/>
        </w:rPr>
      </w:pPr>
      <w:bookmarkStart w:id="37" w:name="_Toc88030217"/>
      <w:bookmarkStart w:id="38" w:name="_Toc88804068"/>
      <w:bookmarkStart w:id="39" w:name="_Toc89930031"/>
      <w:bookmarkStart w:id="40" w:name="_Toc90453350"/>
      <w:bookmarkStart w:id="41" w:name="_Toc113448678"/>
      <w:bookmarkEnd w:id="37"/>
      <w:r w:rsidRPr="00D2250F">
        <w:rPr>
          <w:noProof/>
          <w:sz w:val="58"/>
          <w:szCs w:val="32"/>
        </w:rPr>
        <w:lastRenderedPageBreak/>
        <w:drawing>
          <wp:anchor distT="0" distB="0" distL="114300" distR="114300" simplePos="0" relativeHeight="251701248" behindDoc="1" locked="0" layoutInCell="1" allowOverlap="1" wp14:anchorId="7CDFB701" wp14:editId="670D8871">
            <wp:simplePos x="0" y="0"/>
            <wp:positionH relativeFrom="column">
              <wp:posOffset>-885190</wp:posOffset>
            </wp:positionH>
            <wp:positionV relativeFrom="paragraph">
              <wp:posOffset>-915670</wp:posOffset>
            </wp:positionV>
            <wp:extent cx="7560000" cy="10692000"/>
            <wp:effectExtent l="0" t="0" r="3175" b="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sidR="00B460FD" w:rsidRPr="00D2250F">
        <w:rPr>
          <w:sz w:val="58"/>
          <w:szCs w:val="32"/>
        </w:rPr>
        <w:t>The Aged Care Quality Standards and Royal</w:t>
      </w:r>
      <w:r w:rsidR="00D2250F" w:rsidRPr="00D2250F">
        <w:rPr>
          <w:sz w:val="58"/>
          <w:szCs w:val="32"/>
        </w:rPr>
        <w:t xml:space="preserve"> </w:t>
      </w:r>
      <w:r w:rsidR="00B460FD" w:rsidRPr="00D2250F">
        <w:rPr>
          <w:sz w:val="58"/>
          <w:szCs w:val="32"/>
        </w:rPr>
        <w:t>Commission findings</w:t>
      </w:r>
      <w:bookmarkEnd w:id="38"/>
      <w:bookmarkEnd w:id="39"/>
      <w:bookmarkEnd w:id="40"/>
      <w:bookmarkEnd w:id="41"/>
    </w:p>
    <w:p w14:paraId="42B31180" w14:textId="02974291" w:rsidR="001050C1" w:rsidRPr="001050C1" w:rsidRDefault="001050C1" w:rsidP="00073CE5">
      <w:pPr>
        <w:pStyle w:val="HeadingLevel1NoNumber"/>
      </w:pPr>
      <w:r w:rsidRPr="001050C1">
        <w:lastRenderedPageBreak/>
        <w:t>The Aged Care Quality Standards and Royal Commission findings</w:t>
      </w:r>
    </w:p>
    <w:p w14:paraId="5615C666" w14:textId="7624731D" w:rsidR="00CC127F" w:rsidRDefault="00A23405" w:rsidP="006A331E">
      <w:pPr>
        <w:pStyle w:val="IntroPara"/>
        <w:tabs>
          <w:tab w:val="clear" w:pos="720"/>
        </w:tabs>
        <w:spacing w:after="200"/>
      </w:pPr>
      <w:r>
        <w:t>This section provides important contextual information about the Standards</w:t>
      </w:r>
      <w:r w:rsidR="00980CCD">
        <w:t>.</w:t>
      </w:r>
    </w:p>
    <w:p w14:paraId="294D79F4" w14:textId="31F6A958" w:rsidR="005C3A21" w:rsidRPr="00D5681D" w:rsidRDefault="00AF4B3D" w:rsidP="00FC15E1">
      <w:pPr>
        <w:pStyle w:val="Heading2"/>
        <w:spacing w:before="120" w:after="0"/>
      </w:pPr>
      <w:bookmarkStart w:id="42" w:name="_Toc88804069"/>
      <w:bookmarkStart w:id="43" w:name="_Toc89930032"/>
      <w:bookmarkStart w:id="44" w:name="_Toc90453351"/>
      <w:bookmarkStart w:id="45" w:name="_Toc113448679"/>
      <w:r>
        <w:t xml:space="preserve">2.1 </w:t>
      </w:r>
      <w:r w:rsidR="00980CCD" w:rsidRPr="00D5681D">
        <w:t>About the Aged Care Quality Standards</w:t>
      </w:r>
      <w:bookmarkEnd w:id="42"/>
      <w:bookmarkEnd w:id="43"/>
      <w:bookmarkEnd w:id="44"/>
      <w:bookmarkEnd w:id="45"/>
    </w:p>
    <w:p w14:paraId="6A4AF347" w14:textId="7685553B" w:rsidR="0087388F" w:rsidRPr="0087388F" w:rsidRDefault="006613E7" w:rsidP="0031745A">
      <w:pPr>
        <w:pStyle w:val="BodyText1"/>
      </w:pPr>
      <w:r>
        <w:t>The Standards apply to all approved aged care providers, and providers who deliver Commonwealth Home Support Programme (CHSP) and National Aboriginal and Torres Strait Islander Program Flexible Aged Care Programme (NATSIFACP</w:t>
      </w:r>
      <w:r w:rsidR="00014E1B">
        <w:t>)</w:t>
      </w:r>
      <w:r w:rsidR="00D50878">
        <w:t>.</w:t>
      </w:r>
      <w:r w:rsidR="005E7D48">
        <w:rPr>
          <w:rFonts w:ascii="ZWAdobeF" w:hAnsi="ZWAdobeF" w:cs="ZWAdobeF"/>
          <w:sz w:val="2"/>
          <w:szCs w:val="2"/>
        </w:rPr>
        <w:t>1F</w:t>
      </w:r>
      <w:r w:rsidR="008D7794">
        <w:rPr>
          <w:rStyle w:val="FootnoteReference"/>
        </w:rPr>
        <w:footnoteReference w:id="3"/>
      </w:r>
      <w:r w:rsidR="002075DD">
        <w:t xml:space="preserve"> </w:t>
      </w:r>
      <w:r w:rsidR="00586F84">
        <w:t xml:space="preserve">The eight Standards are outlined in </w:t>
      </w:r>
      <w:r w:rsidR="00586F84">
        <w:fldChar w:fldCharType="begin" w:fldLock="1"/>
      </w:r>
      <w:r w:rsidR="00586F84">
        <w:instrText xml:space="preserve"> REF _Ref84842079 \h </w:instrText>
      </w:r>
      <w:r w:rsidR="00586F84">
        <w:fldChar w:fldCharType="separate"/>
      </w:r>
      <w:r w:rsidR="00453533">
        <w:t xml:space="preserve">Figure </w:t>
      </w:r>
      <w:r w:rsidR="00453533">
        <w:rPr>
          <w:noProof/>
        </w:rPr>
        <w:t>1</w:t>
      </w:r>
      <w:r w:rsidR="00586F84">
        <w:fldChar w:fldCharType="end"/>
      </w:r>
      <w:r w:rsidR="00586F84">
        <w:t xml:space="preserve">. </w:t>
      </w:r>
      <w:r>
        <w:t>Depending on the scope of services provided, some aged care services are not required to meet all requirements under the Standards</w:t>
      </w:r>
      <w:r w:rsidR="00C77981">
        <w:t>. F</w:t>
      </w:r>
      <w:r>
        <w:t>or example</w:t>
      </w:r>
      <w:r w:rsidR="00C77981">
        <w:t>,</w:t>
      </w:r>
      <w:r>
        <w:t xml:space="preserve"> Standard 5 ‘Organisation’s service environment’ applies to the physical service environment that the organisation provides for residential care, respite care and day therapy centres but does not apply to home care services where the environment is the consumer’s home.</w:t>
      </w:r>
      <w:r w:rsidR="00B22A61">
        <w:t xml:space="preserve"> </w:t>
      </w:r>
    </w:p>
    <w:p w14:paraId="6023565A" w14:textId="628C8942" w:rsidR="00B22A61" w:rsidRDefault="00B22A61" w:rsidP="000B7FBD">
      <w:pPr>
        <w:pStyle w:val="Caption"/>
        <w:spacing w:after="0"/>
      </w:pPr>
      <w:bookmarkStart w:id="46" w:name="_Ref84842079"/>
      <w:bookmarkStart w:id="47" w:name="_Toc85369258"/>
      <w:r>
        <w:t xml:space="preserve">Figure </w:t>
      </w:r>
      <w:r>
        <w:fldChar w:fldCharType="begin"/>
      </w:r>
      <w:r>
        <w:instrText>SEQ Figure \* ARABIC</w:instrText>
      </w:r>
      <w:r>
        <w:fldChar w:fldCharType="separate"/>
      </w:r>
      <w:r w:rsidR="0083123A">
        <w:rPr>
          <w:noProof/>
        </w:rPr>
        <w:t>1</w:t>
      </w:r>
      <w:r>
        <w:fldChar w:fldCharType="end"/>
      </w:r>
      <w:bookmarkEnd w:id="46"/>
      <w:r w:rsidR="0006661E">
        <w:t>:</w:t>
      </w:r>
      <w:r>
        <w:t xml:space="preserve"> </w:t>
      </w:r>
      <w:r w:rsidR="0006661E">
        <w:t>The Aged Care</w:t>
      </w:r>
      <w:r>
        <w:t xml:space="preserve"> Quality Standards</w:t>
      </w:r>
      <w:bookmarkEnd w:id="47"/>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5"/>
        <w:gridCol w:w="7655"/>
      </w:tblGrid>
      <w:tr w:rsidR="00283FA1" w14:paraId="51B1C47A" w14:textId="1925D762" w:rsidTr="00575CC4">
        <w:trPr>
          <w:trHeight w:val="867"/>
        </w:trPr>
        <w:tc>
          <w:tcPr>
            <w:tcW w:w="780" w:type="pct"/>
            <w:vAlign w:val="center"/>
          </w:tcPr>
          <w:p w14:paraId="0D75321B" w14:textId="77777777" w:rsidR="00283FA1" w:rsidRDefault="00283FA1" w:rsidP="004541EE">
            <w:pPr>
              <w:spacing w:before="0" w:after="0"/>
            </w:pPr>
            <w:r>
              <w:rPr>
                <w:noProof/>
              </w:rPr>
              <w:drawing>
                <wp:inline distT="0" distB="0" distL="0" distR="0" wp14:anchorId="28DA6935" wp14:editId="6932BBCB">
                  <wp:extent cx="432000" cy="432000"/>
                  <wp:effectExtent l="0" t="0" r="6350" b="6350"/>
                  <wp:docPr id="8" name="Picture 8" descr="Icon representing Standard 1: &#10;Consumer dignity and choice&#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8" descr="Icon representing Standard 1: &#10;Consumer dignity and choice&#10;">
                            <a:extLst>
                              <a:ext uri="{C183D7F6-B498-43B3-948B-1728B52AA6E4}">
                                <adec:decorative xmlns:adec="http://schemas.microsoft.com/office/drawing/2017/decorative" val="0"/>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2000" cy="432000"/>
                          </a:xfrm>
                          <a:prstGeom prst="ellipse">
                            <a:avLst/>
                          </a:prstGeom>
                          <a:ln w="63500" cap="rnd">
                            <a:noFill/>
                          </a:ln>
                          <a:effectLst/>
                        </pic:spPr>
                      </pic:pic>
                    </a:graphicData>
                  </a:graphic>
                </wp:inline>
              </w:drawing>
            </w:r>
          </w:p>
        </w:tc>
        <w:tc>
          <w:tcPr>
            <w:tcW w:w="4220" w:type="pct"/>
            <w:vAlign w:val="center"/>
          </w:tcPr>
          <w:p w14:paraId="7250B4A4" w14:textId="77777777" w:rsidR="004E63ED" w:rsidRDefault="00283FA1" w:rsidP="004541EE">
            <w:pPr>
              <w:spacing w:before="0" w:after="0"/>
              <w:rPr>
                <w:b/>
                <w:bCs/>
              </w:rPr>
            </w:pPr>
            <w:r w:rsidRPr="00500CA0">
              <w:rPr>
                <w:b/>
                <w:bCs/>
              </w:rPr>
              <w:t xml:space="preserve">Standard 1: </w:t>
            </w:r>
          </w:p>
          <w:p w14:paraId="640FEADB" w14:textId="67A9A5F6" w:rsidR="00283FA1" w:rsidRPr="00500CA0" w:rsidRDefault="00283FA1" w:rsidP="004541EE">
            <w:pPr>
              <w:spacing w:before="0" w:after="0"/>
            </w:pPr>
            <w:r w:rsidRPr="00500CA0">
              <w:t>Consumer dignity and choice</w:t>
            </w:r>
          </w:p>
        </w:tc>
      </w:tr>
      <w:tr w:rsidR="00283FA1" w14:paraId="68FFCD0B" w14:textId="6CB65067" w:rsidTr="00575CC4">
        <w:trPr>
          <w:trHeight w:val="866"/>
        </w:trPr>
        <w:tc>
          <w:tcPr>
            <w:tcW w:w="780" w:type="pct"/>
            <w:vAlign w:val="center"/>
          </w:tcPr>
          <w:p w14:paraId="2BCB4BE5" w14:textId="77777777" w:rsidR="00283FA1" w:rsidRDefault="00283FA1" w:rsidP="004541EE">
            <w:pPr>
              <w:spacing w:before="0" w:after="0"/>
            </w:pPr>
            <w:r w:rsidRPr="00E8035A">
              <w:rPr>
                <w:noProof/>
              </w:rPr>
              <w:drawing>
                <wp:inline distT="0" distB="0" distL="0" distR="0" wp14:anchorId="2FB0B230" wp14:editId="56C04B9D">
                  <wp:extent cx="432000" cy="432000"/>
                  <wp:effectExtent l="0" t="0" r="6350" b="6350"/>
                  <wp:docPr id="11" name="Picture 14" descr="Icon representing Standard 2: &#10;Ongoing assessment and planning with consumers&#10;">
                    <a:extLst xmlns:a="http://schemas.openxmlformats.org/drawingml/2006/main">
                      <a:ext uri="{FF2B5EF4-FFF2-40B4-BE49-F238E27FC236}">
                        <a16:creationId xmlns:a16="http://schemas.microsoft.com/office/drawing/2014/main" id="{69540B4A-258A-4C44-8D92-D3C8F8401E02}"/>
                      </a:ext>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4" descr="Icon representing Standard 2: &#10;Ongoing assessment and planning with consumers&#10;">
                            <a:extLst>
                              <a:ext uri="{FF2B5EF4-FFF2-40B4-BE49-F238E27FC236}">
                                <a16:creationId xmlns:a16="http://schemas.microsoft.com/office/drawing/2014/main" id="{69540B4A-258A-4C44-8D92-D3C8F8401E02}"/>
                              </a:ext>
                              <a:ext uri="{C183D7F6-B498-43B3-948B-1728B52AA6E4}">
                                <adec:decorative xmlns:adec="http://schemas.microsoft.com/office/drawing/2017/decorative" val="0"/>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pic:spPr>
                      </pic:pic>
                    </a:graphicData>
                  </a:graphic>
                </wp:inline>
              </w:drawing>
            </w:r>
          </w:p>
        </w:tc>
        <w:tc>
          <w:tcPr>
            <w:tcW w:w="4220" w:type="pct"/>
            <w:vAlign w:val="center"/>
          </w:tcPr>
          <w:p w14:paraId="00A0B860" w14:textId="77777777" w:rsidR="004E63ED" w:rsidRDefault="00283FA1" w:rsidP="004541EE">
            <w:pPr>
              <w:spacing w:before="0" w:after="0"/>
            </w:pPr>
            <w:r w:rsidRPr="00500CA0">
              <w:rPr>
                <w:b/>
                <w:bCs/>
              </w:rPr>
              <w:t>Standard 2</w:t>
            </w:r>
            <w:r w:rsidRPr="00500CA0">
              <w:t xml:space="preserve">: </w:t>
            </w:r>
          </w:p>
          <w:p w14:paraId="312B6649" w14:textId="2FDB06CD" w:rsidR="00283FA1" w:rsidRPr="00500CA0" w:rsidRDefault="00283FA1" w:rsidP="004541EE">
            <w:pPr>
              <w:spacing w:before="0" w:after="0"/>
            </w:pPr>
            <w:r w:rsidRPr="00500CA0">
              <w:t>Ongoing assessment and planning with consumers</w:t>
            </w:r>
          </w:p>
        </w:tc>
      </w:tr>
      <w:tr w:rsidR="00283FA1" w14:paraId="760506C7" w14:textId="2B6C6D67" w:rsidTr="00575CC4">
        <w:trPr>
          <w:trHeight w:val="866"/>
        </w:trPr>
        <w:tc>
          <w:tcPr>
            <w:tcW w:w="780" w:type="pct"/>
            <w:vAlign w:val="center"/>
          </w:tcPr>
          <w:p w14:paraId="386A069F" w14:textId="77777777" w:rsidR="00283FA1" w:rsidRDefault="00283FA1" w:rsidP="004541EE">
            <w:pPr>
              <w:spacing w:before="0" w:after="0"/>
            </w:pPr>
            <w:r w:rsidRPr="00FD2B6D">
              <w:rPr>
                <w:noProof/>
              </w:rPr>
              <w:drawing>
                <wp:inline distT="0" distB="0" distL="0" distR="0" wp14:anchorId="1CBD06C3" wp14:editId="7CDB36C0">
                  <wp:extent cx="432000" cy="432000"/>
                  <wp:effectExtent l="0" t="0" r="6350" b="6350"/>
                  <wp:docPr id="16" name="Picture 16" descr="Icon representing Standard 3: &#10;Personal care and clinical care&#10;">
                    <a:extLst xmlns:a="http://schemas.openxmlformats.org/drawingml/2006/main">
                      <a:ext uri="{FF2B5EF4-FFF2-40B4-BE49-F238E27FC236}">
                        <a16:creationId xmlns:a16="http://schemas.microsoft.com/office/drawing/2014/main" id="{A24D2948-7C9C-4C7D-9E45-5F71C9A4278A}"/>
                      </a:ext>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6" descr="Icon representing Standard 3: &#10;Personal care and clinical care&#10;">
                            <a:extLst>
                              <a:ext uri="{FF2B5EF4-FFF2-40B4-BE49-F238E27FC236}">
                                <a16:creationId xmlns:a16="http://schemas.microsoft.com/office/drawing/2014/main" id="{A24D2948-7C9C-4C7D-9E45-5F71C9A4278A}"/>
                              </a:ext>
                              <a:ext uri="{C183D7F6-B498-43B3-948B-1728B52AA6E4}">
                                <adec:decorative xmlns:adec="http://schemas.microsoft.com/office/drawing/2017/decorative" val="0"/>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pic:spPr>
                      </pic:pic>
                    </a:graphicData>
                  </a:graphic>
                </wp:inline>
              </w:drawing>
            </w:r>
          </w:p>
        </w:tc>
        <w:tc>
          <w:tcPr>
            <w:tcW w:w="4220" w:type="pct"/>
            <w:vAlign w:val="center"/>
          </w:tcPr>
          <w:p w14:paraId="648EC346" w14:textId="77777777" w:rsidR="004E63ED" w:rsidRDefault="00283FA1" w:rsidP="004541EE">
            <w:pPr>
              <w:spacing w:before="0" w:after="0"/>
            </w:pPr>
            <w:r w:rsidRPr="00500CA0">
              <w:rPr>
                <w:b/>
                <w:bCs/>
              </w:rPr>
              <w:t>Standard 3:</w:t>
            </w:r>
            <w:r w:rsidRPr="00500CA0">
              <w:t xml:space="preserve"> </w:t>
            </w:r>
          </w:p>
          <w:p w14:paraId="568CE39E" w14:textId="53E6532C" w:rsidR="00283FA1" w:rsidRPr="00500CA0" w:rsidRDefault="00283FA1" w:rsidP="004541EE">
            <w:pPr>
              <w:spacing w:before="0" w:after="0"/>
            </w:pPr>
            <w:r w:rsidRPr="00500CA0">
              <w:t>Personal care and clinical care</w:t>
            </w:r>
          </w:p>
        </w:tc>
      </w:tr>
      <w:tr w:rsidR="00283FA1" w14:paraId="6B2891E8" w14:textId="172E0DDC" w:rsidTr="00575CC4">
        <w:trPr>
          <w:trHeight w:val="945"/>
        </w:trPr>
        <w:tc>
          <w:tcPr>
            <w:tcW w:w="780" w:type="pct"/>
            <w:vAlign w:val="center"/>
          </w:tcPr>
          <w:p w14:paraId="39E1ED17" w14:textId="77777777" w:rsidR="00283FA1" w:rsidRDefault="00283FA1" w:rsidP="004541EE">
            <w:pPr>
              <w:spacing w:before="0" w:after="0"/>
            </w:pPr>
            <w:r w:rsidRPr="00FD2B6D">
              <w:rPr>
                <w:noProof/>
              </w:rPr>
              <w:drawing>
                <wp:inline distT="0" distB="0" distL="0" distR="0" wp14:anchorId="4D35C470" wp14:editId="7495829E">
                  <wp:extent cx="432000" cy="432000"/>
                  <wp:effectExtent l="0" t="0" r="6350" b="6350"/>
                  <wp:docPr id="17" name="Picture 26" descr="Icon representing Standard 4: &#10;Service and supports for daily living&#10;">
                    <a:extLst xmlns:a="http://schemas.openxmlformats.org/drawingml/2006/main">
                      <a:ext uri="{FF2B5EF4-FFF2-40B4-BE49-F238E27FC236}">
                        <a16:creationId xmlns:a16="http://schemas.microsoft.com/office/drawing/2014/main" id="{86C86700-44F1-4BBF-846E-9B9D68848B69}"/>
                      </a:ext>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26" descr="Icon representing Standard 4: &#10;Service and supports for daily living&#10;">
                            <a:extLst>
                              <a:ext uri="{FF2B5EF4-FFF2-40B4-BE49-F238E27FC236}">
                                <a16:creationId xmlns:a16="http://schemas.microsoft.com/office/drawing/2014/main" id="{86C86700-44F1-4BBF-846E-9B9D68848B69}"/>
                              </a:ext>
                              <a:ext uri="{C183D7F6-B498-43B3-948B-1728B52AA6E4}">
                                <adec:decorative xmlns:adec="http://schemas.microsoft.com/office/drawing/2017/decorative" val="0"/>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pic:spPr>
                      </pic:pic>
                    </a:graphicData>
                  </a:graphic>
                </wp:inline>
              </w:drawing>
            </w:r>
          </w:p>
        </w:tc>
        <w:tc>
          <w:tcPr>
            <w:tcW w:w="4220" w:type="pct"/>
            <w:vAlign w:val="center"/>
          </w:tcPr>
          <w:p w14:paraId="0DDE21DE" w14:textId="77777777" w:rsidR="004E63ED" w:rsidRDefault="00283FA1" w:rsidP="004541EE">
            <w:pPr>
              <w:spacing w:before="0" w:after="0"/>
            </w:pPr>
            <w:r w:rsidRPr="00500CA0">
              <w:rPr>
                <w:b/>
                <w:bCs/>
              </w:rPr>
              <w:t>Standard 4:</w:t>
            </w:r>
            <w:r w:rsidRPr="00500CA0">
              <w:t xml:space="preserve"> </w:t>
            </w:r>
          </w:p>
          <w:p w14:paraId="2B515B4E" w14:textId="2AA81944" w:rsidR="00283FA1" w:rsidRPr="00500CA0" w:rsidRDefault="00283FA1" w:rsidP="004541EE">
            <w:pPr>
              <w:spacing w:before="0" w:after="0"/>
            </w:pPr>
            <w:r w:rsidRPr="00500CA0">
              <w:t>Service and supports for daily living</w:t>
            </w:r>
          </w:p>
        </w:tc>
      </w:tr>
      <w:tr w:rsidR="00283FA1" w14:paraId="4D2A3AA7" w14:textId="77777777" w:rsidTr="00575CC4">
        <w:trPr>
          <w:trHeight w:val="945"/>
        </w:trPr>
        <w:tc>
          <w:tcPr>
            <w:tcW w:w="780" w:type="pct"/>
            <w:vAlign w:val="center"/>
          </w:tcPr>
          <w:p w14:paraId="2AA20FF6" w14:textId="1F93FE1B" w:rsidR="00283FA1" w:rsidRPr="00FD2B6D" w:rsidRDefault="00283FA1" w:rsidP="004541EE">
            <w:pPr>
              <w:spacing w:before="0" w:after="0"/>
              <w:rPr>
                <w:noProof/>
              </w:rPr>
            </w:pPr>
            <w:r w:rsidRPr="00FD2B6D">
              <w:rPr>
                <w:noProof/>
              </w:rPr>
              <w:drawing>
                <wp:inline distT="0" distB="0" distL="0" distR="0" wp14:anchorId="0B880690" wp14:editId="7784D4B0">
                  <wp:extent cx="432000" cy="432000"/>
                  <wp:effectExtent l="0" t="0" r="6350" b="6350"/>
                  <wp:docPr id="448" name="Picture 18" descr="Icon representing Standard 5: &#10;Organisation’s service environment&#10;">
                    <a:extLst xmlns:a="http://schemas.openxmlformats.org/drawingml/2006/main">
                      <a:ext uri="{FF2B5EF4-FFF2-40B4-BE49-F238E27FC236}">
                        <a16:creationId xmlns:a16="http://schemas.microsoft.com/office/drawing/2014/main" id="{8C643F3F-A5CC-4F31-AF92-CA841038216E}"/>
                      </a:ext>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Picture 18" descr="Icon representing Standard 5: &#10;Organisation’s service environment&#10;">
                            <a:extLst>
                              <a:ext uri="{FF2B5EF4-FFF2-40B4-BE49-F238E27FC236}">
                                <a16:creationId xmlns:a16="http://schemas.microsoft.com/office/drawing/2014/main" id="{8C643F3F-A5CC-4F31-AF92-CA841038216E}"/>
                              </a:ext>
                              <a:ext uri="{C183D7F6-B498-43B3-948B-1728B52AA6E4}">
                                <adec:decorative xmlns:adec="http://schemas.microsoft.com/office/drawing/2017/decorative" val="0"/>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pic:spPr>
                      </pic:pic>
                    </a:graphicData>
                  </a:graphic>
                </wp:inline>
              </w:drawing>
            </w:r>
          </w:p>
        </w:tc>
        <w:tc>
          <w:tcPr>
            <w:tcW w:w="4220" w:type="pct"/>
            <w:vAlign w:val="center"/>
          </w:tcPr>
          <w:p w14:paraId="0DF7279B" w14:textId="77777777" w:rsidR="004E63ED" w:rsidRDefault="00283FA1" w:rsidP="004541EE">
            <w:pPr>
              <w:spacing w:before="0" w:after="0"/>
            </w:pPr>
            <w:r w:rsidRPr="00500CA0">
              <w:rPr>
                <w:b/>
                <w:bCs/>
              </w:rPr>
              <w:t>Standard 5:</w:t>
            </w:r>
            <w:r w:rsidRPr="00500CA0">
              <w:t xml:space="preserve"> </w:t>
            </w:r>
          </w:p>
          <w:p w14:paraId="264B1FDE" w14:textId="50C0C29F" w:rsidR="00283FA1" w:rsidRPr="00500CA0" w:rsidRDefault="00283FA1" w:rsidP="004541EE">
            <w:pPr>
              <w:spacing w:before="0" w:after="0"/>
              <w:rPr>
                <w:b/>
                <w:bCs/>
              </w:rPr>
            </w:pPr>
            <w:r w:rsidRPr="00500CA0">
              <w:t>Organisation’s service environment</w:t>
            </w:r>
          </w:p>
        </w:tc>
      </w:tr>
      <w:tr w:rsidR="00283FA1" w14:paraId="4E8CAA2A" w14:textId="77777777" w:rsidTr="00575CC4">
        <w:trPr>
          <w:trHeight w:val="945"/>
        </w:trPr>
        <w:tc>
          <w:tcPr>
            <w:tcW w:w="780" w:type="pct"/>
            <w:vAlign w:val="center"/>
          </w:tcPr>
          <w:p w14:paraId="0E9CE7BA" w14:textId="5A9EF0FF" w:rsidR="00283FA1" w:rsidRPr="00FD2B6D" w:rsidRDefault="00283FA1" w:rsidP="004541EE">
            <w:pPr>
              <w:spacing w:before="0" w:after="0"/>
              <w:rPr>
                <w:noProof/>
              </w:rPr>
            </w:pPr>
            <w:r w:rsidRPr="00595743">
              <w:rPr>
                <w:noProof/>
              </w:rPr>
              <w:drawing>
                <wp:inline distT="0" distB="0" distL="0" distR="0" wp14:anchorId="1E904293" wp14:editId="716DC691">
                  <wp:extent cx="432000" cy="432000"/>
                  <wp:effectExtent l="0" t="0" r="6350" b="6350"/>
                  <wp:docPr id="449" name="Picture 449" descr="Icon representing Standard 6: &#10;Feedback and complaints&#10;">
                    <a:extLst xmlns:a="http://schemas.openxmlformats.org/drawingml/2006/main">
                      <a:ext uri="{FF2B5EF4-FFF2-40B4-BE49-F238E27FC236}">
                        <a16:creationId xmlns:a16="http://schemas.microsoft.com/office/drawing/2014/main" id="{0297DA17-B818-49B9-BA5F-18662C8A729B}"/>
                      </a:ext>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9" name="Picture 449" descr="Icon representing Standard 6: &#10;Feedback and complaints&#10;">
                            <a:extLst>
                              <a:ext uri="{FF2B5EF4-FFF2-40B4-BE49-F238E27FC236}">
                                <a16:creationId xmlns:a16="http://schemas.microsoft.com/office/drawing/2014/main" id="{0297DA17-B818-49B9-BA5F-18662C8A729B}"/>
                              </a:ext>
                              <a:ext uri="{C183D7F6-B498-43B3-948B-1728B52AA6E4}">
                                <adec:decorative xmlns:adec="http://schemas.microsoft.com/office/drawing/2017/decorative" val="0"/>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pic:spPr>
                      </pic:pic>
                    </a:graphicData>
                  </a:graphic>
                </wp:inline>
              </w:drawing>
            </w:r>
          </w:p>
        </w:tc>
        <w:tc>
          <w:tcPr>
            <w:tcW w:w="4220" w:type="pct"/>
            <w:vAlign w:val="center"/>
          </w:tcPr>
          <w:p w14:paraId="0EDF519C" w14:textId="77777777" w:rsidR="004E63ED" w:rsidRDefault="00283FA1" w:rsidP="004541EE">
            <w:pPr>
              <w:spacing w:before="0" w:after="0"/>
            </w:pPr>
            <w:r w:rsidRPr="00500CA0">
              <w:rPr>
                <w:b/>
                <w:bCs/>
              </w:rPr>
              <w:t>Standard 6:</w:t>
            </w:r>
            <w:r w:rsidRPr="00500CA0">
              <w:t xml:space="preserve"> </w:t>
            </w:r>
          </w:p>
          <w:p w14:paraId="3472870A" w14:textId="530556C9" w:rsidR="00283FA1" w:rsidRPr="00500CA0" w:rsidRDefault="00283FA1" w:rsidP="004541EE">
            <w:pPr>
              <w:spacing w:before="0" w:after="0"/>
              <w:rPr>
                <w:b/>
                <w:bCs/>
              </w:rPr>
            </w:pPr>
            <w:r w:rsidRPr="00500CA0">
              <w:t>Feedback and complaints</w:t>
            </w:r>
          </w:p>
        </w:tc>
      </w:tr>
      <w:tr w:rsidR="00283FA1" w14:paraId="04396FA4" w14:textId="77777777" w:rsidTr="00575CC4">
        <w:trPr>
          <w:trHeight w:val="945"/>
        </w:trPr>
        <w:tc>
          <w:tcPr>
            <w:tcW w:w="780" w:type="pct"/>
            <w:vAlign w:val="center"/>
          </w:tcPr>
          <w:p w14:paraId="22F2B12B" w14:textId="544EB145" w:rsidR="00283FA1" w:rsidRPr="00FD2B6D" w:rsidRDefault="00283FA1" w:rsidP="004541EE">
            <w:pPr>
              <w:spacing w:before="0" w:after="0"/>
              <w:rPr>
                <w:noProof/>
              </w:rPr>
            </w:pPr>
            <w:r w:rsidRPr="00595743">
              <w:rPr>
                <w:noProof/>
              </w:rPr>
              <w:drawing>
                <wp:inline distT="0" distB="0" distL="0" distR="0" wp14:anchorId="69F37AC2" wp14:editId="2C28FB56">
                  <wp:extent cx="432000" cy="432000"/>
                  <wp:effectExtent l="0" t="0" r="6350" b="6350"/>
                  <wp:docPr id="450" name="Picture 22" descr="Icon representing Standard 7: &#10;Human resources&#10;">
                    <a:extLst xmlns:a="http://schemas.openxmlformats.org/drawingml/2006/main">
                      <a:ext uri="{FF2B5EF4-FFF2-40B4-BE49-F238E27FC236}">
                        <a16:creationId xmlns:a16="http://schemas.microsoft.com/office/drawing/2014/main" id="{05B2EC7F-C5C4-4F9A-8E33-EB24BA22D191}"/>
                      </a:ext>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Picture 22" descr="Icon representing Standard 7: &#10;Human resources&#10;">
                            <a:extLst>
                              <a:ext uri="{FF2B5EF4-FFF2-40B4-BE49-F238E27FC236}">
                                <a16:creationId xmlns:a16="http://schemas.microsoft.com/office/drawing/2014/main" id="{05B2EC7F-C5C4-4F9A-8E33-EB24BA22D191}"/>
                              </a:ext>
                              <a:ext uri="{C183D7F6-B498-43B3-948B-1728B52AA6E4}">
                                <adec:decorative xmlns:adec="http://schemas.microsoft.com/office/drawing/2017/decorative" val="0"/>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pic:spPr>
                      </pic:pic>
                    </a:graphicData>
                  </a:graphic>
                </wp:inline>
              </w:drawing>
            </w:r>
          </w:p>
        </w:tc>
        <w:tc>
          <w:tcPr>
            <w:tcW w:w="4220" w:type="pct"/>
            <w:vAlign w:val="center"/>
          </w:tcPr>
          <w:p w14:paraId="24250649" w14:textId="77777777" w:rsidR="004E63ED" w:rsidRDefault="00283FA1" w:rsidP="004541EE">
            <w:pPr>
              <w:spacing w:before="0" w:after="0"/>
            </w:pPr>
            <w:r w:rsidRPr="00500CA0">
              <w:rPr>
                <w:b/>
                <w:bCs/>
              </w:rPr>
              <w:t>Standard 7:</w:t>
            </w:r>
            <w:r w:rsidRPr="00500CA0">
              <w:t xml:space="preserve"> </w:t>
            </w:r>
          </w:p>
          <w:p w14:paraId="53838461" w14:textId="50ECB693" w:rsidR="00283FA1" w:rsidRPr="00500CA0" w:rsidRDefault="00283FA1" w:rsidP="004541EE">
            <w:pPr>
              <w:spacing w:before="0" w:after="0"/>
              <w:rPr>
                <w:b/>
                <w:bCs/>
              </w:rPr>
            </w:pPr>
            <w:r w:rsidRPr="00500CA0">
              <w:t>Human resources</w:t>
            </w:r>
          </w:p>
        </w:tc>
      </w:tr>
      <w:tr w:rsidR="00283FA1" w14:paraId="22A9A75B" w14:textId="77777777" w:rsidTr="00575CC4">
        <w:trPr>
          <w:trHeight w:val="945"/>
        </w:trPr>
        <w:tc>
          <w:tcPr>
            <w:tcW w:w="780" w:type="pct"/>
            <w:vAlign w:val="center"/>
          </w:tcPr>
          <w:p w14:paraId="79E84062" w14:textId="7E910392" w:rsidR="00283FA1" w:rsidRPr="00595743" w:rsidRDefault="00283FA1" w:rsidP="004541EE">
            <w:pPr>
              <w:spacing w:before="0" w:after="0"/>
              <w:rPr>
                <w:noProof/>
              </w:rPr>
            </w:pPr>
            <w:r w:rsidRPr="00595743">
              <w:rPr>
                <w:noProof/>
              </w:rPr>
              <w:drawing>
                <wp:inline distT="0" distB="0" distL="0" distR="0" wp14:anchorId="1C430009" wp14:editId="5EF76840">
                  <wp:extent cx="432000" cy="432000"/>
                  <wp:effectExtent l="0" t="0" r="6350" b="6350"/>
                  <wp:docPr id="451" name="Picture 24" descr="Icon representing Standard 8: &#10;Organisational governance&#10;">
                    <a:extLst xmlns:a="http://schemas.openxmlformats.org/drawingml/2006/main">
                      <a:ext uri="{FF2B5EF4-FFF2-40B4-BE49-F238E27FC236}">
                        <a16:creationId xmlns:a16="http://schemas.microsoft.com/office/drawing/2014/main" id="{80AFDF7B-2856-40BC-9D8B-FD828A02FDD3}"/>
                      </a:ext>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1" name="Picture 24" descr="Icon representing Standard 8: &#10;Organisational governance&#10;">
                            <a:extLst>
                              <a:ext uri="{FF2B5EF4-FFF2-40B4-BE49-F238E27FC236}">
                                <a16:creationId xmlns:a16="http://schemas.microsoft.com/office/drawing/2014/main" id="{80AFDF7B-2856-40BC-9D8B-FD828A02FDD3}"/>
                              </a:ext>
                              <a:ext uri="{C183D7F6-B498-43B3-948B-1728B52AA6E4}">
                                <adec:decorative xmlns:adec="http://schemas.microsoft.com/office/drawing/2017/decorative" val="0"/>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pic:spPr>
                      </pic:pic>
                    </a:graphicData>
                  </a:graphic>
                </wp:inline>
              </w:drawing>
            </w:r>
          </w:p>
        </w:tc>
        <w:tc>
          <w:tcPr>
            <w:tcW w:w="4220" w:type="pct"/>
            <w:vAlign w:val="center"/>
          </w:tcPr>
          <w:p w14:paraId="706E1ADE" w14:textId="77777777" w:rsidR="004E63ED" w:rsidRDefault="00283FA1" w:rsidP="004541EE">
            <w:pPr>
              <w:spacing w:before="0" w:after="0"/>
            </w:pPr>
            <w:r w:rsidRPr="00500CA0">
              <w:rPr>
                <w:b/>
                <w:bCs/>
              </w:rPr>
              <w:t>Standard 8:</w:t>
            </w:r>
            <w:r w:rsidRPr="00500CA0">
              <w:t xml:space="preserve"> </w:t>
            </w:r>
          </w:p>
          <w:p w14:paraId="5DFAF0DA" w14:textId="2A6E9C47" w:rsidR="00283FA1" w:rsidRPr="00500CA0" w:rsidRDefault="00283FA1" w:rsidP="004541EE">
            <w:pPr>
              <w:spacing w:before="0" w:after="0"/>
              <w:rPr>
                <w:b/>
                <w:bCs/>
              </w:rPr>
            </w:pPr>
            <w:r w:rsidRPr="00500CA0">
              <w:t>Organisational governance</w:t>
            </w:r>
          </w:p>
        </w:tc>
      </w:tr>
    </w:tbl>
    <w:p w14:paraId="56B747F0" w14:textId="00F10568" w:rsidR="0074120F" w:rsidRPr="006C75D8" w:rsidRDefault="002075DD" w:rsidP="003C6DAA">
      <w:pPr>
        <w:pStyle w:val="Source0"/>
        <w:widowControl w:val="0"/>
        <w:spacing w:before="0" w:after="0"/>
      </w:pPr>
      <w:r w:rsidRPr="006C75D8">
        <w:lastRenderedPageBreak/>
        <w:t xml:space="preserve">Source: </w:t>
      </w:r>
      <w:r w:rsidR="000016D8" w:rsidRPr="006C75D8">
        <w:t>Aged Care Quality and Safety Commission</w:t>
      </w:r>
      <w:r w:rsidR="00683528" w:rsidRPr="006C75D8">
        <w:rPr>
          <w:vertAlign w:val="superscript"/>
        </w:rPr>
        <w:footnoteReference w:id="4"/>
      </w:r>
      <w:r w:rsidR="006C75D8" w:rsidRPr="006C75D8">
        <w:t>.</w:t>
      </w:r>
    </w:p>
    <w:p w14:paraId="638F79EC" w14:textId="521A27E5" w:rsidR="00875C21" w:rsidRDefault="00875C21" w:rsidP="008C6AD9">
      <w:pPr>
        <w:pStyle w:val="BodyText1"/>
      </w:pPr>
      <w:r>
        <w:t xml:space="preserve">Each Standard includes a statement of outcome for the consumer, a statement of expectations for the organisation and the organisational requirements to demonstrate that the Standard has been met. </w:t>
      </w:r>
      <w:r w:rsidR="00724A4A">
        <w:t>The Standards were introduced on 1 July 2019.</w:t>
      </w:r>
    </w:p>
    <w:p w14:paraId="21267C61" w14:textId="4B09B700" w:rsidR="00875C21" w:rsidRPr="001050C1" w:rsidRDefault="00875C21" w:rsidP="00A4480C">
      <w:pPr>
        <w:pStyle w:val="HeadingLevel3NoNumber"/>
      </w:pPr>
      <w:r w:rsidRPr="001050C1">
        <w:t>Regulatory context</w:t>
      </w:r>
    </w:p>
    <w:p w14:paraId="7FD38ACC" w14:textId="76FE752C" w:rsidR="002075DD" w:rsidRDefault="00875C21" w:rsidP="008C6AD9">
      <w:pPr>
        <w:pStyle w:val="BodyText1"/>
      </w:pPr>
      <w:r>
        <w:t>Aged care service providers</w:t>
      </w:r>
      <w:r w:rsidR="000215B7">
        <w:t>’ performance</w:t>
      </w:r>
      <w:r>
        <w:t xml:space="preserve"> </w:t>
      </w:r>
      <w:r w:rsidR="000215B7">
        <w:t xml:space="preserve">is </w:t>
      </w:r>
      <w:r>
        <w:t xml:space="preserve">assessed against the </w:t>
      </w:r>
      <w:proofErr w:type="gramStart"/>
      <w:r>
        <w:t>Standards,</w:t>
      </w:r>
      <w:proofErr w:type="gramEnd"/>
      <w:r>
        <w:t xml:space="preserve"> </w:t>
      </w:r>
      <w:r w:rsidR="000E5079">
        <w:t>however</w:t>
      </w:r>
      <w:r>
        <w:t xml:space="preserve"> the assessment requirements</w:t>
      </w:r>
      <w:r w:rsidR="000E5079">
        <w:t xml:space="preserve"> are different for each</w:t>
      </w:r>
      <w:r>
        <w:t xml:space="preserve"> aged care program. Residential aged care services must be accredited.</w:t>
      </w:r>
      <w:r w:rsidRPr="00051F96">
        <w:t xml:space="preserve"> </w:t>
      </w:r>
      <w:r>
        <w:t xml:space="preserve">The accreditation </w:t>
      </w:r>
      <w:r w:rsidR="00760E08">
        <w:t xml:space="preserve">and re-accreditation </w:t>
      </w:r>
      <w:r>
        <w:t xml:space="preserve">process for residential aged care services includes </w:t>
      </w:r>
      <w:r w:rsidR="004C61B9">
        <w:t xml:space="preserve">performance </w:t>
      </w:r>
      <w:r>
        <w:t xml:space="preserve">assessment against the Standards, with the Commission determining the accreditation period for services. </w:t>
      </w:r>
      <w:r w:rsidR="00C4077A">
        <w:t>The accreditation period for commencing services i</w:t>
      </w:r>
      <w:r w:rsidR="00B42423">
        <w:t>s normally one year, and the accreditation period following re-accreditation</w:t>
      </w:r>
      <w:r w:rsidR="006F141C">
        <w:t xml:space="preserve"> site audits differs </w:t>
      </w:r>
      <w:r w:rsidR="00F76BD6">
        <w:t xml:space="preserve">based on various matters, including the providers compliance </w:t>
      </w:r>
      <w:r w:rsidR="00E647F8">
        <w:t xml:space="preserve">with </w:t>
      </w:r>
      <w:r w:rsidR="009A6547">
        <w:t>S</w:t>
      </w:r>
      <w:r w:rsidR="00601308">
        <w:t>tandards</w:t>
      </w:r>
      <w:r w:rsidR="00D57BE6">
        <w:t>.</w:t>
      </w:r>
      <w:r w:rsidR="00B42423">
        <w:t xml:space="preserve"> </w:t>
      </w:r>
      <w:r w:rsidRPr="00B33CA1">
        <w:t xml:space="preserve"> </w:t>
      </w:r>
      <w:r>
        <w:t xml:space="preserve">Residential services receive at least an annual assessment contact which assesses performance against </w:t>
      </w:r>
      <w:r w:rsidR="000E5079">
        <w:t>a</w:t>
      </w:r>
      <w:r>
        <w:t xml:space="preserve"> part of the Standards. </w:t>
      </w:r>
    </w:p>
    <w:p w14:paraId="7180A912" w14:textId="4F8E7F18" w:rsidR="002075DD" w:rsidRDefault="00E839FD" w:rsidP="008C6AD9">
      <w:pPr>
        <w:pStyle w:val="BodyText1"/>
      </w:pPr>
      <w:r>
        <w:t>For home services (home care, STRC</w:t>
      </w:r>
      <w:r w:rsidR="00AA7ADF">
        <w:t xml:space="preserve"> provided in a home care setting</w:t>
      </w:r>
      <w:r>
        <w:t xml:space="preserve"> and CHSP</w:t>
      </w:r>
      <w:r w:rsidR="00E80920">
        <w:t>)</w:t>
      </w:r>
      <w:r>
        <w:t>,</w:t>
      </w:r>
      <w:r w:rsidR="002075DD">
        <w:t xml:space="preserve"> the Commission conducts quality reviews against the Standards at least once every three years. The Commission may conduct further assessment and monitoring activities of residential or home care service in accordance with service risk profiling at all other times. </w:t>
      </w:r>
    </w:p>
    <w:p w14:paraId="6FE30635" w14:textId="2E8E61E0" w:rsidR="002075DD" w:rsidRDefault="002075DD" w:rsidP="008C6AD9">
      <w:pPr>
        <w:pStyle w:val="BodyText1"/>
      </w:pPr>
      <w:r>
        <w:t xml:space="preserve">The Commission has powers to respond to non-compliance against the Standards through its regulatory </w:t>
      </w:r>
      <w:r w:rsidR="004E527D">
        <w:t xml:space="preserve">and compliance </w:t>
      </w:r>
      <w:r>
        <w:t xml:space="preserve">functions, including variance to the frequency of monitoring activities, imposing sanctions, revocation or variation of accreditation and issuing notices. The Commission seeks both to determine whether services have failed to meet their aged care obligations and </w:t>
      </w:r>
      <w:r w:rsidR="007A5540">
        <w:t xml:space="preserve">takes a risk based and proportionate approach </w:t>
      </w:r>
      <w:r>
        <w:t xml:space="preserve">in determining how to address non-compliance. </w:t>
      </w:r>
    </w:p>
    <w:p w14:paraId="73720408" w14:textId="77777777" w:rsidR="002075DD" w:rsidRDefault="002075DD" w:rsidP="00231A99">
      <w:pPr>
        <w:pStyle w:val="HeadingLevel3NoNumber"/>
      </w:pPr>
      <w:r>
        <w:t>Public reporting or informatio</w:t>
      </w:r>
      <w:r w:rsidRPr="0089729F">
        <w:t>n</w:t>
      </w:r>
    </w:p>
    <w:p w14:paraId="78118C95" w14:textId="2FA1195D" w:rsidR="002075DD" w:rsidRDefault="002075DD" w:rsidP="008C6AD9">
      <w:pPr>
        <w:pStyle w:val="BodyText1"/>
      </w:pPr>
      <w:r>
        <w:t>The outcome of a provider’s assessment against the Standards is publicly reported. The My Aged</w:t>
      </w:r>
      <w:r w:rsidR="00ED579D">
        <w:t> </w:t>
      </w:r>
      <w:r>
        <w:t xml:space="preserve">Care website </w:t>
      </w:r>
      <w:r w:rsidR="00452447">
        <w:t xml:space="preserve">(managed by the Department) </w:t>
      </w:r>
      <w:r>
        <w:t xml:space="preserve">enables a user to search for any approved provider and view their performance against each Standard and their </w:t>
      </w:r>
      <w:r w:rsidR="00091A47">
        <w:t>Service Compliance Rating</w:t>
      </w:r>
      <w:r>
        <w:t xml:space="preserve">. </w:t>
      </w:r>
      <w:r w:rsidR="00DE1F9F">
        <w:t>Provider assessments are also published on the Commission’s website.</w:t>
      </w:r>
    </w:p>
    <w:p w14:paraId="544B1CB3" w14:textId="32281FF0" w:rsidR="002075DD" w:rsidRPr="00014023" w:rsidRDefault="002075DD" w:rsidP="008C6AD9">
      <w:pPr>
        <w:pStyle w:val="BodyText1"/>
      </w:pPr>
      <w:r>
        <w:t xml:space="preserve">The My Aged Care website also has a “non-compliance checker” where a user can search a provider’s name and view any non-compliance notices issued to the provider. The Commission’s website also provides access to historical audit reports for each approved provider and publishes a non-compliance register detailing providers who have been found to be non-compliant with their responsibilities under the </w:t>
      </w:r>
      <w:r>
        <w:rPr>
          <w:i/>
          <w:iCs/>
        </w:rPr>
        <w:t>Aged Care Act 1997</w:t>
      </w:r>
      <w:r>
        <w:t xml:space="preserve">. The annual reports on the operation of the </w:t>
      </w:r>
      <w:r>
        <w:rPr>
          <w:i/>
          <w:iCs/>
        </w:rPr>
        <w:t>Aged Care Act 1997</w:t>
      </w:r>
      <w:r>
        <w:t xml:space="preserve"> also details provider</w:t>
      </w:r>
      <w:r w:rsidR="00DE0D9B">
        <w:t>s</w:t>
      </w:r>
      <w:r w:rsidR="00967EE8">
        <w:t>’</w:t>
      </w:r>
      <w:r>
        <w:t xml:space="preserve"> issued notices of sanctions, as well as the number of providers issued notices to agree and notices of non-compliance.</w:t>
      </w:r>
    </w:p>
    <w:p w14:paraId="6098E082" w14:textId="77777777" w:rsidR="002075DD" w:rsidRDefault="002075DD" w:rsidP="008C6AD9">
      <w:pPr>
        <w:pStyle w:val="BodyText1"/>
      </w:pPr>
      <w:r>
        <w:t xml:space="preserve">The Commission publishes </w:t>
      </w:r>
      <w:r w:rsidRPr="00284A2E">
        <w:t>performance information about individual aged care services including performance reports in relation to performance assessment activities undertaken, decisions relating to accreditation of residential services and other historical performance information.</w:t>
      </w:r>
    </w:p>
    <w:p w14:paraId="63E9C121" w14:textId="26BCA753" w:rsidR="002075DD" w:rsidRDefault="002075DD" w:rsidP="008C6AD9">
      <w:pPr>
        <w:pStyle w:val="BodyText1"/>
      </w:pPr>
      <w:r>
        <w:t xml:space="preserve">The Commission also publishes sector performance data each quarter, which includes information about providers’ compliance with the Standards. </w:t>
      </w:r>
    </w:p>
    <w:p w14:paraId="19A2EA07" w14:textId="77777777" w:rsidR="002075DD" w:rsidRDefault="002075DD" w:rsidP="00231A99">
      <w:pPr>
        <w:pStyle w:val="HeadingLevel3NoNumber"/>
      </w:pPr>
      <w:r>
        <w:t>Guidance material</w:t>
      </w:r>
    </w:p>
    <w:p w14:paraId="19F8DC9F" w14:textId="3EE4EF1D" w:rsidR="002075DD" w:rsidRDefault="002075DD" w:rsidP="008C6AD9">
      <w:pPr>
        <w:pStyle w:val="BodyText1"/>
      </w:pPr>
      <w:r>
        <w:t xml:space="preserve">The Commission has published a range of guidance material and resources to support providers, consumers and other sector stakeholders to understand the Standards. Further detail on the guidance material and resources available is provided in Section </w:t>
      </w:r>
      <w:r w:rsidR="000752EB">
        <w:fldChar w:fldCharType="begin" w:fldLock="1"/>
      </w:r>
      <w:r w:rsidR="000752EB">
        <w:instrText xml:space="preserve"> REF _Ref85221500 \r \h </w:instrText>
      </w:r>
      <w:r w:rsidR="000752EB">
        <w:fldChar w:fldCharType="separate"/>
      </w:r>
      <w:r w:rsidR="00453533">
        <w:t>5</w:t>
      </w:r>
      <w:r w:rsidR="000752EB">
        <w:fldChar w:fldCharType="end"/>
      </w:r>
      <w:r>
        <w:t>.</w:t>
      </w:r>
    </w:p>
    <w:p w14:paraId="7B347D93" w14:textId="77777777" w:rsidR="002075DD" w:rsidRDefault="002075DD" w:rsidP="001F448B">
      <w:pPr>
        <w:pStyle w:val="HeadingLevel3NoNumber"/>
        <w:pageBreakBefore/>
      </w:pPr>
      <w:r>
        <w:lastRenderedPageBreak/>
        <w:t>Previous Standards</w:t>
      </w:r>
    </w:p>
    <w:p w14:paraId="27C26AFD" w14:textId="15BD6196" w:rsidR="002075DD" w:rsidRDefault="002075DD" w:rsidP="008C6AD9">
      <w:pPr>
        <w:pStyle w:val="BodyText1"/>
      </w:pPr>
      <w:r>
        <w:t xml:space="preserve">The Standards were established to harmonise and lift quality and compliance of all aged care service programs under a Single Quality Framework. By moving towards a Single Quality Framework, the </w:t>
      </w:r>
      <w:r w:rsidR="0052291D">
        <w:t xml:space="preserve">Australian </w:t>
      </w:r>
      <w:r>
        <w:t>Government sought to develop an end-to-end, market-based aged care system, supported by a single set of Standards, streamlining of performance assessment, and increased informed decision-making by consumers.</w:t>
      </w:r>
      <w:r w:rsidR="005E7D48">
        <w:rPr>
          <w:rFonts w:ascii="ZWAdobeF" w:hAnsi="ZWAdobeF" w:cs="ZWAdobeF"/>
          <w:sz w:val="2"/>
          <w:szCs w:val="2"/>
        </w:rPr>
        <w:t>3F</w:t>
      </w:r>
      <w:r w:rsidRPr="00EC55D3">
        <w:rPr>
          <w:vertAlign w:val="superscript"/>
        </w:rPr>
        <w:footnoteReference w:id="5"/>
      </w:r>
      <w:r>
        <w:t xml:space="preserve"> The harmonisation undertaken to implement the Standards impacted different programs due to comparative differences in requirements under previous standards.</w:t>
      </w:r>
    </w:p>
    <w:p w14:paraId="4250F1E3" w14:textId="1D5585A5" w:rsidR="002075DD" w:rsidRPr="00231A99" w:rsidRDefault="002075DD" w:rsidP="00231A99">
      <w:pPr>
        <w:pStyle w:val="Heading4"/>
      </w:pPr>
      <w:r w:rsidRPr="00231A99">
        <w:t>The former</w:t>
      </w:r>
      <w:r w:rsidR="00BD1EB8" w:rsidRPr="00231A99">
        <w:t xml:space="preserve"> Accreditation </w:t>
      </w:r>
      <w:r w:rsidRPr="00231A99">
        <w:t>Standards</w:t>
      </w:r>
      <w:r w:rsidR="005E7D48" w:rsidRPr="00231A99">
        <w:rPr>
          <w:rFonts w:ascii="ZWAdobeF" w:hAnsi="ZWAdobeF" w:cs="ZWAdobeF"/>
          <w:sz w:val="2"/>
          <w:szCs w:val="2"/>
        </w:rPr>
        <w:t>4F</w:t>
      </w:r>
      <w:r w:rsidRPr="00231A99">
        <w:rPr>
          <w:rStyle w:val="FootnoteReference"/>
        </w:rPr>
        <w:footnoteReference w:id="6"/>
      </w:r>
    </w:p>
    <w:p w14:paraId="56A55FC6" w14:textId="5E274D2E" w:rsidR="002075DD" w:rsidRPr="00406CC7" w:rsidRDefault="002075DD" w:rsidP="008C6AD9">
      <w:pPr>
        <w:pStyle w:val="BodyText1"/>
      </w:pPr>
      <w:r>
        <w:t>Approved providers of residential aged care were previously assessed against the Accreditation Standards.</w:t>
      </w:r>
      <w:r w:rsidRPr="00406CC7">
        <w:t xml:space="preserve"> The former Accreditation Standards were</w:t>
      </w:r>
      <w:r>
        <w:t xml:space="preserve"> enacted</w:t>
      </w:r>
      <w:r w:rsidRPr="00406CC7">
        <w:t xml:space="preserve"> with the introduction of the </w:t>
      </w:r>
      <w:r w:rsidRPr="00324D90">
        <w:rPr>
          <w:i/>
        </w:rPr>
        <w:t>Aged Care Act in 1997</w:t>
      </w:r>
      <w:r>
        <w:t xml:space="preserve">. </w:t>
      </w:r>
      <w:r w:rsidRPr="00406CC7">
        <w:t xml:space="preserve">By 2016, </w:t>
      </w:r>
      <w:r>
        <w:t>almost</w:t>
      </w:r>
      <w:r w:rsidRPr="00406CC7">
        <w:t xml:space="preserve"> 98% of all providers of residential aged care met all 44 outcomes of the Accreditation Standards</w:t>
      </w:r>
      <w:r>
        <w:t xml:space="preserve">, </w:t>
      </w:r>
      <w:r w:rsidR="00041877">
        <w:t xml:space="preserve">further </w:t>
      </w:r>
      <w:r>
        <w:t>determining need for a review of the Standards.</w:t>
      </w:r>
    </w:p>
    <w:p w14:paraId="2158076C" w14:textId="08FBD843" w:rsidR="002075DD" w:rsidRDefault="002075DD" w:rsidP="008C6AD9">
      <w:pPr>
        <w:pStyle w:val="BodyText1"/>
      </w:pPr>
      <w:r w:rsidRPr="000E4D22">
        <w:t xml:space="preserve">The introduction of the new </w:t>
      </w:r>
      <w:r w:rsidR="00520D8B">
        <w:t>S</w:t>
      </w:r>
      <w:r w:rsidRPr="000E4D22">
        <w:t>tandards presented new challenges for existing providers</w:t>
      </w:r>
      <w:r>
        <w:t xml:space="preserve"> due to established implementation of </w:t>
      </w:r>
      <w:r w:rsidR="00553846">
        <w:t xml:space="preserve">the </w:t>
      </w:r>
      <w:r>
        <w:t xml:space="preserve">former </w:t>
      </w:r>
      <w:r w:rsidR="00553846">
        <w:t>Accreditation S</w:t>
      </w:r>
      <w:r>
        <w:t xml:space="preserve">tandards. </w:t>
      </w:r>
      <w:r w:rsidRPr="000E4D22">
        <w:t>The level of prescription of the old and new sets of standards was similar</w:t>
      </w:r>
      <w:r>
        <w:t>, however overall scope had broadened</w:t>
      </w:r>
      <w:r w:rsidRPr="000E4D22">
        <w:t>. Neither provide specific detail on how providers can meet the standards. However, the framing of the new Standards introduced more complex dimensions to meeting specific requirements which are less binary in nature, including delivering care that is ‘best practice’ while delivering care in a way that ‘meets consumers</w:t>
      </w:r>
      <w:r>
        <w:t>’</w:t>
      </w:r>
      <w:r w:rsidRPr="000E4D22">
        <w:t xml:space="preserve"> preferences’ and supporting consumers to take risks. As a result, providers </w:t>
      </w:r>
      <w:r>
        <w:t>now</w:t>
      </w:r>
      <w:r w:rsidRPr="000E4D22">
        <w:t xml:space="preserve"> need to demonstrate </w:t>
      </w:r>
      <w:r>
        <w:t xml:space="preserve">multiple </w:t>
      </w:r>
      <w:r w:rsidRPr="000E4D22">
        <w:t>competencies across what providers may perceive as conflicting domains. Some of these dimensions require a greater level of judgement by the regulator and providers to determine if the requirement is being met.</w:t>
      </w:r>
    </w:p>
    <w:p w14:paraId="6444BDD7" w14:textId="74F4CFB9" w:rsidR="002075DD" w:rsidRPr="000C60F4" w:rsidRDefault="002075DD" w:rsidP="00231A99">
      <w:pPr>
        <w:pStyle w:val="Heading4"/>
      </w:pPr>
      <w:r w:rsidRPr="000C60F4">
        <w:t>The former Home Care Common Standards</w:t>
      </w:r>
      <w:r w:rsidR="005E7D48">
        <w:rPr>
          <w:rFonts w:ascii="ZWAdobeF" w:hAnsi="ZWAdobeF" w:cs="ZWAdobeF"/>
          <w:color w:val="auto"/>
          <w:sz w:val="2"/>
          <w:szCs w:val="2"/>
        </w:rPr>
        <w:t>5F</w:t>
      </w:r>
      <w:r w:rsidRPr="000C60F4">
        <w:rPr>
          <w:rStyle w:val="FootnoteReference"/>
        </w:rPr>
        <w:footnoteReference w:id="7"/>
      </w:r>
    </w:p>
    <w:p w14:paraId="25746E85" w14:textId="70ECD528" w:rsidR="002075DD" w:rsidRDefault="0092039A" w:rsidP="008C6AD9">
      <w:pPr>
        <w:pStyle w:val="BodyText1"/>
      </w:pPr>
      <w:r>
        <w:t>Service</w:t>
      </w:r>
      <w:r w:rsidR="002075DD">
        <w:t xml:space="preserve"> providers of Home Care Package (HCP) and CHSP programs (collectively home care) were previously required to comply with Home Care Common Standards. The shift to the new Standards significantly lifted the requirements for home care services, although not all services are currently required to comply with all requirements under the new Standards. </w:t>
      </w:r>
    </w:p>
    <w:p w14:paraId="3C33C429" w14:textId="6ED1E2AB" w:rsidR="002075DD" w:rsidRPr="000C60F4" w:rsidRDefault="002075DD" w:rsidP="00231A99">
      <w:pPr>
        <w:pStyle w:val="Heading4"/>
      </w:pPr>
      <w:r w:rsidRPr="000C60F4">
        <w:t>The former NATSIFACP Quality Standards</w:t>
      </w:r>
      <w:r w:rsidR="005E7D48">
        <w:rPr>
          <w:rFonts w:ascii="ZWAdobeF" w:hAnsi="ZWAdobeF" w:cs="ZWAdobeF"/>
          <w:color w:val="auto"/>
          <w:sz w:val="2"/>
          <w:szCs w:val="2"/>
        </w:rPr>
        <w:t>6F</w:t>
      </w:r>
      <w:r w:rsidRPr="000C60F4">
        <w:rPr>
          <w:rStyle w:val="FootnoteReference"/>
          <w:bCs/>
        </w:rPr>
        <w:footnoteReference w:id="8"/>
      </w:r>
    </w:p>
    <w:p w14:paraId="28F937AE" w14:textId="77777777" w:rsidR="002075DD" w:rsidRDefault="002075DD" w:rsidP="008C6AD9">
      <w:pPr>
        <w:pStyle w:val="BodyText1"/>
      </w:pPr>
      <w:r>
        <w:t>The NATSIFACP program provides mixed aged care services to meet the needs of Aboriginal and Torres Strait Islander peoples, to allow them to remain close to home and community. Most services are in rural and remote locations.</w:t>
      </w:r>
    </w:p>
    <w:p w14:paraId="7BD9DF6E" w14:textId="77777777" w:rsidR="002075DD" w:rsidRPr="00D617D1" w:rsidRDefault="002075DD" w:rsidP="008C6AD9">
      <w:pPr>
        <w:pStyle w:val="BodyText1"/>
      </w:pPr>
      <w:r>
        <w:t>The previous NATSIFACP Quality Standards were smaller in scope and requirement and involved a low regulatory burden overall to support services. NATSIFACP services have come under the Standards which significantly increases requirements placed on the services.</w:t>
      </w:r>
    </w:p>
    <w:p w14:paraId="705D7B44" w14:textId="04F19AB5" w:rsidR="002075DD" w:rsidRPr="00315F96" w:rsidRDefault="002075DD" w:rsidP="00231A99">
      <w:pPr>
        <w:pStyle w:val="Heading4"/>
      </w:pPr>
      <w:r w:rsidRPr="00315F96">
        <w:t>The former Flexible Care Standards for short-term restorative care</w:t>
      </w:r>
      <w:r w:rsidR="005E7D48">
        <w:rPr>
          <w:rFonts w:ascii="ZWAdobeF" w:hAnsi="ZWAdobeF" w:cs="ZWAdobeF"/>
          <w:color w:val="auto"/>
          <w:sz w:val="2"/>
          <w:szCs w:val="2"/>
        </w:rPr>
        <w:t>7F</w:t>
      </w:r>
      <w:r w:rsidRPr="00315F96">
        <w:rPr>
          <w:rStyle w:val="FootnoteReference"/>
          <w:bCs/>
        </w:rPr>
        <w:footnoteReference w:id="9"/>
      </w:r>
    </w:p>
    <w:p w14:paraId="4D4EC6BB" w14:textId="77777777" w:rsidR="006652A7" w:rsidRPr="006652A7" w:rsidRDefault="002075DD" w:rsidP="008C6AD9">
      <w:pPr>
        <w:pStyle w:val="BodyText1"/>
      </w:pPr>
      <w:r>
        <w:t xml:space="preserve">Flexible Care Standards were previously set out under the </w:t>
      </w:r>
      <w:proofErr w:type="gramStart"/>
      <w:r w:rsidRPr="00292C32">
        <w:rPr>
          <w:i/>
        </w:rPr>
        <w:t>Quality of Care</w:t>
      </w:r>
      <w:proofErr w:type="gramEnd"/>
      <w:r w:rsidRPr="00292C32">
        <w:rPr>
          <w:i/>
        </w:rPr>
        <w:t xml:space="preserve"> Principles 2014</w:t>
      </w:r>
      <w:r>
        <w:t xml:space="preserve"> and aligned requirements based on whether flexible care services were provided in a residential aged care or home care setting. </w:t>
      </w:r>
    </w:p>
    <w:p w14:paraId="54E0D629" w14:textId="57B80D63" w:rsidR="00432959" w:rsidRPr="00EA6BA1" w:rsidRDefault="001E1C37" w:rsidP="004E63ED">
      <w:pPr>
        <w:pStyle w:val="Caption"/>
      </w:pPr>
      <w:bookmarkStart w:id="48" w:name="_Toc85369337"/>
      <w:r>
        <w:lastRenderedPageBreak/>
        <w:t xml:space="preserve">Table </w:t>
      </w:r>
      <w:r>
        <w:fldChar w:fldCharType="begin"/>
      </w:r>
      <w:r>
        <w:instrText>SEQ Table \* ARABIC</w:instrText>
      </w:r>
      <w:r>
        <w:fldChar w:fldCharType="separate"/>
      </w:r>
      <w:r w:rsidR="0083123A">
        <w:rPr>
          <w:noProof/>
        </w:rPr>
        <w:t>2</w:t>
      </w:r>
      <w:r>
        <w:fldChar w:fldCharType="end"/>
      </w:r>
      <w:r>
        <w:t xml:space="preserve">: Snapshot </w:t>
      </w:r>
      <w:r w:rsidR="00A55F76">
        <w:t>c</w:t>
      </w:r>
      <w:r w:rsidR="00867D16">
        <w:t xml:space="preserve">omparison of former </w:t>
      </w:r>
      <w:r w:rsidR="00276795">
        <w:t>standards for residential and home care programs with new Quality Standards</w:t>
      </w:r>
      <w:bookmarkEnd w:id="48"/>
    </w:p>
    <w:tbl>
      <w:tblPr>
        <w:tblStyle w:val="TableGridLight"/>
        <w:tblW w:w="5000" w:type="pct"/>
        <w:tblLook w:val="0620" w:firstRow="1" w:lastRow="0" w:firstColumn="0" w:lastColumn="0" w:noHBand="1" w:noVBand="1"/>
      </w:tblPr>
      <w:tblGrid>
        <w:gridCol w:w="4532"/>
        <w:gridCol w:w="4528"/>
      </w:tblGrid>
      <w:tr w:rsidR="00575CC4" w:rsidRPr="00575CC4" w14:paraId="690C2664" w14:textId="77777777" w:rsidTr="00A94BA2">
        <w:trPr>
          <w:cnfStyle w:val="100000000000" w:firstRow="1" w:lastRow="0" w:firstColumn="0" w:lastColumn="0" w:oddVBand="0" w:evenVBand="0" w:oddHBand="0" w:evenHBand="0" w:firstRowFirstColumn="0" w:firstRowLastColumn="0" w:lastRowFirstColumn="0" w:lastRowLastColumn="0"/>
          <w:tblHeader/>
        </w:trPr>
        <w:tc>
          <w:tcPr>
            <w:tcW w:w="2501" w:type="pct"/>
          </w:tcPr>
          <w:p w14:paraId="1288239B" w14:textId="77777777" w:rsidR="00575CC4" w:rsidRPr="00575CC4" w:rsidRDefault="00575CC4" w:rsidP="004E63ED">
            <w:pPr>
              <w:pStyle w:val="Tableheading"/>
              <w:keepNext/>
            </w:pPr>
            <w:r w:rsidRPr="00575CC4">
              <w:t xml:space="preserve">Pre 2019 Standards: </w:t>
            </w:r>
          </w:p>
          <w:p w14:paraId="616FDAAE" w14:textId="0766EC69" w:rsidR="00575CC4" w:rsidRPr="00575CC4" w:rsidRDefault="00575CC4" w:rsidP="004E63ED">
            <w:pPr>
              <w:pStyle w:val="Tableheading"/>
              <w:keepNext/>
            </w:pPr>
            <w:r w:rsidRPr="00575CC4">
              <w:t>Accreditation Standards</w:t>
            </w:r>
          </w:p>
        </w:tc>
        <w:tc>
          <w:tcPr>
            <w:tcW w:w="2499" w:type="pct"/>
          </w:tcPr>
          <w:p w14:paraId="1C11C803" w14:textId="77777777" w:rsidR="00575CC4" w:rsidRPr="00575CC4" w:rsidRDefault="00575CC4" w:rsidP="004E63ED">
            <w:pPr>
              <w:pStyle w:val="Tableheading"/>
              <w:keepNext/>
            </w:pPr>
            <w:r w:rsidRPr="00575CC4">
              <w:t xml:space="preserve">Pre 2019 Standards: </w:t>
            </w:r>
          </w:p>
          <w:p w14:paraId="7EF0702B" w14:textId="7A25ED69" w:rsidR="00575CC4" w:rsidRPr="00575CC4" w:rsidRDefault="00575CC4" w:rsidP="004E63ED">
            <w:pPr>
              <w:pStyle w:val="Tableheading"/>
              <w:keepNext/>
            </w:pPr>
            <w:r w:rsidRPr="00575CC4">
              <w:t xml:space="preserve">Home Care Common Standards </w:t>
            </w:r>
          </w:p>
        </w:tc>
      </w:tr>
      <w:tr w:rsidR="00575CC4" w:rsidRPr="004D2FC5" w14:paraId="1E1DAB04" w14:textId="77777777" w:rsidTr="00575CC4">
        <w:tc>
          <w:tcPr>
            <w:tcW w:w="2501" w:type="pct"/>
          </w:tcPr>
          <w:p w14:paraId="5FFAC863" w14:textId="1F7A90DA" w:rsidR="00575CC4" w:rsidRDefault="00575CC4" w:rsidP="00902874">
            <w:pPr>
              <w:pStyle w:val="TableBullet1"/>
            </w:pPr>
            <w:r w:rsidRPr="004D2FC5">
              <w:t xml:space="preserve">Less detail (for example Accreditation Standards contained </w:t>
            </w:r>
            <w:r>
              <w:t>four</w:t>
            </w:r>
            <w:r w:rsidRPr="004D2FC5">
              <w:t xml:space="preserve"> </w:t>
            </w:r>
            <w:r>
              <w:t>standard</w:t>
            </w:r>
            <w:r w:rsidRPr="004D2FC5">
              <w:t>s, 44</w:t>
            </w:r>
            <w:r>
              <w:t> expected outcomes</w:t>
            </w:r>
            <w:r w:rsidRPr="004D2FC5">
              <w:t>)</w:t>
            </w:r>
          </w:p>
          <w:p w14:paraId="6CBFF9A8" w14:textId="57AA6123" w:rsidR="00575CC4" w:rsidRPr="004D2FC5" w:rsidRDefault="00575CC4" w:rsidP="00902874">
            <w:pPr>
              <w:pStyle w:val="TableBullet1"/>
            </w:pPr>
            <w:r>
              <w:t>Process and systems outcomes-defined</w:t>
            </w:r>
          </w:p>
          <w:p w14:paraId="32E6625F" w14:textId="190C2982" w:rsidR="00575CC4" w:rsidRPr="004D2FC5" w:rsidRDefault="00575CC4" w:rsidP="00902874">
            <w:pPr>
              <w:pStyle w:val="TableBullet1"/>
            </w:pPr>
            <w:r w:rsidRPr="004D2FC5">
              <w:t>Themes of clinical and personal care, consumer well-being and systems for a safe environment. Governance was described as management systems</w:t>
            </w:r>
          </w:p>
          <w:p w14:paraId="039557B0" w14:textId="4FA80342" w:rsidR="00575CC4" w:rsidRDefault="00575CC4" w:rsidP="00902874">
            <w:pPr>
              <w:pStyle w:val="TableBullet1"/>
            </w:pPr>
            <w:r>
              <w:t>Continuous improvement outcomes under each of four standards</w:t>
            </w:r>
            <w:r w:rsidRPr="004D2FC5">
              <w:t xml:space="preserve"> </w:t>
            </w:r>
          </w:p>
          <w:p w14:paraId="7B91D436" w14:textId="1DAEC24D" w:rsidR="00575CC4" w:rsidRDefault="00575CC4" w:rsidP="00902874">
            <w:pPr>
              <w:pStyle w:val="TableBullet1"/>
            </w:pPr>
            <w:r>
              <w:t xml:space="preserve">Regulatory compliance outcome under each of four standards </w:t>
            </w:r>
          </w:p>
          <w:p w14:paraId="0ED5B468" w14:textId="7ECDCC2E" w:rsidR="00575CC4" w:rsidRDefault="00575CC4" w:rsidP="00902874">
            <w:pPr>
              <w:pStyle w:val="TableBullet1"/>
            </w:pPr>
            <w:r>
              <w:t>Sub-themes such as palliative care defined</w:t>
            </w:r>
          </w:p>
          <w:p w14:paraId="4EC6A63C" w14:textId="0F3237C5" w:rsidR="00575CC4" w:rsidRPr="004D2FC5" w:rsidRDefault="00575CC4" w:rsidP="00902874">
            <w:pPr>
              <w:pStyle w:val="TableBullet1"/>
            </w:pPr>
            <w:r w:rsidRPr="004D2FC5">
              <w:t>Phrased in a binary way</w:t>
            </w:r>
          </w:p>
        </w:tc>
        <w:tc>
          <w:tcPr>
            <w:tcW w:w="2499" w:type="pct"/>
          </w:tcPr>
          <w:p w14:paraId="103FABEB" w14:textId="516D13EB" w:rsidR="00575CC4" w:rsidRDefault="00575CC4" w:rsidP="00902874">
            <w:pPr>
              <w:pStyle w:val="TableBullet1"/>
            </w:pPr>
            <w:r w:rsidRPr="004D2FC5">
              <w:t xml:space="preserve">Less detail </w:t>
            </w:r>
            <w:r>
              <w:t xml:space="preserve">and smaller scope </w:t>
            </w:r>
            <w:r w:rsidRPr="004D2FC5">
              <w:t>(for example</w:t>
            </w:r>
            <w:r>
              <w:t xml:space="preserve"> Common </w:t>
            </w:r>
            <w:r w:rsidRPr="004D2FC5">
              <w:t xml:space="preserve">Standards contained </w:t>
            </w:r>
            <w:r>
              <w:t>three</w:t>
            </w:r>
            <w:r w:rsidRPr="004D2FC5">
              <w:t xml:space="preserve"> </w:t>
            </w:r>
            <w:r>
              <w:t>Standards</w:t>
            </w:r>
            <w:r w:rsidRPr="004D2FC5">
              <w:t xml:space="preserve">, </w:t>
            </w:r>
            <w:r>
              <w:t>18 expected outcomes</w:t>
            </w:r>
            <w:r w:rsidRPr="004D2FC5">
              <w:t>)</w:t>
            </w:r>
          </w:p>
          <w:p w14:paraId="75B2FFCE" w14:textId="77777777" w:rsidR="00575CC4" w:rsidRPr="004D2FC5" w:rsidRDefault="00575CC4" w:rsidP="00902874">
            <w:pPr>
              <w:pStyle w:val="TableBullet1"/>
            </w:pPr>
            <w:r>
              <w:t>Standards covered are Effective Management, Appropriate Access and Service Delivery, Service User Rights and Responsibilities</w:t>
            </w:r>
          </w:p>
          <w:p w14:paraId="6F0C6CD5" w14:textId="77777777" w:rsidR="00575CC4" w:rsidRDefault="00575CC4" w:rsidP="00902874">
            <w:pPr>
              <w:pStyle w:val="TableBullet1"/>
            </w:pPr>
            <w:r>
              <w:t>Highlights additional ‘responsibility’ of the ‘service user’</w:t>
            </w:r>
          </w:p>
          <w:p w14:paraId="2BB542CB" w14:textId="77777777" w:rsidR="00575CC4" w:rsidRDefault="00575CC4" w:rsidP="00902874">
            <w:pPr>
              <w:pStyle w:val="TableBullet1"/>
            </w:pPr>
            <w:r>
              <w:t>No addressing of clinical care, home or service environment and other outcomes captured under new Standards</w:t>
            </w:r>
          </w:p>
          <w:p w14:paraId="5F5ADA0F" w14:textId="77777777" w:rsidR="00575CC4" w:rsidRDefault="00575CC4" w:rsidP="00902874">
            <w:pPr>
              <w:pStyle w:val="TableBullet1"/>
            </w:pPr>
            <w:r>
              <w:t>Overall lower regulatory burden</w:t>
            </w:r>
          </w:p>
          <w:p w14:paraId="0D876440" w14:textId="32B25273" w:rsidR="00575CC4" w:rsidRPr="00432959" w:rsidRDefault="00575CC4" w:rsidP="00902874">
            <w:pPr>
              <w:pStyle w:val="TableBullet1"/>
            </w:pPr>
            <w:r>
              <w:t>Phrased in a binary way</w:t>
            </w:r>
          </w:p>
        </w:tc>
      </w:tr>
    </w:tbl>
    <w:p w14:paraId="2AA86D5C" w14:textId="77777777" w:rsidR="00A94BA2" w:rsidRDefault="00A94BA2"/>
    <w:tbl>
      <w:tblPr>
        <w:tblStyle w:val="TableGridLight"/>
        <w:tblW w:w="5000" w:type="pct"/>
        <w:tblLook w:val="0620" w:firstRow="1" w:lastRow="0" w:firstColumn="0" w:lastColumn="0" w:noHBand="1" w:noVBand="1"/>
      </w:tblPr>
      <w:tblGrid>
        <w:gridCol w:w="9060"/>
      </w:tblGrid>
      <w:tr w:rsidR="00575CC4" w:rsidRPr="00575CC4" w14:paraId="6EF2282E" w14:textId="77777777" w:rsidTr="00A94BA2">
        <w:trPr>
          <w:cnfStyle w:val="100000000000" w:firstRow="1" w:lastRow="0" w:firstColumn="0" w:lastColumn="0" w:oddVBand="0" w:evenVBand="0" w:oddHBand="0" w:evenHBand="0" w:firstRowFirstColumn="0" w:firstRowLastColumn="0" w:lastRowFirstColumn="0" w:lastRowLastColumn="0"/>
          <w:tblHeader/>
        </w:trPr>
        <w:tc>
          <w:tcPr>
            <w:tcW w:w="9060" w:type="dxa"/>
          </w:tcPr>
          <w:p w14:paraId="5AD66BCB" w14:textId="626FB5E5" w:rsidR="00902874" w:rsidRPr="00575CC4" w:rsidRDefault="00902874" w:rsidP="00A94BA2">
            <w:pPr>
              <w:pStyle w:val="Tableheading"/>
            </w:pPr>
            <w:r w:rsidRPr="00575CC4">
              <w:t>New Standards (1 July 2019)</w:t>
            </w:r>
          </w:p>
        </w:tc>
      </w:tr>
      <w:tr w:rsidR="005D7636" w:rsidRPr="004D2FC5" w14:paraId="2B9B14F4" w14:textId="77777777" w:rsidTr="00DD67B1">
        <w:tc>
          <w:tcPr>
            <w:tcW w:w="9060" w:type="dxa"/>
          </w:tcPr>
          <w:p w14:paraId="3F4DECC9" w14:textId="5CEC8DF4" w:rsidR="005D7636" w:rsidRDefault="005D7636" w:rsidP="00902874">
            <w:pPr>
              <w:pStyle w:val="TableBullet1"/>
            </w:pPr>
            <w:r w:rsidRPr="004D2FC5">
              <w:t>More detail (</w:t>
            </w:r>
            <w:r w:rsidR="002075DD">
              <w:t>eight</w:t>
            </w:r>
            <w:r w:rsidRPr="004D2FC5">
              <w:t xml:space="preserve"> </w:t>
            </w:r>
            <w:r w:rsidR="00DE1F9F">
              <w:t>standard</w:t>
            </w:r>
            <w:r w:rsidR="00DE1F9F" w:rsidRPr="004D2FC5">
              <w:t>s</w:t>
            </w:r>
            <w:r w:rsidRPr="004D2FC5">
              <w:t>, 4</w:t>
            </w:r>
            <w:r w:rsidR="004745CC">
              <w:t>2</w:t>
            </w:r>
            <w:r w:rsidRPr="004D2FC5">
              <w:t xml:space="preserve"> requirements with additional sub-requirements)</w:t>
            </w:r>
          </w:p>
          <w:p w14:paraId="2B81AB58" w14:textId="0C395E49" w:rsidR="005D7636" w:rsidRDefault="005D7636" w:rsidP="00902874">
            <w:pPr>
              <w:pStyle w:val="TableBullet1"/>
            </w:pPr>
            <w:r>
              <w:t xml:space="preserve">Consumer and care </w:t>
            </w:r>
            <w:r w:rsidR="002075DD">
              <w:t>principal</w:t>
            </w:r>
            <w:r>
              <w:t xml:space="preserve"> outcomes (‘requirements’) defined. A shift away from process</w:t>
            </w:r>
            <w:r w:rsidR="002075DD">
              <w:t>-</w:t>
            </w:r>
            <w:r>
              <w:t xml:space="preserve"> and system</w:t>
            </w:r>
            <w:r w:rsidR="002075DD">
              <w:noBreakHyphen/>
              <w:t xml:space="preserve">based </w:t>
            </w:r>
            <w:r>
              <w:t>to outcome-based standards</w:t>
            </w:r>
          </w:p>
          <w:p w14:paraId="28971E05" w14:textId="1B2D67A4" w:rsidR="005D7636" w:rsidRPr="004D2FC5" w:rsidRDefault="005D7636" w:rsidP="00902874">
            <w:pPr>
              <w:pStyle w:val="TableBullet1"/>
            </w:pPr>
            <w:r w:rsidRPr="004D2FC5">
              <w:t xml:space="preserve">Includes </w:t>
            </w:r>
            <w:r w:rsidR="002075DD">
              <w:t xml:space="preserve">a </w:t>
            </w:r>
            <w:r w:rsidRPr="004D2FC5">
              <w:t>specific consumer outcome</w:t>
            </w:r>
            <w:r>
              <w:t xml:space="preserve"> statement</w:t>
            </w:r>
            <w:r w:rsidRPr="004D2FC5">
              <w:t xml:space="preserve"> for each standard</w:t>
            </w:r>
          </w:p>
          <w:p w14:paraId="4867717E" w14:textId="3222FAA6" w:rsidR="005D7636" w:rsidRPr="004D2FC5" w:rsidRDefault="005D7636" w:rsidP="00902874">
            <w:pPr>
              <w:pStyle w:val="TableBullet1"/>
            </w:pPr>
            <w:r w:rsidRPr="004D2FC5">
              <w:t xml:space="preserve">Additional </w:t>
            </w:r>
            <w:r>
              <w:t xml:space="preserve">scope </w:t>
            </w:r>
            <w:r w:rsidRPr="004D2FC5">
              <w:t xml:space="preserve">themes of consumer dignity and choice, </w:t>
            </w:r>
            <w:r w:rsidR="00411929">
              <w:t>organisational</w:t>
            </w:r>
            <w:r w:rsidR="00737A92">
              <w:t xml:space="preserve"> </w:t>
            </w:r>
            <w:r w:rsidRPr="004D2FC5">
              <w:t>governance, human resourcing, feedback and complaints</w:t>
            </w:r>
            <w:r>
              <w:t xml:space="preserve"> and other </w:t>
            </w:r>
            <w:r w:rsidR="002075DD">
              <w:t>sub</w:t>
            </w:r>
            <w:r w:rsidR="002075DD">
              <w:noBreakHyphen/>
              <w:t>themes.</w:t>
            </w:r>
            <w:r>
              <w:t xml:space="preserve"> Broadening of previous themes, for </w:t>
            </w:r>
            <w:r w:rsidR="002075DD">
              <w:t>instance,</w:t>
            </w:r>
            <w:r>
              <w:t xml:space="preserve"> instead of palliative care, clinical and personal care, end of life care and planning has multiple relevant requirements to palliative care</w:t>
            </w:r>
          </w:p>
          <w:p w14:paraId="5CA4714A" w14:textId="47BE8523" w:rsidR="005D7636" w:rsidRPr="009C57A8" w:rsidRDefault="005D7636" w:rsidP="00902874">
            <w:pPr>
              <w:pStyle w:val="TableBullet1"/>
            </w:pPr>
            <w:r w:rsidRPr="004D2FC5">
              <w:t>Phrased with more complex dimensions to meeting requirements</w:t>
            </w:r>
            <w:r>
              <w:t>, including sub-requirements</w:t>
            </w:r>
          </w:p>
        </w:tc>
      </w:tr>
    </w:tbl>
    <w:p w14:paraId="51971160" w14:textId="4B4FA2EA" w:rsidR="004F145D" w:rsidRPr="00276795" w:rsidRDefault="00276795" w:rsidP="004E63ED">
      <w:pPr>
        <w:pStyle w:val="Source0"/>
      </w:pPr>
      <w:r w:rsidRPr="00276795">
        <w:t xml:space="preserve">Source: </w:t>
      </w:r>
      <w:r w:rsidR="00A025F6">
        <w:t>KPMG</w:t>
      </w:r>
      <w:r w:rsidR="00BA70F9">
        <w:t>.</w:t>
      </w:r>
    </w:p>
    <w:p w14:paraId="408AC3DB" w14:textId="77777777" w:rsidR="00FF1910" w:rsidRDefault="00FF1910" w:rsidP="00FF1910">
      <w:pPr>
        <w:sectPr w:rsidR="00FF1910" w:rsidSect="00883902">
          <w:pgSz w:w="11906" w:h="16838"/>
          <w:pgMar w:top="1418" w:right="1418" w:bottom="1418" w:left="1418" w:header="709" w:footer="453" w:gutter="0"/>
          <w:cols w:space="708"/>
          <w:docGrid w:linePitch="360"/>
        </w:sectPr>
      </w:pPr>
      <w:bookmarkStart w:id="49" w:name="_Ref85383147"/>
      <w:bookmarkStart w:id="50" w:name="_Toc88804070"/>
      <w:bookmarkStart w:id="51" w:name="_Toc89930033"/>
    </w:p>
    <w:p w14:paraId="1913C9A3" w14:textId="2BE3077A" w:rsidR="00FF1910" w:rsidRDefault="00A57215" w:rsidP="00FF1910">
      <w:r>
        <w:rPr>
          <w:noProof/>
        </w:rPr>
        <w:lastRenderedPageBreak/>
        <w:drawing>
          <wp:anchor distT="0" distB="0" distL="114300" distR="114300" simplePos="0" relativeHeight="251702272" behindDoc="1" locked="0" layoutInCell="1" allowOverlap="1" wp14:anchorId="3FA2999A" wp14:editId="0D3841E7">
            <wp:simplePos x="0" y="0"/>
            <wp:positionH relativeFrom="column">
              <wp:posOffset>-930910</wp:posOffset>
            </wp:positionH>
            <wp:positionV relativeFrom="paragraph">
              <wp:posOffset>-991870</wp:posOffset>
            </wp:positionV>
            <wp:extent cx="7560000" cy="10692000"/>
            <wp:effectExtent l="0" t="0" r="3175"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6A8AE42D" w14:textId="35D19804" w:rsidR="00CE73B6" w:rsidRDefault="00CE73B6" w:rsidP="00A57215">
      <w:pPr>
        <w:pStyle w:val="Heading1Divider"/>
        <w:spacing w:before="11760"/>
        <w:ind w:left="1134" w:hanging="992"/>
      </w:pPr>
      <w:bookmarkStart w:id="52" w:name="_Toc90453352"/>
      <w:bookmarkStart w:id="53" w:name="_Toc113448680"/>
      <w:r w:rsidRPr="00690935">
        <w:t xml:space="preserve">Royal Commission </w:t>
      </w:r>
      <w:r w:rsidR="0025486A" w:rsidRPr="00690935">
        <w:t>findings</w:t>
      </w:r>
      <w:r w:rsidR="004D4C4F" w:rsidRPr="00690935">
        <w:t xml:space="preserve"> </w:t>
      </w:r>
      <w:r w:rsidR="004D4C4F">
        <w:t xml:space="preserve">and </w:t>
      </w:r>
      <w:r w:rsidR="0025486A">
        <w:t>recommendations</w:t>
      </w:r>
      <w:bookmarkEnd w:id="49"/>
      <w:bookmarkEnd w:id="50"/>
      <w:bookmarkEnd w:id="51"/>
      <w:bookmarkEnd w:id="52"/>
      <w:bookmarkEnd w:id="53"/>
    </w:p>
    <w:p w14:paraId="7AA66AA1" w14:textId="67AC55B6" w:rsidR="001050C1" w:rsidRPr="001050C1" w:rsidRDefault="001050C1" w:rsidP="001050C1">
      <w:pPr>
        <w:pStyle w:val="HeadingLevel1NoNumber"/>
      </w:pPr>
      <w:bookmarkStart w:id="54" w:name="_Toc88804071"/>
      <w:r w:rsidRPr="001050C1">
        <w:lastRenderedPageBreak/>
        <w:t>Royal Commission findings and recommendations</w:t>
      </w:r>
      <w:bookmarkEnd w:id="54"/>
    </w:p>
    <w:p w14:paraId="746A9C9D" w14:textId="44C1A705" w:rsidR="00087226" w:rsidRPr="00087226" w:rsidRDefault="0025486A" w:rsidP="00334396">
      <w:pPr>
        <w:pStyle w:val="IntroPara"/>
        <w:tabs>
          <w:tab w:val="clear" w:pos="720"/>
        </w:tabs>
      </w:pPr>
      <w:r>
        <w:t xml:space="preserve">This section presents </w:t>
      </w:r>
      <w:r w:rsidR="00D25055">
        <w:t xml:space="preserve">the </w:t>
      </w:r>
      <w:r w:rsidR="00D25055" w:rsidRPr="00DF2E69">
        <w:t xml:space="preserve">findings and recommendations </w:t>
      </w:r>
      <w:r>
        <w:t xml:space="preserve">from the Royal Commission </w:t>
      </w:r>
      <w:r w:rsidR="00D25055" w:rsidRPr="00DF2E69">
        <w:t xml:space="preserve">in relation to the </w:t>
      </w:r>
      <w:r w:rsidR="002346B8">
        <w:t>Standards</w:t>
      </w:r>
      <w:r w:rsidR="00D25055">
        <w:t>.</w:t>
      </w:r>
    </w:p>
    <w:p w14:paraId="59413F0A" w14:textId="0AAADB3C" w:rsidR="00D4203C" w:rsidRPr="00E415E2" w:rsidRDefault="00AA5CE0" w:rsidP="001717BB">
      <w:pPr>
        <w:pStyle w:val="Heading2"/>
        <w:numPr>
          <w:ilvl w:val="1"/>
          <w:numId w:val="37"/>
        </w:numPr>
        <w:tabs>
          <w:tab w:val="left" w:pos="567"/>
        </w:tabs>
        <w:ind w:hanging="1080"/>
      </w:pPr>
      <w:bookmarkStart w:id="55" w:name="_Toc88804072"/>
      <w:bookmarkStart w:id="56" w:name="_Toc89930034"/>
      <w:bookmarkStart w:id="57" w:name="_Toc90453353"/>
      <w:bookmarkStart w:id="58" w:name="_Toc113448681"/>
      <w:r w:rsidRPr="00E415E2">
        <w:t>Royal Commission findings</w:t>
      </w:r>
      <w:bookmarkEnd w:id="55"/>
      <w:bookmarkEnd w:id="56"/>
      <w:bookmarkEnd w:id="57"/>
      <w:bookmarkEnd w:id="58"/>
    </w:p>
    <w:p w14:paraId="6F7A0525" w14:textId="692BC768" w:rsidR="00B567B7" w:rsidRDefault="0025486A" w:rsidP="001050C1">
      <w:pPr>
        <w:pStyle w:val="BodyText1"/>
      </w:pPr>
      <w:r>
        <w:t xml:space="preserve">A range of findings were made in relation to the Standards by the Royal Commission. </w:t>
      </w:r>
      <w:r w:rsidR="00B567B7" w:rsidRPr="00D077AA">
        <w:t xml:space="preserve">The evidence received by the Royal Commission about the Standards was mixed. There was support for the ‘consumer’ focus </w:t>
      </w:r>
      <w:r w:rsidR="00CF648F">
        <w:t>of</w:t>
      </w:r>
      <w:r w:rsidR="00B567B7" w:rsidRPr="00D077AA">
        <w:t xml:space="preserve"> the Standards</w:t>
      </w:r>
      <w:r w:rsidR="00B567B7">
        <w:t>,</w:t>
      </w:r>
      <w:r w:rsidR="00B567B7" w:rsidRPr="00D077AA">
        <w:t xml:space="preserve"> but experts were critical of their lack of detail and lack of objective measurements. </w:t>
      </w:r>
      <w:r w:rsidR="00B567B7">
        <w:t xml:space="preserve">Specific issues raised by the Royal Commission are presented in </w:t>
      </w:r>
      <w:r w:rsidR="00896D9E">
        <w:fldChar w:fldCharType="begin" w:fldLock="1"/>
      </w:r>
      <w:r w:rsidR="00896D9E">
        <w:instrText xml:space="preserve"> REF _Ref85382797 \h </w:instrText>
      </w:r>
      <w:r w:rsidR="00896D9E">
        <w:fldChar w:fldCharType="separate"/>
      </w:r>
      <w:r w:rsidR="00453533">
        <w:t xml:space="preserve">Table </w:t>
      </w:r>
      <w:r w:rsidR="00453533">
        <w:rPr>
          <w:noProof/>
        </w:rPr>
        <w:t>3</w:t>
      </w:r>
      <w:r w:rsidR="00896D9E">
        <w:fldChar w:fldCharType="end"/>
      </w:r>
      <w:r w:rsidR="00896D9E">
        <w:t>.</w:t>
      </w:r>
    </w:p>
    <w:p w14:paraId="4EDA407D" w14:textId="1E52BB3A" w:rsidR="006219C8" w:rsidRDefault="006219C8" w:rsidP="00231A99">
      <w:pPr>
        <w:pStyle w:val="Caption"/>
      </w:pPr>
      <w:bookmarkStart w:id="59" w:name="_Ref85382797"/>
      <w:r>
        <w:t xml:space="preserve">Table </w:t>
      </w:r>
      <w:r>
        <w:fldChar w:fldCharType="begin"/>
      </w:r>
      <w:r>
        <w:instrText>SEQ Table \* ARABIC</w:instrText>
      </w:r>
      <w:r>
        <w:fldChar w:fldCharType="separate"/>
      </w:r>
      <w:r w:rsidR="0083123A">
        <w:rPr>
          <w:noProof/>
        </w:rPr>
        <w:t>3</w:t>
      </w:r>
      <w:r>
        <w:fldChar w:fldCharType="end"/>
      </w:r>
      <w:bookmarkEnd w:id="59"/>
      <w:r>
        <w:t>: Royal Commission findings related to the Standards</w:t>
      </w:r>
    </w:p>
    <w:tbl>
      <w:tblPr>
        <w:tblStyle w:val="TableGridLight"/>
        <w:tblW w:w="0" w:type="auto"/>
        <w:tblLook w:val="0620" w:firstRow="1" w:lastRow="0" w:firstColumn="0" w:lastColumn="0" w:noHBand="1" w:noVBand="1"/>
      </w:tblPr>
      <w:tblGrid>
        <w:gridCol w:w="1838"/>
        <w:gridCol w:w="7222"/>
      </w:tblGrid>
      <w:tr w:rsidR="00B567B7" w:rsidRPr="00DD67B1" w14:paraId="4A1A18BE" w14:textId="77777777" w:rsidTr="00DD67B1">
        <w:trPr>
          <w:cnfStyle w:val="100000000000" w:firstRow="1" w:lastRow="0" w:firstColumn="0" w:lastColumn="0" w:oddVBand="0" w:evenVBand="0" w:oddHBand="0" w:evenHBand="0" w:firstRowFirstColumn="0" w:firstRowLastColumn="0" w:lastRowFirstColumn="0" w:lastRowLastColumn="0"/>
          <w:tblHeader/>
        </w:trPr>
        <w:tc>
          <w:tcPr>
            <w:tcW w:w="1838" w:type="dxa"/>
          </w:tcPr>
          <w:p w14:paraId="3CBE3FA9" w14:textId="17CFBE12" w:rsidR="00B567B7" w:rsidRPr="00DD67B1" w:rsidRDefault="00B567B7" w:rsidP="00A94BA2">
            <w:pPr>
              <w:pStyle w:val="Tableheading"/>
            </w:pPr>
            <w:r w:rsidRPr="00DD67B1">
              <w:t>Issue</w:t>
            </w:r>
          </w:p>
        </w:tc>
        <w:tc>
          <w:tcPr>
            <w:tcW w:w="7222" w:type="dxa"/>
          </w:tcPr>
          <w:p w14:paraId="699D1421" w14:textId="534F4791" w:rsidR="00B567B7" w:rsidRPr="00DD67B1" w:rsidRDefault="00B567B7" w:rsidP="00A94BA2">
            <w:pPr>
              <w:pStyle w:val="Tableheading"/>
            </w:pPr>
            <w:r w:rsidRPr="00DD67B1">
              <w:t>Royal Commission findings</w:t>
            </w:r>
          </w:p>
        </w:tc>
      </w:tr>
      <w:tr w:rsidR="00B567B7" w:rsidRPr="00A94BA2" w14:paraId="294272DF" w14:textId="77777777" w:rsidTr="00DD67B1">
        <w:tc>
          <w:tcPr>
            <w:tcW w:w="1838" w:type="dxa"/>
          </w:tcPr>
          <w:p w14:paraId="66341A4C" w14:textId="5901FDAE" w:rsidR="00B567B7" w:rsidRPr="00A94BA2" w:rsidRDefault="00B567B7" w:rsidP="00A94BA2">
            <w:pPr>
              <w:pStyle w:val="Tabletext"/>
              <w:rPr>
                <w:sz w:val="20"/>
                <w:szCs w:val="24"/>
              </w:rPr>
            </w:pPr>
            <w:r w:rsidRPr="00A94BA2">
              <w:rPr>
                <w:sz w:val="20"/>
                <w:szCs w:val="24"/>
              </w:rPr>
              <w:t>Gaps within the Standards</w:t>
            </w:r>
          </w:p>
        </w:tc>
        <w:tc>
          <w:tcPr>
            <w:tcW w:w="7222" w:type="dxa"/>
          </w:tcPr>
          <w:p w14:paraId="77E1B750" w14:textId="1CF82DC4" w:rsidR="00B567B7" w:rsidRPr="00A94BA2" w:rsidRDefault="00B567B7" w:rsidP="00A94BA2">
            <w:pPr>
              <w:pStyle w:val="Tabletext"/>
              <w:rPr>
                <w:sz w:val="20"/>
                <w:szCs w:val="24"/>
              </w:rPr>
            </w:pPr>
            <w:r w:rsidRPr="00A94BA2">
              <w:rPr>
                <w:sz w:val="20"/>
                <w:szCs w:val="24"/>
              </w:rPr>
              <w:t xml:space="preserve">It was noted that the Standards lack detail or contain gaps in particular areas. For example, the Royal Commission noted that the Standards fail to outline high-quality dementia care and palliative care. The Final Report noted that these types of care require immediate improvement to become core business of aged care services and should be considered more closely in an urgent review of the Standards. Gaps within the Standards are presented at a high level in the recommendations below and further explored in Section </w:t>
            </w:r>
            <w:r w:rsidR="00896D9E" w:rsidRPr="00A94BA2">
              <w:rPr>
                <w:sz w:val="20"/>
                <w:szCs w:val="24"/>
                <w:highlight w:val="yellow"/>
              </w:rPr>
              <w:fldChar w:fldCharType="begin" w:fldLock="1"/>
            </w:r>
            <w:r w:rsidR="00896D9E" w:rsidRPr="00A94BA2">
              <w:rPr>
                <w:sz w:val="20"/>
                <w:szCs w:val="24"/>
              </w:rPr>
              <w:instrText xml:space="preserve"> REF _Ref85382822 \r \h </w:instrText>
            </w:r>
            <w:r w:rsidR="00B83072" w:rsidRPr="00A94BA2">
              <w:rPr>
                <w:sz w:val="20"/>
                <w:szCs w:val="24"/>
                <w:highlight w:val="yellow"/>
              </w:rPr>
              <w:instrText xml:space="preserve"> \* MERGEFORMAT </w:instrText>
            </w:r>
            <w:r w:rsidR="00896D9E" w:rsidRPr="00A94BA2">
              <w:rPr>
                <w:sz w:val="20"/>
                <w:szCs w:val="24"/>
                <w:highlight w:val="yellow"/>
              </w:rPr>
            </w:r>
            <w:r w:rsidR="00896D9E" w:rsidRPr="00A94BA2">
              <w:rPr>
                <w:sz w:val="20"/>
                <w:szCs w:val="24"/>
                <w:highlight w:val="yellow"/>
              </w:rPr>
              <w:fldChar w:fldCharType="separate"/>
            </w:r>
            <w:r w:rsidR="00453533" w:rsidRPr="00A94BA2">
              <w:rPr>
                <w:sz w:val="20"/>
                <w:szCs w:val="24"/>
              </w:rPr>
              <w:t>6</w:t>
            </w:r>
            <w:r w:rsidR="00896D9E" w:rsidRPr="00A94BA2">
              <w:rPr>
                <w:sz w:val="20"/>
                <w:szCs w:val="24"/>
                <w:highlight w:val="yellow"/>
              </w:rPr>
              <w:fldChar w:fldCharType="end"/>
            </w:r>
            <w:r w:rsidR="00896D9E" w:rsidRPr="00A94BA2">
              <w:rPr>
                <w:sz w:val="20"/>
                <w:szCs w:val="24"/>
              </w:rPr>
              <w:t xml:space="preserve"> </w:t>
            </w:r>
            <w:r w:rsidRPr="00A94BA2">
              <w:rPr>
                <w:sz w:val="20"/>
                <w:szCs w:val="24"/>
              </w:rPr>
              <w:t>of this report.</w:t>
            </w:r>
          </w:p>
        </w:tc>
      </w:tr>
      <w:tr w:rsidR="00B567B7" w:rsidRPr="00A94BA2" w14:paraId="634A905E" w14:textId="77777777" w:rsidTr="00DD67B1">
        <w:tc>
          <w:tcPr>
            <w:tcW w:w="1838" w:type="dxa"/>
          </w:tcPr>
          <w:p w14:paraId="753DA3C2" w14:textId="5B03B7E0" w:rsidR="00B567B7" w:rsidRPr="00A94BA2" w:rsidRDefault="00B567B7" w:rsidP="00A94BA2">
            <w:pPr>
              <w:pStyle w:val="Tabletext"/>
              <w:rPr>
                <w:sz w:val="20"/>
                <w:szCs w:val="24"/>
              </w:rPr>
            </w:pPr>
            <w:r w:rsidRPr="00A94BA2">
              <w:rPr>
                <w:sz w:val="20"/>
                <w:szCs w:val="24"/>
              </w:rPr>
              <w:t>Measurability of the Standards</w:t>
            </w:r>
          </w:p>
        </w:tc>
        <w:tc>
          <w:tcPr>
            <w:tcW w:w="7222" w:type="dxa"/>
          </w:tcPr>
          <w:p w14:paraId="784FFFF6" w14:textId="77777777" w:rsidR="00650D4A" w:rsidRPr="00A94BA2" w:rsidRDefault="00B567B7" w:rsidP="00A94BA2">
            <w:pPr>
              <w:pStyle w:val="Tabletext"/>
              <w:rPr>
                <w:sz w:val="20"/>
                <w:szCs w:val="24"/>
              </w:rPr>
            </w:pPr>
            <w:r w:rsidRPr="00A94BA2">
              <w:rPr>
                <w:sz w:val="20"/>
                <w:szCs w:val="24"/>
              </w:rPr>
              <w:t xml:space="preserve">The Royal Commission was critical of the measurability of the Standards. It described that any standards ‘must clearly communicate what providers must do to deliver high quality aged care’ and provided an example of how the requirements under Standard 7 could be strengthened to include a requirement that ‘food service staff are specifically trained in food provision in residential aged care’. In this way the Royal Commission’s articulation of measurability talked to the level of prescription and detail of requirements contained in a Standard and their ability to present a clear view to consumers, </w:t>
            </w:r>
            <w:proofErr w:type="gramStart"/>
            <w:r w:rsidRPr="00A94BA2">
              <w:rPr>
                <w:sz w:val="20"/>
                <w:szCs w:val="24"/>
              </w:rPr>
              <w:t>providers</w:t>
            </w:r>
            <w:proofErr w:type="gramEnd"/>
            <w:r w:rsidRPr="00A94BA2">
              <w:rPr>
                <w:sz w:val="20"/>
                <w:szCs w:val="24"/>
              </w:rPr>
              <w:t xml:space="preserve"> and the regulator what providers must do to demonstrate that they are meeting the outcome of the Standard. </w:t>
            </w:r>
          </w:p>
          <w:p w14:paraId="58C04602" w14:textId="305CEF2B" w:rsidR="00B567B7" w:rsidRPr="00A94BA2" w:rsidRDefault="00B567B7" w:rsidP="00A94BA2">
            <w:pPr>
              <w:pStyle w:val="Tabletext"/>
              <w:rPr>
                <w:sz w:val="20"/>
                <w:szCs w:val="24"/>
              </w:rPr>
            </w:pPr>
            <w:r w:rsidRPr="00A94BA2">
              <w:rPr>
                <w:sz w:val="20"/>
                <w:szCs w:val="24"/>
              </w:rPr>
              <w:t xml:space="preserve">The Royal Commission also explored the inclusion of requirements within the Standards that can support additional measurement and benchmarking of performance. For example, it noted a requirement could be included ‘that menu details include quantities of serves of each of the food groups, so the adequacy of the menu can be benchmarked against Australian </w:t>
            </w:r>
            <w:proofErr w:type="gramStart"/>
            <w:r w:rsidRPr="00A94BA2">
              <w:rPr>
                <w:sz w:val="20"/>
                <w:szCs w:val="24"/>
              </w:rPr>
              <w:t>standards’</w:t>
            </w:r>
            <w:proofErr w:type="gramEnd"/>
            <w:r w:rsidRPr="00A94BA2">
              <w:rPr>
                <w:sz w:val="20"/>
                <w:szCs w:val="24"/>
              </w:rPr>
              <w:t>.</w:t>
            </w:r>
          </w:p>
        </w:tc>
      </w:tr>
      <w:tr w:rsidR="00B567B7" w:rsidRPr="00A94BA2" w14:paraId="1184DF15" w14:textId="77777777" w:rsidTr="00DD67B1">
        <w:tc>
          <w:tcPr>
            <w:tcW w:w="1838" w:type="dxa"/>
          </w:tcPr>
          <w:p w14:paraId="3E915797" w14:textId="3A48F035" w:rsidR="00B567B7" w:rsidRPr="00A94BA2" w:rsidRDefault="0011212A" w:rsidP="00A94BA2">
            <w:pPr>
              <w:pStyle w:val="Tabletext"/>
              <w:rPr>
                <w:sz w:val="20"/>
                <w:szCs w:val="24"/>
              </w:rPr>
            </w:pPr>
            <w:r w:rsidRPr="00A94BA2">
              <w:rPr>
                <w:sz w:val="20"/>
                <w:szCs w:val="24"/>
              </w:rPr>
              <w:t xml:space="preserve">Ability to use performance assessment data to differentiate </w:t>
            </w:r>
            <w:r w:rsidR="00DD2C95" w:rsidRPr="00A94BA2">
              <w:rPr>
                <w:sz w:val="20"/>
                <w:szCs w:val="24"/>
              </w:rPr>
              <w:t>performance of providers to support consumer decision making</w:t>
            </w:r>
          </w:p>
        </w:tc>
        <w:tc>
          <w:tcPr>
            <w:tcW w:w="7222" w:type="dxa"/>
          </w:tcPr>
          <w:p w14:paraId="68DA15D8" w14:textId="38C19610" w:rsidR="00B567B7" w:rsidRPr="00A94BA2" w:rsidRDefault="009857FC" w:rsidP="00A94BA2">
            <w:pPr>
              <w:pStyle w:val="Tabletext"/>
              <w:rPr>
                <w:sz w:val="20"/>
                <w:szCs w:val="24"/>
              </w:rPr>
            </w:pPr>
            <w:r w:rsidRPr="00A94BA2">
              <w:rPr>
                <w:sz w:val="20"/>
                <w:szCs w:val="24"/>
              </w:rPr>
              <w:t xml:space="preserve">The Royal Commission highlighted that while the Aged Care Quality Standards rating and Service Compliance </w:t>
            </w:r>
            <w:r w:rsidR="005005E1" w:rsidRPr="00A94BA2">
              <w:rPr>
                <w:sz w:val="20"/>
                <w:szCs w:val="24"/>
              </w:rPr>
              <w:t>R</w:t>
            </w:r>
            <w:r w:rsidRPr="00A94BA2">
              <w:rPr>
                <w:sz w:val="20"/>
                <w:szCs w:val="24"/>
              </w:rPr>
              <w:t>atings are published for all residential aged care services, ‘they do not differentiate between services that barely meet those minimum standards and those that have achieved excellence’. This issue has a direct relationship with the assessment framework for the Standards. The current assessment framework rates performance against the Standards in a binary way, as either met or not met, as distinct from assessment approaches in some other sectors or jurisdictions which offer a graded assessment of performance with more than two assessment levels to support greater differentiation of performance of different providers. The Royal Commission specifically commented that ‘the regulator should adopt a more rigorous, graded assessment of service performance against the Aged Care Quality Standards’.</w:t>
            </w:r>
          </w:p>
        </w:tc>
      </w:tr>
      <w:tr w:rsidR="00B567B7" w:rsidRPr="00A94BA2" w14:paraId="459C51C2" w14:textId="77777777" w:rsidTr="00DD67B1">
        <w:tc>
          <w:tcPr>
            <w:tcW w:w="1838" w:type="dxa"/>
          </w:tcPr>
          <w:p w14:paraId="316ED36A" w14:textId="1CBBB35A" w:rsidR="00B567B7" w:rsidRPr="00A94BA2" w:rsidRDefault="00DD2C95" w:rsidP="00A94BA2">
            <w:pPr>
              <w:pStyle w:val="Tabletext"/>
              <w:rPr>
                <w:sz w:val="20"/>
                <w:szCs w:val="24"/>
              </w:rPr>
            </w:pPr>
            <w:r w:rsidRPr="00A94BA2">
              <w:rPr>
                <w:sz w:val="20"/>
                <w:szCs w:val="24"/>
              </w:rPr>
              <w:lastRenderedPageBreak/>
              <w:t>Transparency of information currently collected in the aged care system at a provider level to support consumer decision making</w:t>
            </w:r>
          </w:p>
        </w:tc>
        <w:tc>
          <w:tcPr>
            <w:tcW w:w="7222" w:type="dxa"/>
          </w:tcPr>
          <w:p w14:paraId="03B1587C" w14:textId="0B6BD325" w:rsidR="00B567B7" w:rsidRPr="00A94BA2" w:rsidRDefault="00DD2C95" w:rsidP="00A94BA2">
            <w:pPr>
              <w:pStyle w:val="Tabletext"/>
              <w:rPr>
                <w:sz w:val="20"/>
                <w:szCs w:val="24"/>
              </w:rPr>
            </w:pPr>
            <w:r w:rsidRPr="00A94BA2">
              <w:rPr>
                <w:sz w:val="20"/>
                <w:szCs w:val="24"/>
              </w:rPr>
              <w:t xml:space="preserve">The Royal Commission noted that ‘useful and relevant information on aged care services is difficult to come by’. </w:t>
            </w:r>
            <w:proofErr w:type="gramStart"/>
            <w:r w:rsidRPr="00A94BA2">
              <w:rPr>
                <w:sz w:val="20"/>
                <w:szCs w:val="24"/>
              </w:rPr>
              <w:t>In particular it</w:t>
            </w:r>
            <w:proofErr w:type="gramEnd"/>
            <w:r w:rsidRPr="00A94BA2">
              <w:rPr>
                <w:sz w:val="20"/>
                <w:szCs w:val="24"/>
              </w:rPr>
              <w:t xml:space="preserve"> articulated that information currently collected through the aged care system is not accessible at either a provider or a service level to support consumer decision making, for example information about the nature, number and disposition of complaints and the number of reportable assaults.</w:t>
            </w:r>
          </w:p>
        </w:tc>
      </w:tr>
      <w:tr w:rsidR="00B567B7" w:rsidRPr="00A94BA2" w14:paraId="31A53CDB" w14:textId="77777777" w:rsidTr="00DD67B1">
        <w:tc>
          <w:tcPr>
            <w:tcW w:w="1838" w:type="dxa"/>
          </w:tcPr>
          <w:p w14:paraId="18F9489C" w14:textId="79D8F4FC" w:rsidR="00B567B7" w:rsidRPr="00A94BA2" w:rsidRDefault="00DD2C95" w:rsidP="00A94BA2">
            <w:pPr>
              <w:pStyle w:val="Tabletext"/>
              <w:rPr>
                <w:sz w:val="20"/>
                <w:szCs w:val="24"/>
              </w:rPr>
            </w:pPr>
            <w:r w:rsidRPr="00A94BA2">
              <w:rPr>
                <w:sz w:val="20"/>
                <w:szCs w:val="24"/>
              </w:rPr>
              <w:t>Availability of broader data sets to understand the quality and safety of aged care</w:t>
            </w:r>
          </w:p>
        </w:tc>
        <w:tc>
          <w:tcPr>
            <w:tcW w:w="7222" w:type="dxa"/>
          </w:tcPr>
          <w:p w14:paraId="2E6346F0" w14:textId="3D83EE33" w:rsidR="00B567B7" w:rsidRPr="00A94BA2" w:rsidRDefault="00DD2C95" w:rsidP="00A94BA2">
            <w:pPr>
              <w:pStyle w:val="Tabletext"/>
              <w:rPr>
                <w:sz w:val="20"/>
                <w:szCs w:val="24"/>
              </w:rPr>
            </w:pPr>
            <w:r w:rsidRPr="00A94BA2">
              <w:rPr>
                <w:sz w:val="20"/>
                <w:szCs w:val="24"/>
              </w:rPr>
              <w:t>Standards are one lever to measure the quality and safety of care in a system.  There are a range of other levers available to measure the quality and safety of aged care, including that offer transparency of ‘outcomes’ achieved within a system. Certain levers already exist within the current aged care system, including National Aged Care Mandatory Quality Indicator Program (QI Program) and the Serious Incident Response Scheme. The Royal Commission specifically highlighted that there is a lack of ‘quality data about older people and their experiences of aged care’ and staffing levels</w:t>
            </w:r>
            <w:r w:rsidR="00730AF9" w:rsidRPr="00A94BA2">
              <w:rPr>
                <w:sz w:val="20"/>
                <w:szCs w:val="24"/>
              </w:rPr>
              <w:t>. The Australian Government’s response to the Royal Commission accepted Recommendation 23 to incorporate greater use of quality indicators for continuous improvement through the expansion and development of the QI Program. Recommendation 24 was also accepted, outlining that star ratings will be published on My Aged Care by the end of 2022, providing performance information for people seeking residential aged care. Star ratings will include information on quality indicators, consumer experience reporting, staffing levels and service compliance ratings.</w:t>
            </w:r>
          </w:p>
        </w:tc>
      </w:tr>
      <w:tr w:rsidR="00DD2C95" w:rsidRPr="00A94BA2" w14:paraId="4DB35946" w14:textId="77777777" w:rsidTr="00DD67B1">
        <w:tc>
          <w:tcPr>
            <w:tcW w:w="1838" w:type="dxa"/>
          </w:tcPr>
          <w:p w14:paraId="707660CE" w14:textId="4BA925EB" w:rsidR="00DD2C95" w:rsidRPr="00A94BA2" w:rsidRDefault="00DD2C95" w:rsidP="00A94BA2">
            <w:pPr>
              <w:pStyle w:val="Tabletext"/>
              <w:rPr>
                <w:sz w:val="20"/>
                <w:szCs w:val="24"/>
              </w:rPr>
            </w:pPr>
            <w:r w:rsidRPr="00A94BA2">
              <w:rPr>
                <w:sz w:val="20"/>
                <w:szCs w:val="24"/>
              </w:rPr>
              <w:t>Alignment of the Standards with broader changes within the aged care sector</w:t>
            </w:r>
          </w:p>
        </w:tc>
        <w:tc>
          <w:tcPr>
            <w:tcW w:w="7222" w:type="dxa"/>
          </w:tcPr>
          <w:p w14:paraId="086CB6F4" w14:textId="2CEC9527" w:rsidR="00DD2C95" w:rsidRPr="00A94BA2" w:rsidRDefault="004355BC" w:rsidP="00A94BA2">
            <w:pPr>
              <w:pStyle w:val="Tabletext"/>
              <w:rPr>
                <w:sz w:val="20"/>
                <w:szCs w:val="24"/>
              </w:rPr>
            </w:pPr>
            <w:r w:rsidRPr="00A94BA2">
              <w:rPr>
                <w:sz w:val="20"/>
                <w:szCs w:val="24"/>
              </w:rPr>
              <w:t xml:space="preserve">The Royal Commission also raised concerns related to the alignment of the Standards </w:t>
            </w:r>
            <w:r w:rsidR="002C431D" w:rsidRPr="00A94BA2">
              <w:rPr>
                <w:sz w:val="20"/>
                <w:szCs w:val="24"/>
              </w:rPr>
              <w:t>with broader reform and changes that had occurred within the sector. It noted that</w:t>
            </w:r>
            <w:r w:rsidR="00DD2C95" w:rsidRPr="00A94BA2">
              <w:rPr>
                <w:sz w:val="20"/>
                <w:szCs w:val="24"/>
              </w:rPr>
              <w:t xml:space="preserve"> </w:t>
            </w:r>
            <w:r w:rsidRPr="00A94BA2">
              <w:rPr>
                <w:sz w:val="20"/>
                <w:szCs w:val="24"/>
              </w:rPr>
              <w:t>‘</w:t>
            </w:r>
            <w:r w:rsidR="00DD2C95" w:rsidRPr="00A94BA2">
              <w:rPr>
                <w:sz w:val="20"/>
                <w:szCs w:val="24"/>
              </w:rPr>
              <w:t>changes to the Standards had sometimes been developed in isolation from other changes to the broader system, in response to a particular issue of public concern, and therefore lack any strategic context</w:t>
            </w:r>
            <w:r w:rsidRPr="00A94BA2">
              <w:rPr>
                <w:sz w:val="20"/>
                <w:szCs w:val="24"/>
              </w:rPr>
              <w:t>’</w:t>
            </w:r>
            <w:r w:rsidR="00DD2C95" w:rsidRPr="00A94BA2">
              <w:rPr>
                <w:sz w:val="20"/>
                <w:szCs w:val="24"/>
              </w:rPr>
              <w:t>.</w:t>
            </w:r>
          </w:p>
        </w:tc>
      </w:tr>
    </w:tbl>
    <w:p w14:paraId="36630C3C" w14:textId="090C710E" w:rsidR="006219C8" w:rsidRDefault="006219C8" w:rsidP="00231A99">
      <w:pPr>
        <w:pStyle w:val="Source0"/>
      </w:pPr>
      <w:r>
        <w:t xml:space="preserve">Source: </w:t>
      </w:r>
      <w:r w:rsidR="007B041C">
        <w:t>Analysis</w:t>
      </w:r>
      <w:r>
        <w:t xml:space="preserve"> of </w:t>
      </w:r>
      <w:r w:rsidR="007B041C">
        <w:t>findings from the</w:t>
      </w:r>
      <w:r>
        <w:t xml:space="preserve"> Royal Commission </w:t>
      </w:r>
      <w:r w:rsidR="00650D4A">
        <w:t>Final Report</w:t>
      </w:r>
      <w:r w:rsidR="007B041C">
        <w:t xml:space="preserve"> series</w:t>
      </w:r>
      <w:r w:rsidR="005E7D48">
        <w:rPr>
          <w:rFonts w:ascii="ZWAdobeF" w:hAnsi="ZWAdobeF" w:cs="ZWAdobeF"/>
          <w:color w:val="auto"/>
          <w:sz w:val="2"/>
          <w:szCs w:val="2"/>
        </w:rPr>
        <w:t>9F</w:t>
      </w:r>
      <w:r w:rsidR="00650D4A">
        <w:rPr>
          <w:rStyle w:val="FootnoteReference"/>
        </w:rPr>
        <w:footnoteReference w:id="10"/>
      </w:r>
    </w:p>
    <w:p w14:paraId="577E3C88" w14:textId="61EC7CE5" w:rsidR="00B567B7" w:rsidRDefault="00896D9E" w:rsidP="001050C1">
      <w:pPr>
        <w:pStyle w:val="BodyText1"/>
      </w:pPr>
      <w:r>
        <w:t>T</w:t>
      </w:r>
      <w:r w:rsidR="006219C8">
        <w:t>hese issues are explored in the findings sections of this report</w:t>
      </w:r>
      <w:r>
        <w:t xml:space="preserve"> where there is alignment to the scope of this Evaluation</w:t>
      </w:r>
      <w:r w:rsidR="006219C8">
        <w:t>.</w:t>
      </w:r>
    </w:p>
    <w:p w14:paraId="07C49C90" w14:textId="3FEA2992" w:rsidR="00D4203C" w:rsidRPr="00822A27" w:rsidRDefault="00AA5CE0" w:rsidP="00593B7C">
      <w:pPr>
        <w:pStyle w:val="Heading2"/>
        <w:pageBreakBefore/>
        <w:numPr>
          <w:ilvl w:val="1"/>
          <w:numId w:val="37"/>
        </w:numPr>
        <w:ind w:left="567" w:hanging="567"/>
      </w:pPr>
      <w:bookmarkStart w:id="60" w:name="_Toc88804073"/>
      <w:bookmarkStart w:id="61" w:name="_Toc89930035"/>
      <w:bookmarkStart w:id="62" w:name="_Toc90453354"/>
      <w:bookmarkStart w:id="63" w:name="_Toc113448682"/>
      <w:r w:rsidRPr="00822A27">
        <w:lastRenderedPageBreak/>
        <w:t>Royal Commission recommendations</w:t>
      </w:r>
      <w:bookmarkEnd w:id="60"/>
      <w:bookmarkEnd w:id="61"/>
      <w:bookmarkEnd w:id="62"/>
      <w:bookmarkEnd w:id="63"/>
    </w:p>
    <w:p w14:paraId="608CA1D7" w14:textId="023BD845" w:rsidR="00CD4D18" w:rsidRDefault="0063134B" w:rsidP="001050C1">
      <w:pPr>
        <w:pStyle w:val="BodyText1"/>
      </w:pPr>
      <w:r>
        <w:t xml:space="preserve">The recommendations of the Royal </w:t>
      </w:r>
      <w:r w:rsidR="002075DD">
        <w:t>C</w:t>
      </w:r>
      <w:r>
        <w:t xml:space="preserve">ommission included </w:t>
      </w:r>
      <w:r w:rsidR="004D2C46">
        <w:t>four</w:t>
      </w:r>
      <w:r w:rsidR="00024774">
        <w:t xml:space="preserve"> specific recommendations for the Standards. </w:t>
      </w:r>
    </w:p>
    <w:p w14:paraId="06951033" w14:textId="21EBD6E2" w:rsidR="00593B7C" w:rsidRPr="00BF7578" w:rsidRDefault="00593B7C" w:rsidP="00593B7C">
      <w:pPr>
        <w:pStyle w:val="Heading3"/>
      </w:pPr>
      <w:r w:rsidRPr="00BF7578">
        <w:rPr>
          <w:noProof/>
        </w:rPr>
        <w:drawing>
          <wp:inline distT="0" distB="0" distL="0" distR="0" wp14:anchorId="04BA6F30" wp14:editId="7F48312B">
            <wp:extent cx="585216" cy="585216"/>
            <wp:effectExtent l="0" t="0" r="5715" b="5715"/>
            <wp:docPr id="455" name="Picture 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Picture 815">
                      <a:extLst>
                        <a:ext uri="{C183D7F6-B498-43B3-948B-1728B52AA6E4}">
                          <adec:decorative xmlns:adec="http://schemas.microsoft.com/office/drawing/2017/decorative" val="1"/>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6865" cy="586865"/>
                    </a:xfrm>
                    <a:prstGeom prst="rect">
                      <a:avLst/>
                    </a:prstGeom>
                    <a:noFill/>
                    <a:ln>
                      <a:noFill/>
                    </a:ln>
                  </pic:spPr>
                </pic:pic>
              </a:graphicData>
            </a:graphic>
          </wp:inline>
        </w:drawing>
      </w:r>
      <w:r w:rsidRPr="00BF7578">
        <w:t>Recommendation 18:</w:t>
      </w:r>
    </w:p>
    <w:p w14:paraId="4CE487C9" w14:textId="735F51D6" w:rsidR="00593B7C" w:rsidRDefault="00593B7C" w:rsidP="00593B7C">
      <w:pPr>
        <w:pStyle w:val="CommentText"/>
      </w:pPr>
      <w:r w:rsidRPr="00BF7578">
        <w:t>Aged care standard‐setting by the renamed Australian Commission on Safety and Quality in Health and Aged Care</w:t>
      </w:r>
    </w:p>
    <w:p w14:paraId="53614532" w14:textId="1181B6B1" w:rsidR="00593B7C" w:rsidRDefault="00593B7C" w:rsidP="00593B7C">
      <w:pPr>
        <w:pStyle w:val="ListNumber"/>
      </w:pPr>
      <w:r>
        <w:t xml:space="preserve">Section 9 of the </w:t>
      </w:r>
      <w:r w:rsidRPr="00593B7C">
        <w:rPr>
          <w:rStyle w:val="Emphasis"/>
        </w:rPr>
        <w:t>National Health Reform Act 2011</w:t>
      </w:r>
      <w:r>
        <w:t xml:space="preserve"> (</w:t>
      </w:r>
      <w:proofErr w:type="spellStart"/>
      <w:r>
        <w:t>Cth</w:t>
      </w:r>
      <w:proofErr w:type="spellEnd"/>
      <w:r>
        <w:t>) should be amended to:</w:t>
      </w:r>
    </w:p>
    <w:p w14:paraId="55A8773D" w14:textId="199EF47F" w:rsidR="00593B7C" w:rsidRDefault="00593B7C" w:rsidP="00593B7C">
      <w:pPr>
        <w:pStyle w:val="ListNumber2"/>
      </w:pPr>
      <w:r>
        <w:t>rename the Australian Commission on Safety and Quality in Health Care as the ‘Australian Commission on Safety and Quality in Health and Aged Care’, and</w:t>
      </w:r>
    </w:p>
    <w:p w14:paraId="3AF34477" w14:textId="00B8E9E6" w:rsidR="00593B7C" w:rsidRDefault="00593B7C" w:rsidP="00593B7C">
      <w:pPr>
        <w:pStyle w:val="ListNumber2"/>
      </w:pPr>
      <w:r>
        <w:t>confer upon that body the functions of formulating standards, guidelines and indicators relating to aged care safety and quality.</w:t>
      </w:r>
    </w:p>
    <w:p w14:paraId="2AD3635F" w14:textId="4D24DD5C" w:rsidR="00593B7C" w:rsidRPr="00593B7C" w:rsidRDefault="00593B7C" w:rsidP="00593B7C">
      <w:pPr>
        <w:pStyle w:val="ListNumber"/>
      </w:pPr>
      <w:r>
        <w:t xml:space="preserve">Amendments to section 10 of the </w:t>
      </w:r>
      <w:r w:rsidRPr="00593B7C">
        <w:rPr>
          <w:rStyle w:val="Emphasis"/>
        </w:rPr>
        <w:t>National Health Reform Act</w:t>
      </w:r>
      <w:r>
        <w:t xml:space="preserve"> 2011 (</w:t>
      </w:r>
      <w:proofErr w:type="spellStart"/>
      <w:r>
        <w:t>Cth</w:t>
      </w:r>
      <w:proofErr w:type="spellEnd"/>
      <w:r>
        <w:t>) should also be made to provide for a consultation process for the Commission’s aged care functions.</w:t>
      </w:r>
    </w:p>
    <w:p w14:paraId="066936A0" w14:textId="2F661029" w:rsidR="00DB1D14" w:rsidRDefault="0052291D" w:rsidP="00231A99">
      <w:pPr>
        <w:pStyle w:val="Caption"/>
      </w:pPr>
      <w:bookmarkStart w:id="64" w:name="_Toc85369259"/>
      <w:r>
        <w:t>Figure</w:t>
      </w:r>
      <w:r w:rsidR="007143F1">
        <w:t xml:space="preserve"> </w:t>
      </w:r>
      <w:r>
        <w:fldChar w:fldCharType="begin"/>
      </w:r>
      <w:r>
        <w:instrText>SEQ Figure \* ARABIC</w:instrText>
      </w:r>
      <w:r>
        <w:fldChar w:fldCharType="separate"/>
      </w:r>
      <w:r w:rsidR="0083123A">
        <w:rPr>
          <w:noProof/>
        </w:rPr>
        <w:t>2</w:t>
      </w:r>
      <w:r>
        <w:fldChar w:fldCharType="end"/>
      </w:r>
      <w:r w:rsidR="00F60A7A">
        <w:t>: Summary of relevant recommendations, Royal Commission Final Report</w:t>
      </w:r>
      <w:bookmarkEnd w:id="64"/>
    </w:p>
    <w:tbl>
      <w:tblPr>
        <w:tblStyle w:val="TableGridLight"/>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1276"/>
        <w:gridCol w:w="7795"/>
      </w:tblGrid>
      <w:tr w:rsidR="00A73DB3" w:rsidRPr="00BF7578" w14:paraId="3412E395" w14:textId="77777777" w:rsidTr="00A94BA2">
        <w:trPr>
          <w:cnfStyle w:val="100000000000" w:firstRow="1" w:lastRow="0" w:firstColumn="0" w:lastColumn="0" w:oddVBand="0" w:evenVBand="0" w:oddHBand="0" w:evenHBand="0" w:firstRowFirstColumn="0" w:firstRowLastColumn="0" w:lastRowFirstColumn="0" w:lastRowLastColumn="0"/>
          <w:tblHeader/>
        </w:trPr>
        <w:tc>
          <w:tcPr>
            <w:tcW w:w="1276" w:type="dxa"/>
            <w:tcBorders>
              <w:bottom w:val="single" w:sz="4" w:space="0" w:color="00338D" w:themeColor="text2"/>
            </w:tcBorders>
            <w:vAlign w:val="center"/>
          </w:tcPr>
          <w:p w14:paraId="6E2FBC95" w14:textId="69B0B55B" w:rsidR="00A73DB3" w:rsidRPr="00BF7578" w:rsidRDefault="00A73DB3" w:rsidP="00A94BA2">
            <w:pPr>
              <w:pStyle w:val="Tableheading"/>
            </w:pPr>
            <w:r w:rsidRPr="00BF7578">
              <w:rPr>
                <w:noProof/>
              </w:rPr>
              <w:drawing>
                <wp:inline distT="0" distB="0" distL="0" distR="0" wp14:anchorId="58F7E843" wp14:editId="2DFD0EF4">
                  <wp:extent cx="585216" cy="585216"/>
                  <wp:effectExtent l="0" t="0" r="5715" b="5715"/>
                  <wp:docPr id="815" name="Picture 8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Picture 815">
                            <a:extLst>
                              <a:ext uri="{C183D7F6-B498-43B3-948B-1728B52AA6E4}">
                                <adec:decorative xmlns:adec="http://schemas.microsoft.com/office/drawing/2017/decorative" val="1"/>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6865" cy="586865"/>
                          </a:xfrm>
                          <a:prstGeom prst="rect">
                            <a:avLst/>
                          </a:prstGeom>
                          <a:noFill/>
                          <a:ln>
                            <a:noFill/>
                          </a:ln>
                        </pic:spPr>
                      </pic:pic>
                    </a:graphicData>
                  </a:graphic>
                </wp:inline>
              </w:drawing>
            </w:r>
          </w:p>
        </w:tc>
        <w:tc>
          <w:tcPr>
            <w:tcW w:w="7795" w:type="dxa"/>
            <w:tcBorders>
              <w:bottom w:val="single" w:sz="4" w:space="0" w:color="00338D" w:themeColor="text2"/>
            </w:tcBorders>
            <w:vAlign w:val="center"/>
          </w:tcPr>
          <w:p w14:paraId="6BDEB485" w14:textId="04A5E327" w:rsidR="00A73DB3" w:rsidRPr="00BF7578" w:rsidRDefault="00A73DB3" w:rsidP="00A94BA2">
            <w:pPr>
              <w:pStyle w:val="Tableheading"/>
            </w:pPr>
            <w:r w:rsidRPr="00BF7578">
              <w:t xml:space="preserve">Recommendation 18: </w:t>
            </w:r>
          </w:p>
          <w:p w14:paraId="68843C87" w14:textId="61B8A092" w:rsidR="00A73DB3" w:rsidRPr="00BF7578" w:rsidRDefault="00A73DB3" w:rsidP="00A94BA2">
            <w:pPr>
              <w:pStyle w:val="Tableheading"/>
            </w:pPr>
            <w:r w:rsidRPr="00BF7578">
              <w:t>Aged care standard‐setting by the renamed Australian Commission on Safety and Quality in Health and Aged Care</w:t>
            </w:r>
          </w:p>
        </w:tc>
      </w:tr>
      <w:tr w:rsidR="00FF1571" w:rsidRPr="00FF1571" w14:paraId="62492255" w14:textId="77777777" w:rsidTr="00E83296">
        <w:tc>
          <w:tcPr>
            <w:tcW w:w="1276" w:type="dxa"/>
            <w:tcBorders>
              <w:top w:val="single" w:sz="4" w:space="0" w:color="00338D" w:themeColor="text2"/>
              <w:bottom w:val="single" w:sz="4" w:space="0" w:color="00338D" w:themeColor="text2"/>
            </w:tcBorders>
          </w:tcPr>
          <w:p w14:paraId="335F217F" w14:textId="77777777" w:rsidR="00FF1571" w:rsidRPr="00FF1571" w:rsidRDefault="00FF1571" w:rsidP="00FF1571">
            <w:pPr>
              <w:pStyle w:val="Tabletext"/>
            </w:pPr>
          </w:p>
        </w:tc>
        <w:tc>
          <w:tcPr>
            <w:tcW w:w="7795" w:type="dxa"/>
            <w:tcBorders>
              <w:top w:val="single" w:sz="4" w:space="0" w:color="00338D" w:themeColor="text2"/>
              <w:bottom w:val="single" w:sz="4" w:space="0" w:color="00338D" w:themeColor="text2"/>
            </w:tcBorders>
            <w:vAlign w:val="bottom"/>
          </w:tcPr>
          <w:p w14:paraId="28578821" w14:textId="1AC9D460" w:rsidR="00FF1571" w:rsidRDefault="00A6673D" w:rsidP="00A6673D">
            <w:pPr>
              <w:pStyle w:val="Tabletext"/>
              <w:ind w:left="451" w:hanging="425"/>
            </w:pPr>
            <w:r>
              <w:t>1.</w:t>
            </w:r>
            <w:r>
              <w:tab/>
            </w:r>
            <w:r w:rsidR="00FF1571">
              <w:t xml:space="preserve">Section 9 of the </w:t>
            </w:r>
            <w:r w:rsidR="00FF1571" w:rsidRPr="00E02485">
              <w:rPr>
                <w:i/>
                <w:iCs/>
              </w:rPr>
              <w:t>National Health Reform Act 2011 (</w:t>
            </w:r>
            <w:proofErr w:type="spellStart"/>
            <w:r w:rsidR="00FF1571" w:rsidRPr="00E02485">
              <w:rPr>
                <w:i/>
                <w:iCs/>
              </w:rPr>
              <w:t>Cth</w:t>
            </w:r>
            <w:proofErr w:type="spellEnd"/>
            <w:r w:rsidR="00FF1571" w:rsidRPr="00E02485">
              <w:rPr>
                <w:i/>
                <w:iCs/>
              </w:rPr>
              <w:t>)</w:t>
            </w:r>
            <w:r w:rsidR="00FF1571">
              <w:t xml:space="preserve"> should be amended to:</w:t>
            </w:r>
          </w:p>
          <w:p w14:paraId="410E11A9" w14:textId="09A0EBFD" w:rsidR="00FF1571" w:rsidRDefault="00FF1571" w:rsidP="00A6673D">
            <w:pPr>
              <w:pStyle w:val="Tabletext"/>
              <w:ind w:left="862" w:hanging="406"/>
            </w:pPr>
            <w:r>
              <w:t>a.</w:t>
            </w:r>
            <w:r>
              <w:tab/>
            </w:r>
            <w:proofErr w:type="gramStart"/>
            <w:r>
              <w:t>rename</w:t>
            </w:r>
            <w:proofErr w:type="gramEnd"/>
            <w:r>
              <w:t xml:space="preserve"> the Australian Commission on Safety and Quality in Health Care as the ‘Australian Commission on Safety and Quality in Health and Aged Care’, and</w:t>
            </w:r>
          </w:p>
          <w:p w14:paraId="53C858A9" w14:textId="328D092A" w:rsidR="00FF1571" w:rsidRDefault="00FF1571" w:rsidP="00A6673D">
            <w:pPr>
              <w:pStyle w:val="Tabletext"/>
              <w:ind w:left="862" w:hanging="406"/>
            </w:pPr>
            <w:r>
              <w:t>b.</w:t>
            </w:r>
            <w:r>
              <w:tab/>
            </w:r>
            <w:proofErr w:type="gramStart"/>
            <w:r>
              <w:t>confer</w:t>
            </w:r>
            <w:proofErr w:type="gramEnd"/>
            <w:r>
              <w:t xml:space="preserve"> upon that body the functions of formulating standards, guidelines and indicators relating to aged care safety and quality.</w:t>
            </w:r>
          </w:p>
          <w:p w14:paraId="6394E604" w14:textId="06FDC1CC" w:rsidR="00FF1571" w:rsidRPr="00FF1571" w:rsidRDefault="00FF1571" w:rsidP="00A6673D">
            <w:pPr>
              <w:pStyle w:val="Tabletext"/>
              <w:ind w:left="451" w:hanging="425"/>
            </w:pPr>
            <w:r>
              <w:t xml:space="preserve">2. </w:t>
            </w:r>
            <w:r>
              <w:tab/>
              <w:t xml:space="preserve">Amendments to section 10 of the </w:t>
            </w:r>
            <w:r w:rsidRPr="00E02485">
              <w:rPr>
                <w:i/>
                <w:iCs/>
              </w:rPr>
              <w:t>National Health Reform Act 2011 (</w:t>
            </w:r>
            <w:proofErr w:type="spellStart"/>
            <w:r w:rsidRPr="00E02485">
              <w:rPr>
                <w:i/>
                <w:iCs/>
              </w:rPr>
              <w:t>Cth</w:t>
            </w:r>
            <w:proofErr w:type="spellEnd"/>
            <w:r w:rsidRPr="00E02485">
              <w:rPr>
                <w:i/>
                <w:iCs/>
              </w:rPr>
              <w:t xml:space="preserve">) </w:t>
            </w:r>
            <w:r>
              <w:t>should also be made to provide for a consultation process for the Commission’s aged care functions.</w:t>
            </w:r>
          </w:p>
        </w:tc>
      </w:tr>
    </w:tbl>
    <w:p w14:paraId="5A852065" w14:textId="77777777" w:rsidR="00E02485" w:rsidRDefault="00E02485"/>
    <w:tbl>
      <w:tblPr>
        <w:tblStyle w:val="TableGridLight"/>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1276"/>
        <w:gridCol w:w="7795"/>
      </w:tblGrid>
      <w:tr w:rsidR="00A73DB3" w:rsidRPr="00BF7578" w14:paraId="1393E921" w14:textId="77777777" w:rsidTr="00A94BA2">
        <w:trPr>
          <w:cnfStyle w:val="100000000000" w:firstRow="1" w:lastRow="0" w:firstColumn="0" w:lastColumn="0" w:oddVBand="0" w:evenVBand="0" w:oddHBand="0" w:evenHBand="0" w:firstRowFirstColumn="0" w:firstRowLastColumn="0" w:lastRowFirstColumn="0" w:lastRowLastColumn="0"/>
          <w:tblHeader/>
        </w:trPr>
        <w:tc>
          <w:tcPr>
            <w:tcW w:w="1276" w:type="dxa"/>
            <w:tcBorders>
              <w:bottom w:val="single" w:sz="4" w:space="0" w:color="00338D" w:themeColor="text2"/>
            </w:tcBorders>
            <w:vAlign w:val="center"/>
          </w:tcPr>
          <w:p w14:paraId="7AC14D09" w14:textId="77777777" w:rsidR="00A73DB3" w:rsidRPr="00BF7578" w:rsidRDefault="00A73DB3" w:rsidP="00A94BA2">
            <w:pPr>
              <w:pStyle w:val="Tableheading"/>
            </w:pPr>
            <w:r w:rsidRPr="00BF7578">
              <w:rPr>
                <w:noProof/>
              </w:rPr>
              <w:drawing>
                <wp:inline distT="0" distB="0" distL="0" distR="0" wp14:anchorId="2E02AF6B" wp14:editId="60337709">
                  <wp:extent cx="585216" cy="585216"/>
                  <wp:effectExtent l="0" t="0" r="5715" b="5715"/>
                  <wp:docPr id="816" name="Picture 8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Picture 816">
                            <a:extLst>
                              <a:ext uri="{C183D7F6-B498-43B3-948B-1728B52AA6E4}">
                                <adec:decorative xmlns:adec="http://schemas.microsoft.com/office/drawing/2017/decorative" val="1"/>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6865" cy="586865"/>
                          </a:xfrm>
                          <a:prstGeom prst="rect">
                            <a:avLst/>
                          </a:prstGeom>
                          <a:noFill/>
                          <a:ln>
                            <a:noFill/>
                          </a:ln>
                        </pic:spPr>
                      </pic:pic>
                    </a:graphicData>
                  </a:graphic>
                </wp:inline>
              </w:drawing>
            </w:r>
          </w:p>
        </w:tc>
        <w:tc>
          <w:tcPr>
            <w:tcW w:w="7795" w:type="dxa"/>
            <w:tcBorders>
              <w:bottom w:val="single" w:sz="4" w:space="0" w:color="00338D" w:themeColor="text2"/>
            </w:tcBorders>
            <w:vAlign w:val="center"/>
          </w:tcPr>
          <w:p w14:paraId="64B55910" w14:textId="34F0AF17" w:rsidR="00A73DB3" w:rsidRPr="00BF7578" w:rsidRDefault="00A73DB3" w:rsidP="00A94BA2">
            <w:pPr>
              <w:pStyle w:val="Tableheading"/>
            </w:pPr>
            <w:r w:rsidRPr="00BF7578">
              <w:t xml:space="preserve">Recommendation 19: </w:t>
            </w:r>
          </w:p>
          <w:p w14:paraId="1C26B253" w14:textId="0019F267" w:rsidR="00A73DB3" w:rsidRPr="00BF7578" w:rsidRDefault="00A73DB3" w:rsidP="00A94BA2">
            <w:pPr>
              <w:pStyle w:val="Tableheading"/>
            </w:pPr>
            <w:r w:rsidRPr="00BF7578">
              <w:t>Urgent review of the Aged Care Quality Standards</w:t>
            </w:r>
          </w:p>
        </w:tc>
      </w:tr>
      <w:tr w:rsidR="00B82421" w:rsidRPr="00B82421" w14:paraId="37F82A6D" w14:textId="77777777" w:rsidTr="00E83296">
        <w:tc>
          <w:tcPr>
            <w:tcW w:w="1276" w:type="dxa"/>
            <w:tcBorders>
              <w:top w:val="single" w:sz="4" w:space="0" w:color="00338D" w:themeColor="text2"/>
              <w:bottom w:val="single" w:sz="4" w:space="0" w:color="00338D" w:themeColor="text2"/>
            </w:tcBorders>
          </w:tcPr>
          <w:p w14:paraId="78912599" w14:textId="77777777" w:rsidR="00B82421" w:rsidRPr="00B82421" w:rsidRDefault="00B82421" w:rsidP="00B82421">
            <w:pPr>
              <w:pStyle w:val="Tabletext"/>
            </w:pPr>
          </w:p>
        </w:tc>
        <w:tc>
          <w:tcPr>
            <w:tcW w:w="7795" w:type="dxa"/>
            <w:tcBorders>
              <w:top w:val="single" w:sz="4" w:space="0" w:color="00338D" w:themeColor="text2"/>
              <w:bottom w:val="single" w:sz="4" w:space="0" w:color="00338D" w:themeColor="text2"/>
            </w:tcBorders>
            <w:vAlign w:val="bottom"/>
          </w:tcPr>
          <w:p w14:paraId="7D045DE2" w14:textId="77777777" w:rsidR="00B82421" w:rsidRDefault="00B82421" w:rsidP="006A63F4">
            <w:pPr>
              <w:pStyle w:val="Tabletext"/>
              <w:ind w:left="470" w:hanging="420"/>
            </w:pPr>
            <w:r>
              <w:t xml:space="preserve">1. </w:t>
            </w:r>
            <w:r>
              <w:tab/>
              <w:t>By 15 July 2021, the responsible Minister should refer to the Australian Commission on Safety and Quality in Health and Aged Care the following matters for urgent review and, if the Commission considers appropriate, amendment of the Aged Care Quality Standards:</w:t>
            </w:r>
          </w:p>
          <w:p w14:paraId="2B92B17F" w14:textId="77777777" w:rsidR="00B82421" w:rsidRDefault="00B82421" w:rsidP="006A63F4">
            <w:pPr>
              <w:pStyle w:val="Tabletext"/>
              <w:ind w:left="862" w:hanging="411"/>
            </w:pPr>
            <w:r>
              <w:t>a.</w:t>
            </w:r>
            <w:r>
              <w:tab/>
              <w:t xml:space="preserve">requiring best practice oral care, medication management, pressure injury prevention, wound management, continence care, falls prevention and mobility, and infection control, and providing sufficient detail on what these requirements involve and how they are to be achieved </w:t>
            </w:r>
          </w:p>
          <w:p w14:paraId="35B01B7F" w14:textId="77777777" w:rsidR="00B82421" w:rsidRDefault="00B82421" w:rsidP="006A63F4">
            <w:pPr>
              <w:pStyle w:val="Tabletext"/>
              <w:ind w:left="862" w:hanging="411"/>
            </w:pPr>
            <w:r>
              <w:t>b.</w:t>
            </w:r>
            <w:r>
              <w:tab/>
              <w:t xml:space="preserve">imposing appropriate requirements to meet resident nutritional needs and ensure meals are desirable to eat, having regard to a person’s preferences and religious and cultural considerations </w:t>
            </w:r>
          </w:p>
          <w:p w14:paraId="401BA01E" w14:textId="77777777" w:rsidR="00B82421" w:rsidRDefault="00B82421" w:rsidP="006A63F4">
            <w:pPr>
              <w:pStyle w:val="Tabletext"/>
              <w:ind w:left="862" w:hanging="411"/>
            </w:pPr>
            <w:r>
              <w:t>c.</w:t>
            </w:r>
            <w:r>
              <w:tab/>
              <w:t xml:space="preserve">sufficiently reflecting the needs of people living with dementia and providing high quality dementia care </w:t>
            </w:r>
          </w:p>
          <w:p w14:paraId="7EDA7596" w14:textId="77777777" w:rsidR="00B82421" w:rsidRDefault="00B82421" w:rsidP="006A63F4">
            <w:pPr>
              <w:pStyle w:val="Tabletext"/>
              <w:ind w:left="862" w:hanging="411"/>
            </w:pPr>
            <w:r>
              <w:t>d.</w:t>
            </w:r>
            <w:r>
              <w:tab/>
              <w:t xml:space="preserve">provider governance, and </w:t>
            </w:r>
          </w:p>
          <w:p w14:paraId="1DDE01C4" w14:textId="77777777" w:rsidR="00B82421" w:rsidRDefault="00B82421" w:rsidP="006A63F4">
            <w:pPr>
              <w:pStyle w:val="Tabletext"/>
              <w:ind w:left="862" w:hanging="411"/>
            </w:pPr>
            <w:r>
              <w:t>e.</w:t>
            </w:r>
            <w:r>
              <w:tab/>
              <w:t>high quality palliative care in residential aged care, including staff capacity (number, skill and type), processes and clinical governance, for recognising deterioration and dying</w:t>
            </w:r>
          </w:p>
          <w:p w14:paraId="735C5364" w14:textId="68F682DC" w:rsidR="00B82421" w:rsidRPr="00B82421" w:rsidRDefault="00B82421" w:rsidP="006A63F4">
            <w:pPr>
              <w:pStyle w:val="Tabletext"/>
              <w:ind w:left="470" w:hanging="420"/>
            </w:pPr>
            <w:r>
              <w:lastRenderedPageBreak/>
              <w:t xml:space="preserve">2. </w:t>
            </w:r>
            <w:r>
              <w:tab/>
              <w:t>The Australian Commission on Safety and Quality in Health and Aged Care should complete its review by 31 December 2022.</w:t>
            </w:r>
          </w:p>
        </w:tc>
      </w:tr>
    </w:tbl>
    <w:p w14:paraId="03FF381C" w14:textId="77777777" w:rsidR="00A94BA2" w:rsidRDefault="00A94BA2"/>
    <w:tbl>
      <w:tblPr>
        <w:tblStyle w:val="TableGridLight"/>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1276"/>
        <w:gridCol w:w="7795"/>
      </w:tblGrid>
      <w:tr w:rsidR="000C0DE8" w:rsidRPr="00B83072" w14:paraId="2CE70DC9" w14:textId="77777777" w:rsidTr="00A94BA2">
        <w:trPr>
          <w:cnfStyle w:val="100000000000" w:firstRow="1" w:lastRow="0" w:firstColumn="0" w:lastColumn="0" w:oddVBand="0" w:evenVBand="0" w:oddHBand="0" w:evenHBand="0" w:firstRowFirstColumn="0" w:firstRowLastColumn="0" w:lastRowFirstColumn="0" w:lastRowLastColumn="0"/>
          <w:tblHeader/>
        </w:trPr>
        <w:tc>
          <w:tcPr>
            <w:tcW w:w="1276" w:type="dxa"/>
            <w:tcBorders>
              <w:bottom w:val="single" w:sz="8" w:space="0" w:color="00338D" w:themeColor="text2"/>
            </w:tcBorders>
          </w:tcPr>
          <w:p w14:paraId="14E4A950" w14:textId="77777777" w:rsidR="000C0DE8" w:rsidRPr="00B83072" w:rsidRDefault="000C0DE8" w:rsidP="00A94BA2">
            <w:pPr>
              <w:pStyle w:val="Tableheading"/>
            </w:pPr>
            <w:r w:rsidRPr="00A73DB3">
              <w:rPr>
                <w:noProof/>
              </w:rPr>
              <w:drawing>
                <wp:inline distT="0" distB="0" distL="0" distR="0" wp14:anchorId="6AFD10C0" wp14:editId="316A90A7">
                  <wp:extent cx="585216" cy="585216"/>
                  <wp:effectExtent l="0" t="0" r="5715" b="5715"/>
                  <wp:docPr id="817" name="Picture 8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Picture 817">
                            <a:extLst>
                              <a:ext uri="{C183D7F6-B498-43B3-948B-1728B52AA6E4}">
                                <adec:decorative xmlns:adec="http://schemas.microsoft.com/office/drawing/2017/decorative" val="1"/>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6865" cy="586865"/>
                          </a:xfrm>
                          <a:prstGeom prst="rect">
                            <a:avLst/>
                          </a:prstGeom>
                          <a:noFill/>
                          <a:ln>
                            <a:noFill/>
                          </a:ln>
                        </pic:spPr>
                      </pic:pic>
                    </a:graphicData>
                  </a:graphic>
                </wp:inline>
              </w:drawing>
            </w:r>
          </w:p>
        </w:tc>
        <w:tc>
          <w:tcPr>
            <w:tcW w:w="7795" w:type="dxa"/>
            <w:tcBorders>
              <w:bottom w:val="single" w:sz="8" w:space="0" w:color="00338D" w:themeColor="text2"/>
            </w:tcBorders>
            <w:vAlign w:val="center"/>
          </w:tcPr>
          <w:p w14:paraId="23400C40" w14:textId="7B0DB182" w:rsidR="000C0DE8" w:rsidRPr="00A73DB3" w:rsidRDefault="000C0DE8" w:rsidP="00A94BA2">
            <w:pPr>
              <w:pStyle w:val="Tableheading"/>
            </w:pPr>
            <w:r w:rsidRPr="00A73DB3">
              <w:t xml:space="preserve">Recommendation </w:t>
            </w:r>
            <w:r>
              <w:t>20</w:t>
            </w:r>
            <w:r w:rsidRPr="00A73DB3">
              <w:t xml:space="preserve">: </w:t>
            </w:r>
          </w:p>
          <w:p w14:paraId="6B22B0D7" w14:textId="554B1948" w:rsidR="000C0DE8" w:rsidRPr="00B83072" w:rsidRDefault="000C0DE8" w:rsidP="00A94BA2">
            <w:pPr>
              <w:pStyle w:val="Tableheading"/>
            </w:pPr>
            <w:r w:rsidRPr="000C0DE8">
              <w:t>Periodic review of the Aged Care Quality Standards</w:t>
            </w:r>
          </w:p>
        </w:tc>
      </w:tr>
      <w:tr w:rsidR="00E83296" w:rsidRPr="00E83296" w14:paraId="3F659BC8" w14:textId="77777777" w:rsidTr="008B09FC">
        <w:tc>
          <w:tcPr>
            <w:tcW w:w="1276" w:type="dxa"/>
            <w:tcBorders>
              <w:bottom w:val="single" w:sz="8" w:space="0" w:color="00338D" w:themeColor="text2"/>
            </w:tcBorders>
          </w:tcPr>
          <w:p w14:paraId="26EB9F7C" w14:textId="77777777" w:rsidR="00E83296" w:rsidRPr="00E83296" w:rsidRDefault="00E83296" w:rsidP="00E83296">
            <w:pPr>
              <w:pStyle w:val="Tabletext"/>
            </w:pPr>
          </w:p>
        </w:tc>
        <w:tc>
          <w:tcPr>
            <w:tcW w:w="7795" w:type="dxa"/>
            <w:tcBorders>
              <w:bottom w:val="single" w:sz="8" w:space="0" w:color="00338D" w:themeColor="text2"/>
            </w:tcBorders>
            <w:vAlign w:val="bottom"/>
          </w:tcPr>
          <w:p w14:paraId="38521111" w14:textId="3F39D75F" w:rsidR="00E83296" w:rsidRPr="00E83296" w:rsidRDefault="00E83296" w:rsidP="00E83296">
            <w:pPr>
              <w:pStyle w:val="Tabletext"/>
            </w:pPr>
            <w:r w:rsidRPr="00E83296">
              <w:t>The renamed Australian Commission on Safety and Quality in Health and Aged Care should complete a comprehensive review of the Aged Care Quality Standards within three years of taking on the standard</w:t>
            </w:r>
            <w:r w:rsidRPr="00E83296">
              <w:rPr>
                <w:rFonts w:ascii="Times New Roman" w:hAnsi="Times New Roman" w:cs="Times New Roman"/>
              </w:rPr>
              <w:t>‐</w:t>
            </w:r>
            <w:r w:rsidRPr="00E83296">
              <w:t>setting function and every five years after that. It should also be empowered to undertake ad hoc reviews and make corresponding amendments either of its own motion or where issues are referred to it for consideration by the System Governor, the Inspector</w:t>
            </w:r>
            <w:r w:rsidRPr="00E83296">
              <w:rPr>
                <w:rFonts w:ascii="Times New Roman" w:hAnsi="Times New Roman" w:cs="Times New Roman"/>
              </w:rPr>
              <w:t>‐</w:t>
            </w:r>
            <w:r w:rsidRPr="00E83296">
              <w:t>General of Aged Care or the responsible Minister.</w:t>
            </w:r>
          </w:p>
        </w:tc>
      </w:tr>
    </w:tbl>
    <w:p w14:paraId="71184404" w14:textId="77777777" w:rsidR="00A94BA2" w:rsidRDefault="00A94BA2"/>
    <w:tbl>
      <w:tblPr>
        <w:tblStyle w:val="TableGridLight"/>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1276"/>
        <w:gridCol w:w="7795"/>
      </w:tblGrid>
      <w:tr w:rsidR="000C0DE8" w:rsidRPr="00B83072" w14:paraId="36259F01" w14:textId="77777777" w:rsidTr="00A94BA2">
        <w:trPr>
          <w:cnfStyle w:val="100000000000" w:firstRow="1" w:lastRow="0" w:firstColumn="0" w:lastColumn="0" w:oddVBand="0" w:evenVBand="0" w:oddHBand="0" w:evenHBand="0" w:firstRowFirstColumn="0" w:firstRowLastColumn="0" w:lastRowFirstColumn="0" w:lastRowLastColumn="0"/>
          <w:tblHeader/>
        </w:trPr>
        <w:tc>
          <w:tcPr>
            <w:tcW w:w="1276" w:type="dxa"/>
            <w:tcBorders>
              <w:bottom w:val="single" w:sz="8" w:space="0" w:color="00338D" w:themeColor="text2"/>
            </w:tcBorders>
          </w:tcPr>
          <w:p w14:paraId="7FD9781A" w14:textId="77777777" w:rsidR="000C0DE8" w:rsidRPr="00B83072" w:rsidRDefault="000C0DE8" w:rsidP="00A94BA2">
            <w:pPr>
              <w:pStyle w:val="Tableheading"/>
            </w:pPr>
            <w:r w:rsidRPr="00A73DB3">
              <w:rPr>
                <w:noProof/>
              </w:rPr>
              <w:drawing>
                <wp:inline distT="0" distB="0" distL="0" distR="0" wp14:anchorId="233E6821" wp14:editId="603C1E39">
                  <wp:extent cx="585216" cy="585216"/>
                  <wp:effectExtent l="0" t="0" r="5715" b="5715"/>
                  <wp:docPr id="818" name="Picture 8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Picture 818">
                            <a:extLst>
                              <a:ext uri="{C183D7F6-B498-43B3-948B-1728B52AA6E4}">
                                <adec:decorative xmlns:adec="http://schemas.microsoft.com/office/drawing/2017/decorative" val="1"/>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6865" cy="586865"/>
                          </a:xfrm>
                          <a:prstGeom prst="rect">
                            <a:avLst/>
                          </a:prstGeom>
                          <a:noFill/>
                          <a:ln>
                            <a:noFill/>
                          </a:ln>
                        </pic:spPr>
                      </pic:pic>
                    </a:graphicData>
                  </a:graphic>
                </wp:inline>
              </w:drawing>
            </w:r>
          </w:p>
        </w:tc>
        <w:tc>
          <w:tcPr>
            <w:tcW w:w="7795" w:type="dxa"/>
            <w:tcBorders>
              <w:bottom w:val="single" w:sz="8" w:space="0" w:color="00338D" w:themeColor="text2"/>
            </w:tcBorders>
            <w:vAlign w:val="center"/>
          </w:tcPr>
          <w:p w14:paraId="54E18943" w14:textId="1A268F1F" w:rsidR="000C0DE8" w:rsidRPr="00A73DB3" w:rsidRDefault="000C0DE8" w:rsidP="00A94BA2">
            <w:pPr>
              <w:pStyle w:val="Tableheading"/>
            </w:pPr>
            <w:r w:rsidRPr="00A73DB3">
              <w:t xml:space="preserve">Recommendation </w:t>
            </w:r>
            <w:r>
              <w:t>21</w:t>
            </w:r>
            <w:r w:rsidRPr="00A73DB3">
              <w:t xml:space="preserve">: </w:t>
            </w:r>
          </w:p>
          <w:p w14:paraId="6B5BA714" w14:textId="6F030459" w:rsidR="000C0DE8" w:rsidRPr="00B83072" w:rsidRDefault="000C0DE8" w:rsidP="00A94BA2">
            <w:pPr>
              <w:pStyle w:val="Tableheading"/>
            </w:pPr>
            <w:r w:rsidRPr="000C0DE8">
              <w:t>Priority issues for periodic review of the Aged Care Quality Standards</w:t>
            </w:r>
          </w:p>
        </w:tc>
      </w:tr>
      <w:tr w:rsidR="007B6824" w:rsidRPr="007B6824" w14:paraId="6CBC96C3" w14:textId="77777777" w:rsidTr="008B09FC">
        <w:tc>
          <w:tcPr>
            <w:tcW w:w="1276" w:type="dxa"/>
            <w:tcBorders>
              <w:bottom w:val="single" w:sz="8" w:space="0" w:color="00338D" w:themeColor="text2"/>
            </w:tcBorders>
          </w:tcPr>
          <w:p w14:paraId="492BC1D7" w14:textId="77777777" w:rsidR="007B6824" w:rsidRPr="007B6824" w:rsidRDefault="007B6824" w:rsidP="007B6824">
            <w:pPr>
              <w:pStyle w:val="Tabletext"/>
            </w:pPr>
          </w:p>
        </w:tc>
        <w:tc>
          <w:tcPr>
            <w:tcW w:w="7795" w:type="dxa"/>
            <w:tcBorders>
              <w:bottom w:val="single" w:sz="8" w:space="0" w:color="00338D" w:themeColor="text2"/>
            </w:tcBorders>
            <w:vAlign w:val="bottom"/>
          </w:tcPr>
          <w:p w14:paraId="0D7235E5" w14:textId="77777777" w:rsidR="007B6824" w:rsidRDefault="007B6824" w:rsidP="007B6824">
            <w:pPr>
              <w:pStyle w:val="Tabletext"/>
              <w:ind w:left="456" w:hanging="425"/>
            </w:pPr>
            <w:r>
              <w:t xml:space="preserve">1. </w:t>
            </w:r>
            <w:r>
              <w:tab/>
              <w:t>By 1 July 2022, the responsible Minister should refer the following matters for the Australian Commission on Safety and Quality in Health and Aged Care to consider as part of its first comprehensive review of the Aged Care Quality Standards:</w:t>
            </w:r>
          </w:p>
          <w:p w14:paraId="718A4CEF" w14:textId="77777777" w:rsidR="007B6824" w:rsidRDefault="007B6824" w:rsidP="00D234A7">
            <w:pPr>
              <w:pStyle w:val="Tabletext"/>
              <w:ind w:left="881" w:hanging="425"/>
            </w:pPr>
            <w:r>
              <w:t>a.</w:t>
            </w:r>
            <w:r>
              <w:tab/>
              <w:t xml:space="preserve">imposing appropriate requirements relating to the professional development and training for staff </w:t>
            </w:r>
          </w:p>
          <w:p w14:paraId="61B6563F" w14:textId="77777777" w:rsidR="007B6824" w:rsidRDefault="007B6824" w:rsidP="00D234A7">
            <w:pPr>
              <w:pStyle w:val="Tabletext"/>
              <w:ind w:left="881" w:hanging="425"/>
            </w:pPr>
            <w:r>
              <w:t>b.</w:t>
            </w:r>
            <w:r>
              <w:tab/>
              <w:t xml:space="preserve">including sufficient reference to and delineation between staff practice roles and responsibilities </w:t>
            </w:r>
          </w:p>
          <w:p w14:paraId="2B179E9B" w14:textId="77777777" w:rsidR="007B6824" w:rsidRDefault="007B6824" w:rsidP="007B6824">
            <w:pPr>
              <w:pStyle w:val="Tabletext"/>
              <w:ind w:left="456" w:hanging="425"/>
            </w:pPr>
            <w:r>
              <w:t>c.</w:t>
            </w:r>
            <w:r>
              <w:tab/>
              <w:t xml:space="preserve">requiring providers to assist people receiving care to make and update advance care plans if they wish to, and ensuring that those plans are followed </w:t>
            </w:r>
          </w:p>
          <w:p w14:paraId="2EB83B02" w14:textId="442C737B" w:rsidR="007B6824" w:rsidRPr="007B6824" w:rsidRDefault="007B6824" w:rsidP="007B6824">
            <w:pPr>
              <w:pStyle w:val="Tabletext"/>
              <w:ind w:left="456" w:hanging="425"/>
            </w:pPr>
            <w:r>
              <w:t>d.</w:t>
            </w:r>
            <w:r>
              <w:tab/>
              <w:t>reflecting the Aged Care Diversity Framework and underlying Action Plans, including considering making them mandatory</w:t>
            </w:r>
          </w:p>
        </w:tc>
      </w:tr>
    </w:tbl>
    <w:p w14:paraId="7375C7F2" w14:textId="63B354F3" w:rsidR="001F4804" w:rsidRPr="00F0261E" w:rsidRDefault="001B3ECD" w:rsidP="00231A99">
      <w:pPr>
        <w:pStyle w:val="Source0"/>
        <w:rPr>
          <w:rFonts w:ascii="Cambria" w:hAnsi="Cambria"/>
        </w:rPr>
      </w:pPr>
      <w:r>
        <w:t>Source: Royal Commission</w:t>
      </w:r>
      <w:r w:rsidR="00560027">
        <w:t xml:space="preserve"> Final Report</w:t>
      </w:r>
      <w:r w:rsidR="007143F1">
        <w:rPr>
          <w:rStyle w:val="FootnoteReference"/>
        </w:rPr>
        <w:footnoteReference w:id="11"/>
      </w:r>
      <w:r w:rsidR="00F0261E">
        <w:t>.</w:t>
      </w:r>
      <w:r w:rsidR="00F0261E" w:rsidRPr="00F0261E">
        <w:rPr>
          <w:rFonts w:cs="ZWAdobeF"/>
          <w:color w:val="auto"/>
          <w:sz w:val="20"/>
          <w:szCs w:val="20"/>
          <w:vertAlign w:val="superscript"/>
        </w:rPr>
        <w:t>.</w:t>
      </w:r>
    </w:p>
    <w:p w14:paraId="78A55BCC" w14:textId="50442C42" w:rsidR="003B4B23" w:rsidRPr="00E02CFC" w:rsidRDefault="00C21206" w:rsidP="00E02CFC">
      <w:pPr>
        <w:pStyle w:val="Heading2"/>
        <w:numPr>
          <w:ilvl w:val="1"/>
          <w:numId w:val="37"/>
        </w:numPr>
        <w:ind w:left="567" w:hanging="567"/>
      </w:pPr>
      <w:bookmarkStart w:id="65" w:name="_Toc113448683"/>
      <w:r w:rsidRPr="00E02CFC">
        <w:t xml:space="preserve">Australian </w:t>
      </w:r>
      <w:r w:rsidR="00E532CB" w:rsidRPr="00E02CFC">
        <w:t>Government response</w:t>
      </w:r>
      <w:r w:rsidRPr="00E02CFC">
        <w:t xml:space="preserve"> to the Final Report</w:t>
      </w:r>
      <w:bookmarkEnd w:id="65"/>
    </w:p>
    <w:p w14:paraId="7D4BE92D" w14:textId="3DAE1BF2" w:rsidR="00CE5BD1" w:rsidRDefault="00596B7C" w:rsidP="001050C1">
      <w:pPr>
        <w:pStyle w:val="BodyText1"/>
      </w:pPr>
      <w:r>
        <w:t xml:space="preserve">The Australian Government gave a comprehensive response to the </w:t>
      </w:r>
      <w:r w:rsidR="00F02773">
        <w:t xml:space="preserve">Final Report </w:t>
      </w:r>
      <w:r w:rsidR="0072492E">
        <w:t xml:space="preserve">of the </w:t>
      </w:r>
      <w:r w:rsidR="00D4084F">
        <w:t>Royal</w:t>
      </w:r>
      <w:r w:rsidR="0072492E">
        <w:t xml:space="preserve"> Commission</w:t>
      </w:r>
      <w:r w:rsidR="00D4084F">
        <w:t>.</w:t>
      </w:r>
      <w:r w:rsidR="005E7D48">
        <w:rPr>
          <w:rFonts w:ascii="ZWAdobeF" w:hAnsi="ZWAdobeF" w:cs="ZWAdobeF"/>
          <w:sz w:val="2"/>
          <w:szCs w:val="2"/>
        </w:rPr>
        <w:t>11F</w:t>
      </w:r>
      <w:r w:rsidR="00D4084F">
        <w:rPr>
          <w:rStyle w:val="FootnoteReference"/>
        </w:rPr>
        <w:footnoteReference w:id="12"/>
      </w:r>
      <w:r w:rsidR="00412409">
        <w:t xml:space="preserve"> </w:t>
      </w:r>
    </w:p>
    <w:p w14:paraId="3C82F0BC" w14:textId="3824F807" w:rsidR="005D561E" w:rsidRDefault="00943242" w:rsidP="001050C1">
      <w:pPr>
        <w:pStyle w:val="BodyText1"/>
      </w:pPr>
      <w:r>
        <w:t xml:space="preserve">Recommendation 18 was accepted-in-principle by the </w:t>
      </w:r>
      <w:r w:rsidR="0052291D">
        <w:t xml:space="preserve">Australian </w:t>
      </w:r>
      <w:r w:rsidR="00B25A72">
        <w:t>Government</w:t>
      </w:r>
      <w:r>
        <w:t>.</w:t>
      </w:r>
      <w:r w:rsidR="00B25A72">
        <w:t xml:space="preserve"> </w:t>
      </w:r>
      <w:r w:rsidR="00C75A59">
        <w:t xml:space="preserve">The </w:t>
      </w:r>
      <w:r w:rsidR="0052291D">
        <w:t>Australian</w:t>
      </w:r>
      <w:r w:rsidR="00C75A59">
        <w:t xml:space="preserve"> Government stated that the formulation of the clinical care standards for aged care will be transferred to the ACS</w:t>
      </w:r>
      <w:r w:rsidR="000B2D62">
        <w:t xml:space="preserve">QHC from July 2021, with the intention of the ACSQHC being able to leverage </w:t>
      </w:r>
      <w:r w:rsidR="0098750E">
        <w:t xml:space="preserve">its established clinical and standards </w:t>
      </w:r>
      <w:r w:rsidR="0098750E">
        <w:lastRenderedPageBreak/>
        <w:t>expertise. Therefore, the Department will retain its responsibility for all non-clinical standards</w:t>
      </w:r>
      <w:r w:rsidR="00747656">
        <w:t xml:space="preserve"> </w:t>
      </w:r>
      <w:r w:rsidR="006318A2">
        <w:t xml:space="preserve">and </w:t>
      </w:r>
      <w:r w:rsidR="008B670C">
        <w:t>the development</w:t>
      </w:r>
      <w:r w:rsidR="006318A2">
        <w:t xml:space="preserve"> of the consolidated set of standards under the Act.</w:t>
      </w:r>
    </w:p>
    <w:p w14:paraId="6719CAD2" w14:textId="78C999BB" w:rsidR="00325B63" w:rsidRDefault="008D07B2" w:rsidP="001050C1">
      <w:pPr>
        <w:pStyle w:val="BodyText1"/>
      </w:pPr>
      <w:r>
        <w:t xml:space="preserve">The </w:t>
      </w:r>
      <w:r w:rsidR="0052291D">
        <w:t xml:space="preserve">Australian </w:t>
      </w:r>
      <w:r>
        <w:t xml:space="preserve">Government accepted </w:t>
      </w:r>
      <w:r w:rsidR="002075DD">
        <w:t>R</w:t>
      </w:r>
      <w:r>
        <w:t>ecommendations 19</w:t>
      </w:r>
      <w:r w:rsidR="000859B0">
        <w:t xml:space="preserve"> – </w:t>
      </w:r>
      <w:r>
        <w:t xml:space="preserve">21 </w:t>
      </w:r>
      <w:r w:rsidR="009A0687">
        <w:t>and announced a review of the Aged Care Quality Standards on 1 March 2021</w:t>
      </w:r>
      <w:r w:rsidR="00A21EAF">
        <w:t xml:space="preserve">. </w:t>
      </w:r>
      <w:r w:rsidR="00C70216">
        <w:t>The Government responded through the measure</w:t>
      </w:r>
      <w:r w:rsidR="00E357B6">
        <w:t>: Residential Aged Care Quality and Safety – Aged Care Immediate Priorities – Strengthening Provider</w:t>
      </w:r>
      <w:r w:rsidR="003B09C1">
        <w:t xml:space="preserve"> Quality</w:t>
      </w:r>
      <w:r w:rsidR="00E357B6">
        <w:t>.</w:t>
      </w:r>
      <w:r w:rsidR="005E7D48">
        <w:rPr>
          <w:rFonts w:ascii="ZWAdobeF" w:hAnsi="ZWAdobeF" w:cs="ZWAdobeF"/>
          <w:sz w:val="2"/>
          <w:szCs w:val="2"/>
        </w:rPr>
        <w:t>12F</w:t>
      </w:r>
      <w:r w:rsidR="00E357B6">
        <w:rPr>
          <w:rStyle w:val="FootnoteReference"/>
        </w:rPr>
        <w:footnoteReference w:id="13"/>
      </w:r>
      <w:r w:rsidR="00E357B6">
        <w:t xml:space="preserve"> </w:t>
      </w:r>
      <w:r w:rsidR="00A21EAF">
        <w:t>The review will be completed by December 2022</w:t>
      </w:r>
      <w:r w:rsidR="00BC2339">
        <w:t xml:space="preserve"> and will inform the</w:t>
      </w:r>
      <w:r w:rsidR="00D80D02">
        <w:t xml:space="preserve"> </w:t>
      </w:r>
      <w:r w:rsidR="00923175">
        <w:t>subsequent</w:t>
      </w:r>
      <w:r w:rsidR="00F14AE1">
        <w:t xml:space="preserve"> </w:t>
      </w:r>
      <w:r w:rsidR="00D80D02">
        <w:t xml:space="preserve">implementation of strengthened </w:t>
      </w:r>
      <w:r w:rsidR="002075DD">
        <w:t>S</w:t>
      </w:r>
      <w:r w:rsidR="00D80D02">
        <w:t>tandards.</w:t>
      </w:r>
      <w:r w:rsidR="00AD0C4C">
        <w:t xml:space="preserve"> </w:t>
      </w:r>
      <w:r w:rsidR="001B7C12">
        <w:t>The review will consider all matters raised by the Roya</w:t>
      </w:r>
      <w:r w:rsidR="00867A48">
        <w:t xml:space="preserve">l </w:t>
      </w:r>
      <w:r w:rsidR="001B7C12">
        <w:t xml:space="preserve">Commission </w:t>
      </w:r>
      <w:r w:rsidR="00AD0C4C">
        <w:t xml:space="preserve">in </w:t>
      </w:r>
      <w:r w:rsidR="002075DD">
        <w:t>R</w:t>
      </w:r>
      <w:r w:rsidR="00AC67F4">
        <w:t>ecommendation</w:t>
      </w:r>
      <w:r w:rsidR="00AD0C4C">
        <w:t xml:space="preserve"> 1</w:t>
      </w:r>
      <w:r w:rsidR="00E92E2D">
        <w:t>9</w:t>
      </w:r>
      <w:r w:rsidR="00AD0C4C">
        <w:t xml:space="preserve">, </w:t>
      </w:r>
      <w:r w:rsidR="007F763B">
        <w:t xml:space="preserve">and </w:t>
      </w:r>
      <w:r w:rsidR="00AD0C4C">
        <w:t xml:space="preserve">will </w:t>
      </w:r>
      <w:r w:rsidR="00B418F0">
        <w:t>inform the scheduling, scope and frequency of periodic reviews</w:t>
      </w:r>
      <w:r w:rsidR="00C02564">
        <w:t>,</w:t>
      </w:r>
      <w:r w:rsidR="0049628F">
        <w:t xml:space="preserve"> </w:t>
      </w:r>
      <w:r w:rsidR="00985FE8">
        <w:t>outlined in Recommendation 20</w:t>
      </w:r>
      <w:r w:rsidR="00B418F0">
        <w:t xml:space="preserve">. </w:t>
      </w:r>
      <w:r w:rsidR="0057093A">
        <w:t xml:space="preserve">Periodic reviews </w:t>
      </w:r>
      <w:r w:rsidR="003A644D">
        <w:t xml:space="preserve">were also noted to include consideration of whether the </w:t>
      </w:r>
      <w:r w:rsidR="002075DD">
        <w:t>S</w:t>
      </w:r>
      <w:r w:rsidR="003A644D">
        <w:t xml:space="preserve">tandards are effectively meeting the needs of individuals with diverse characteristics and life experiences, people living with dementia, </w:t>
      </w:r>
      <w:r w:rsidR="00DC0724">
        <w:t xml:space="preserve">and the priority issues identified in </w:t>
      </w:r>
      <w:r w:rsidR="002075DD">
        <w:t>R</w:t>
      </w:r>
      <w:r w:rsidR="00DC0724">
        <w:t xml:space="preserve">ecommendation 21. </w:t>
      </w:r>
      <w:r w:rsidR="00287D78">
        <w:t>A</w:t>
      </w:r>
      <w:r w:rsidR="00D234A7">
        <w:t xml:space="preserve"> </w:t>
      </w:r>
      <w:r w:rsidR="00287D78">
        <w:t xml:space="preserve">review of the clinical care </w:t>
      </w:r>
      <w:r w:rsidR="002075DD">
        <w:t>S</w:t>
      </w:r>
      <w:r w:rsidR="00287D78">
        <w:t xml:space="preserve">tandards will be the responsibility of the ACSQHC </w:t>
      </w:r>
      <w:r w:rsidR="00AC67F4">
        <w:t>from 1 July 2021</w:t>
      </w:r>
      <w:r w:rsidR="006836D1">
        <w:t>.</w:t>
      </w:r>
    </w:p>
    <w:p w14:paraId="0098DA84" w14:textId="77777777" w:rsidR="005036D8" w:rsidRDefault="005036D8" w:rsidP="005036D8">
      <w:pPr>
        <w:sectPr w:rsidR="005036D8" w:rsidSect="00883902">
          <w:pgSz w:w="11906" w:h="16838"/>
          <w:pgMar w:top="1418" w:right="1418" w:bottom="1418" w:left="1418" w:header="709" w:footer="453" w:gutter="0"/>
          <w:cols w:space="708"/>
          <w:docGrid w:linePitch="360"/>
        </w:sectPr>
      </w:pPr>
      <w:bookmarkStart w:id="66" w:name="_Toc88804075"/>
      <w:bookmarkStart w:id="67" w:name="_Toc89930037"/>
      <w:bookmarkStart w:id="68" w:name="_Toc90453356"/>
    </w:p>
    <w:p w14:paraId="0CF5E39F" w14:textId="55BA5339" w:rsidR="005036D8" w:rsidRDefault="00A57215" w:rsidP="005036D8">
      <w:r>
        <w:rPr>
          <w:noProof/>
        </w:rPr>
        <w:lastRenderedPageBreak/>
        <w:drawing>
          <wp:anchor distT="0" distB="0" distL="114300" distR="114300" simplePos="0" relativeHeight="251703296" behindDoc="1" locked="0" layoutInCell="1" allowOverlap="1" wp14:anchorId="6817A026" wp14:editId="4244EF25">
            <wp:simplePos x="0" y="0"/>
            <wp:positionH relativeFrom="column">
              <wp:posOffset>-915670</wp:posOffset>
            </wp:positionH>
            <wp:positionV relativeFrom="paragraph">
              <wp:posOffset>-869950</wp:posOffset>
            </wp:positionV>
            <wp:extent cx="7560000" cy="10692000"/>
            <wp:effectExtent l="0" t="0" r="3175" b="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531B8555" w14:textId="7D9E8E50" w:rsidR="001050C1" w:rsidRPr="001050C1" w:rsidRDefault="00325B63" w:rsidP="001050C1">
      <w:pPr>
        <w:pStyle w:val="Heading1Divider"/>
        <w:ind w:left="1134" w:hanging="992"/>
      </w:pPr>
      <w:bookmarkStart w:id="69" w:name="_Toc113448684"/>
      <w:r>
        <w:t>Evaluation methodology</w:t>
      </w:r>
      <w:bookmarkEnd w:id="66"/>
      <w:bookmarkEnd w:id="67"/>
      <w:bookmarkEnd w:id="68"/>
      <w:bookmarkEnd w:id="69"/>
    </w:p>
    <w:p w14:paraId="1FEFE4B5" w14:textId="1F826F7B" w:rsidR="001050C1" w:rsidRPr="001050C1" w:rsidRDefault="001050C1" w:rsidP="001050C1">
      <w:pPr>
        <w:pStyle w:val="HeadingLevel1NoNumber"/>
      </w:pPr>
      <w:bookmarkStart w:id="70" w:name="_Toc88804076"/>
      <w:r w:rsidRPr="001050C1">
        <w:lastRenderedPageBreak/>
        <w:t>Evaluation methodology</w:t>
      </w:r>
      <w:bookmarkEnd w:id="70"/>
    </w:p>
    <w:p w14:paraId="4056DC6B" w14:textId="4E2D2F06" w:rsidR="00325B63" w:rsidRPr="007B041C" w:rsidRDefault="00325B63" w:rsidP="00334396">
      <w:pPr>
        <w:pStyle w:val="IntroPara"/>
        <w:tabs>
          <w:tab w:val="clear" w:pos="720"/>
        </w:tabs>
      </w:pPr>
      <w:r w:rsidRPr="007B041C">
        <w:t xml:space="preserve">Several different data sources were drawn on to answer the evaluation questions. Data from different sources was triangulated where possible to enable a balanced analysis of information and response to each evaluation question. </w:t>
      </w:r>
    </w:p>
    <w:p w14:paraId="5F52DA06" w14:textId="4AF62FFC" w:rsidR="00325B63" w:rsidRPr="008F0C42" w:rsidRDefault="00DE160A" w:rsidP="00AA6AA8">
      <w:pPr>
        <w:pStyle w:val="Heading2"/>
      </w:pPr>
      <w:bookmarkStart w:id="71" w:name="_Toc88804077"/>
      <w:bookmarkStart w:id="72" w:name="_Toc89930038"/>
      <w:bookmarkStart w:id="73" w:name="_Toc90453357"/>
      <w:bookmarkStart w:id="74" w:name="_Toc113448685"/>
      <w:r>
        <w:t xml:space="preserve">4.1 </w:t>
      </w:r>
      <w:r w:rsidR="00325B63" w:rsidRPr="008F0C42">
        <w:t>Desktop review</w:t>
      </w:r>
      <w:bookmarkEnd w:id="71"/>
      <w:bookmarkEnd w:id="72"/>
      <w:bookmarkEnd w:id="73"/>
      <w:bookmarkEnd w:id="74"/>
    </w:p>
    <w:p w14:paraId="0882FA44" w14:textId="77777777" w:rsidR="00325B63" w:rsidRPr="007933FD" w:rsidRDefault="00325B63" w:rsidP="001050C1">
      <w:pPr>
        <w:pStyle w:val="BodyText1"/>
      </w:pPr>
      <w:r>
        <w:t>The desktop review focused on the analysis of documents provided by the Department and the Commission related to the implementation of the Standards and review of other sector reports and evaluations, including the Royal Commission Final Report.</w:t>
      </w:r>
    </w:p>
    <w:p w14:paraId="23C7AD44" w14:textId="77777777" w:rsidR="00325B63" w:rsidRDefault="00325B63" w:rsidP="001050C1">
      <w:pPr>
        <w:pStyle w:val="BodyText1"/>
      </w:pPr>
      <w:r>
        <w:t>KPMG also received written submissions from a small sample of stakeholders to support the Evaluation. These submissions were reviewed as part of the desktop review.</w:t>
      </w:r>
    </w:p>
    <w:p w14:paraId="3E4EC3C6" w14:textId="7FFC0590" w:rsidR="00325B63" w:rsidRPr="00982F7A" w:rsidRDefault="00DE160A" w:rsidP="00AA6AA8">
      <w:pPr>
        <w:pStyle w:val="Heading2"/>
      </w:pPr>
      <w:bookmarkStart w:id="75" w:name="_Toc88804078"/>
      <w:bookmarkStart w:id="76" w:name="_Toc89930039"/>
      <w:bookmarkStart w:id="77" w:name="_Toc90453358"/>
      <w:bookmarkStart w:id="78" w:name="_Toc113448686"/>
      <w:r>
        <w:t xml:space="preserve">4.2 </w:t>
      </w:r>
      <w:r w:rsidR="00325B63">
        <w:t>Lightning review</w:t>
      </w:r>
      <w:bookmarkEnd w:id="75"/>
      <w:bookmarkEnd w:id="76"/>
      <w:bookmarkEnd w:id="77"/>
      <w:bookmarkEnd w:id="78"/>
    </w:p>
    <w:p w14:paraId="6EB95400" w14:textId="2B7711BA" w:rsidR="00325B63" w:rsidRDefault="00B35803" w:rsidP="001050C1">
      <w:pPr>
        <w:pStyle w:val="BodyText1"/>
      </w:pPr>
      <w:r>
        <w:t>KPMG conducted a lighting review</w:t>
      </w:r>
      <w:r w:rsidR="00325B63">
        <w:t xml:space="preserve"> to </w:t>
      </w:r>
      <w:r w:rsidR="00325B63" w:rsidRPr="00086A31">
        <w:t>understand best and emerging practice of quality standards used in aged care and other related sectors locally and internationally. This include</w:t>
      </w:r>
      <w:r w:rsidR="00325B63">
        <w:t>d</w:t>
      </w:r>
      <w:r w:rsidR="00325B63" w:rsidRPr="00086A31">
        <w:t xml:space="preserve"> identifying how other quality standards are structured and how they operate in practice.</w:t>
      </w:r>
      <w:r w:rsidR="00325B63">
        <w:t xml:space="preserve"> The following materials were reviewed for the quality standards in scope:</w:t>
      </w:r>
    </w:p>
    <w:p w14:paraId="56D8725E" w14:textId="77777777" w:rsidR="00325B63" w:rsidRDefault="00325B63" w:rsidP="002A4AE3">
      <w:pPr>
        <w:pStyle w:val="Bullet1stlevel"/>
      </w:pPr>
      <w:r>
        <w:t xml:space="preserve">The text of the quality standards </w:t>
      </w:r>
    </w:p>
    <w:p w14:paraId="48A86F6B" w14:textId="403BF0E8" w:rsidR="00325B63" w:rsidRDefault="00325B63" w:rsidP="002A4AE3">
      <w:pPr>
        <w:pStyle w:val="Bullet1stlevel"/>
      </w:pPr>
      <w:r>
        <w:t xml:space="preserve">Provider and consumer guidance </w:t>
      </w:r>
      <w:r w:rsidR="0075601E">
        <w:t xml:space="preserve">material and resources </w:t>
      </w:r>
      <w:r>
        <w:t>relating to the quality standards</w:t>
      </w:r>
    </w:p>
    <w:p w14:paraId="00C72B99" w14:textId="77777777" w:rsidR="00325B63" w:rsidRDefault="00325B63" w:rsidP="002A4AE3">
      <w:pPr>
        <w:pStyle w:val="Bullet1stlevel"/>
      </w:pPr>
      <w:r>
        <w:t>Material relating to inspection / assessment / reporting and enforcement</w:t>
      </w:r>
    </w:p>
    <w:p w14:paraId="73E04A3F" w14:textId="77777777" w:rsidR="00325B63" w:rsidRPr="00593DA9" w:rsidRDefault="00325B63" w:rsidP="002A4AE3">
      <w:pPr>
        <w:pStyle w:val="Bullet1stlevel"/>
      </w:pPr>
      <w:r>
        <w:t>Where available, independent evaluations relating to the quality standards.</w:t>
      </w:r>
    </w:p>
    <w:p w14:paraId="7E8D3F88" w14:textId="77777777" w:rsidR="00325B63" w:rsidRPr="00A3734B" w:rsidRDefault="00325B63" w:rsidP="00231A99">
      <w:pPr>
        <w:pStyle w:val="HeadingLevel3NoNumber"/>
      </w:pPr>
      <w:r>
        <w:t>Stakeholder consultation</w:t>
      </w:r>
    </w:p>
    <w:p w14:paraId="0BCB3853" w14:textId="3B221EEC" w:rsidR="00BB5C76" w:rsidRPr="00BB5C76" w:rsidRDefault="00325B63" w:rsidP="00231A99">
      <w:pPr>
        <w:pStyle w:val="BodyText1"/>
      </w:pPr>
      <w:r>
        <w:t xml:space="preserve">Stakeholders were consulted from August to September 2021 to ascertain their views on each of the evaluation questions. Stakeholder consultations were conducted in a semi-structured way and through virtual focus groups. A total of 323 stakeholders </w:t>
      </w:r>
      <w:r w:rsidR="00631D09">
        <w:t>from various stakeholder groups (</w:t>
      </w:r>
      <w:r w:rsidR="00AB6202">
        <w:t xml:space="preserve">as shown in </w:t>
      </w:r>
      <w:r w:rsidR="00AB6202">
        <w:fldChar w:fldCharType="begin" w:fldLock="1"/>
      </w:r>
      <w:r w:rsidR="00AB6202">
        <w:instrText xml:space="preserve"> REF _Ref88044196 \h </w:instrText>
      </w:r>
      <w:r w:rsidR="00AB6202">
        <w:fldChar w:fldCharType="separate"/>
      </w:r>
      <w:r w:rsidR="00AB6202">
        <w:t xml:space="preserve">Table </w:t>
      </w:r>
      <w:r w:rsidR="00AB6202">
        <w:rPr>
          <w:noProof/>
        </w:rPr>
        <w:t>4</w:t>
      </w:r>
      <w:r w:rsidR="00AB6202">
        <w:fldChar w:fldCharType="end"/>
      </w:r>
      <w:r w:rsidR="00AB6202">
        <w:t xml:space="preserve"> )</w:t>
      </w:r>
      <w:r>
        <w:t xml:space="preserve"> participated in 35 focus groups conducted during this period</w:t>
      </w:r>
      <w:r w:rsidR="00B35803">
        <w:t>.</w:t>
      </w:r>
    </w:p>
    <w:p w14:paraId="6EC2611B" w14:textId="2066A926" w:rsidR="00A141AB" w:rsidRDefault="00A141AB" w:rsidP="003433BA">
      <w:pPr>
        <w:pStyle w:val="Caption"/>
        <w:pageBreakBefore/>
      </w:pPr>
      <w:bookmarkStart w:id="79" w:name="_Ref88044196"/>
      <w:r>
        <w:lastRenderedPageBreak/>
        <w:t xml:space="preserve">Table </w:t>
      </w:r>
      <w:r w:rsidR="00593B7C">
        <w:fldChar w:fldCharType="begin"/>
      </w:r>
      <w:r w:rsidR="00593B7C">
        <w:instrText xml:space="preserve"> SEQ Table \* ARABIC </w:instrText>
      </w:r>
      <w:r w:rsidR="00593B7C">
        <w:fldChar w:fldCharType="separate"/>
      </w:r>
      <w:r w:rsidR="0083123A">
        <w:rPr>
          <w:noProof/>
        </w:rPr>
        <w:t>4</w:t>
      </w:r>
      <w:r w:rsidR="00593B7C">
        <w:rPr>
          <w:noProof/>
        </w:rPr>
        <w:fldChar w:fldCharType="end"/>
      </w:r>
      <w:bookmarkEnd w:id="79"/>
      <w:r>
        <w:t>: Focus group participants</w:t>
      </w:r>
    </w:p>
    <w:tbl>
      <w:tblPr>
        <w:tblStyle w:val="TableGridLight"/>
        <w:tblW w:w="9152" w:type="dxa"/>
        <w:tblLook w:val="0620" w:firstRow="1" w:lastRow="0" w:firstColumn="0" w:lastColumn="0" w:noHBand="1" w:noVBand="1"/>
      </w:tblPr>
      <w:tblGrid>
        <w:gridCol w:w="6941"/>
        <w:gridCol w:w="2211"/>
      </w:tblGrid>
      <w:tr w:rsidR="000B3D37" w:rsidRPr="00BF7578" w14:paraId="086CEDD0" w14:textId="77777777" w:rsidTr="00597826">
        <w:trPr>
          <w:cnfStyle w:val="100000000000" w:firstRow="1" w:lastRow="0" w:firstColumn="0" w:lastColumn="0" w:oddVBand="0" w:evenVBand="0" w:oddHBand="0" w:evenHBand="0" w:firstRowFirstColumn="0" w:firstRowLastColumn="0" w:lastRowFirstColumn="0" w:lastRowLastColumn="0"/>
        </w:trPr>
        <w:tc>
          <w:tcPr>
            <w:tcW w:w="6941" w:type="dxa"/>
          </w:tcPr>
          <w:p w14:paraId="7AB6C6FC" w14:textId="46F332E7" w:rsidR="000B3D37" w:rsidRPr="00BF7578" w:rsidRDefault="006F3645" w:rsidP="00597826">
            <w:pPr>
              <w:pStyle w:val="Tableheading"/>
            </w:pPr>
            <w:r w:rsidRPr="00BF7578">
              <w:t>Stakeholder group</w:t>
            </w:r>
          </w:p>
        </w:tc>
        <w:tc>
          <w:tcPr>
            <w:tcW w:w="2211" w:type="dxa"/>
          </w:tcPr>
          <w:p w14:paraId="50FCAC5B" w14:textId="1D0A91F5" w:rsidR="000B3D37" w:rsidRPr="00BF7578" w:rsidRDefault="006F3645" w:rsidP="00597826">
            <w:pPr>
              <w:pStyle w:val="Tableheading"/>
            </w:pPr>
            <w:r w:rsidRPr="00BF7578">
              <w:t>Number of focus group participants</w:t>
            </w:r>
          </w:p>
        </w:tc>
      </w:tr>
      <w:tr w:rsidR="000B3D37" w:rsidRPr="00597826" w14:paraId="28356A16" w14:textId="77777777" w:rsidTr="00597826">
        <w:tc>
          <w:tcPr>
            <w:tcW w:w="6941" w:type="dxa"/>
          </w:tcPr>
          <w:p w14:paraId="55EBF45E" w14:textId="2D600249" w:rsidR="000B3D37" w:rsidRPr="00597826" w:rsidRDefault="006F3645" w:rsidP="00597826">
            <w:pPr>
              <w:pStyle w:val="Tabletext"/>
              <w:rPr>
                <w:sz w:val="20"/>
                <w:szCs w:val="24"/>
              </w:rPr>
            </w:pPr>
            <w:r w:rsidRPr="00597826">
              <w:rPr>
                <w:sz w:val="20"/>
                <w:szCs w:val="24"/>
              </w:rPr>
              <w:t xml:space="preserve">Consumers, family members, </w:t>
            </w:r>
            <w:proofErr w:type="gramStart"/>
            <w:r w:rsidRPr="00597826">
              <w:rPr>
                <w:sz w:val="20"/>
                <w:szCs w:val="24"/>
              </w:rPr>
              <w:t>carers</w:t>
            </w:r>
            <w:proofErr w:type="gramEnd"/>
            <w:r w:rsidRPr="00597826">
              <w:rPr>
                <w:sz w:val="20"/>
                <w:szCs w:val="24"/>
              </w:rPr>
              <w:t xml:space="preserve"> or representatives of a consumer</w:t>
            </w:r>
          </w:p>
        </w:tc>
        <w:tc>
          <w:tcPr>
            <w:tcW w:w="2211" w:type="dxa"/>
          </w:tcPr>
          <w:p w14:paraId="580A8FA4" w14:textId="2CD778BA" w:rsidR="000B3D37" w:rsidRPr="00597826" w:rsidRDefault="00485CDF" w:rsidP="00597826">
            <w:pPr>
              <w:pStyle w:val="Tabletext"/>
              <w:rPr>
                <w:sz w:val="20"/>
                <w:szCs w:val="24"/>
              </w:rPr>
            </w:pPr>
            <w:r w:rsidRPr="00597826">
              <w:rPr>
                <w:sz w:val="20"/>
                <w:szCs w:val="24"/>
              </w:rPr>
              <w:t>37</w:t>
            </w:r>
          </w:p>
        </w:tc>
      </w:tr>
      <w:tr w:rsidR="000B3D37" w:rsidRPr="00597826" w14:paraId="78311FD8" w14:textId="77777777" w:rsidTr="00597826">
        <w:tc>
          <w:tcPr>
            <w:tcW w:w="6941" w:type="dxa"/>
          </w:tcPr>
          <w:p w14:paraId="243389DD" w14:textId="6AA204C0" w:rsidR="000B3D37" w:rsidRPr="00597826" w:rsidRDefault="00AC6540" w:rsidP="00597826">
            <w:pPr>
              <w:pStyle w:val="Tabletext"/>
              <w:rPr>
                <w:sz w:val="20"/>
                <w:szCs w:val="24"/>
              </w:rPr>
            </w:pPr>
            <w:r w:rsidRPr="00597826">
              <w:rPr>
                <w:sz w:val="20"/>
                <w:szCs w:val="24"/>
              </w:rPr>
              <w:t>Consumer peak</w:t>
            </w:r>
            <w:r w:rsidR="00AB6202" w:rsidRPr="00597826">
              <w:rPr>
                <w:sz w:val="20"/>
                <w:szCs w:val="24"/>
              </w:rPr>
              <w:t>s</w:t>
            </w:r>
          </w:p>
        </w:tc>
        <w:tc>
          <w:tcPr>
            <w:tcW w:w="2211" w:type="dxa"/>
          </w:tcPr>
          <w:p w14:paraId="683C9BC7" w14:textId="656829F8" w:rsidR="000B3D37" w:rsidRPr="00597826" w:rsidRDefault="00021614" w:rsidP="00597826">
            <w:pPr>
              <w:pStyle w:val="Tabletext"/>
              <w:rPr>
                <w:sz w:val="20"/>
                <w:szCs w:val="24"/>
              </w:rPr>
            </w:pPr>
            <w:r w:rsidRPr="00597826">
              <w:rPr>
                <w:sz w:val="20"/>
                <w:szCs w:val="24"/>
              </w:rPr>
              <w:t>12</w:t>
            </w:r>
          </w:p>
        </w:tc>
      </w:tr>
      <w:tr w:rsidR="000B3D37" w:rsidRPr="00597826" w14:paraId="586C369E" w14:textId="77777777" w:rsidTr="00597826">
        <w:tc>
          <w:tcPr>
            <w:tcW w:w="6941" w:type="dxa"/>
          </w:tcPr>
          <w:p w14:paraId="0F9F99A8" w14:textId="0B11A41B" w:rsidR="000B3D37" w:rsidRPr="00597826" w:rsidRDefault="00AC6540" w:rsidP="00597826">
            <w:pPr>
              <w:pStyle w:val="Tabletext"/>
              <w:rPr>
                <w:sz w:val="20"/>
                <w:szCs w:val="24"/>
              </w:rPr>
            </w:pPr>
            <w:r w:rsidRPr="00597826">
              <w:rPr>
                <w:sz w:val="20"/>
                <w:szCs w:val="24"/>
              </w:rPr>
              <w:t>Aged care provider</w:t>
            </w:r>
            <w:r w:rsidR="00AB6202" w:rsidRPr="00597826">
              <w:rPr>
                <w:sz w:val="20"/>
                <w:szCs w:val="24"/>
              </w:rPr>
              <w:t>s</w:t>
            </w:r>
          </w:p>
        </w:tc>
        <w:tc>
          <w:tcPr>
            <w:tcW w:w="2211" w:type="dxa"/>
          </w:tcPr>
          <w:p w14:paraId="78D682FE" w14:textId="7EB0F177" w:rsidR="000B3D37" w:rsidRPr="00597826" w:rsidRDefault="00021614" w:rsidP="00597826">
            <w:pPr>
              <w:pStyle w:val="Tabletext"/>
              <w:rPr>
                <w:sz w:val="20"/>
                <w:szCs w:val="24"/>
              </w:rPr>
            </w:pPr>
            <w:r w:rsidRPr="00597826">
              <w:rPr>
                <w:sz w:val="20"/>
                <w:szCs w:val="24"/>
              </w:rPr>
              <w:t>113</w:t>
            </w:r>
          </w:p>
        </w:tc>
      </w:tr>
      <w:tr w:rsidR="000B3D37" w:rsidRPr="00597826" w14:paraId="63AEA7AD" w14:textId="77777777" w:rsidTr="00597826">
        <w:tc>
          <w:tcPr>
            <w:tcW w:w="6941" w:type="dxa"/>
          </w:tcPr>
          <w:p w14:paraId="65E312B1" w14:textId="4BB6BD61" w:rsidR="000B3D37" w:rsidRPr="00597826" w:rsidRDefault="00B05BB6" w:rsidP="00597826">
            <w:pPr>
              <w:pStyle w:val="Tabletext"/>
              <w:rPr>
                <w:sz w:val="20"/>
                <w:szCs w:val="24"/>
              </w:rPr>
            </w:pPr>
            <w:r w:rsidRPr="00597826">
              <w:rPr>
                <w:sz w:val="20"/>
                <w:szCs w:val="24"/>
              </w:rPr>
              <w:t>Provider peak</w:t>
            </w:r>
            <w:r w:rsidR="00AB6202" w:rsidRPr="00597826">
              <w:rPr>
                <w:sz w:val="20"/>
                <w:szCs w:val="24"/>
              </w:rPr>
              <w:t>s</w:t>
            </w:r>
          </w:p>
        </w:tc>
        <w:tc>
          <w:tcPr>
            <w:tcW w:w="2211" w:type="dxa"/>
          </w:tcPr>
          <w:p w14:paraId="5350F408" w14:textId="58C06892" w:rsidR="000B3D37" w:rsidRPr="00597826" w:rsidRDefault="003476FA" w:rsidP="00597826">
            <w:pPr>
              <w:pStyle w:val="Tabletext"/>
              <w:rPr>
                <w:sz w:val="20"/>
                <w:szCs w:val="24"/>
              </w:rPr>
            </w:pPr>
            <w:r w:rsidRPr="00597826">
              <w:rPr>
                <w:sz w:val="20"/>
                <w:szCs w:val="24"/>
              </w:rPr>
              <w:t>18</w:t>
            </w:r>
          </w:p>
        </w:tc>
      </w:tr>
      <w:tr w:rsidR="000B3D37" w:rsidRPr="00597826" w14:paraId="74A1037B" w14:textId="77777777" w:rsidTr="00597826">
        <w:tc>
          <w:tcPr>
            <w:tcW w:w="6941" w:type="dxa"/>
          </w:tcPr>
          <w:p w14:paraId="3795CE08" w14:textId="1125B295" w:rsidR="000B3D37" w:rsidRPr="00597826" w:rsidRDefault="00756494" w:rsidP="00597826">
            <w:pPr>
              <w:pStyle w:val="Tabletext"/>
              <w:rPr>
                <w:sz w:val="20"/>
                <w:szCs w:val="24"/>
              </w:rPr>
            </w:pPr>
            <w:r w:rsidRPr="00597826">
              <w:rPr>
                <w:sz w:val="20"/>
                <w:szCs w:val="24"/>
              </w:rPr>
              <w:t xml:space="preserve">Department of </w:t>
            </w:r>
            <w:r w:rsidR="00C66DA4" w:rsidRPr="00597826">
              <w:rPr>
                <w:sz w:val="20"/>
                <w:szCs w:val="24"/>
              </w:rPr>
              <w:t>Social</w:t>
            </w:r>
            <w:r w:rsidRPr="00597826">
              <w:rPr>
                <w:sz w:val="20"/>
                <w:szCs w:val="24"/>
              </w:rPr>
              <w:t xml:space="preserve"> Services, Department of Veterans’ </w:t>
            </w:r>
            <w:r w:rsidR="00C66DA4" w:rsidRPr="00597826">
              <w:rPr>
                <w:sz w:val="20"/>
                <w:szCs w:val="24"/>
              </w:rPr>
              <w:t>Affairs and the NDIS</w:t>
            </w:r>
          </w:p>
        </w:tc>
        <w:tc>
          <w:tcPr>
            <w:tcW w:w="2211" w:type="dxa"/>
          </w:tcPr>
          <w:p w14:paraId="090DE1ED" w14:textId="68788CB1" w:rsidR="000B3D37" w:rsidRPr="00597826" w:rsidRDefault="003476FA" w:rsidP="00597826">
            <w:pPr>
              <w:pStyle w:val="Tabletext"/>
              <w:rPr>
                <w:sz w:val="20"/>
                <w:szCs w:val="24"/>
              </w:rPr>
            </w:pPr>
            <w:r w:rsidRPr="00597826">
              <w:rPr>
                <w:sz w:val="20"/>
                <w:szCs w:val="24"/>
              </w:rPr>
              <w:t>8</w:t>
            </w:r>
          </w:p>
        </w:tc>
      </w:tr>
      <w:tr w:rsidR="00C66DA4" w:rsidRPr="00597826" w14:paraId="0469C36E" w14:textId="77777777" w:rsidTr="00597826">
        <w:tc>
          <w:tcPr>
            <w:tcW w:w="6941" w:type="dxa"/>
          </w:tcPr>
          <w:p w14:paraId="39779A3D" w14:textId="473BB215" w:rsidR="00C66DA4" w:rsidRPr="00597826" w:rsidRDefault="00C66DA4" w:rsidP="00597826">
            <w:pPr>
              <w:pStyle w:val="Tabletext"/>
              <w:rPr>
                <w:sz w:val="20"/>
                <w:szCs w:val="24"/>
              </w:rPr>
            </w:pPr>
            <w:r w:rsidRPr="00597826">
              <w:rPr>
                <w:sz w:val="20"/>
                <w:szCs w:val="24"/>
              </w:rPr>
              <w:t>Special interest group</w:t>
            </w:r>
            <w:r w:rsidR="00AB6202" w:rsidRPr="00597826">
              <w:rPr>
                <w:sz w:val="20"/>
                <w:szCs w:val="24"/>
              </w:rPr>
              <w:t>s</w:t>
            </w:r>
          </w:p>
        </w:tc>
        <w:tc>
          <w:tcPr>
            <w:tcW w:w="2211" w:type="dxa"/>
          </w:tcPr>
          <w:p w14:paraId="3C64DC72" w14:textId="209CE5A1" w:rsidR="00C66DA4" w:rsidRPr="00597826" w:rsidRDefault="00E83F01" w:rsidP="00597826">
            <w:pPr>
              <w:pStyle w:val="Tabletext"/>
              <w:rPr>
                <w:sz w:val="20"/>
                <w:szCs w:val="24"/>
              </w:rPr>
            </w:pPr>
            <w:r w:rsidRPr="00597826">
              <w:rPr>
                <w:sz w:val="20"/>
                <w:szCs w:val="24"/>
              </w:rPr>
              <w:t>62</w:t>
            </w:r>
          </w:p>
        </w:tc>
      </w:tr>
      <w:tr w:rsidR="00C66DA4" w:rsidRPr="00597826" w14:paraId="77892F52" w14:textId="77777777" w:rsidTr="00597826">
        <w:tc>
          <w:tcPr>
            <w:tcW w:w="6941" w:type="dxa"/>
          </w:tcPr>
          <w:p w14:paraId="5AD00CBE" w14:textId="79AC1206" w:rsidR="00C66DA4" w:rsidRPr="00597826" w:rsidRDefault="00C66DA4" w:rsidP="00597826">
            <w:pPr>
              <w:pStyle w:val="Tabletext"/>
              <w:rPr>
                <w:sz w:val="20"/>
                <w:szCs w:val="24"/>
              </w:rPr>
            </w:pPr>
            <w:r w:rsidRPr="00597826">
              <w:rPr>
                <w:sz w:val="20"/>
                <w:szCs w:val="24"/>
              </w:rPr>
              <w:t xml:space="preserve">Aged Care Quality and Safety Commission </w:t>
            </w:r>
          </w:p>
        </w:tc>
        <w:tc>
          <w:tcPr>
            <w:tcW w:w="2211" w:type="dxa"/>
          </w:tcPr>
          <w:p w14:paraId="7A85BBF9" w14:textId="334CBB46" w:rsidR="00C66DA4" w:rsidRPr="00597826" w:rsidRDefault="00615544" w:rsidP="00597826">
            <w:pPr>
              <w:pStyle w:val="Tabletext"/>
              <w:rPr>
                <w:sz w:val="20"/>
                <w:szCs w:val="24"/>
              </w:rPr>
            </w:pPr>
            <w:r w:rsidRPr="00597826">
              <w:rPr>
                <w:sz w:val="20"/>
                <w:szCs w:val="24"/>
              </w:rPr>
              <w:t>11</w:t>
            </w:r>
          </w:p>
        </w:tc>
      </w:tr>
      <w:tr w:rsidR="00C66DA4" w:rsidRPr="00597826" w14:paraId="48868FEF" w14:textId="77777777" w:rsidTr="00597826">
        <w:tc>
          <w:tcPr>
            <w:tcW w:w="6941" w:type="dxa"/>
          </w:tcPr>
          <w:p w14:paraId="4950AB64" w14:textId="649D17EF" w:rsidR="00C66DA4" w:rsidRPr="00597826" w:rsidRDefault="00BF7D0D" w:rsidP="00597826">
            <w:pPr>
              <w:pStyle w:val="Tabletext"/>
              <w:rPr>
                <w:sz w:val="20"/>
                <w:szCs w:val="24"/>
              </w:rPr>
            </w:pPr>
            <w:r w:rsidRPr="00597826">
              <w:rPr>
                <w:sz w:val="20"/>
                <w:szCs w:val="24"/>
              </w:rPr>
              <w:t xml:space="preserve">Department of Health </w:t>
            </w:r>
          </w:p>
        </w:tc>
        <w:tc>
          <w:tcPr>
            <w:tcW w:w="2211" w:type="dxa"/>
          </w:tcPr>
          <w:p w14:paraId="36CBEE6D" w14:textId="25620DB4" w:rsidR="00C66DA4" w:rsidRPr="00597826" w:rsidRDefault="002A3E8F" w:rsidP="00597826">
            <w:pPr>
              <w:pStyle w:val="Tabletext"/>
              <w:rPr>
                <w:sz w:val="20"/>
                <w:szCs w:val="24"/>
              </w:rPr>
            </w:pPr>
            <w:r w:rsidRPr="00597826">
              <w:rPr>
                <w:sz w:val="20"/>
                <w:szCs w:val="24"/>
              </w:rPr>
              <w:t>34</w:t>
            </w:r>
          </w:p>
        </w:tc>
      </w:tr>
      <w:tr w:rsidR="00BF7D0D" w:rsidRPr="00597826" w14:paraId="7E53A361" w14:textId="77777777" w:rsidTr="00597826">
        <w:tc>
          <w:tcPr>
            <w:tcW w:w="6941" w:type="dxa"/>
          </w:tcPr>
          <w:p w14:paraId="7613E6B8" w14:textId="250063E4" w:rsidR="00BF7D0D" w:rsidRPr="00597826" w:rsidRDefault="00BF7D0D" w:rsidP="00597826">
            <w:pPr>
              <w:pStyle w:val="Tabletext"/>
              <w:rPr>
                <w:sz w:val="20"/>
                <w:szCs w:val="24"/>
              </w:rPr>
            </w:pPr>
            <w:r w:rsidRPr="00597826">
              <w:rPr>
                <w:sz w:val="20"/>
                <w:szCs w:val="24"/>
              </w:rPr>
              <w:t>Australian Commission on Safety and Quality in Health Care</w:t>
            </w:r>
          </w:p>
        </w:tc>
        <w:tc>
          <w:tcPr>
            <w:tcW w:w="2211" w:type="dxa"/>
          </w:tcPr>
          <w:p w14:paraId="74871C3F" w14:textId="169BD01D" w:rsidR="00BF7D0D" w:rsidRPr="00597826" w:rsidRDefault="00EB4263" w:rsidP="00597826">
            <w:pPr>
              <w:pStyle w:val="Tabletext"/>
              <w:rPr>
                <w:sz w:val="20"/>
                <w:szCs w:val="24"/>
              </w:rPr>
            </w:pPr>
            <w:r w:rsidRPr="00597826">
              <w:rPr>
                <w:sz w:val="20"/>
                <w:szCs w:val="24"/>
              </w:rPr>
              <w:t>3</w:t>
            </w:r>
          </w:p>
        </w:tc>
      </w:tr>
      <w:tr w:rsidR="00BF7D0D" w:rsidRPr="00597826" w14:paraId="3CF1B17D" w14:textId="77777777" w:rsidTr="00597826">
        <w:tc>
          <w:tcPr>
            <w:tcW w:w="6941" w:type="dxa"/>
            <w:tcBorders>
              <w:bottom w:val="single" w:sz="4" w:space="0" w:color="auto"/>
            </w:tcBorders>
          </w:tcPr>
          <w:p w14:paraId="76330D61" w14:textId="2153B345" w:rsidR="00BF7D0D" w:rsidRPr="00597826" w:rsidRDefault="00485CDF" w:rsidP="00597826">
            <w:pPr>
              <w:pStyle w:val="Tabletext"/>
              <w:rPr>
                <w:sz w:val="20"/>
                <w:szCs w:val="24"/>
              </w:rPr>
            </w:pPr>
            <w:r w:rsidRPr="00597826">
              <w:rPr>
                <w:sz w:val="20"/>
                <w:szCs w:val="24"/>
              </w:rPr>
              <w:t>Other stakeholders</w:t>
            </w:r>
          </w:p>
        </w:tc>
        <w:tc>
          <w:tcPr>
            <w:tcW w:w="2211" w:type="dxa"/>
            <w:tcBorders>
              <w:bottom w:val="single" w:sz="4" w:space="0" w:color="auto"/>
            </w:tcBorders>
          </w:tcPr>
          <w:p w14:paraId="1F9547D6" w14:textId="6FB95E99" w:rsidR="00BF7D0D" w:rsidRPr="00597826" w:rsidRDefault="00EB4263" w:rsidP="00597826">
            <w:pPr>
              <w:pStyle w:val="Tabletext"/>
              <w:rPr>
                <w:sz w:val="20"/>
                <w:szCs w:val="24"/>
              </w:rPr>
            </w:pPr>
            <w:r w:rsidRPr="00597826">
              <w:rPr>
                <w:sz w:val="20"/>
                <w:szCs w:val="24"/>
              </w:rPr>
              <w:t>25</w:t>
            </w:r>
          </w:p>
        </w:tc>
      </w:tr>
      <w:tr w:rsidR="00E95196" w:rsidRPr="00597826" w14:paraId="7F495822" w14:textId="77777777" w:rsidTr="00597826">
        <w:tc>
          <w:tcPr>
            <w:tcW w:w="6941" w:type="dxa"/>
            <w:tcBorders>
              <w:top w:val="single" w:sz="4" w:space="0" w:color="auto"/>
              <w:bottom w:val="single" w:sz="4" w:space="0" w:color="auto"/>
            </w:tcBorders>
          </w:tcPr>
          <w:p w14:paraId="291C5519" w14:textId="20436C34" w:rsidR="00E95196" w:rsidRPr="00597826" w:rsidRDefault="00AB6202" w:rsidP="00597826">
            <w:pPr>
              <w:pStyle w:val="Tabletext"/>
              <w:rPr>
                <w:sz w:val="20"/>
                <w:szCs w:val="24"/>
              </w:rPr>
            </w:pPr>
            <w:r w:rsidRPr="00597826">
              <w:rPr>
                <w:sz w:val="20"/>
                <w:szCs w:val="24"/>
              </w:rPr>
              <w:t xml:space="preserve">Total </w:t>
            </w:r>
          </w:p>
        </w:tc>
        <w:tc>
          <w:tcPr>
            <w:tcW w:w="2211" w:type="dxa"/>
            <w:tcBorders>
              <w:top w:val="single" w:sz="4" w:space="0" w:color="auto"/>
              <w:bottom w:val="single" w:sz="4" w:space="0" w:color="auto"/>
            </w:tcBorders>
          </w:tcPr>
          <w:p w14:paraId="3EF95BF3" w14:textId="18A912B0" w:rsidR="00E95196" w:rsidRPr="00597826" w:rsidRDefault="00E95196" w:rsidP="00597826">
            <w:pPr>
              <w:pStyle w:val="Tabletext"/>
              <w:rPr>
                <w:sz w:val="20"/>
                <w:szCs w:val="24"/>
              </w:rPr>
            </w:pPr>
            <w:r w:rsidRPr="00597826">
              <w:rPr>
                <w:sz w:val="20"/>
                <w:szCs w:val="24"/>
              </w:rPr>
              <w:t>323</w:t>
            </w:r>
          </w:p>
        </w:tc>
      </w:tr>
    </w:tbl>
    <w:p w14:paraId="0FDA6155" w14:textId="57BCE260" w:rsidR="00AB6202" w:rsidRPr="00820E0A" w:rsidRDefault="00AB6202" w:rsidP="004E63ED">
      <w:pPr>
        <w:pStyle w:val="Source0"/>
      </w:pPr>
      <w:r w:rsidRPr="00820E0A">
        <w:t xml:space="preserve">Source: </w:t>
      </w:r>
      <w:r>
        <w:t>KPMG</w:t>
      </w:r>
      <w:r w:rsidR="000E0B00">
        <w:t>.</w:t>
      </w:r>
    </w:p>
    <w:p w14:paraId="0E3C7BA2" w14:textId="77777777" w:rsidR="00325B63" w:rsidRDefault="00325B63" w:rsidP="008C6AD9">
      <w:pPr>
        <w:pStyle w:val="BodyText1"/>
      </w:pPr>
      <w:r>
        <w:t>Stakeholders were</w:t>
      </w:r>
      <w:r w:rsidRPr="00535E97">
        <w:t xml:space="preserve"> invited to </w:t>
      </w:r>
      <w:r>
        <w:t>participate</w:t>
      </w:r>
      <w:r w:rsidRPr="00535E97">
        <w:t xml:space="preserve"> in </w:t>
      </w:r>
      <w:r>
        <w:t xml:space="preserve">the stakeholder consultations and online survey (described below) via </w:t>
      </w:r>
      <w:r w:rsidRPr="00535E97">
        <w:t xml:space="preserve">the Aged Care Sector Newsletter. The KPMG project team </w:t>
      </w:r>
      <w:r>
        <w:t>also sought</w:t>
      </w:r>
      <w:r w:rsidRPr="00535E97">
        <w:t xml:space="preserve"> consumer</w:t>
      </w:r>
      <w:r>
        <w:t xml:space="preserve"> participants through direct engagement with</w:t>
      </w:r>
      <w:r w:rsidRPr="00535E97">
        <w:t xml:space="preserve"> consumer peak bodies</w:t>
      </w:r>
      <w:r>
        <w:t>.</w:t>
      </w:r>
    </w:p>
    <w:p w14:paraId="415FA129" w14:textId="74C11799" w:rsidR="00325B63" w:rsidRPr="00A3734B" w:rsidRDefault="00325B63" w:rsidP="00231A99">
      <w:pPr>
        <w:pStyle w:val="HeadingLevel3NoNumber"/>
      </w:pPr>
      <w:r>
        <w:t>Stakeholder survey</w:t>
      </w:r>
    </w:p>
    <w:p w14:paraId="0CB67B4A" w14:textId="77777777" w:rsidR="00325B63" w:rsidRDefault="00325B63" w:rsidP="008C6AD9">
      <w:pPr>
        <w:pStyle w:val="BodyText1"/>
      </w:pPr>
      <w:r w:rsidRPr="0043312F">
        <w:t xml:space="preserve">To allow a greater number of </w:t>
      </w:r>
      <w:r>
        <w:t xml:space="preserve">consumers and </w:t>
      </w:r>
      <w:r w:rsidRPr="0043312F">
        <w:t xml:space="preserve">people working in </w:t>
      </w:r>
      <w:r>
        <w:t>or adjacent to</w:t>
      </w:r>
      <w:r w:rsidRPr="0043312F">
        <w:t xml:space="preserve"> the sector to participate in the evaluation</w:t>
      </w:r>
      <w:r>
        <w:t xml:space="preserve">, a stakeholder survey was developed. The online survey was developed in collaboration with the Department and the Commission. </w:t>
      </w:r>
      <w:r w:rsidRPr="006E3584">
        <w:t>The survey was</w:t>
      </w:r>
      <w:r>
        <w:t xml:space="preserve"> published on the Department’s Consultation Hub and </w:t>
      </w:r>
      <w:r w:rsidRPr="006E3584">
        <w:t xml:space="preserve">available to anyone working or consuming services in the aged care sector, as well as </w:t>
      </w:r>
      <w:r>
        <w:t>any stakeholder</w:t>
      </w:r>
      <w:r w:rsidRPr="006E3584">
        <w:t xml:space="preserve"> with an interest in this area. </w:t>
      </w:r>
    </w:p>
    <w:p w14:paraId="4FA46DBE" w14:textId="72FFBD71" w:rsidR="00325B63" w:rsidRPr="00873B43" w:rsidRDefault="00325B63" w:rsidP="008C6AD9">
      <w:pPr>
        <w:pStyle w:val="BodyText1"/>
      </w:pPr>
      <w:r>
        <w:t xml:space="preserve">The survey was qualitative in nature, asking a range of single and multi-response, Likert scale, and free-text questions. A total of 1,377 stakeholders participated in the survey; these respondents reflected a range of stakeholder groups as highlighted in </w:t>
      </w:r>
      <w:r>
        <w:fldChar w:fldCharType="begin" w:fldLock="1"/>
      </w:r>
      <w:r>
        <w:instrText xml:space="preserve"> REF _Ref85130840 \h </w:instrText>
      </w:r>
      <w:r>
        <w:fldChar w:fldCharType="separate"/>
      </w:r>
      <w:r w:rsidR="00453533">
        <w:t xml:space="preserve">Figure </w:t>
      </w:r>
      <w:r w:rsidR="00453533">
        <w:rPr>
          <w:noProof/>
        </w:rPr>
        <w:t>3</w:t>
      </w:r>
      <w:r>
        <w:fldChar w:fldCharType="end"/>
      </w:r>
      <w:r>
        <w:t>.</w:t>
      </w:r>
      <w:r w:rsidR="009F4F0C">
        <w:t xml:space="preserve"> </w:t>
      </w:r>
      <w:r w:rsidR="00933235">
        <w:t>29% of respondents were</w:t>
      </w:r>
      <w:r w:rsidR="00CF7E63" w:rsidRPr="00CF7E63">
        <w:t xml:space="preserve"> aged care service provider representatives, </w:t>
      </w:r>
      <w:r w:rsidR="00933235">
        <w:t>24% were</w:t>
      </w:r>
      <w:r w:rsidR="00CF7E63" w:rsidRPr="00CF7E63">
        <w:t xml:space="preserve"> consumer</w:t>
      </w:r>
      <w:r w:rsidR="00FD7911">
        <w:t>s</w:t>
      </w:r>
      <w:r w:rsidR="00CF7E63" w:rsidRPr="00CF7E63">
        <w:t>, carer</w:t>
      </w:r>
      <w:r w:rsidR="00FD7911">
        <w:t>s</w:t>
      </w:r>
      <w:r w:rsidR="00CF7E63" w:rsidRPr="00CF7E63">
        <w:t xml:space="preserve"> or family member</w:t>
      </w:r>
      <w:r w:rsidR="00FD7911">
        <w:t>s</w:t>
      </w:r>
      <w:r w:rsidR="00CF7E63" w:rsidRPr="00CF7E63">
        <w:t xml:space="preserve"> of a consumer, </w:t>
      </w:r>
      <w:r w:rsidR="00933235">
        <w:t>22% were</w:t>
      </w:r>
      <w:r w:rsidR="00CF7E63" w:rsidRPr="00CF7E63">
        <w:t xml:space="preserve"> aged care worker</w:t>
      </w:r>
      <w:r w:rsidR="00FD7911">
        <w:t>s</w:t>
      </w:r>
      <w:r w:rsidR="00933235">
        <w:t xml:space="preserve"> (including volunteers), 14% were</w:t>
      </w:r>
      <w:r w:rsidR="00CF7E63" w:rsidRPr="00CF7E63">
        <w:t xml:space="preserve"> health professional</w:t>
      </w:r>
      <w:r w:rsidR="00FD7911">
        <w:t>s</w:t>
      </w:r>
      <w:r w:rsidR="00CF7E63" w:rsidRPr="00CF7E63">
        <w:t xml:space="preserve">, </w:t>
      </w:r>
      <w:r w:rsidR="00933235">
        <w:t>2% were</w:t>
      </w:r>
      <w:r w:rsidR="00CF7E63" w:rsidRPr="00CF7E63">
        <w:t xml:space="preserve"> consumer peak representative</w:t>
      </w:r>
      <w:r w:rsidR="00F57139">
        <w:t>s</w:t>
      </w:r>
      <w:r w:rsidR="00CF7E63" w:rsidRPr="00CF7E63">
        <w:t xml:space="preserve">, </w:t>
      </w:r>
      <w:r w:rsidR="00933235">
        <w:t>2% were</w:t>
      </w:r>
      <w:r w:rsidR="00CF7E63" w:rsidRPr="00CF7E63">
        <w:t xml:space="preserve"> provider peak representative</w:t>
      </w:r>
      <w:r w:rsidR="00F57139">
        <w:t>s</w:t>
      </w:r>
      <w:r w:rsidR="00CF7E63" w:rsidRPr="00CF7E63">
        <w:t xml:space="preserve"> and </w:t>
      </w:r>
      <w:r w:rsidR="00933235">
        <w:t>7%identified</w:t>
      </w:r>
      <w:r w:rsidR="00CF7E63" w:rsidRPr="00CF7E63">
        <w:t xml:space="preserve"> themselves as ‘other’ stakeholders.</w:t>
      </w:r>
      <w:r w:rsidR="00933235">
        <w:t xml:space="preserve"> </w:t>
      </w:r>
      <w:r w:rsidR="009F4F0C">
        <w:t>Respondents could selec</w:t>
      </w:r>
      <w:r w:rsidR="00515446">
        <w:t>t more than one</w:t>
      </w:r>
      <w:r w:rsidR="009F4F0C">
        <w:t xml:space="preserve"> stakeholder group that applied to them</w:t>
      </w:r>
      <w:r w:rsidR="00DA06BC">
        <w:t xml:space="preserve">. </w:t>
      </w:r>
    </w:p>
    <w:p w14:paraId="4703559A" w14:textId="3EDC4B51" w:rsidR="00AB6202" w:rsidRDefault="00325B63" w:rsidP="00231A99">
      <w:pPr>
        <w:pStyle w:val="Caption"/>
      </w:pPr>
      <w:bookmarkStart w:id="80" w:name="_Ref85130840"/>
      <w:bookmarkStart w:id="81" w:name="_Toc85369260"/>
      <w:r>
        <w:lastRenderedPageBreak/>
        <w:t xml:space="preserve">Figure </w:t>
      </w:r>
      <w:r>
        <w:fldChar w:fldCharType="begin"/>
      </w:r>
      <w:r>
        <w:instrText>SEQ Figure \* ARABIC</w:instrText>
      </w:r>
      <w:r>
        <w:fldChar w:fldCharType="separate"/>
      </w:r>
      <w:r w:rsidR="0083123A">
        <w:rPr>
          <w:noProof/>
        </w:rPr>
        <w:t>3</w:t>
      </w:r>
      <w:r>
        <w:fldChar w:fldCharType="end"/>
      </w:r>
      <w:bookmarkEnd w:id="80"/>
      <w:r>
        <w:t>: Overview of stakeholder participation in the Evaluation</w:t>
      </w:r>
      <w:r w:rsidR="005E7D48">
        <w:rPr>
          <w:rFonts w:ascii="ZWAdobeF" w:hAnsi="ZWAdobeF" w:cs="ZWAdobeF"/>
          <w:color w:val="auto"/>
          <w:sz w:val="2"/>
          <w:szCs w:val="2"/>
        </w:rPr>
        <w:t>13F</w:t>
      </w:r>
      <w:r w:rsidRPr="00FF22A0">
        <w:rPr>
          <w:vertAlign w:val="superscript"/>
        </w:rPr>
        <w:footnoteReference w:id="14"/>
      </w:r>
      <w:bookmarkEnd w:id="81"/>
    </w:p>
    <w:p w14:paraId="34B9D41D" w14:textId="4A84F041" w:rsidR="001050C1" w:rsidRDefault="008E76AB" w:rsidP="000E0B00">
      <w:pPr>
        <w:pStyle w:val="BodyText1"/>
      </w:pPr>
      <w:r>
        <w:rPr>
          <w:noProof/>
        </w:rPr>
        <w:drawing>
          <wp:inline distT="0" distB="0" distL="0" distR="0" wp14:anchorId="59CE0360" wp14:editId="710007E3">
            <wp:extent cx="5686425" cy="3670379"/>
            <wp:effectExtent l="0" t="0" r="0" b="6350"/>
            <wp:docPr id="6" name="Picture 6" descr="Diagram depicting an overview of stakeholder participation in the Evaluation. Over 1,700 Stakeholders consulted. Online survey of 1,377 responses analysed. Focus Group session 35 conducted Aug-Sep with 323 Stakeholders participated. Data and Feedback 20+ ad hoc emails and submissions. Impact and performance data ACQSC, standards mapping. Government Stakeholders including ACQSC, ACQSHC, NDIS Commission, DSS and DVA. Source KP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depicting an overview of stakeholder participation in the Evaluation. Over 1,700 Stakeholders consulted. Online survey of 1,377 responses analysed. Focus Group session 35 conducted Aug-Sep with 323 Stakeholders participated. Data and Feedback 20+ ad hoc emails and submissions. Impact and performance data ACQSC, standards mapping. Government Stakeholders including ACQSC, ACQSHC, NDIS Commission, DSS and DVA. Source KPM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8142" cy="3690851"/>
                    </a:xfrm>
                    <a:prstGeom prst="rect">
                      <a:avLst/>
                    </a:prstGeom>
                    <a:noFill/>
                  </pic:spPr>
                </pic:pic>
              </a:graphicData>
            </a:graphic>
          </wp:inline>
        </w:drawing>
      </w:r>
    </w:p>
    <w:p w14:paraId="5E92A50E" w14:textId="55449F4F" w:rsidR="00325B63" w:rsidRPr="00597826" w:rsidRDefault="00325B63" w:rsidP="00597826">
      <w:pPr>
        <w:pStyle w:val="Source0"/>
      </w:pPr>
      <w:r w:rsidRPr="00597826">
        <w:t xml:space="preserve">Source: </w:t>
      </w:r>
      <w:r w:rsidR="0075601E" w:rsidRPr="00597826">
        <w:t>KPMG</w:t>
      </w:r>
      <w:r w:rsidR="000E0B00" w:rsidRPr="00597826">
        <w:t>.</w:t>
      </w:r>
    </w:p>
    <w:p w14:paraId="3AD2EB1E" w14:textId="015D5018" w:rsidR="00325B63" w:rsidRDefault="00B224C8" w:rsidP="00B224C8">
      <w:pPr>
        <w:pStyle w:val="Heading2"/>
      </w:pPr>
      <w:bookmarkStart w:id="82" w:name="_Ref84509685"/>
      <w:bookmarkStart w:id="83" w:name="_Toc88804079"/>
      <w:bookmarkStart w:id="84" w:name="_Toc89930040"/>
      <w:bookmarkStart w:id="85" w:name="_Toc90453359"/>
      <w:bookmarkStart w:id="86" w:name="_Toc113448687"/>
      <w:r>
        <w:t xml:space="preserve">4.3 </w:t>
      </w:r>
      <w:r w:rsidR="00325B63">
        <w:t>Program Logic</w:t>
      </w:r>
      <w:bookmarkEnd w:id="82"/>
      <w:bookmarkEnd w:id="83"/>
      <w:bookmarkEnd w:id="84"/>
      <w:bookmarkEnd w:id="85"/>
      <w:bookmarkEnd w:id="86"/>
    </w:p>
    <w:p w14:paraId="4892C05B" w14:textId="210CAC7C" w:rsidR="00325B63" w:rsidRPr="00AC2C09" w:rsidRDefault="00325B63" w:rsidP="001050C1">
      <w:pPr>
        <w:pStyle w:val="BodyText1"/>
      </w:pPr>
      <w:r w:rsidRPr="00AC2C09">
        <w:t xml:space="preserve">A program </w:t>
      </w:r>
      <w:r w:rsidRPr="009F563B">
        <w:t xml:space="preserve">logic was developed as part of </w:t>
      </w:r>
      <w:r>
        <w:t>an evaluation framework to support the evaluation of the Standards. The program logic was subsequently revised for this evaluation and is</w:t>
      </w:r>
      <w:r w:rsidRPr="00AC2C09">
        <w:t xml:space="preserve"> shown in </w:t>
      </w:r>
      <w:r>
        <w:t>Appendix A.</w:t>
      </w:r>
      <w:r w:rsidRPr="00AC2C09">
        <w:t xml:space="preserve"> </w:t>
      </w:r>
      <w:r>
        <w:t>This E</w:t>
      </w:r>
      <w:r w:rsidRPr="00AC2C09">
        <w:t xml:space="preserve">valuation </w:t>
      </w:r>
      <w:r>
        <w:t>explored</w:t>
      </w:r>
      <w:r w:rsidRPr="00AC2C09">
        <w:t xml:space="preserve"> the short-term outcomes of the Standards</w:t>
      </w:r>
      <w:r w:rsidR="00BF39BB">
        <w:t xml:space="preserve"> presented in the program logic</w:t>
      </w:r>
      <w:r w:rsidRPr="00AC2C09">
        <w:t xml:space="preserve">. </w:t>
      </w:r>
    </w:p>
    <w:p w14:paraId="3688FA1F" w14:textId="77777777" w:rsidR="00A1770F" w:rsidRDefault="00A1770F" w:rsidP="001050C1">
      <w:pPr>
        <w:pStyle w:val="BodyText1"/>
        <w:sectPr w:rsidR="00A1770F" w:rsidSect="00883902">
          <w:pgSz w:w="11906" w:h="16838"/>
          <w:pgMar w:top="1418" w:right="1418" w:bottom="1418" w:left="1418" w:header="709" w:footer="453" w:gutter="0"/>
          <w:cols w:space="708"/>
          <w:docGrid w:linePitch="360"/>
        </w:sectPr>
      </w:pPr>
    </w:p>
    <w:p w14:paraId="0D47D0FB" w14:textId="50433645" w:rsidR="008C0891" w:rsidRPr="008C0891" w:rsidRDefault="00F43ADB" w:rsidP="001050C1">
      <w:pPr>
        <w:pStyle w:val="BodyText1"/>
      </w:pPr>
      <w:r>
        <w:rPr>
          <w:noProof/>
        </w:rPr>
        <w:lastRenderedPageBreak/>
        <w:drawing>
          <wp:anchor distT="0" distB="0" distL="114300" distR="114300" simplePos="0" relativeHeight="251704320" behindDoc="1" locked="0" layoutInCell="1" allowOverlap="1" wp14:anchorId="3D85D9D8" wp14:editId="49087770">
            <wp:simplePos x="0" y="0"/>
            <wp:positionH relativeFrom="page">
              <wp:align>left</wp:align>
            </wp:positionH>
            <wp:positionV relativeFrom="paragraph">
              <wp:posOffset>-938199</wp:posOffset>
            </wp:positionV>
            <wp:extent cx="7560000" cy="10692000"/>
            <wp:effectExtent l="0" t="0" r="3175" b="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27CDA6B4" w14:textId="753AC46D" w:rsidR="001050C1" w:rsidRPr="00266BFD" w:rsidRDefault="0030573D" w:rsidP="001050C1">
      <w:pPr>
        <w:pStyle w:val="Heading1Divider"/>
        <w:ind w:left="1134" w:hanging="992"/>
        <w:rPr>
          <w:sz w:val="58"/>
          <w:szCs w:val="32"/>
        </w:rPr>
      </w:pPr>
      <w:bookmarkStart w:id="87" w:name="_Ref85221500"/>
      <w:bookmarkStart w:id="88" w:name="_Ref85222552"/>
      <w:bookmarkStart w:id="89" w:name="_Ref85223248"/>
      <w:bookmarkStart w:id="90" w:name="_Ref85223262"/>
      <w:bookmarkStart w:id="91" w:name="_Ref85223319"/>
      <w:bookmarkStart w:id="92" w:name="_Ref85223337"/>
      <w:bookmarkStart w:id="93" w:name="_Toc88804080"/>
      <w:bookmarkStart w:id="94" w:name="_Toc89930041"/>
      <w:bookmarkStart w:id="95" w:name="_Toc90453360"/>
      <w:bookmarkStart w:id="96" w:name="_Toc113448688"/>
      <w:r w:rsidRPr="00266BFD">
        <w:rPr>
          <w:sz w:val="58"/>
          <w:szCs w:val="32"/>
        </w:rPr>
        <w:t>F</w:t>
      </w:r>
      <w:r w:rsidR="00D25B41" w:rsidRPr="00266BFD">
        <w:rPr>
          <w:sz w:val="58"/>
          <w:szCs w:val="32"/>
        </w:rPr>
        <w:t>indings</w:t>
      </w:r>
      <w:r w:rsidRPr="00266BFD">
        <w:rPr>
          <w:sz w:val="58"/>
          <w:szCs w:val="32"/>
        </w:rPr>
        <w:t>:</w:t>
      </w:r>
      <w:r w:rsidR="004F145D" w:rsidRPr="00266BFD">
        <w:rPr>
          <w:sz w:val="58"/>
          <w:szCs w:val="32"/>
        </w:rPr>
        <w:t xml:space="preserve"> </w:t>
      </w:r>
      <w:r w:rsidR="00B03644" w:rsidRPr="00266BFD">
        <w:rPr>
          <w:sz w:val="58"/>
          <w:szCs w:val="32"/>
        </w:rPr>
        <w:t xml:space="preserve">Key </w:t>
      </w:r>
      <w:r w:rsidR="00597826">
        <w:rPr>
          <w:sz w:val="58"/>
          <w:szCs w:val="32"/>
        </w:rPr>
        <w:t>e</w:t>
      </w:r>
      <w:r w:rsidR="00B03644" w:rsidRPr="00266BFD">
        <w:rPr>
          <w:sz w:val="58"/>
          <w:szCs w:val="32"/>
        </w:rPr>
        <w:t xml:space="preserve">valuation </w:t>
      </w:r>
      <w:r w:rsidR="00597826">
        <w:rPr>
          <w:sz w:val="58"/>
          <w:szCs w:val="32"/>
        </w:rPr>
        <w:t>q</w:t>
      </w:r>
      <w:r w:rsidR="00B03644" w:rsidRPr="00266BFD">
        <w:rPr>
          <w:sz w:val="58"/>
          <w:szCs w:val="32"/>
        </w:rPr>
        <w:t>uestion 1</w:t>
      </w:r>
      <w:bookmarkEnd w:id="87"/>
      <w:bookmarkEnd w:id="88"/>
      <w:bookmarkEnd w:id="89"/>
      <w:bookmarkEnd w:id="90"/>
      <w:bookmarkEnd w:id="91"/>
      <w:bookmarkEnd w:id="92"/>
      <w:bookmarkEnd w:id="93"/>
      <w:bookmarkEnd w:id="94"/>
      <w:bookmarkEnd w:id="95"/>
      <w:bookmarkEnd w:id="96"/>
    </w:p>
    <w:p w14:paraId="7646AC4A" w14:textId="7E324702" w:rsidR="001050C1" w:rsidRPr="001050C1" w:rsidRDefault="001050C1" w:rsidP="008C6AD9">
      <w:pPr>
        <w:pStyle w:val="HeadingLevel1NoNumber"/>
      </w:pPr>
      <w:r w:rsidRPr="001050C1">
        <w:lastRenderedPageBreak/>
        <w:t>Findings: Key Evaluation Question 1</w:t>
      </w:r>
    </w:p>
    <w:p w14:paraId="3692E78D" w14:textId="5E8949AC" w:rsidR="008C6AD9" w:rsidRDefault="00BB10EE" w:rsidP="00334396">
      <w:pPr>
        <w:pStyle w:val="IntroPara"/>
        <w:tabs>
          <w:tab w:val="clear" w:pos="720"/>
        </w:tabs>
      </w:pPr>
      <w:r>
        <w:t xml:space="preserve">This </w:t>
      </w:r>
      <w:r w:rsidR="007807CD">
        <w:t>section</w:t>
      </w:r>
      <w:r>
        <w:t xml:space="preserve"> </w:t>
      </w:r>
      <w:r w:rsidR="00484ECA">
        <w:t>presents</w:t>
      </w:r>
      <w:r w:rsidR="00B46D8A">
        <w:t xml:space="preserve"> findings related to </w:t>
      </w:r>
      <w:r w:rsidR="00B46D8A" w:rsidRPr="004649AA">
        <w:t xml:space="preserve">Key Evaluation Question 1: </w:t>
      </w:r>
      <w:r w:rsidR="00B46D8A" w:rsidRPr="007E534E">
        <w:t>How have broader contextual factors impacted on the implementation of the Standards?</w:t>
      </w:r>
    </w:p>
    <w:p w14:paraId="2E07817F" w14:textId="72E42CAD" w:rsidR="007807CD" w:rsidRDefault="00B46D8A" w:rsidP="00124259">
      <w:pPr>
        <w:pStyle w:val="BodyText1"/>
      </w:pPr>
      <w:r w:rsidRPr="004649AA">
        <w:t xml:space="preserve">This question sought to understand the </w:t>
      </w:r>
      <w:r w:rsidR="00C46432" w:rsidRPr="004649AA">
        <w:t xml:space="preserve">effectiveness of implementation activities that were conducted by the Commission and the Department to implement the Standards and what barriers and enablers impacted the implementation of the Standards. The following </w:t>
      </w:r>
      <w:r w:rsidR="004649AA" w:rsidRPr="004649AA">
        <w:t>areas were key domains when exploring this question:</w:t>
      </w:r>
      <w:r w:rsidR="004649AA">
        <w:rPr>
          <w:b/>
          <w:bCs/>
        </w:rPr>
        <w:t xml:space="preserve"> </w:t>
      </w:r>
    </w:p>
    <w:p w14:paraId="090B3B74" w14:textId="3B818AC8" w:rsidR="009E6EDA" w:rsidRPr="009E6EDA" w:rsidRDefault="009E6EDA" w:rsidP="002A4AE3">
      <w:pPr>
        <w:pStyle w:val="Bullet1stlevel"/>
      </w:pPr>
      <w:r w:rsidRPr="009E6EDA">
        <w:t>What implementation activities were conducted for providers and other stakeholders to support the implementation of the Standards (e.g. guidance materials, tools, resources</w:t>
      </w:r>
      <w:r w:rsidR="002075DD" w:rsidRPr="009E6EDA">
        <w:t>)</w:t>
      </w:r>
      <w:r w:rsidR="002075DD">
        <w:t>?</w:t>
      </w:r>
      <w:r w:rsidRPr="009E6EDA">
        <w:t xml:space="preserve"> </w:t>
      </w:r>
    </w:p>
    <w:p w14:paraId="09154BE7" w14:textId="0EF47F60" w:rsidR="007807CD" w:rsidRDefault="009E6EDA" w:rsidP="002A4AE3">
      <w:pPr>
        <w:pStyle w:val="Bullet1stlevel"/>
      </w:pPr>
      <w:r w:rsidRPr="009E6EDA">
        <w:t>How effectively have guidance materials, tools, resources and activities supported the implementation of the Standards by providers?</w:t>
      </w:r>
    </w:p>
    <w:p w14:paraId="63898177" w14:textId="722FA3F3" w:rsidR="00A239D0" w:rsidRDefault="00A239D0" w:rsidP="002A4AE3">
      <w:pPr>
        <w:pStyle w:val="Bullet1stlevel"/>
      </w:pPr>
      <w:r w:rsidRPr="009E6EDA">
        <w:t>What were the key barriers and enablers to the implementation of the Quality Standards?</w:t>
      </w:r>
      <w:r w:rsidR="006000E2">
        <w:t xml:space="preserve"> </w:t>
      </w:r>
      <w:r w:rsidRPr="009E6EDA">
        <w:t>What other external factors have impacted the implementation of the Quality Standards?</w:t>
      </w:r>
    </w:p>
    <w:p w14:paraId="4D81DB88" w14:textId="77777777" w:rsidR="00DA7744" w:rsidRDefault="00DA7744" w:rsidP="002A4AE3">
      <w:pPr>
        <w:pStyle w:val="Bullet1stlevel"/>
        <w:rPr>
          <w:lang w:eastAsia="en-AU"/>
        </w:rPr>
      </w:pPr>
      <w:r w:rsidRPr="002E07EA">
        <w:rPr>
          <w:lang w:eastAsia="en-AU"/>
        </w:rPr>
        <w:t>What can be learnt from the implementation of the Quality Standards to inform future review and changes to the Quality Standards?</w:t>
      </w:r>
    </w:p>
    <w:p w14:paraId="00C4A3BC" w14:textId="77777777" w:rsidR="00DA7744" w:rsidRDefault="00DA7744" w:rsidP="002A4AE3">
      <w:pPr>
        <w:pStyle w:val="Bullet1stlevel"/>
        <w:rPr>
          <w:lang w:eastAsia="en-AU"/>
        </w:rPr>
      </w:pPr>
      <w:r w:rsidRPr="002E07EA">
        <w:rPr>
          <w:lang w:eastAsia="en-AU"/>
        </w:rPr>
        <w:t>What changes are required to align the Quality Standards with future reform in the aged care sector?</w:t>
      </w:r>
    </w:p>
    <w:p w14:paraId="00D246A7" w14:textId="3CDEE1B3" w:rsidR="006E0A86" w:rsidRDefault="006E0A86" w:rsidP="00124259">
      <w:pPr>
        <w:pStyle w:val="BodyText1"/>
      </w:pPr>
      <w:r>
        <w:t xml:space="preserve">The table below presents a summary of findings against </w:t>
      </w:r>
      <w:r w:rsidR="004649AA">
        <w:t>thi</w:t>
      </w:r>
      <w:r w:rsidR="00F84F49">
        <w:t>s</w:t>
      </w:r>
      <w:r w:rsidR="00A239D0">
        <w:t xml:space="preserve"> </w:t>
      </w:r>
      <w:r>
        <w:t xml:space="preserve">evaluation </w:t>
      </w:r>
      <w:r w:rsidR="00F84F49">
        <w:t>question</w:t>
      </w:r>
      <w:r>
        <w:t>.</w:t>
      </w:r>
    </w:p>
    <w:p w14:paraId="1DED1FE3" w14:textId="43A7A085" w:rsidR="006E0A86" w:rsidRDefault="006E0A86" w:rsidP="00231A99">
      <w:pPr>
        <w:pStyle w:val="Caption"/>
      </w:pPr>
      <w:bookmarkStart w:id="97" w:name="_Toc85369338"/>
      <w:r>
        <w:t xml:space="preserve">Table </w:t>
      </w:r>
      <w:r>
        <w:fldChar w:fldCharType="begin"/>
      </w:r>
      <w:r>
        <w:instrText>SEQ Table \* ARABIC</w:instrText>
      </w:r>
      <w:r>
        <w:fldChar w:fldCharType="separate"/>
      </w:r>
      <w:r w:rsidR="0083123A">
        <w:rPr>
          <w:noProof/>
        </w:rPr>
        <w:t>5</w:t>
      </w:r>
      <w:r>
        <w:fldChar w:fldCharType="end"/>
      </w:r>
      <w:r w:rsidR="00080DED">
        <w:t>:</w:t>
      </w:r>
      <w:r>
        <w:t xml:space="preserve"> Summary of findings </w:t>
      </w:r>
      <w:r w:rsidR="00F84F49">
        <w:t>for Key Evaluation Question 1</w:t>
      </w:r>
      <w:bookmarkEnd w:id="97"/>
    </w:p>
    <w:tbl>
      <w:tblPr>
        <w:tblStyle w:val="TableGridLight"/>
        <w:tblW w:w="0" w:type="auto"/>
        <w:tblLook w:val="0620" w:firstRow="1" w:lastRow="0" w:firstColumn="0" w:lastColumn="0" w:noHBand="1" w:noVBand="1"/>
      </w:tblPr>
      <w:tblGrid>
        <w:gridCol w:w="1418"/>
        <w:gridCol w:w="7642"/>
      </w:tblGrid>
      <w:tr w:rsidR="006E0A86" w:rsidRPr="00BF7578" w14:paraId="7BC5E625" w14:textId="77777777" w:rsidTr="00597826">
        <w:trPr>
          <w:cnfStyle w:val="100000000000" w:firstRow="1" w:lastRow="0" w:firstColumn="0" w:lastColumn="0" w:oddVBand="0" w:evenVBand="0" w:oddHBand="0" w:evenHBand="0" w:firstRowFirstColumn="0" w:firstRowLastColumn="0" w:lastRowFirstColumn="0" w:lastRowLastColumn="0"/>
          <w:tblHeader/>
        </w:trPr>
        <w:tc>
          <w:tcPr>
            <w:tcW w:w="1418" w:type="dxa"/>
          </w:tcPr>
          <w:p w14:paraId="2CECFB60" w14:textId="102F231D" w:rsidR="006E0A86" w:rsidRPr="00BF7578" w:rsidRDefault="0000770C" w:rsidP="00597826">
            <w:pPr>
              <w:pStyle w:val="Tableheading"/>
            </w:pPr>
            <w:bookmarkStart w:id="98" w:name="_Hlk85790767"/>
            <w:r w:rsidRPr="00BF7578">
              <w:rPr>
                <w:noProof/>
              </w:rPr>
              <w:drawing>
                <wp:inline distT="0" distB="0" distL="0" distR="0" wp14:anchorId="19C3523C" wp14:editId="3EBAB67B">
                  <wp:extent cx="497434" cy="497434"/>
                  <wp:effectExtent l="0" t="0" r="0" b="0"/>
                  <wp:docPr id="469" name="Picture 4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5099" cy="505099"/>
                          </a:xfrm>
                          <a:prstGeom prst="rect">
                            <a:avLst/>
                          </a:prstGeom>
                          <a:noFill/>
                          <a:ln>
                            <a:noFill/>
                          </a:ln>
                        </pic:spPr>
                      </pic:pic>
                    </a:graphicData>
                  </a:graphic>
                </wp:inline>
              </w:drawing>
            </w:r>
          </w:p>
        </w:tc>
        <w:tc>
          <w:tcPr>
            <w:tcW w:w="7642" w:type="dxa"/>
          </w:tcPr>
          <w:p w14:paraId="6EC8D8DD" w14:textId="1500F2F9" w:rsidR="0000770C" w:rsidRPr="00BF7578" w:rsidRDefault="0000770C" w:rsidP="00597826">
            <w:pPr>
              <w:pStyle w:val="Tableheading"/>
            </w:pPr>
            <w:r w:rsidRPr="00BF7578">
              <w:t>Key Evaluation Question 1</w:t>
            </w:r>
          </w:p>
          <w:p w14:paraId="1A7453F7" w14:textId="28CB0943" w:rsidR="006E0A86" w:rsidRPr="00BF7578" w:rsidRDefault="007E534E" w:rsidP="00597826">
            <w:pPr>
              <w:pStyle w:val="Tableheading"/>
            </w:pPr>
            <w:r w:rsidRPr="00BF7578">
              <w:t>How have broader contextual factors impacted on the implementation of the Standards?</w:t>
            </w:r>
          </w:p>
        </w:tc>
      </w:tr>
    </w:tbl>
    <w:p w14:paraId="43147DD7" w14:textId="77777777" w:rsidR="00B373E2" w:rsidRPr="00B373E2" w:rsidRDefault="00B373E2" w:rsidP="00B373E2">
      <w:pPr>
        <w:spacing w:before="0" w:after="0"/>
        <w:rPr>
          <w:sz w:val="2"/>
          <w:szCs w:val="2"/>
        </w:rPr>
      </w:pPr>
    </w:p>
    <w:tbl>
      <w:tblPr>
        <w:tblStyle w:val="TableGridLight"/>
        <w:tblW w:w="0" w:type="auto"/>
        <w:tblLook w:val="0620" w:firstRow="1" w:lastRow="0" w:firstColumn="0" w:lastColumn="0" w:noHBand="1" w:noVBand="1"/>
      </w:tblPr>
      <w:tblGrid>
        <w:gridCol w:w="9060"/>
      </w:tblGrid>
      <w:tr w:rsidR="0000770C" w:rsidRPr="00BF7578" w14:paraId="74BDE6BD" w14:textId="77777777" w:rsidTr="00597826">
        <w:trPr>
          <w:cnfStyle w:val="100000000000" w:firstRow="1" w:lastRow="0" w:firstColumn="0" w:lastColumn="0" w:oddVBand="0" w:evenVBand="0" w:oddHBand="0" w:evenHBand="0" w:firstRowFirstColumn="0" w:firstRowLastColumn="0" w:lastRowFirstColumn="0" w:lastRowLastColumn="0"/>
        </w:trPr>
        <w:tc>
          <w:tcPr>
            <w:tcW w:w="9060" w:type="dxa"/>
          </w:tcPr>
          <w:p w14:paraId="1F394FFA" w14:textId="0AA014FE" w:rsidR="000442B6" w:rsidRPr="00BF7578" w:rsidRDefault="000442B6" w:rsidP="00597826">
            <w:pPr>
              <w:pStyle w:val="Tableheading"/>
            </w:pPr>
            <w:r w:rsidRPr="00BF7578">
              <w:t>Summary of findings</w:t>
            </w:r>
          </w:p>
        </w:tc>
      </w:tr>
      <w:tr w:rsidR="006E0A86" w:rsidRPr="00597826" w14:paraId="285DB60C" w14:textId="77777777" w:rsidTr="00BF7578">
        <w:tc>
          <w:tcPr>
            <w:tcW w:w="9060" w:type="dxa"/>
          </w:tcPr>
          <w:p w14:paraId="14A257BE" w14:textId="54675A77" w:rsidR="000442B6" w:rsidRPr="00597826" w:rsidRDefault="000442B6" w:rsidP="00597826">
            <w:pPr>
              <w:pStyle w:val="Tabletext"/>
              <w:rPr>
                <w:sz w:val="20"/>
                <w:szCs w:val="24"/>
              </w:rPr>
            </w:pPr>
            <w:r w:rsidRPr="00597826">
              <w:rPr>
                <w:sz w:val="20"/>
                <w:szCs w:val="24"/>
              </w:rPr>
              <w:t>The Commission and Department undert</w:t>
            </w:r>
            <w:r w:rsidR="00A10C2D" w:rsidRPr="00597826">
              <w:rPr>
                <w:sz w:val="20"/>
                <w:szCs w:val="24"/>
              </w:rPr>
              <w:t>ook</w:t>
            </w:r>
            <w:r w:rsidRPr="00597826">
              <w:rPr>
                <w:sz w:val="20"/>
                <w:szCs w:val="24"/>
              </w:rPr>
              <w:t xml:space="preserve"> a range of activities to support the implementation of the Standards with the sector.</w:t>
            </w:r>
          </w:p>
          <w:p w14:paraId="7C1D615C" w14:textId="5476BB31" w:rsidR="000442B6" w:rsidRPr="00597826" w:rsidRDefault="00A21E73" w:rsidP="00597826">
            <w:pPr>
              <w:pStyle w:val="Tabletext"/>
              <w:rPr>
                <w:sz w:val="20"/>
                <w:szCs w:val="24"/>
              </w:rPr>
            </w:pPr>
            <w:proofErr w:type="gramStart"/>
            <w:r w:rsidRPr="00597826">
              <w:rPr>
                <w:sz w:val="20"/>
                <w:szCs w:val="24"/>
              </w:rPr>
              <w:t>A n</w:t>
            </w:r>
            <w:r w:rsidR="000442B6" w:rsidRPr="00597826">
              <w:rPr>
                <w:sz w:val="20"/>
                <w:szCs w:val="24"/>
              </w:rPr>
              <w:t>umber of</w:t>
            </w:r>
            <w:proofErr w:type="gramEnd"/>
            <w:r w:rsidR="000442B6" w:rsidRPr="00597826">
              <w:rPr>
                <w:sz w:val="20"/>
                <w:szCs w:val="24"/>
              </w:rPr>
              <w:t xml:space="preserve"> providers reported that implementation activities had supported their </w:t>
            </w:r>
            <w:r w:rsidR="00B72E8C" w:rsidRPr="00597826">
              <w:rPr>
                <w:sz w:val="20"/>
                <w:szCs w:val="24"/>
              </w:rPr>
              <w:t>organisation to implement</w:t>
            </w:r>
            <w:r w:rsidR="000442B6" w:rsidRPr="00597826">
              <w:rPr>
                <w:sz w:val="20"/>
                <w:szCs w:val="24"/>
              </w:rPr>
              <w:t xml:space="preserve"> the Standards</w:t>
            </w:r>
            <w:r w:rsidRPr="00597826">
              <w:rPr>
                <w:sz w:val="20"/>
                <w:szCs w:val="24"/>
              </w:rPr>
              <w:t>. However,</w:t>
            </w:r>
            <w:r w:rsidR="000442B6" w:rsidRPr="00597826">
              <w:rPr>
                <w:sz w:val="20"/>
                <w:szCs w:val="24"/>
              </w:rPr>
              <w:t xml:space="preserve"> concerns were raised surrounding the timeframes for implementation of the Standards, the level of detail provided in guidance material, the mode of delivery and audience for certain activities, and provider perceptions on their readiness to implement the Standards were mixed.</w:t>
            </w:r>
          </w:p>
          <w:p w14:paraId="5D2439D2" w14:textId="3FC910A5" w:rsidR="000442B6" w:rsidRPr="00597826" w:rsidRDefault="000442B6" w:rsidP="00597826">
            <w:pPr>
              <w:pStyle w:val="Tabletext"/>
              <w:rPr>
                <w:sz w:val="20"/>
                <w:szCs w:val="24"/>
              </w:rPr>
            </w:pPr>
            <w:proofErr w:type="gramStart"/>
            <w:r w:rsidRPr="00597826">
              <w:rPr>
                <w:sz w:val="20"/>
                <w:szCs w:val="24"/>
              </w:rPr>
              <w:t>A number of</w:t>
            </w:r>
            <w:proofErr w:type="gramEnd"/>
            <w:r w:rsidRPr="00597826">
              <w:rPr>
                <w:sz w:val="20"/>
                <w:szCs w:val="24"/>
              </w:rPr>
              <w:t xml:space="preserve"> themes emerged as enablers and barriers to implementing the Standards, including workforce and governance, implementation support from other sector stakeholders, resourcing and associated costs and reform and change fatigue. </w:t>
            </w:r>
            <w:proofErr w:type="gramStart"/>
            <w:r w:rsidRPr="00597826">
              <w:rPr>
                <w:sz w:val="20"/>
                <w:szCs w:val="24"/>
              </w:rPr>
              <w:t>A majority of</w:t>
            </w:r>
            <w:proofErr w:type="gramEnd"/>
            <w:r w:rsidRPr="00597826">
              <w:rPr>
                <w:sz w:val="20"/>
                <w:szCs w:val="24"/>
              </w:rPr>
              <w:t xml:space="preserve"> survey respondents from providers indicated that they experienced challenges with implementing the Standards.</w:t>
            </w:r>
            <w:r w:rsidR="000B7229" w:rsidRPr="00597826">
              <w:rPr>
                <w:sz w:val="20"/>
                <w:szCs w:val="24"/>
              </w:rPr>
              <w:t xml:space="preserve"> The most common reported barriers experienced by providers in implementing the Standards were related to workforce, including staff availability, capacity and skills and cost of compliance.</w:t>
            </w:r>
          </w:p>
          <w:p w14:paraId="45CB74ED" w14:textId="0481663F" w:rsidR="000442B6" w:rsidRPr="00597826" w:rsidRDefault="000442B6" w:rsidP="00597826">
            <w:pPr>
              <w:pStyle w:val="Tabletext"/>
              <w:rPr>
                <w:sz w:val="20"/>
                <w:szCs w:val="24"/>
              </w:rPr>
            </w:pPr>
            <w:r w:rsidRPr="00597826">
              <w:rPr>
                <w:sz w:val="20"/>
                <w:szCs w:val="24"/>
              </w:rPr>
              <w:t xml:space="preserve">Specific recommendations were made by </w:t>
            </w:r>
            <w:r w:rsidR="00301116" w:rsidRPr="00597826">
              <w:rPr>
                <w:sz w:val="20"/>
                <w:szCs w:val="24"/>
              </w:rPr>
              <w:t xml:space="preserve">consumers, </w:t>
            </w:r>
            <w:r w:rsidR="005E201A" w:rsidRPr="00597826">
              <w:rPr>
                <w:sz w:val="20"/>
                <w:szCs w:val="24"/>
              </w:rPr>
              <w:t xml:space="preserve">providers, </w:t>
            </w:r>
            <w:r w:rsidR="00D91400" w:rsidRPr="00597826">
              <w:rPr>
                <w:sz w:val="20"/>
                <w:szCs w:val="24"/>
              </w:rPr>
              <w:t xml:space="preserve">peaks, care experts and other </w:t>
            </w:r>
            <w:r w:rsidRPr="00597826">
              <w:rPr>
                <w:sz w:val="20"/>
                <w:szCs w:val="24"/>
              </w:rPr>
              <w:t xml:space="preserve">stakeholders to improve the implementation of the Standards, including increased learning opportunities and guidance, increased implementation time and support, consistent and transparent </w:t>
            </w:r>
            <w:r w:rsidR="000B7229" w:rsidRPr="00597826">
              <w:rPr>
                <w:sz w:val="20"/>
                <w:szCs w:val="24"/>
              </w:rPr>
              <w:t>information about how</w:t>
            </w:r>
            <w:r w:rsidRPr="00597826">
              <w:rPr>
                <w:sz w:val="20"/>
                <w:szCs w:val="24"/>
              </w:rPr>
              <w:t xml:space="preserve"> </w:t>
            </w:r>
            <w:r w:rsidR="000B7229" w:rsidRPr="00597826">
              <w:rPr>
                <w:sz w:val="20"/>
                <w:szCs w:val="24"/>
              </w:rPr>
              <w:t xml:space="preserve">the Commission assesses provider performance against the Standards </w:t>
            </w:r>
            <w:r w:rsidRPr="00597826">
              <w:rPr>
                <w:sz w:val="20"/>
                <w:szCs w:val="24"/>
              </w:rPr>
              <w:t>and increased consultation and promotion of the Standards to consumers.</w:t>
            </w:r>
          </w:p>
          <w:p w14:paraId="610217F3" w14:textId="661570A6" w:rsidR="006E0A86" w:rsidRPr="00597826" w:rsidRDefault="000442B6" w:rsidP="00597826">
            <w:pPr>
              <w:pStyle w:val="Tabletext"/>
              <w:rPr>
                <w:sz w:val="20"/>
                <w:szCs w:val="24"/>
              </w:rPr>
            </w:pPr>
            <w:r w:rsidRPr="00597826">
              <w:rPr>
                <w:sz w:val="20"/>
                <w:szCs w:val="24"/>
              </w:rPr>
              <w:lastRenderedPageBreak/>
              <w:t xml:space="preserve">Changes to the Standards will need to be considered and aligned to a range of future reform initiatives identified by the Royal Commission </w:t>
            </w:r>
            <w:r w:rsidR="00F52ABE" w:rsidRPr="00597826">
              <w:rPr>
                <w:sz w:val="20"/>
                <w:szCs w:val="24"/>
              </w:rPr>
              <w:t xml:space="preserve">and committed to by </w:t>
            </w:r>
            <w:r w:rsidR="00401FAB" w:rsidRPr="00597826">
              <w:rPr>
                <w:sz w:val="20"/>
                <w:szCs w:val="24"/>
              </w:rPr>
              <w:t xml:space="preserve">Government </w:t>
            </w:r>
            <w:r w:rsidRPr="00597826">
              <w:rPr>
                <w:sz w:val="20"/>
                <w:szCs w:val="24"/>
              </w:rPr>
              <w:t>and some existing aged care programs.</w:t>
            </w:r>
          </w:p>
        </w:tc>
      </w:tr>
    </w:tbl>
    <w:p w14:paraId="229DC879" w14:textId="5168B5D3" w:rsidR="00C77248" w:rsidRPr="002A4AE3" w:rsidRDefault="0072179C" w:rsidP="0072179C">
      <w:pPr>
        <w:pStyle w:val="Heading2"/>
      </w:pPr>
      <w:bookmarkStart w:id="99" w:name="_Ref85372037"/>
      <w:bookmarkStart w:id="100" w:name="_Toc88804081"/>
      <w:bookmarkStart w:id="101" w:name="_Toc89930042"/>
      <w:bookmarkStart w:id="102" w:name="_Toc90453361"/>
      <w:bookmarkStart w:id="103" w:name="_Toc113448689"/>
      <w:bookmarkEnd w:id="98"/>
      <w:r>
        <w:rPr>
          <w:rStyle w:val="Heading2Char"/>
        </w:rPr>
        <w:lastRenderedPageBreak/>
        <w:t xml:space="preserve">5.1 </w:t>
      </w:r>
      <w:r w:rsidR="00C77248" w:rsidRPr="0072179C">
        <w:rPr>
          <w:rStyle w:val="Heading2Char"/>
        </w:rPr>
        <w:t>What implementation activities were</w:t>
      </w:r>
      <w:r w:rsidR="00C77248" w:rsidRPr="008939CB">
        <w:t xml:space="preserve"> conducted for providers and other stakeholders to support the implementation of the Quality Standards?</w:t>
      </w:r>
      <w:bookmarkEnd w:id="99"/>
      <w:bookmarkEnd w:id="100"/>
      <w:bookmarkEnd w:id="101"/>
      <w:bookmarkEnd w:id="102"/>
      <w:bookmarkEnd w:id="103"/>
    </w:p>
    <w:p w14:paraId="5D914E1E" w14:textId="0E01C5D3" w:rsidR="00C960DF" w:rsidRDefault="003769CE" w:rsidP="00124259">
      <w:pPr>
        <w:pStyle w:val="BodyText1"/>
      </w:pPr>
      <w:r>
        <w:t xml:space="preserve">The process to implement the Standards began in </w:t>
      </w:r>
      <w:r w:rsidR="005A0F0C">
        <w:t xml:space="preserve">2018 and occurred concurrently to the development of the Standards. </w:t>
      </w:r>
      <w:r w:rsidR="004E0A5F">
        <w:t xml:space="preserve">The Department was responsible </w:t>
      </w:r>
      <w:r w:rsidR="00B70F6A">
        <w:t>for the development of the Standards, while the Commission played a primary role in supporting implementation within the sector</w:t>
      </w:r>
      <w:r w:rsidR="00571A09">
        <w:t xml:space="preserve"> including the development of guidance material to support </w:t>
      </w:r>
      <w:r w:rsidR="00D047A7">
        <w:t xml:space="preserve">sector </w:t>
      </w:r>
      <w:r w:rsidR="00571A09">
        <w:t>understanding of the Standards</w:t>
      </w:r>
      <w:r w:rsidR="002075DD">
        <w:t>.</w:t>
      </w:r>
      <w:r w:rsidR="005E7D48">
        <w:rPr>
          <w:rFonts w:ascii="ZWAdobeF" w:hAnsi="ZWAdobeF" w:cs="ZWAdobeF"/>
          <w:sz w:val="2"/>
          <w:szCs w:val="2"/>
        </w:rPr>
        <w:t>14F</w:t>
      </w:r>
      <w:r w:rsidR="008F4DAB" w:rsidRPr="00A803BF">
        <w:rPr>
          <w:vertAlign w:val="superscript"/>
        </w:rPr>
        <w:footnoteReference w:id="15"/>
      </w:r>
    </w:p>
    <w:p w14:paraId="2D116D3B" w14:textId="5FCC9CD1" w:rsidR="00C960DF" w:rsidRPr="00E606A7" w:rsidRDefault="00C960DF" w:rsidP="00124259">
      <w:pPr>
        <w:pStyle w:val="BodyText1"/>
      </w:pPr>
      <w:r>
        <w:t xml:space="preserve">An overview of implementation activities conducted leading up to and post 1 July 2019 is presented in </w:t>
      </w:r>
      <w:r w:rsidR="002B723A">
        <w:fldChar w:fldCharType="begin" w:fldLock="1"/>
      </w:r>
      <w:r w:rsidR="002B723A">
        <w:instrText xml:space="preserve"> REF _Ref84928487 \h </w:instrText>
      </w:r>
      <w:r w:rsidR="002B723A">
        <w:fldChar w:fldCharType="separate"/>
      </w:r>
      <w:r w:rsidR="00453533">
        <w:t xml:space="preserve">Figure </w:t>
      </w:r>
      <w:r w:rsidR="00453533">
        <w:rPr>
          <w:noProof/>
        </w:rPr>
        <w:t>4</w:t>
      </w:r>
      <w:r w:rsidR="002B723A">
        <w:fldChar w:fldCharType="end"/>
      </w:r>
      <w:r>
        <w:t xml:space="preserve"> </w:t>
      </w:r>
      <w:r w:rsidR="00566AC2">
        <w:t>and is detailed further below</w:t>
      </w:r>
      <w:r>
        <w:t>.</w:t>
      </w:r>
    </w:p>
    <w:p w14:paraId="10984B2D" w14:textId="48B808EE" w:rsidR="00C960DF" w:rsidRDefault="00C960DF" w:rsidP="00231A99">
      <w:pPr>
        <w:pStyle w:val="Caption"/>
      </w:pPr>
      <w:bookmarkStart w:id="104" w:name="_Ref84928487"/>
      <w:bookmarkStart w:id="105" w:name="_Toc85369261"/>
      <w:r>
        <w:t xml:space="preserve">Figure </w:t>
      </w:r>
      <w:r>
        <w:fldChar w:fldCharType="begin"/>
      </w:r>
      <w:r>
        <w:instrText>SEQ Figure \* ARABIC</w:instrText>
      </w:r>
      <w:r>
        <w:fldChar w:fldCharType="separate"/>
      </w:r>
      <w:r w:rsidR="0083123A">
        <w:rPr>
          <w:noProof/>
        </w:rPr>
        <w:t>4</w:t>
      </w:r>
      <w:r>
        <w:fldChar w:fldCharType="end"/>
      </w:r>
      <w:bookmarkEnd w:id="104"/>
      <w:r>
        <w:t>: T</w:t>
      </w:r>
      <w:r w:rsidRPr="00AA4F1F">
        <w:t>imeline of activities undertaken by the Department and Commission to support implementation of the Aged Care Quality Standards</w:t>
      </w:r>
      <w:bookmarkEnd w:id="105"/>
    </w:p>
    <w:p w14:paraId="3D88AF8D" w14:textId="03BAF088" w:rsidR="00C960DF" w:rsidRDefault="005E316A" w:rsidP="00C960DF">
      <w:pPr>
        <w:jc w:val="center"/>
      </w:pPr>
      <w:r>
        <w:rPr>
          <w:noProof/>
        </w:rPr>
        <w:drawing>
          <wp:inline distT="0" distB="0" distL="0" distR="0" wp14:anchorId="00ABA847" wp14:editId="21D302BF">
            <wp:extent cx="5878632" cy="2738755"/>
            <wp:effectExtent l="0" t="0" r="8255" b="4445"/>
            <wp:docPr id="13" name="Picture 13" descr="Diagram depicting the Timeline of activities undertaken by the Department and Commission to support implementation of the Aged Care Quality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depicting the Timeline of activities undertaken by the Department and Commission to support implementation of the Aged Care Quality Standard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14698" cy="2755557"/>
                    </a:xfrm>
                    <a:prstGeom prst="rect">
                      <a:avLst/>
                    </a:prstGeom>
                    <a:noFill/>
                  </pic:spPr>
                </pic:pic>
              </a:graphicData>
            </a:graphic>
          </wp:inline>
        </w:drawing>
      </w:r>
    </w:p>
    <w:p w14:paraId="2E931FFB" w14:textId="5A42E43D" w:rsidR="00A55F76" w:rsidRDefault="00A55F76" w:rsidP="00231A99">
      <w:pPr>
        <w:pStyle w:val="HeadingLevel3NoNumber"/>
      </w:pPr>
      <w:r>
        <w:t>Implementation activities by the Commission</w:t>
      </w:r>
    </w:p>
    <w:p w14:paraId="5D3EA557" w14:textId="77777777" w:rsidR="00A55F76" w:rsidRPr="00B775C0" w:rsidRDefault="00A55F76" w:rsidP="001050C1">
      <w:pPr>
        <w:pStyle w:val="BodyText1"/>
      </w:pPr>
      <w:r>
        <w:t>The Commission undertook a range of activities to support the implementation of the Standards. This included:</w:t>
      </w:r>
    </w:p>
    <w:p w14:paraId="4759ED8C" w14:textId="750ED8DC" w:rsidR="00A55F76" w:rsidRPr="00092BC9" w:rsidRDefault="00A55F76" w:rsidP="002A4AE3">
      <w:pPr>
        <w:pStyle w:val="Bullet1stlevel"/>
      </w:pPr>
      <w:r w:rsidRPr="00597826">
        <w:rPr>
          <w:rStyle w:val="Strong"/>
        </w:rPr>
        <w:t>Development of guidance material:</w:t>
      </w:r>
      <w:r>
        <w:t xml:space="preserve"> The</w:t>
      </w:r>
      <w:r w:rsidRPr="00DF3AF9">
        <w:t xml:space="preserve"> </w:t>
      </w:r>
      <w:r>
        <w:t xml:space="preserve">primary guidance document for the Standards is the </w:t>
      </w:r>
      <w:r w:rsidRPr="009929C0">
        <w:rPr>
          <w:i/>
        </w:rPr>
        <w:t>Guidance and resources for providers to support the Aged Care Quality Standards</w:t>
      </w:r>
      <w:r w:rsidRPr="00DF3AF9">
        <w:t>.</w:t>
      </w:r>
      <w:r>
        <w:t xml:space="preserve"> This document </w:t>
      </w:r>
      <w:r w:rsidR="004546F0" w:rsidRPr="004546F0">
        <w:t>is intended to assist aged care services to implement and maintain compliance with the Quality Standards. </w:t>
      </w:r>
      <w:r w:rsidR="00C263A3">
        <w:t>It</w:t>
      </w:r>
      <w:r w:rsidR="00DB53E5">
        <w:t xml:space="preserve"> </w:t>
      </w:r>
      <w:r>
        <w:t>includes detail for each Standard regarding their purpose and scope, relevant legislation, resources and references. The document also includes detail regarding the intent of each requirement, as well as reflective questions and examples of actions and evidence of compliance for each requirement.</w:t>
      </w:r>
      <w:r w:rsidR="00C263A3">
        <w:t xml:space="preserve"> </w:t>
      </w:r>
      <w:r w:rsidR="00C263A3" w:rsidRPr="00C263A3">
        <w:t xml:space="preserve">It also provides an indication of </w:t>
      </w:r>
      <w:r w:rsidR="00C263A3" w:rsidRPr="00C263A3">
        <w:lastRenderedPageBreak/>
        <w:t>matters that quality assessors consider in assessing compliance.</w:t>
      </w:r>
      <w:r w:rsidR="005E7D48">
        <w:rPr>
          <w:rFonts w:ascii="ZWAdobeF" w:hAnsi="ZWAdobeF" w:cs="ZWAdobeF"/>
          <w:sz w:val="2"/>
          <w:szCs w:val="2"/>
        </w:rPr>
        <w:t>15F</w:t>
      </w:r>
      <w:r w:rsidRPr="000005AC">
        <w:rPr>
          <w:vertAlign w:val="superscript"/>
        </w:rPr>
        <w:footnoteReference w:id="16"/>
      </w:r>
      <w:r>
        <w:t xml:space="preserve"> </w:t>
      </w:r>
      <w:r w:rsidR="00FC5EA8">
        <w:t>The Commission consulted with aged care providers, consumers and their representatives, peak bodies and subject matter experts to develop th</w:t>
      </w:r>
      <w:r w:rsidR="005A16BF">
        <w:t xml:space="preserve">is document. Following the consultation process, the draft guidance material was made available for consultation from 3 – 31 May 2018 and feedback was incorporated into </w:t>
      </w:r>
      <w:r w:rsidR="00571A09">
        <w:t>an updated version of the guidance material.</w:t>
      </w:r>
    </w:p>
    <w:p w14:paraId="5FFADFC3" w14:textId="45A5876B" w:rsidR="00A55F76" w:rsidRPr="00AA04E9" w:rsidRDefault="00A55F76" w:rsidP="002A4AE3">
      <w:pPr>
        <w:pStyle w:val="Bullet1stlevel"/>
      </w:pPr>
      <w:r w:rsidRPr="00597826">
        <w:rPr>
          <w:rStyle w:val="Strong"/>
        </w:rPr>
        <w:t>Workshops:</w:t>
      </w:r>
      <w:r>
        <w:t xml:space="preserve"> The Commission conducted a series of workshops targeted at supporting providers to transition the Standards. Between July and December 2018, the Commission conducted ‘Getting to know the New Standards’ information sessions and the Commission partnered with COTA Queensland to deliver ‘Enhancing consumer engagement workshops’. In the lead up to the go-live date, the Commission delivered two series of workshops: ‘Better Practice’ and ‘Preparing for the new Standards’. </w:t>
      </w:r>
    </w:p>
    <w:p w14:paraId="366715C1" w14:textId="77777777" w:rsidR="00A55F76" w:rsidRDefault="00A55F76" w:rsidP="002A4AE3">
      <w:pPr>
        <w:pStyle w:val="Bullet1stlevel"/>
      </w:pPr>
      <w:r w:rsidRPr="00597826">
        <w:rPr>
          <w:rStyle w:val="Strong"/>
        </w:rPr>
        <w:t>Webinars:</w:t>
      </w:r>
      <w:r>
        <w:t xml:space="preserve"> Webinars were delivered to provide updates on implementation of the Standards.</w:t>
      </w:r>
    </w:p>
    <w:p w14:paraId="2BBA65C1" w14:textId="432ACD42" w:rsidR="00A55F76" w:rsidRPr="00695773" w:rsidRDefault="00A55F76" w:rsidP="002A4AE3">
      <w:pPr>
        <w:pStyle w:val="Bullet1stlevel"/>
      </w:pPr>
      <w:r w:rsidRPr="00597826">
        <w:rPr>
          <w:rStyle w:val="Strong"/>
        </w:rPr>
        <w:t>Regulatory bulletins:</w:t>
      </w:r>
      <w:r>
        <w:t xml:space="preserve"> Regulatory bulletins</w:t>
      </w:r>
      <w:r w:rsidR="00F82ECB">
        <w:t xml:space="preserve">, </w:t>
      </w:r>
      <w:r w:rsidR="00F82ECB" w:rsidRPr="00F82ECB">
        <w:t>include ‘Aged Care Quality Standards performance assessment methodology</w:t>
      </w:r>
      <w:r w:rsidR="0022242F">
        <w:t>’,</w:t>
      </w:r>
      <w:r w:rsidR="00F82ECB" w:rsidRPr="00F82ECB">
        <w:t xml:space="preserve"> </w:t>
      </w:r>
      <w:r>
        <w:t>were used to communicate progress of implementation and to assist services to understand how requirements and processes fit within the broader aged care regulatory framework.</w:t>
      </w:r>
      <w:r w:rsidR="001A439B">
        <w:t xml:space="preserve"> </w:t>
      </w:r>
      <w:r w:rsidR="000B7229">
        <w:t>The Commission’s Regulatory Strategy is also available on the Commission’s website to support understanding of the Commission’s approach to regulation including the assessment methodology.</w:t>
      </w:r>
    </w:p>
    <w:p w14:paraId="28DE7262" w14:textId="01DF8360" w:rsidR="00A55F76" w:rsidRPr="003A60F9" w:rsidRDefault="00A55F76" w:rsidP="002A4AE3">
      <w:pPr>
        <w:pStyle w:val="Bullet1stlevel"/>
      </w:pPr>
      <w:r w:rsidRPr="00597826">
        <w:rPr>
          <w:rStyle w:val="Strong"/>
        </w:rPr>
        <w:t>Online materials:</w:t>
      </w:r>
      <w:r>
        <w:t xml:space="preserve"> A range of resources and materials were published on the Commission’s website, including training videos to support providers to prepare for the Standards and how each of the Standards apply to different service types and settings.</w:t>
      </w:r>
    </w:p>
    <w:p w14:paraId="78D6E833" w14:textId="55A26C60" w:rsidR="00A55F76" w:rsidRPr="00847BC2" w:rsidRDefault="00A55F76" w:rsidP="002A4AE3">
      <w:pPr>
        <w:pStyle w:val="Bullet1stlevel"/>
      </w:pPr>
      <w:r w:rsidRPr="00597826">
        <w:rPr>
          <w:rStyle w:val="Strong"/>
        </w:rPr>
        <w:t>Consumer resources:</w:t>
      </w:r>
      <w:r>
        <w:t xml:space="preserve"> A range of resources were designed for consumers to understand the Standards including a consumer outcomes poster (available in 25 languages other than English), a short video entitled ‘What the new Aged Care Quality Standards mean for you’ (available in 25 languages other than English) and an Aged Care Quality Standards chatterbox.</w:t>
      </w:r>
      <w:r w:rsidR="005E7D48">
        <w:rPr>
          <w:rFonts w:ascii="ZWAdobeF" w:hAnsi="ZWAdobeF" w:cs="ZWAdobeF"/>
          <w:sz w:val="2"/>
          <w:szCs w:val="2"/>
        </w:rPr>
        <w:t>16F</w:t>
      </w:r>
      <w:r w:rsidRPr="000005AC">
        <w:rPr>
          <w:vertAlign w:val="superscript"/>
        </w:rPr>
        <w:footnoteReference w:id="17"/>
      </w:r>
    </w:p>
    <w:p w14:paraId="6796DB1F" w14:textId="62AE4B7F" w:rsidR="00A55F76" w:rsidRDefault="00A55F76" w:rsidP="001050C1">
      <w:pPr>
        <w:pStyle w:val="BodyText1"/>
      </w:pPr>
      <w:r>
        <w:t>Post the implementation of the Standards, the Commission continued to release additional resources for the sector. Providers have access to fact sheets, webinars, educational videos, team activities, self</w:t>
      </w:r>
      <w:r>
        <w:noBreakHyphen/>
        <w:t>assessment tools, staff learning modules and storyboards.</w:t>
      </w:r>
      <w:r w:rsidR="005E7D48">
        <w:rPr>
          <w:rFonts w:ascii="ZWAdobeF" w:hAnsi="ZWAdobeF" w:cs="ZWAdobeF"/>
          <w:sz w:val="2"/>
          <w:szCs w:val="2"/>
        </w:rPr>
        <w:t>17F</w:t>
      </w:r>
      <w:r w:rsidRPr="000005AC">
        <w:rPr>
          <w:vertAlign w:val="superscript"/>
        </w:rPr>
        <w:footnoteReference w:id="18"/>
      </w:r>
      <w:r>
        <w:t xml:space="preserve"> The Commission has published a ‘Guide to Assessment of Commonwealth Home Support Programme (CHSP) Services’ which details the Standards that apply to certain CHSP service types.</w:t>
      </w:r>
      <w:r w:rsidR="0083123A">
        <w:rPr>
          <w:rFonts w:ascii="ZWAdobeF" w:hAnsi="ZWAdobeF" w:cs="ZWAdobeF"/>
          <w:sz w:val="2"/>
          <w:szCs w:val="2"/>
        </w:rPr>
        <w:t>18F</w:t>
      </w:r>
      <w:r w:rsidRPr="006F4C9F">
        <w:rPr>
          <w:vertAlign w:val="superscript"/>
        </w:rPr>
        <w:footnoteReference w:id="19"/>
      </w:r>
    </w:p>
    <w:p w14:paraId="0CBE53D5" w14:textId="77777777" w:rsidR="002075DD" w:rsidRDefault="002075DD" w:rsidP="0000770C">
      <w:pPr>
        <w:pStyle w:val="HeadingLevel4NoNumber"/>
        <w:pageBreakBefore/>
      </w:pPr>
      <w:r>
        <w:lastRenderedPageBreak/>
        <w:t>Use of implementation activities</w:t>
      </w:r>
    </w:p>
    <w:p w14:paraId="0A8D76BD" w14:textId="6D9F53F8" w:rsidR="002075DD" w:rsidRPr="0006009E" w:rsidRDefault="002075DD" w:rsidP="001050C1">
      <w:pPr>
        <w:pStyle w:val="BodyText1"/>
      </w:pPr>
      <w:r>
        <w:t xml:space="preserve">Participation in Commission implementation activities was high. Over 5,000 representatives from aged care providers participated in Commission workshops held prior to 1 July 2019. An audit of the guidance material and resources conducted by the Commission </w:t>
      </w:r>
      <w:r w:rsidR="00B72E8C">
        <w:t xml:space="preserve">also </w:t>
      </w:r>
      <w:r>
        <w:t xml:space="preserve">demonstrates high uptake of resources made available by the Commission to support the Standards. For example, the </w:t>
      </w:r>
      <w:r w:rsidRPr="0006009E">
        <w:rPr>
          <w:i/>
        </w:rPr>
        <w:t>Guidance and resources for providers to support the Aged Care Quality Standards</w:t>
      </w:r>
      <w:r>
        <w:t xml:space="preserve"> has been </w:t>
      </w:r>
      <w:r>
        <w:rPr>
          <w:rFonts w:cs="Calibri"/>
          <w:color w:val="000000"/>
        </w:rPr>
        <w:t xml:space="preserve">accessed close to half a million times between 1 January 2019 – 3 February 2021. </w:t>
      </w:r>
    </w:p>
    <w:p w14:paraId="498D015D" w14:textId="5D75AD60" w:rsidR="002075DD" w:rsidRPr="00652A9D" w:rsidRDefault="002075DD" w:rsidP="00231A99">
      <w:pPr>
        <w:pStyle w:val="Caption"/>
      </w:pPr>
      <w:bookmarkStart w:id="106" w:name="_Toc85369339"/>
      <w:r>
        <w:t xml:space="preserve">Table </w:t>
      </w:r>
      <w:r>
        <w:fldChar w:fldCharType="begin"/>
      </w:r>
      <w:r>
        <w:instrText>SEQ Table \* ARABIC</w:instrText>
      </w:r>
      <w:r>
        <w:fldChar w:fldCharType="separate"/>
      </w:r>
      <w:r w:rsidR="0083123A">
        <w:rPr>
          <w:noProof/>
        </w:rPr>
        <w:t>6</w:t>
      </w:r>
      <w:r>
        <w:fldChar w:fldCharType="end"/>
      </w:r>
      <w:r>
        <w:t xml:space="preserve">: </w:t>
      </w:r>
      <w:r w:rsidRPr="0006009E">
        <w:t>Top 10 most accessed resources related to the Standards on the Commission’s website</w:t>
      </w:r>
      <w:bookmarkEnd w:id="106"/>
      <w:r w:rsidRPr="00652A9D">
        <w:t xml:space="preserve"> </w:t>
      </w:r>
    </w:p>
    <w:tbl>
      <w:tblPr>
        <w:tblStyle w:val="TableGridLight"/>
        <w:tblW w:w="5000" w:type="pct"/>
        <w:tblLook w:val="04A0" w:firstRow="1" w:lastRow="0" w:firstColumn="1" w:lastColumn="0" w:noHBand="0" w:noVBand="1"/>
      </w:tblPr>
      <w:tblGrid>
        <w:gridCol w:w="7324"/>
        <w:gridCol w:w="1736"/>
      </w:tblGrid>
      <w:tr w:rsidR="002075DD" w:rsidRPr="00E108D9" w14:paraId="4732BE33" w14:textId="77777777" w:rsidTr="00597826">
        <w:trPr>
          <w:cnfStyle w:val="100000000000" w:firstRow="1" w:lastRow="0" w:firstColumn="0" w:lastColumn="0" w:oddVBand="0" w:evenVBand="0" w:oddHBand="0" w:evenHBand="0" w:firstRowFirstColumn="0" w:firstRowLastColumn="0" w:lastRowFirstColumn="0" w:lastRowLastColumn="0"/>
          <w:tblHeader/>
        </w:trPr>
        <w:tc>
          <w:tcPr>
            <w:tcW w:w="4042" w:type="pct"/>
          </w:tcPr>
          <w:p w14:paraId="417A1E9B" w14:textId="4E29E1D1" w:rsidR="002075DD" w:rsidRPr="00E108D9" w:rsidRDefault="002075DD" w:rsidP="00575CC4">
            <w:pPr>
              <w:pStyle w:val="Tableheading"/>
            </w:pPr>
            <w:r w:rsidRPr="00E108D9">
              <w:t>Resource</w:t>
            </w:r>
          </w:p>
        </w:tc>
        <w:tc>
          <w:tcPr>
            <w:tcW w:w="958" w:type="pct"/>
          </w:tcPr>
          <w:p w14:paraId="04F507A3" w14:textId="37C8E7B7" w:rsidR="002075DD" w:rsidRPr="00E108D9" w:rsidRDefault="002075DD" w:rsidP="00575CC4">
            <w:pPr>
              <w:pStyle w:val="Tableheading"/>
            </w:pPr>
            <w:r w:rsidRPr="00E108D9">
              <w:t>Download Result</w:t>
            </w:r>
          </w:p>
        </w:tc>
      </w:tr>
      <w:tr w:rsidR="002075DD" w:rsidRPr="00E108D9" w14:paraId="4DD14024" w14:textId="77777777" w:rsidTr="00597826">
        <w:tc>
          <w:tcPr>
            <w:tcW w:w="4042" w:type="pct"/>
          </w:tcPr>
          <w:p w14:paraId="00B77709" w14:textId="77777777" w:rsidR="002075DD" w:rsidRPr="00E108D9" w:rsidRDefault="002075DD" w:rsidP="00262072">
            <w:pPr>
              <w:pStyle w:val="Tabletext"/>
              <w:rPr>
                <w:sz w:val="19"/>
                <w:szCs w:val="19"/>
              </w:rPr>
            </w:pPr>
            <w:r w:rsidRPr="00E108D9">
              <w:rPr>
                <w:sz w:val="19"/>
                <w:szCs w:val="19"/>
              </w:rPr>
              <w:t>Guidance and Resources on the Aged Care Quality Standards for Providers</w:t>
            </w:r>
          </w:p>
        </w:tc>
        <w:tc>
          <w:tcPr>
            <w:tcW w:w="958" w:type="pct"/>
          </w:tcPr>
          <w:p w14:paraId="195E32D8" w14:textId="77777777" w:rsidR="002075DD" w:rsidRPr="00E108D9" w:rsidRDefault="002075DD" w:rsidP="00262072">
            <w:pPr>
              <w:pStyle w:val="Tabletext"/>
              <w:tabs>
                <w:tab w:val="decimal" w:pos="964"/>
              </w:tabs>
              <w:rPr>
                <w:sz w:val="19"/>
                <w:szCs w:val="19"/>
              </w:rPr>
            </w:pPr>
            <w:r w:rsidRPr="00E108D9">
              <w:rPr>
                <w:sz w:val="19"/>
                <w:szCs w:val="19"/>
              </w:rPr>
              <w:t>490,136</w:t>
            </w:r>
          </w:p>
        </w:tc>
      </w:tr>
      <w:tr w:rsidR="002075DD" w:rsidRPr="00E108D9" w14:paraId="6A7710F6" w14:textId="77777777" w:rsidTr="00597826">
        <w:tc>
          <w:tcPr>
            <w:tcW w:w="4042" w:type="pct"/>
          </w:tcPr>
          <w:p w14:paraId="6F9688D8" w14:textId="77777777" w:rsidR="002075DD" w:rsidRPr="00E108D9" w:rsidRDefault="002075DD" w:rsidP="00262072">
            <w:pPr>
              <w:pStyle w:val="Tabletext"/>
              <w:rPr>
                <w:sz w:val="19"/>
                <w:szCs w:val="19"/>
              </w:rPr>
            </w:pPr>
            <w:r w:rsidRPr="00E108D9">
              <w:rPr>
                <w:sz w:val="19"/>
                <w:szCs w:val="19"/>
              </w:rPr>
              <w:t>COVID-19 (coronavirus) information</w:t>
            </w:r>
          </w:p>
        </w:tc>
        <w:tc>
          <w:tcPr>
            <w:tcW w:w="958" w:type="pct"/>
          </w:tcPr>
          <w:p w14:paraId="7D0CADDE" w14:textId="77777777" w:rsidR="002075DD" w:rsidRPr="00E108D9" w:rsidRDefault="002075DD" w:rsidP="00262072">
            <w:pPr>
              <w:pStyle w:val="Tabletext"/>
              <w:tabs>
                <w:tab w:val="decimal" w:pos="964"/>
              </w:tabs>
              <w:rPr>
                <w:sz w:val="19"/>
                <w:szCs w:val="19"/>
              </w:rPr>
            </w:pPr>
            <w:r w:rsidRPr="00E108D9">
              <w:rPr>
                <w:sz w:val="19"/>
                <w:szCs w:val="19"/>
              </w:rPr>
              <w:t>100,913</w:t>
            </w:r>
          </w:p>
        </w:tc>
      </w:tr>
      <w:tr w:rsidR="002075DD" w:rsidRPr="00E108D9" w14:paraId="0381A807" w14:textId="77777777" w:rsidTr="00597826">
        <w:tc>
          <w:tcPr>
            <w:tcW w:w="4042" w:type="pct"/>
          </w:tcPr>
          <w:p w14:paraId="74D29C2F" w14:textId="7D8A9475" w:rsidR="002075DD" w:rsidRPr="00E108D9" w:rsidRDefault="002075DD" w:rsidP="00262072">
            <w:pPr>
              <w:pStyle w:val="Tabletext"/>
              <w:rPr>
                <w:sz w:val="19"/>
                <w:szCs w:val="19"/>
              </w:rPr>
            </w:pPr>
            <w:r w:rsidRPr="00E108D9">
              <w:rPr>
                <w:sz w:val="19"/>
                <w:szCs w:val="19"/>
              </w:rPr>
              <w:t>Aged Care Quality Standards (video)</w:t>
            </w:r>
          </w:p>
        </w:tc>
        <w:tc>
          <w:tcPr>
            <w:tcW w:w="958" w:type="pct"/>
          </w:tcPr>
          <w:p w14:paraId="4EBEA9B7" w14:textId="77777777" w:rsidR="002075DD" w:rsidRPr="00E108D9" w:rsidRDefault="002075DD" w:rsidP="00262072">
            <w:pPr>
              <w:pStyle w:val="Tabletext"/>
              <w:tabs>
                <w:tab w:val="decimal" w:pos="964"/>
              </w:tabs>
              <w:rPr>
                <w:sz w:val="19"/>
                <w:szCs w:val="19"/>
              </w:rPr>
            </w:pPr>
            <w:r w:rsidRPr="00E108D9">
              <w:rPr>
                <w:sz w:val="19"/>
                <w:szCs w:val="19"/>
              </w:rPr>
              <w:t>88,070</w:t>
            </w:r>
          </w:p>
        </w:tc>
      </w:tr>
      <w:tr w:rsidR="002075DD" w:rsidRPr="00E108D9" w14:paraId="3105DB48" w14:textId="77777777" w:rsidTr="00597826">
        <w:tc>
          <w:tcPr>
            <w:tcW w:w="4042" w:type="pct"/>
          </w:tcPr>
          <w:p w14:paraId="2017C027" w14:textId="77777777" w:rsidR="002075DD" w:rsidRPr="00E108D9" w:rsidRDefault="002075DD" w:rsidP="00262072">
            <w:pPr>
              <w:pStyle w:val="Tabletext"/>
              <w:rPr>
                <w:sz w:val="19"/>
                <w:szCs w:val="19"/>
              </w:rPr>
            </w:pPr>
            <w:r w:rsidRPr="00E108D9">
              <w:rPr>
                <w:sz w:val="19"/>
                <w:szCs w:val="19"/>
              </w:rPr>
              <w:t>Make a complaint</w:t>
            </w:r>
          </w:p>
        </w:tc>
        <w:tc>
          <w:tcPr>
            <w:tcW w:w="958" w:type="pct"/>
          </w:tcPr>
          <w:p w14:paraId="4A336711" w14:textId="77777777" w:rsidR="002075DD" w:rsidRPr="00E108D9" w:rsidRDefault="002075DD" w:rsidP="00262072">
            <w:pPr>
              <w:pStyle w:val="Tabletext"/>
              <w:tabs>
                <w:tab w:val="decimal" w:pos="964"/>
              </w:tabs>
              <w:rPr>
                <w:sz w:val="19"/>
                <w:szCs w:val="19"/>
              </w:rPr>
            </w:pPr>
            <w:r w:rsidRPr="00E108D9">
              <w:rPr>
                <w:sz w:val="19"/>
                <w:szCs w:val="19"/>
              </w:rPr>
              <w:t>56,186</w:t>
            </w:r>
          </w:p>
        </w:tc>
      </w:tr>
      <w:tr w:rsidR="002075DD" w:rsidRPr="00E108D9" w14:paraId="10B85C76" w14:textId="77777777" w:rsidTr="00597826">
        <w:tc>
          <w:tcPr>
            <w:tcW w:w="4042" w:type="pct"/>
          </w:tcPr>
          <w:p w14:paraId="48BA2668" w14:textId="77777777" w:rsidR="002075DD" w:rsidRPr="00E108D9" w:rsidRDefault="002075DD" w:rsidP="00262072">
            <w:pPr>
              <w:pStyle w:val="Tabletext"/>
              <w:rPr>
                <w:sz w:val="19"/>
                <w:szCs w:val="19"/>
              </w:rPr>
            </w:pPr>
            <w:r w:rsidRPr="00E108D9">
              <w:rPr>
                <w:sz w:val="19"/>
                <w:szCs w:val="19"/>
              </w:rPr>
              <w:t>Self-Assessment</w:t>
            </w:r>
          </w:p>
        </w:tc>
        <w:tc>
          <w:tcPr>
            <w:tcW w:w="958" w:type="pct"/>
          </w:tcPr>
          <w:p w14:paraId="28604809" w14:textId="77777777" w:rsidR="002075DD" w:rsidRPr="00E108D9" w:rsidRDefault="002075DD" w:rsidP="00262072">
            <w:pPr>
              <w:pStyle w:val="Tabletext"/>
              <w:tabs>
                <w:tab w:val="decimal" w:pos="964"/>
              </w:tabs>
              <w:rPr>
                <w:sz w:val="19"/>
                <w:szCs w:val="19"/>
              </w:rPr>
            </w:pPr>
            <w:r w:rsidRPr="00E108D9">
              <w:rPr>
                <w:sz w:val="19"/>
                <w:szCs w:val="19"/>
              </w:rPr>
              <w:t>45,862</w:t>
            </w:r>
          </w:p>
        </w:tc>
      </w:tr>
      <w:tr w:rsidR="002075DD" w:rsidRPr="00E108D9" w14:paraId="546686CC" w14:textId="77777777" w:rsidTr="00597826">
        <w:tc>
          <w:tcPr>
            <w:tcW w:w="4042" w:type="pct"/>
          </w:tcPr>
          <w:p w14:paraId="0BBFD085" w14:textId="77777777" w:rsidR="002075DD" w:rsidRPr="00E108D9" w:rsidRDefault="002075DD" w:rsidP="00262072">
            <w:pPr>
              <w:pStyle w:val="Tabletext"/>
              <w:rPr>
                <w:sz w:val="19"/>
                <w:szCs w:val="19"/>
              </w:rPr>
            </w:pPr>
            <w:r w:rsidRPr="00E108D9">
              <w:rPr>
                <w:sz w:val="19"/>
                <w:szCs w:val="19"/>
              </w:rPr>
              <w:t>Clinical governance in aged care</w:t>
            </w:r>
          </w:p>
        </w:tc>
        <w:tc>
          <w:tcPr>
            <w:tcW w:w="958" w:type="pct"/>
          </w:tcPr>
          <w:p w14:paraId="58AF33E4" w14:textId="77777777" w:rsidR="002075DD" w:rsidRPr="00E108D9" w:rsidRDefault="002075DD" w:rsidP="00262072">
            <w:pPr>
              <w:pStyle w:val="Tabletext"/>
              <w:tabs>
                <w:tab w:val="decimal" w:pos="964"/>
              </w:tabs>
              <w:rPr>
                <w:sz w:val="19"/>
                <w:szCs w:val="19"/>
              </w:rPr>
            </w:pPr>
            <w:r w:rsidRPr="00E108D9">
              <w:rPr>
                <w:sz w:val="19"/>
                <w:szCs w:val="19"/>
              </w:rPr>
              <w:t>37,944</w:t>
            </w:r>
          </w:p>
        </w:tc>
      </w:tr>
      <w:tr w:rsidR="002075DD" w:rsidRPr="00E108D9" w14:paraId="64DC30C2" w14:textId="77777777" w:rsidTr="00597826">
        <w:tc>
          <w:tcPr>
            <w:tcW w:w="4042" w:type="pct"/>
          </w:tcPr>
          <w:p w14:paraId="7C4E1932" w14:textId="77777777" w:rsidR="002075DD" w:rsidRPr="00E108D9" w:rsidRDefault="002075DD" w:rsidP="00262072">
            <w:pPr>
              <w:pStyle w:val="Tabletext"/>
              <w:rPr>
                <w:sz w:val="19"/>
                <w:szCs w:val="19"/>
              </w:rPr>
            </w:pPr>
            <w:r w:rsidRPr="00E108D9">
              <w:rPr>
                <w:sz w:val="19"/>
                <w:szCs w:val="19"/>
              </w:rPr>
              <w:t>Continuous improvement</w:t>
            </w:r>
          </w:p>
        </w:tc>
        <w:tc>
          <w:tcPr>
            <w:tcW w:w="958" w:type="pct"/>
          </w:tcPr>
          <w:p w14:paraId="5B29923E" w14:textId="77777777" w:rsidR="002075DD" w:rsidRPr="00E108D9" w:rsidRDefault="002075DD" w:rsidP="00262072">
            <w:pPr>
              <w:pStyle w:val="Tabletext"/>
              <w:tabs>
                <w:tab w:val="decimal" w:pos="964"/>
              </w:tabs>
              <w:rPr>
                <w:sz w:val="19"/>
                <w:szCs w:val="19"/>
              </w:rPr>
            </w:pPr>
            <w:r w:rsidRPr="00E108D9">
              <w:rPr>
                <w:sz w:val="19"/>
                <w:szCs w:val="19"/>
              </w:rPr>
              <w:t>35,125</w:t>
            </w:r>
          </w:p>
        </w:tc>
      </w:tr>
      <w:tr w:rsidR="002075DD" w:rsidRPr="00E108D9" w14:paraId="4EE3D1FB" w14:textId="77777777" w:rsidTr="00597826">
        <w:tc>
          <w:tcPr>
            <w:tcW w:w="4042" w:type="pct"/>
          </w:tcPr>
          <w:p w14:paraId="6E477351" w14:textId="77777777" w:rsidR="002075DD" w:rsidRPr="00E108D9" w:rsidRDefault="002075DD" w:rsidP="00262072">
            <w:pPr>
              <w:pStyle w:val="Tabletext"/>
              <w:rPr>
                <w:sz w:val="19"/>
                <w:szCs w:val="19"/>
              </w:rPr>
            </w:pPr>
            <w:r w:rsidRPr="00E108D9">
              <w:rPr>
                <w:sz w:val="19"/>
                <w:szCs w:val="19"/>
              </w:rPr>
              <w:t>Minimising the use of restraints</w:t>
            </w:r>
          </w:p>
        </w:tc>
        <w:tc>
          <w:tcPr>
            <w:tcW w:w="958" w:type="pct"/>
          </w:tcPr>
          <w:p w14:paraId="461FD965" w14:textId="77777777" w:rsidR="002075DD" w:rsidRPr="00E108D9" w:rsidRDefault="002075DD" w:rsidP="00262072">
            <w:pPr>
              <w:pStyle w:val="Tabletext"/>
              <w:tabs>
                <w:tab w:val="decimal" w:pos="964"/>
              </w:tabs>
              <w:rPr>
                <w:sz w:val="19"/>
                <w:szCs w:val="19"/>
              </w:rPr>
            </w:pPr>
            <w:r w:rsidRPr="00E108D9">
              <w:rPr>
                <w:sz w:val="19"/>
                <w:szCs w:val="19"/>
              </w:rPr>
              <w:t>21,012</w:t>
            </w:r>
          </w:p>
        </w:tc>
      </w:tr>
      <w:tr w:rsidR="002075DD" w:rsidRPr="00E108D9" w14:paraId="0334747A" w14:textId="77777777" w:rsidTr="00597826">
        <w:tc>
          <w:tcPr>
            <w:tcW w:w="4042" w:type="pct"/>
          </w:tcPr>
          <w:p w14:paraId="14FB5F4E" w14:textId="77777777" w:rsidR="002075DD" w:rsidRPr="00E108D9" w:rsidRDefault="002075DD" w:rsidP="00262072">
            <w:pPr>
              <w:pStyle w:val="Tabletext"/>
              <w:rPr>
                <w:sz w:val="19"/>
                <w:szCs w:val="19"/>
              </w:rPr>
            </w:pPr>
            <w:r w:rsidRPr="00E108D9">
              <w:rPr>
                <w:sz w:val="19"/>
                <w:szCs w:val="19"/>
              </w:rPr>
              <w:t>Case Studies (all)</w:t>
            </w:r>
          </w:p>
        </w:tc>
        <w:tc>
          <w:tcPr>
            <w:tcW w:w="958" w:type="pct"/>
          </w:tcPr>
          <w:p w14:paraId="0A83F401" w14:textId="77777777" w:rsidR="002075DD" w:rsidRPr="00E108D9" w:rsidRDefault="002075DD" w:rsidP="00262072">
            <w:pPr>
              <w:pStyle w:val="Tabletext"/>
              <w:tabs>
                <w:tab w:val="decimal" w:pos="964"/>
              </w:tabs>
              <w:rPr>
                <w:sz w:val="19"/>
                <w:szCs w:val="19"/>
              </w:rPr>
            </w:pPr>
            <w:r w:rsidRPr="00E108D9">
              <w:rPr>
                <w:sz w:val="19"/>
                <w:szCs w:val="19"/>
              </w:rPr>
              <w:t>19,428</w:t>
            </w:r>
          </w:p>
        </w:tc>
      </w:tr>
      <w:tr w:rsidR="002075DD" w:rsidRPr="00E108D9" w14:paraId="18759676" w14:textId="77777777" w:rsidTr="00597826">
        <w:tc>
          <w:tcPr>
            <w:tcW w:w="4042" w:type="pct"/>
          </w:tcPr>
          <w:p w14:paraId="0E6522F2" w14:textId="14ABE8D4" w:rsidR="002075DD" w:rsidRPr="00E108D9" w:rsidRDefault="002075DD" w:rsidP="00262072">
            <w:pPr>
              <w:pStyle w:val="Tabletext"/>
              <w:rPr>
                <w:sz w:val="19"/>
                <w:szCs w:val="19"/>
              </w:rPr>
            </w:pPr>
            <w:r w:rsidRPr="00E108D9">
              <w:rPr>
                <w:sz w:val="19"/>
                <w:szCs w:val="19"/>
              </w:rPr>
              <w:t>Clinical governance in aged care</w:t>
            </w:r>
            <w:r w:rsidR="00916E37">
              <w:rPr>
                <w:sz w:val="19"/>
                <w:szCs w:val="19"/>
              </w:rPr>
              <w:t xml:space="preserve"> (residential</w:t>
            </w:r>
            <w:r w:rsidR="00AF4CC6">
              <w:rPr>
                <w:sz w:val="19"/>
                <w:szCs w:val="19"/>
              </w:rPr>
              <w:t>-</w:t>
            </w:r>
            <w:r w:rsidR="00916E37">
              <w:rPr>
                <w:sz w:val="19"/>
                <w:szCs w:val="19"/>
              </w:rPr>
              <w:t xml:space="preserve">focused </w:t>
            </w:r>
            <w:r w:rsidR="00AF4CC6">
              <w:rPr>
                <w:sz w:val="19"/>
                <w:szCs w:val="19"/>
              </w:rPr>
              <w:t>resources library)</w:t>
            </w:r>
          </w:p>
        </w:tc>
        <w:tc>
          <w:tcPr>
            <w:tcW w:w="958" w:type="pct"/>
          </w:tcPr>
          <w:p w14:paraId="58FA615A" w14:textId="77777777" w:rsidR="002075DD" w:rsidRPr="00E108D9" w:rsidRDefault="002075DD" w:rsidP="00262072">
            <w:pPr>
              <w:pStyle w:val="Tabletext"/>
              <w:tabs>
                <w:tab w:val="decimal" w:pos="964"/>
              </w:tabs>
              <w:rPr>
                <w:sz w:val="19"/>
                <w:szCs w:val="19"/>
              </w:rPr>
            </w:pPr>
            <w:r w:rsidRPr="00E108D9">
              <w:rPr>
                <w:sz w:val="19"/>
                <w:szCs w:val="19"/>
              </w:rPr>
              <w:t>15,481</w:t>
            </w:r>
          </w:p>
        </w:tc>
      </w:tr>
    </w:tbl>
    <w:p w14:paraId="7219DB65" w14:textId="5393276B" w:rsidR="002075DD" w:rsidRPr="00552C60" w:rsidRDefault="002075DD" w:rsidP="00231A99">
      <w:pPr>
        <w:pStyle w:val="Source0"/>
        <w:rPr>
          <w:szCs w:val="20"/>
        </w:rPr>
      </w:pPr>
      <w:r w:rsidRPr="00890B97">
        <w:t xml:space="preserve">Source: </w:t>
      </w:r>
      <w:r w:rsidRPr="007018C0">
        <w:t>ACQSC Audit of Resources, 2021</w:t>
      </w:r>
      <w:r w:rsidR="0083123A">
        <w:rPr>
          <w:rFonts w:ascii="ZWAdobeF" w:hAnsi="ZWAdobeF" w:cs="ZWAdobeF"/>
          <w:color w:val="auto"/>
          <w:sz w:val="2"/>
          <w:szCs w:val="2"/>
        </w:rPr>
        <w:t>19F</w:t>
      </w:r>
      <w:r w:rsidRPr="007018C0">
        <w:rPr>
          <w:rStyle w:val="FootnoteReference"/>
          <w:szCs w:val="20"/>
        </w:rPr>
        <w:footnoteReference w:id="20"/>
      </w:r>
    </w:p>
    <w:p w14:paraId="6502AA2D" w14:textId="3B4C92E3" w:rsidR="002075DD" w:rsidRDefault="002075DD" w:rsidP="00231A99">
      <w:pPr>
        <w:pStyle w:val="HeadingLevel3NoNumber"/>
      </w:pPr>
      <w:r>
        <w:t xml:space="preserve">Implementation activities </w:t>
      </w:r>
      <w:r w:rsidR="00951483">
        <w:t xml:space="preserve">delivered </w:t>
      </w:r>
      <w:r>
        <w:t>by the Department</w:t>
      </w:r>
    </w:p>
    <w:p w14:paraId="32475D2F" w14:textId="470C3555" w:rsidR="002075DD" w:rsidRPr="003E4C5C" w:rsidRDefault="002075DD" w:rsidP="001050C1">
      <w:pPr>
        <w:pStyle w:val="BodyText1"/>
      </w:pPr>
      <w:r>
        <w:t xml:space="preserve">In addition to leading the development of the Standards, the Department provided additional support to the sector to implement the Standards. This included: </w:t>
      </w:r>
    </w:p>
    <w:p w14:paraId="76CEAFEF" w14:textId="0B1D1293" w:rsidR="002075DD" w:rsidRDefault="002075DD" w:rsidP="002A4AE3">
      <w:pPr>
        <w:pStyle w:val="Bullet1stlevel"/>
      </w:pPr>
      <w:r w:rsidRPr="00597826">
        <w:rPr>
          <w:rStyle w:val="Strong"/>
        </w:rPr>
        <w:t>Additional funding for residential aged care providers:</w:t>
      </w:r>
      <w:r w:rsidRPr="00EE3CF6">
        <w:rPr>
          <w:b/>
        </w:rPr>
        <w:t xml:space="preserve"> </w:t>
      </w:r>
      <w:r>
        <w:t>The Australian Government provided $50 million to residential aged care providers to assist them to implement aged care quality reform measures, including the new Standards.</w:t>
      </w:r>
    </w:p>
    <w:p w14:paraId="7240582F" w14:textId="3A66E189" w:rsidR="002075DD" w:rsidRDefault="002075DD" w:rsidP="002A4AE3">
      <w:pPr>
        <w:pStyle w:val="Bullet1stlevel"/>
      </w:pPr>
      <w:r w:rsidRPr="00597826">
        <w:rPr>
          <w:rStyle w:val="Strong"/>
        </w:rPr>
        <w:t>Resources for spiritual elements of the Standards:</w:t>
      </w:r>
      <w:r>
        <w:t xml:space="preserve"> Meaningful Ageing Australia was funded to develop materials for consumers and providers on the spiritual elements of the Standards. This work included the production of a range of materials including short films, posters and postcards. Meaningful Ageing Australia has promoted these materials, including at conferences and seniors expos. The campaign posters and postcards have been translated, including into Italian, Greek and Mandarin, and distributed to communities in association with the Federation of Ethnic Communities’ Councils of Australia.</w:t>
      </w:r>
    </w:p>
    <w:p w14:paraId="298406BA" w14:textId="4D1FBDA3" w:rsidR="002075DD" w:rsidRPr="0068378F" w:rsidRDefault="002075DD" w:rsidP="002A4AE3">
      <w:pPr>
        <w:pStyle w:val="Bullet1stlevel"/>
      </w:pPr>
      <w:r w:rsidRPr="00597826">
        <w:rPr>
          <w:rStyle w:val="Strong"/>
        </w:rPr>
        <w:t>Funding for NATSIFACP providers:</w:t>
      </w:r>
      <w:r>
        <w:t xml:space="preserve"> The </w:t>
      </w:r>
      <w:r w:rsidR="0052291D">
        <w:t xml:space="preserve">Australian </w:t>
      </w:r>
      <w:r>
        <w:t>Government funded the delivery of targeted training and assistance to support NATSIFACP service providers to understand requirements under the Standards.</w:t>
      </w:r>
    </w:p>
    <w:p w14:paraId="4902C697" w14:textId="77F9C423" w:rsidR="002075DD" w:rsidRDefault="002075DD" w:rsidP="002A4AE3">
      <w:pPr>
        <w:pStyle w:val="Bullet1stlevel"/>
      </w:pPr>
      <w:r>
        <w:t>Additional sector support included informational webinars conducted by the Department, website updates, electronic newsletters and emails to peak organisations.</w:t>
      </w:r>
    </w:p>
    <w:p w14:paraId="50984B88" w14:textId="77777777" w:rsidR="00597826" w:rsidRDefault="00597826">
      <w:pPr>
        <w:spacing w:before="0" w:after="160" w:line="259" w:lineRule="auto"/>
      </w:pPr>
      <w:bookmarkStart w:id="107" w:name="_Toc85384228"/>
      <w:bookmarkStart w:id="108" w:name="_Toc85384306"/>
      <w:bookmarkStart w:id="109" w:name="_Ref85223408"/>
      <w:bookmarkStart w:id="110" w:name="_Toc88804082"/>
      <w:bookmarkStart w:id="111" w:name="_Toc89930043"/>
      <w:bookmarkStart w:id="112" w:name="_Toc90453362"/>
      <w:bookmarkEnd w:id="107"/>
      <w:bookmarkEnd w:id="108"/>
      <w:r>
        <w:br w:type="page"/>
      </w:r>
    </w:p>
    <w:p w14:paraId="7BB3853A" w14:textId="749699D4" w:rsidR="00CA3702" w:rsidRPr="005966BB" w:rsidRDefault="00B7752B" w:rsidP="00B7752B">
      <w:pPr>
        <w:pStyle w:val="Heading2"/>
      </w:pPr>
      <w:bookmarkStart w:id="113" w:name="_Toc113448690"/>
      <w:r>
        <w:lastRenderedPageBreak/>
        <w:t xml:space="preserve">5.2 </w:t>
      </w:r>
      <w:r w:rsidR="00CA3702" w:rsidRPr="005966BB">
        <w:t xml:space="preserve">How effectively have guidance materials, tools, </w:t>
      </w:r>
      <w:r w:rsidR="00F0261E" w:rsidRPr="005966BB">
        <w:t>resources,</w:t>
      </w:r>
      <w:r w:rsidR="00CA3702" w:rsidRPr="005966BB">
        <w:t xml:space="preserve"> and activities supported the implementation of the Standards by providers?</w:t>
      </w:r>
      <w:bookmarkEnd w:id="109"/>
      <w:bookmarkEnd w:id="110"/>
      <w:bookmarkEnd w:id="111"/>
      <w:bookmarkEnd w:id="112"/>
      <w:bookmarkEnd w:id="113"/>
    </w:p>
    <w:p w14:paraId="37D62FBF" w14:textId="44E32A17" w:rsidR="00A67C85" w:rsidRDefault="00A67C85" w:rsidP="005230A9">
      <w:pPr>
        <w:pStyle w:val="BodyText1"/>
      </w:pPr>
      <w:r>
        <w:t>A number of</w:t>
      </w:r>
      <w:r w:rsidR="002075DD">
        <w:t xml:space="preserve"> </w:t>
      </w:r>
      <w:r w:rsidR="00E279D8">
        <w:t>provider</w:t>
      </w:r>
      <w:r w:rsidR="004072DE">
        <w:t>s,</w:t>
      </w:r>
      <w:r w:rsidR="00D51ABB">
        <w:t xml:space="preserve"> </w:t>
      </w:r>
      <w:r w:rsidR="004072DE">
        <w:t xml:space="preserve">peak representatives </w:t>
      </w:r>
      <w:r w:rsidR="00AD1D4F">
        <w:t xml:space="preserve">and other </w:t>
      </w:r>
      <w:r>
        <w:t xml:space="preserve">stakeholders reported that the implementation activities conducted by the Commission </w:t>
      </w:r>
      <w:r w:rsidR="00C3558E">
        <w:t xml:space="preserve">and the Department </w:t>
      </w:r>
      <w:r>
        <w:t xml:space="preserve">had </w:t>
      </w:r>
      <w:r w:rsidR="002D5733">
        <w:t>supported</w:t>
      </w:r>
      <w:r>
        <w:t xml:space="preserve"> their implementation of the Standards. For example, providers commented that the guidance document had supported their organisation to understand what was required and undertake a detailed comparison of their current systems, policies, and processes against the new requirements. Other providers reported using posters published by the Commission as a tool within their </w:t>
      </w:r>
      <w:r w:rsidR="002C4A63">
        <w:t>service</w:t>
      </w:r>
      <w:r>
        <w:t xml:space="preserve"> to educate staff and support consumers and their families to understand the Standards and how the organisation is making changes to adopt them.</w:t>
      </w:r>
    </w:p>
    <w:p w14:paraId="0B68E393" w14:textId="304D7585" w:rsidR="00A67C85" w:rsidRPr="00E947EA" w:rsidRDefault="00A67C85" w:rsidP="005230A9">
      <w:pPr>
        <w:pStyle w:val="BodyText1"/>
        <w:rPr>
          <w:spacing w:val="-2"/>
        </w:rPr>
      </w:pPr>
      <w:r w:rsidRPr="00E947EA">
        <w:rPr>
          <w:spacing w:val="-2"/>
        </w:rPr>
        <w:t xml:space="preserve">KPMG’s lightning review of quality standards in Australia and internationally also found that the guidance material and resources provided for the Standards are comparable to those found in other jurisdictions. Most regulators publish detailed guidance for providers on meeting the relevant standards </w:t>
      </w:r>
      <w:r w:rsidR="002075DD" w:rsidRPr="00E947EA">
        <w:rPr>
          <w:spacing w:val="-2"/>
        </w:rPr>
        <w:t xml:space="preserve">such as </w:t>
      </w:r>
      <w:r w:rsidRPr="00E947EA">
        <w:rPr>
          <w:spacing w:val="-2"/>
        </w:rPr>
        <w:t xml:space="preserve">the </w:t>
      </w:r>
      <w:r w:rsidRPr="00E947EA">
        <w:rPr>
          <w:i/>
          <w:iCs/>
          <w:spacing w:val="-2"/>
        </w:rPr>
        <w:t xml:space="preserve">Guidance and resources for providers to support the Aged Care Quality Standards. </w:t>
      </w:r>
      <w:r w:rsidRPr="00E947EA">
        <w:rPr>
          <w:spacing w:val="-2"/>
        </w:rPr>
        <w:t xml:space="preserve">Many jurisdictions also make available evidence guides, self-assessment tools and resources for consumers, similar to that provided by the Commission to support interpretation of the Standards. </w:t>
      </w:r>
    </w:p>
    <w:p w14:paraId="51EF3912" w14:textId="140DCB45" w:rsidR="00A67C85" w:rsidRPr="009E0DC7" w:rsidRDefault="00A67C85" w:rsidP="005230A9">
      <w:pPr>
        <w:pStyle w:val="BodyText1"/>
      </w:pPr>
      <w:r>
        <w:t>While the Commission has published resources outlining the assessment methodology used by quality assess</w:t>
      </w:r>
      <w:r w:rsidR="00AC433B">
        <w:t>ors</w:t>
      </w:r>
      <w:r>
        <w:t xml:space="preserve"> when undertaking performance assessments under the Standards, some jurisdictions also provide more detailed guidance on the specific evidence points</w:t>
      </w:r>
      <w:r w:rsidR="0083123A">
        <w:rPr>
          <w:rFonts w:ascii="ZWAdobeF" w:hAnsi="ZWAdobeF" w:cs="ZWAdobeF"/>
          <w:sz w:val="2"/>
          <w:szCs w:val="2"/>
        </w:rPr>
        <w:t>20F</w:t>
      </w:r>
      <w:r w:rsidR="002D7CC6">
        <w:rPr>
          <w:rStyle w:val="FootnoteReference"/>
        </w:rPr>
        <w:footnoteReference w:id="21"/>
      </w:r>
      <w:r>
        <w:t>. For example, some regulators</w:t>
      </w:r>
      <w:r w:rsidR="002D7CC6">
        <w:t xml:space="preserve"> in other jurisdictions or sectors </w:t>
      </w:r>
      <w:r>
        <w:t xml:space="preserve">publish the forms, accreditation guides and/or training modules used by quality assessors </w:t>
      </w:r>
      <w:r w:rsidR="00186FD1">
        <w:t>to</w:t>
      </w:r>
      <w:r>
        <w:t xml:space="preserve"> undertak</w:t>
      </w:r>
      <w:r w:rsidR="00186FD1">
        <w:t>e</w:t>
      </w:r>
      <w:r>
        <w:t xml:space="preserve"> assessments</w:t>
      </w:r>
      <w:r w:rsidR="00186FD1">
        <w:t>. This provides</w:t>
      </w:r>
      <w:r w:rsidR="00006052">
        <w:t xml:space="preserve"> </w:t>
      </w:r>
      <w:r w:rsidR="00186FD1">
        <w:t>visibility</w:t>
      </w:r>
      <w:r w:rsidR="00006052">
        <w:t xml:space="preserve"> on</w:t>
      </w:r>
      <w:r w:rsidR="00186FD1">
        <w:t xml:space="preserve"> the</w:t>
      </w:r>
      <w:r w:rsidR="00006052">
        <w:t xml:space="preserve"> evidence points used to assess performance against </w:t>
      </w:r>
      <w:r w:rsidR="00E84DE4">
        <w:t>their respective set of standards</w:t>
      </w:r>
      <w:r>
        <w:t>.</w:t>
      </w:r>
    </w:p>
    <w:p w14:paraId="6B5394C4" w14:textId="32891E22" w:rsidR="00CA3702" w:rsidRDefault="00DD7CD6" w:rsidP="005230A9">
      <w:pPr>
        <w:pStyle w:val="BodyText1"/>
      </w:pPr>
      <w:r>
        <w:t xml:space="preserve">However, </w:t>
      </w:r>
      <w:r w:rsidR="009E5312">
        <w:t>c</w:t>
      </w:r>
      <w:r w:rsidR="001F1C54">
        <w:t>oncerns were</w:t>
      </w:r>
      <w:r w:rsidR="00A67C85">
        <w:t xml:space="preserve"> </w:t>
      </w:r>
      <w:r w:rsidR="001F1C54">
        <w:t xml:space="preserve">raised </w:t>
      </w:r>
      <w:r w:rsidR="00A67C85">
        <w:t xml:space="preserve">during consultations </w:t>
      </w:r>
      <w:r w:rsidR="001F1C54">
        <w:t xml:space="preserve">surrounding the timeframes for implementation of the Standards, the level of detail provided in guidance material, </w:t>
      </w:r>
      <w:r w:rsidR="00F60AB3">
        <w:t xml:space="preserve">and </w:t>
      </w:r>
      <w:r w:rsidR="001F1C54">
        <w:t xml:space="preserve">the mode of delivery and audience for certain activities. </w:t>
      </w:r>
      <w:r w:rsidR="00BF4A15">
        <w:t>Provider</w:t>
      </w:r>
      <w:r w:rsidR="00BF4A15" w:rsidRPr="00BF4A15">
        <w:t xml:space="preserve"> perceptions on their readiness to implement the Standards during consultations w</w:t>
      </w:r>
      <w:r w:rsidR="009E5312">
        <w:t>ere also</w:t>
      </w:r>
      <w:r w:rsidR="00BF4A15" w:rsidRPr="00BF4A15">
        <w:t xml:space="preserve"> mixed. Reasons for this were often across </w:t>
      </w:r>
      <w:r w:rsidR="00F60AB3">
        <w:t>several</w:t>
      </w:r>
      <w:r w:rsidR="00BF4A15" w:rsidRPr="00BF4A15">
        <w:t xml:space="preserve"> themes, first as a reflection on the timing of commencement of transition activities and </w:t>
      </w:r>
      <w:r w:rsidR="002075DD">
        <w:t xml:space="preserve">then the </w:t>
      </w:r>
      <w:r w:rsidR="00BF4A15" w:rsidRPr="00BF4A15">
        <w:t>perceptions on the scale of change that was required to meet the new Standards.</w:t>
      </w:r>
      <w:r w:rsidR="00BF4A15">
        <w:t xml:space="preserve"> </w:t>
      </w:r>
      <w:r w:rsidR="00AB6BE7">
        <w:t xml:space="preserve">In addition, while there was a high level of understanding of the intent of the Standards, </w:t>
      </w:r>
      <w:r w:rsidR="00F60AB3">
        <w:t>most</w:t>
      </w:r>
      <w:r w:rsidR="008D793F">
        <w:t xml:space="preserve"> providers highlighted challenges in understanding the expectations of the Commission against the Standards, particularly when assessing performance. </w:t>
      </w:r>
      <w:r w:rsidR="001A32D3">
        <w:t xml:space="preserve">Feedback from providers suggested </w:t>
      </w:r>
      <w:r w:rsidR="00F1609D">
        <w:t>uncertainty and expressed a gap between understanding how they were to</w:t>
      </w:r>
      <w:r w:rsidR="00AD51C4">
        <w:t xml:space="preserve"> implement requirements against the </w:t>
      </w:r>
      <w:r w:rsidR="00371B8B">
        <w:t xml:space="preserve">understood </w:t>
      </w:r>
      <w:r w:rsidR="00AD51C4">
        <w:t>intent</w:t>
      </w:r>
      <w:r w:rsidR="00371B8B">
        <w:t xml:space="preserve">. </w:t>
      </w:r>
      <w:r w:rsidR="00D31A3D">
        <w:t>Providers demonstrated some understanding that the Standards were written with flexibility to adapt to service needs and that they were responsible to implement</w:t>
      </w:r>
      <w:r w:rsidR="002412FF">
        <w:t>, however the</w:t>
      </w:r>
      <w:r w:rsidR="0013027E">
        <w:t xml:space="preserve">y perceived that gap to also be between unclear expectation and alignment of assessment teams </w:t>
      </w:r>
      <w:r w:rsidR="00164DCE">
        <w:t xml:space="preserve">concerning </w:t>
      </w:r>
      <w:r w:rsidR="00F75FA0">
        <w:t xml:space="preserve">flexible implementation, leaving them exposed to non-compliance </w:t>
      </w:r>
      <w:r w:rsidR="00173208">
        <w:t>and uncertainty of performance overall.</w:t>
      </w:r>
      <w:r w:rsidR="00FE6715">
        <w:t xml:space="preserve"> </w:t>
      </w:r>
      <w:r w:rsidR="00862440">
        <w:t xml:space="preserve">Peaks and other representatives confirmed there were challenges for providers in understanding how to apply </w:t>
      </w:r>
      <w:r w:rsidR="00BF6B4A">
        <w:t xml:space="preserve">and monitor requirements </w:t>
      </w:r>
      <w:r w:rsidR="00F47599">
        <w:t xml:space="preserve">effectively and in line with </w:t>
      </w:r>
      <w:r w:rsidR="006B3AB5">
        <w:t>expectations</w:t>
      </w:r>
      <w:r w:rsidR="00CC68E9">
        <w:t xml:space="preserve"> when assessed. </w:t>
      </w:r>
      <w:r w:rsidR="00A67C85">
        <w:t xml:space="preserve">This is explored further in Section </w:t>
      </w:r>
      <w:r w:rsidR="000E5B4C">
        <w:fldChar w:fldCharType="begin" w:fldLock="1"/>
      </w:r>
      <w:r w:rsidR="000E5B4C">
        <w:instrText xml:space="preserve"> REF _Ref85382822 \r \h </w:instrText>
      </w:r>
      <w:r w:rsidR="000E5B4C">
        <w:fldChar w:fldCharType="separate"/>
      </w:r>
      <w:r w:rsidR="00453533">
        <w:t>6</w:t>
      </w:r>
      <w:r w:rsidR="000E5B4C">
        <w:fldChar w:fldCharType="end"/>
      </w:r>
      <w:r w:rsidR="00A67C85">
        <w:t xml:space="preserve"> of this report.</w:t>
      </w:r>
    </w:p>
    <w:p w14:paraId="2F61635F" w14:textId="25BB7AC7" w:rsidR="00D36883" w:rsidRDefault="00A67C85" w:rsidP="005230A9">
      <w:pPr>
        <w:pStyle w:val="BodyText1"/>
      </w:pPr>
      <w:r>
        <w:t>S</w:t>
      </w:r>
      <w:r w:rsidR="0030374E">
        <w:t xml:space="preserve">pecific </w:t>
      </w:r>
      <w:r w:rsidR="002B3A48">
        <w:t>concerns related to the implementation activities</w:t>
      </w:r>
      <w:r w:rsidR="0030374E">
        <w:t xml:space="preserve"> that arose during consultations are presented below.</w:t>
      </w:r>
    </w:p>
    <w:p w14:paraId="529429D1" w14:textId="77777777" w:rsidR="002075DD" w:rsidRDefault="002075DD" w:rsidP="00231A99">
      <w:pPr>
        <w:pStyle w:val="HeadingLevel3NoNumber"/>
      </w:pPr>
      <w:r>
        <w:t>Timeline for implementation of the Standards</w:t>
      </w:r>
    </w:p>
    <w:p w14:paraId="39C51B34" w14:textId="77777777" w:rsidR="005102DF" w:rsidRDefault="002075DD" w:rsidP="005230A9">
      <w:pPr>
        <w:pStyle w:val="BodyText1"/>
      </w:pPr>
      <w:r>
        <w:t xml:space="preserve">While the implementation of the Standards occurred over an 18-month period, some stakeholders reported that the timeframes for implementation of the Standards were too short for the level of change that was required within the sector. </w:t>
      </w:r>
    </w:p>
    <w:p w14:paraId="191523F3" w14:textId="24FC1AE6" w:rsidR="002075DD" w:rsidRPr="00073159" w:rsidRDefault="002075DD" w:rsidP="005230A9">
      <w:pPr>
        <w:pStyle w:val="BodyText1"/>
      </w:pPr>
      <w:r>
        <w:lastRenderedPageBreak/>
        <w:t>The development of the Standards and supporting guidance material was an iterative process, and some providers perceived that the timing for finalisation of the Standards and guidance material occurred too close to the go-live date and did not provide adequate time for providers to adapt their systems, policies, and processes to the finalised wording by 1 July 2019. These findings are consistent with an evaluation of the development of the Standards that was conducted by the Department in 2020</w:t>
      </w:r>
      <w:r w:rsidR="0010563D">
        <w:t>,</w:t>
      </w:r>
      <w:r>
        <w:t xml:space="preserve"> which noted that stakeholders perceived that the ‘</w:t>
      </w:r>
      <w:r w:rsidRPr="00957BD1">
        <w:t>timeframes for development of implementation resources were too compressed and left providers inadequately prepared when the new Standards were introduced</w:t>
      </w:r>
      <w:r>
        <w:t>’.</w:t>
      </w:r>
      <w:r w:rsidR="0083123A">
        <w:rPr>
          <w:rFonts w:ascii="ZWAdobeF" w:hAnsi="ZWAdobeF" w:cs="ZWAdobeF"/>
          <w:sz w:val="2"/>
          <w:szCs w:val="2"/>
        </w:rPr>
        <w:t>21F</w:t>
      </w:r>
      <w:r w:rsidRPr="00926910">
        <w:rPr>
          <w:vertAlign w:val="superscript"/>
        </w:rPr>
        <w:footnoteReference w:id="22"/>
      </w:r>
    </w:p>
    <w:p w14:paraId="5B10DFC4" w14:textId="4AE965F1" w:rsidR="002075DD" w:rsidRPr="00E947EA" w:rsidRDefault="002075DD" w:rsidP="005230A9">
      <w:pPr>
        <w:pStyle w:val="BodyText1"/>
        <w:rPr>
          <w:spacing w:val="-4"/>
        </w:rPr>
      </w:pPr>
      <w:r w:rsidRPr="00E947EA">
        <w:rPr>
          <w:spacing w:val="-4"/>
        </w:rPr>
        <w:t>Other providers consulted as part of the Evaluation reported that they were comfortable with the timeframes for the implementation of the Standards and had begun activities to transition to the Standards at their organisation prior to the guidance material and wording of the Standards being finalised.</w:t>
      </w:r>
    </w:p>
    <w:p w14:paraId="31654EC7" w14:textId="77777777" w:rsidR="002075DD" w:rsidRDefault="002075DD" w:rsidP="00231A99">
      <w:pPr>
        <w:pStyle w:val="HeadingLevel3NoNumber"/>
      </w:pPr>
      <w:r>
        <w:t>Guidance material</w:t>
      </w:r>
    </w:p>
    <w:p w14:paraId="168BE357" w14:textId="6B8121EB" w:rsidR="002075DD" w:rsidRPr="00FB7969" w:rsidRDefault="00252915" w:rsidP="005230A9">
      <w:pPr>
        <w:pStyle w:val="BodyText1"/>
      </w:pPr>
      <w:r>
        <w:t>Provider</w:t>
      </w:r>
      <w:r w:rsidRPr="005C5178">
        <w:t xml:space="preserve"> </w:t>
      </w:r>
      <w:r w:rsidR="002075DD" w:rsidRPr="005C5178">
        <w:t xml:space="preserve">perceptions on the </w:t>
      </w:r>
      <w:r w:rsidR="002075DD" w:rsidRPr="009929C0">
        <w:rPr>
          <w:i/>
          <w:iCs/>
        </w:rPr>
        <w:t>Guidance and resources for providers to support the Aged Care Quality Standards</w:t>
      </w:r>
      <w:r w:rsidR="002075DD" w:rsidRPr="005C5178">
        <w:t xml:space="preserve"> were mixed.</w:t>
      </w:r>
      <w:r w:rsidR="002075DD">
        <w:t xml:space="preserve"> Some providers commented that the guidance document had supported their organisation to understand what was required and to undertake a detailed comparison of their current systems, policies, and processes against the new requirements. Some </w:t>
      </w:r>
      <w:r>
        <w:t xml:space="preserve">providers </w:t>
      </w:r>
      <w:r w:rsidR="002075DD">
        <w:t>reported that the guidance document was too long. Others reported that there was a need for more prescriptive guidance to understand the Commission’s expectations of performance against each Standard. For example, case studies to support u</w:t>
      </w:r>
      <w:r w:rsidR="002075DD" w:rsidRPr="002707D2">
        <w:t xml:space="preserve">nderstanding of how to implement more complex themes that are new in the Standards such as dignity of risk. </w:t>
      </w:r>
      <w:r w:rsidR="002075DD">
        <w:t>These findings are consistent with an evaluation conducted by the Commission in 2020 related to the implementation of the Standards</w:t>
      </w:r>
      <w:r w:rsidR="00904CFE">
        <w:t>.</w:t>
      </w:r>
      <w:r w:rsidR="0083123A">
        <w:rPr>
          <w:rFonts w:ascii="ZWAdobeF" w:hAnsi="ZWAdobeF" w:cs="ZWAdobeF"/>
          <w:sz w:val="2"/>
          <w:szCs w:val="2"/>
        </w:rPr>
        <w:t>22F</w:t>
      </w:r>
      <w:r w:rsidR="00D946DD">
        <w:rPr>
          <w:rStyle w:val="FootnoteReference"/>
        </w:rPr>
        <w:footnoteReference w:id="23"/>
      </w:r>
    </w:p>
    <w:p w14:paraId="0F9D392E" w14:textId="77777777" w:rsidR="002075DD" w:rsidRPr="003D5ACA" w:rsidRDefault="002075DD" w:rsidP="00231A99">
      <w:pPr>
        <w:pStyle w:val="HeadingLevel3NoNumber"/>
      </w:pPr>
      <w:r>
        <w:t>Mode of delivery and audience of activities</w:t>
      </w:r>
    </w:p>
    <w:p w14:paraId="1DA75282" w14:textId="2312BBCA" w:rsidR="002075DD" w:rsidRPr="00D938AA" w:rsidRDefault="00252915" w:rsidP="005230A9">
      <w:pPr>
        <w:pStyle w:val="BodyText1"/>
      </w:pPr>
      <w:r>
        <w:t>Providers who participated in consultations and the survey</w:t>
      </w:r>
      <w:r w:rsidR="002075DD">
        <w:t xml:space="preserve"> provided observations on both the mode of delivery and audience for certain activities. Positive reports were made on implementation activities that involved two-way dialogue between the Commission and providers such as workshops conducted by the Commission. Positive experiences were specifically identified by providers on the Commission workshops which involved working through practical scenarios and case studies. </w:t>
      </w:r>
      <w:r w:rsidR="002075DD" w:rsidRPr="00D63D6A">
        <w:t>There was a</w:t>
      </w:r>
      <w:r w:rsidR="002075DD">
        <w:t>lso</w:t>
      </w:r>
      <w:r w:rsidR="002075DD" w:rsidRPr="00D63D6A">
        <w:t xml:space="preserve"> preference for face-to-face workshops, to provide an opportunity for interaction and discussion. </w:t>
      </w:r>
      <w:r w:rsidR="002075DD">
        <w:t>In comparison, activities that were focused on one-way communications from either the Department or the Commission and did not facilitate interaction between stakeholders, such as webinars, were not viewed to be as beneficial to understanding and implementing the Standards.</w:t>
      </w:r>
    </w:p>
    <w:p w14:paraId="371512EE" w14:textId="20BAFA5E" w:rsidR="002075DD" w:rsidRPr="00E947EA" w:rsidRDefault="002075DD" w:rsidP="005230A9">
      <w:pPr>
        <w:pStyle w:val="BodyText1"/>
        <w:rPr>
          <w:spacing w:val="-4"/>
        </w:rPr>
      </w:pPr>
      <w:r w:rsidRPr="00E947EA">
        <w:rPr>
          <w:spacing w:val="-4"/>
        </w:rPr>
        <w:t xml:space="preserve">Some </w:t>
      </w:r>
      <w:r w:rsidR="00252915" w:rsidRPr="00E947EA">
        <w:rPr>
          <w:spacing w:val="-4"/>
        </w:rPr>
        <w:t xml:space="preserve">providers </w:t>
      </w:r>
      <w:r w:rsidRPr="00E947EA">
        <w:rPr>
          <w:spacing w:val="-4"/>
        </w:rPr>
        <w:t xml:space="preserve">stated that the guidance material, resources and implementation activities were not always applicable to all providers, positions and levels of staff employed in aged care. Some providers observed that the content of the guidance material and implementation activities was often targeted at senior and middle management, and did not sufficiently allow for interpretation and understanding by other audiences such as clinicians, direct support staff and volunteers. For example, one provider commented: </w:t>
      </w:r>
    </w:p>
    <w:tbl>
      <w:tblPr>
        <w:tblStyle w:val="TableGridLight"/>
        <w:tblW w:w="0" w:type="auto"/>
        <w:tblLook w:val="04A0" w:firstRow="1" w:lastRow="0" w:firstColumn="1" w:lastColumn="0" w:noHBand="0" w:noVBand="1"/>
      </w:tblPr>
      <w:tblGrid>
        <w:gridCol w:w="993"/>
        <w:gridCol w:w="7224"/>
        <w:gridCol w:w="843"/>
      </w:tblGrid>
      <w:tr w:rsidR="0000770C" w14:paraId="64C1998E" w14:textId="77777777" w:rsidTr="00597826">
        <w:trPr>
          <w:cnfStyle w:val="100000000000" w:firstRow="1" w:lastRow="0" w:firstColumn="0" w:lastColumn="0" w:oddVBand="0" w:evenVBand="0" w:oddHBand="0" w:evenHBand="0" w:firstRowFirstColumn="0" w:firstRowLastColumn="0" w:lastRowFirstColumn="0" w:lastRowLastColumn="0"/>
        </w:trPr>
        <w:tc>
          <w:tcPr>
            <w:tcW w:w="993" w:type="dxa"/>
          </w:tcPr>
          <w:p w14:paraId="33799337" w14:textId="44EC6EDF" w:rsidR="0000770C" w:rsidRDefault="00DF3667" w:rsidP="00597826">
            <w:pPr>
              <w:pStyle w:val="Tableheading"/>
            </w:pPr>
            <w:r>
              <w:rPr>
                <w:noProof/>
              </w:rPr>
              <mc:AlternateContent>
                <mc:Choice Requires="wpg">
                  <w:drawing>
                    <wp:inline distT="0" distB="0" distL="0" distR="0" wp14:anchorId="5E5C0B11" wp14:editId="4EEE9A05">
                      <wp:extent cx="365760" cy="295710"/>
                      <wp:effectExtent l="0" t="0" r="15240" b="28575"/>
                      <wp:docPr id="470" name="Group 4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5760" cy="295710"/>
                                <a:chOff x="0" y="0"/>
                                <a:chExt cx="464481" cy="375528"/>
                              </a:xfrm>
                            </wpg:grpSpPr>
                            <wps:wsp>
                              <wps:cNvPr id="768" name="Freeform 5"/>
                              <wps:cNvSpPr>
                                <a:spLocks/>
                              </wps:cNvSpPr>
                              <wps:spPr bwMode="auto">
                                <a:xfrm>
                                  <a:off x="157277" y="7316"/>
                                  <a:ext cx="307204" cy="368212"/>
                                </a:xfrm>
                                <a:custGeom>
                                  <a:avLst/>
                                  <a:gdLst>
                                    <a:gd name="T0" fmla="*/ 127 w 157"/>
                                    <a:gd name="T1" fmla="*/ 0 h 187"/>
                                    <a:gd name="T2" fmla="*/ 131 w 157"/>
                                    <a:gd name="T3" fmla="*/ 2 h 187"/>
                                    <a:gd name="T4" fmla="*/ 94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7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7" y="0"/>
                                      </a:moveTo>
                                      <a:cubicBezTo>
                                        <a:pt x="131" y="2"/>
                                        <a:pt x="131" y="2"/>
                                        <a:pt x="131" y="2"/>
                                      </a:cubicBezTo>
                                      <a:cubicBezTo>
                                        <a:pt x="109" y="14"/>
                                        <a:pt x="97" y="31"/>
                                        <a:pt x="94" y="53"/>
                                      </a:cubicBezTo>
                                      <a:cubicBezTo>
                                        <a:pt x="136" y="64"/>
                                        <a:pt x="157" y="85"/>
                                        <a:pt x="157" y="117"/>
                                      </a:cubicBezTo>
                                      <a:cubicBezTo>
                                        <a:pt x="157" y="137"/>
                                        <a:pt x="149" y="154"/>
                                        <a:pt x="134" y="167"/>
                                      </a:cubicBezTo>
                                      <a:cubicBezTo>
                                        <a:pt x="119" y="181"/>
                                        <a:pt x="100" y="187"/>
                                        <a:pt x="78" y="187"/>
                                      </a:cubicBezTo>
                                      <a:cubicBezTo>
                                        <a:pt x="55" y="187"/>
                                        <a:pt x="36" y="181"/>
                                        <a:pt x="22" y="167"/>
                                      </a:cubicBezTo>
                                      <a:cubicBezTo>
                                        <a:pt x="7" y="153"/>
                                        <a:pt x="0" y="136"/>
                                        <a:pt x="0" y="115"/>
                                      </a:cubicBezTo>
                                      <a:cubicBezTo>
                                        <a:pt x="0" y="88"/>
                                        <a:pt x="12" y="64"/>
                                        <a:pt x="36" y="41"/>
                                      </a:cubicBezTo>
                                      <a:cubicBezTo>
                                        <a:pt x="60" y="19"/>
                                        <a:pt x="91" y="5"/>
                                        <a:pt x="127" y="0"/>
                                      </a:cubicBezTo>
                                    </a:path>
                                  </a:pathLst>
                                </a:custGeom>
                                <a:solidFill>
                                  <a:schemeClr val="bg1"/>
                                </a:solidFill>
                                <a:ln w="19050">
                                  <a:solidFill>
                                    <a:schemeClr val="bg1"/>
                                  </a:solidFill>
                                </a:ln>
                              </wps:spPr>
                              <wps:bodyPr vert="horz" wrap="square" lIns="91440" tIns="45720" rIns="91440" bIns="45720" numCol="1" anchor="t" anchorCtr="0" compatLnSpc="1">
                                <a:prstTxWarp prst="textNoShape">
                                  <a:avLst/>
                                </a:prstTxWarp>
                              </wps:bodyPr>
                            </wps:wsp>
                            <wps:wsp>
                              <wps:cNvPr id="769" name="Freeform 6"/>
                              <wps:cNvSpPr>
                                <a:spLocks/>
                              </wps:cNvSpPr>
                              <wps:spPr bwMode="auto">
                                <a:xfrm>
                                  <a:off x="0" y="0"/>
                                  <a:ext cx="306705" cy="367665"/>
                                </a:xfrm>
                                <a:custGeom>
                                  <a:avLst/>
                                  <a:gdLst>
                                    <a:gd name="T0" fmla="*/ 128 w 157"/>
                                    <a:gd name="T1" fmla="*/ 0 h 187"/>
                                    <a:gd name="T2" fmla="*/ 132 w 157"/>
                                    <a:gd name="T3" fmla="*/ 2 h 187"/>
                                    <a:gd name="T4" fmla="*/ 95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8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8" y="0"/>
                                      </a:moveTo>
                                      <a:cubicBezTo>
                                        <a:pt x="132" y="2"/>
                                        <a:pt x="132" y="2"/>
                                        <a:pt x="132" y="2"/>
                                      </a:cubicBezTo>
                                      <a:cubicBezTo>
                                        <a:pt x="110" y="14"/>
                                        <a:pt x="97" y="31"/>
                                        <a:pt x="95" y="53"/>
                                      </a:cubicBezTo>
                                      <a:cubicBezTo>
                                        <a:pt x="137" y="64"/>
                                        <a:pt x="157" y="85"/>
                                        <a:pt x="157" y="117"/>
                                      </a:cubicBezTo>
                                      <a:cubicBezTo>
                                        <a:pt x="157" y="137"/>
                                        <a:pt x="150" y="154"/>
                                        <a:pt x="134" y="167"/>
                                      </a:cubicBezTo>
                                      <a:cubicBezTo>
                                        <a:pt x="119" y="181"/>
                                        <a:pt x="100" y="187"/>
                                        <a:pt x="78" y="187"/>
                                      </a:cubicBezTo>
                                      <a:cubicBezTo>
                                        <a:pt x="55" y="187"/>
                                        <a:pt x="37" y="181"/>
                                        <a:pt x="22" y="167"/>
                                      </a:cubicBezTo>
                                      <a:cubicBezTo>
                                        <a:pt x="7" y="153"/>
                                        <a:pt x="0" y="136"/>
                                        <a:pt x="0" y="115"/>
                                      </a:cubicBezTo>
                                      <a:cubicBezTo>
                                        <a:pt x="0" y="88"/>
                                        <a:pt x="12" y="64"/>
                                        <a:pt x="36" y="41"/>
                                      </a:cubicBezTo>
                                      <a:cubicBezTo>
                                        <a:pt x="61" y="19"/>
                                        <a:pt x="91" y="5"/>
                                        <a:pt x="128" y="0"/>
                                      </a:cubicBezTo>
                                    </a:path>
                                  </a:pathLst>
                                </a:custGeom>
                                <a:solidFill>
                                  <a:schemeClr val="tx2"/>
                                </a:solidFill>
                                <a:ln w="19050">
                                  <a:solidFill>
                                    <a:schemeClr val="bg1"/>
                                  </a:solidFill>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047536EA" id="Group 470" o:spid="_x0000_s1026" alt="&quot;&quot;" style="width:28.8pt;height:23.3pt;mso-position-horizontal-relative:char;mso-position-vertical-relative:line" coordsize="464481,375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">
                      <v:shape id="Freeform 5" o:spid="_x0000_s1027" style="position:absolute;left:157277;top:7316;width:307204;height:368212;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" path="m127,v4,2,4,2,4,2c109,14,97,31,94,53v42,11,63,32,63,64c157,137,149,154,134,167v-15,14,-34,20,-56,20c55,187,36,181,22,167,7,153,,136,,115,,88,12,64,36,41,60,19,91,5,127,e" fillcolor="white [3212]" strokecolor="white [3212]" strokeweight="1.5pt">
                        <v:path arrowok="t" o:connecttype="custom" o:connectlocs="248503,0;256329,3938;183931,104360;307204,230379;262200,328831;152624,368212;43048,328831;0,226441;70442,80731;248503,0" o:connectangles="0,0,0,0,0,0,0,0,0,0"/>
                      </v:shape>
                      <v:shape id="Freeform 6" o:spid="_x0000_s1028" style="position:absolute;width:306705;height:367665;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" path="m128,v4,2,4,2,4,2c110,14,97,31,95,53v42,11,62,32,62,64c157,137,150,154,134,167v-15,14,-34,20,-56,20c55,187,37,181,22,167,7,153,,136,,115,,88,12,64,36,41,61,19,91,5,128,e" fillcolor="#00338d [3215]" strokecolor="white [3212]" strokeweight="1.5pt">
                        <v:path arrowok="t" o:connecttype="custom" o:connectlocs="250052,0;257867,3932;185586,104205;306705,230036;261774,328343;152376,367665;42978,328343;0,226104;70327,80611;250052,0" o:connectangles="0,0,0,0,0,0,0,0,0,0"/>
                      </v:shape>
                      <w10:anchorlock/>
                    </v:group>
                  </w:pict>
                </mc:Fallback>
              </mc:AlternateContent>
            </w:r>
          </w:p>
        </w:tc>
        <w:tc>
          <w:tcPr>
            <w:tcW w:w="7229" w:type="dxa"/>
          </w:tcPr>
          <w:p w14:paraId="5A11638B" w14:textId="63131911" w:rsidR="0000770C" w:rsidRPr="0000770C" w:rsidRDefault="0000770C" w:rsidP="00597826">
            <w:pPr>
              <w:pStyle w:val="Tableheading"/>
              <w:rPr>
                <w:i/>
                <w:iCs/>
              </w:rPr>
            </w:pPr>
            <w:r w:rsidRPr="0000770C">
              <w:rPr>
                <w:i/>
                <w:iCs/>
              </w:rPr>
              <w:t>The resources for support staff are not in their language and do not reflect the diversity of the workforce, not only from a cultural perspective but also from a staff position level…so organisations need to put in work to add that context.</w:t>
            </w:r>
          </w:p>
        </w:tc>
        <w:tc>
          <w:tcPr>
            <w:tcW w:w="843" w:type="dxa"/>
          </w:tcPr>
          <w:p w14:paraId="6824BF09" w14:textId="6EB59BFB" w:rsidR="0000770C" w:rsidRDefault="00DF3667" w:rsidP="00597826">
            <w:pPr>
              <w:pStyle w:val="Tableheading"/>
            </w:pPr>
            <w:r>
              <w:rPr>
                <w:noProof/>
              </w:rPr>
              <mc:AlternateContent>
                <mc:Choice Requires="wpg">
                  <w:drawing>
                    <wp:inline distT="0" distB="0" distL="0" distR="0" wp14:anchorId="3FAFECEA" wp14:editId="3297989F">
                      <wp:extent cx="365760" cy="295710"/>
                      <wp:effectExtent l="0" t="0" r="15240" b="28575"/>
                      <wp:docPr id="471" name="Group 4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0800000">
                                <a:off x="0" y="0"/>
                                <a:ext cx="365760" cy="295710"/>
                                <a:chOff x="0" y="0"/>
                                <a:chExt cx="464481" cy="375528"/>
                              </a:xfrm>
                            </wpg:grpSpPr>
                            <wps:wsp>
                              <wps:cNvPr id="472" name="Freeform 5"/>
                              <wps:cNvSpPr>
                                <a:spLocks/>
                              </wps:cNvSpPr>
                              <wps:spPr bwMode="auto">
                                <a:xfrm>
                                  <a:off x="157277" y="7316"/>
                                  <a:ext cx="307204" cy="368212"/>
                                </a:xfrm>
                                <a:custGeom>
                                  <a:avLst/>
                                  <a:gdLst>
                                    <a:gd name="T0" fmla="*/ 127 w 157"/>
                                    <a:gd name="T1" fmla="*/ 0 h 187"/>
                                    <a:gd name="T2" fmla="*/ 131 w 157"/>
                                    <a:gd name="T3" fmla="*/ 2 h 187"/>
                                    <a:gd name="T4" fmla="*/ 94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7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7" y="0"/>
                                      </a:moveTo>
                                      <a:cubicBezTo>
                                        <a:pt x="131" y="2"/>
                                        <a:pt x="131" y="2"/>
                                        <a:pt x="131" y="2"/>
                                      </a:cubicBezTo>
                                      <a:cubicBezTo>
                                        <a:pt x="109" y="14"/>
                                        <a:pt x="97" y="31"/>
                                        <a:pt x="94" y="53"/>
                                      </a:cubicBezTo>
                                      <a:cubicBezTo>
                                        <a:pt x="136" y="64"/>
                                        <a:pt x="157" y="85"/>
                                        <a:pt x="157" y="117"/>
                                      </a:cubicBezTo>
                                      <a:cubicBezTo>
                                        <a:pt x="157" y="137"/>
                                        <a:pt x="149" y="154"/>
                                        <a:pt x="134" y="167"/>
                                      </a:cubicBezTo>
                                      <a:cubicBezTo>
                                        <a:pt x="119" y="181"/>
                                        <a:pt x="100" y="187"/>
                                        <a:pt x="78" y="187"/>
                                      </a:cubicBezTo>
                                      <a:cubicBezTo>
                                        <a:pt x="55" y="187"/>
                                        <a:pt x="36" y="181"/>
                                        <a:pt x="22" y="167"/>
                                      </a:cubicBezTo>
                                      <a:cubicBezTo>
                                        <a:pt x="7" y="153"/>
                                        <a:pt x="0" y="136"/>
                                        <a:pt x="0" y="115"/>
                                      </a:cubicBezTo>
                                      <a:cubicBezTo>
                                        <a:pt x="0" y="88"/>
                                        <a:pt x="12" y="64"/>
                                        <a:pt x="36" y="41"/>
                                      </a:cubicBezTo>
                                      <a:cubicBezTo>
                                        <a:pt x="60" y="19"/>
                                        <a:pt x="91" y="5"/>
                                        <a:pt x="127" y="0"/>
                                      </a:cubicBezTo>
                                    </a:path>
                                  </a:pathLst>
                                </a:custGeom>
                                <a:solidFill>
                                  <a:schemeClr val="bg1"/>
                                </a:solidFill>
                                <a:ln w="19050">
                                  <a:solidFill>
                                    <a:schemeClr val="bg1"/>
                                  </a:solidFill>
                                </a:ln>
                              </wps:spPr>
                              <wps:bodyPr vert="horz" wrap="square" lIns="91440" tIns="45720" rIns="91440" bIns="45720" numCol="1" anchor="t" anchorCtr="0" compatLnSpc="1">
                                <a:prstTxWarp prst="textNoShape">
                                  <a:avLst/>
                                </a:prstTxWarp>
                              </wps:bodyPr>
                            </wps:wsp>
                            <wps:wsp>
                              <wps:cNvPr id="473" name="Freeform 6"/>
                              <wps:cNvSpPr>
                                <a:spLocks/>
                              </wps:cNvSpPr>
                              <wps:spPr bwMode="auto">
                                <a:xfrm>
                                  <a:off x="0" y="0"/>
                                  <a:ext cx="306705" cy="367665"/>
                                </a:xfrm>
                                <a:custGeom>
                                  <a:avLst/>
                                  <a:gdLst>
                                    <a:gd name="T0" fmla="*/ 128 w 157"/>
                                    <a:gd name="T1" fmla="*/ 0 h 187"/>
                                    <a:gd name="T2" fmla="*/ 132 w 157"/>
                                    <a:gd name="T3" fmla="*/ 2 h 187"/>
                                    <a:gd name="T4" fmla="*/ 95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8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8" y="0"/>
                                      </a:moveTo>
                                      <a:cubicBezTo>
                                        <a:pt x="132" y="2"/>
                                        <a:pt x="132" y="2"/>
                                        <a:pt x="132" y="2"/>
                                      </a:cubicBezTo>
                                      <a:cubicBezTo>
                                        <a:pt x="110" y="14"/>
                                        <a:pt x="97" y="31"/>
                                        <a:pt x="95" y="53"/>
                                      </a:cubicBezTo>
                                      <a:cubicBezTo>
                                        <a:pt x="137" y="64"/>
                                        <a:pt x="157" y="85"/>
                                        <a:pt x="157" y="117"/>
                                      </a:cubicBezTo>
                                      <a:cubicBezTo>
                                        <a:pt x="157" y="137"/>
                                        <a:pt x="150" y="154"/>
                                        <a:pt x="134" y="167"/>
                                      </a:cubicBezTo>
                                      <a:cubicBezTo>
                                        <a:pt x="119" y="181"/>
                                        <a:pt x="100" y="187"/>
                                        <a:pt x="78" y="187"/>
                                      </a:cubicBezTo>
                                      <a:cubicBezTo>
                                        <a:pt x="55" y="187"/>
                                        <a:pt x="37" y="181"/>
                                        <a:pt x="22" y="167"/>
                                      </a:cubicBezTo>
                                      <a:cubicBezTo>
                                        <a:pt x="7" y="153"/>
                                        <a:pt x="0" y="136"/>
                                        <a:pt x="0" y="115"/>
                                      </a:cubicBezTo>
                                      <a:cubicBezTo>
                                        <a:pt x="0" y="88"/>
                                        <a:pt x="12" y="64"/>
                                        <a:pt x="36" y="41"/>
                                      </a:cubicBezTo>
                                      <a:cubicBezTo>
                                        <a:pt x="61" y="19"/>
                                        <a:pt x="91" y="5"/>
                                        <a:pt x="128" y="0"/>
                                      </a:cubicBezTo>
                                    </a:path>
                                  </a:pathLst>
                                </a:custGeom>
                                <a:solidFill>
                                  <a:schemeClr val="tx2"/>
                                </a:solidFill>
                                <a:ln w="19050">
                                  <a:solidFill>
                                    <a:schemeClr val="bg1"/>
                                  </a:solidFill>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7DA6406C" id="Group 471" o:spid="_x0000_s1026" alt="&quot;&quot;" style="width:28.8pt;height:23.3pt;rotation:180;mso-position-horizontal-relative:char;mso-position-vertical-relative:line" coordsize="464481,375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">
                      <v:shape id="Freeform 5" o:spid="_x0000_s1027" style="position:absolute;left:157277;top:7316;width:307204;height:368212;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" path="m127,v4,2,4,2,4,2c109,14,97,31,94,53v42,11,63,32,63,64c157,137,149,154,134,167v-15,14,-34,20,-56,20c55,187,36,181,22,167,7,153,,136,,115,,88,12,64,36,41,60,19,91,5,127,e" fillcolor="white [3212]" strokecolor="white [3212]" strokeweight="1.5pt">
                        <v:path arrowok="t" o:connecttype="custom" o:connectlocs="248503,0;256329,3938;183931,104360;307204,230379;262200,328831;152624,368212;43048,328831;0,226441;70442,80731;248503,0" o:connectangles="0,0,0,0,0,0,0,0,0,0"/>
                      </v:shape>
                      <v:shape id="Freeform 6" o:spid="_x0000_s1028" style="position:absolute;width:306705;height:367665;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" path="m128,v4,2,4,2,4,2c110,14,97,31,95,53v42,11,62,32,62,64c157,137,150,154,134,167v-15,14,-34,20,-56,20c55,187,37,181,22,167,7,153,,136,,115,,88,12,64,36,41,61,19,91,5,128,e" fillcolor="#00338d [3215]" strokecolor="white [3212]" strokeweight="1.5pt">
                        <v:path arrowok="t" o:connecttype="custom" o:connectlocs="250052,0;257867,3932;185586,104205;306705,230036;261774,328343;152376,367665;42978,328343;0,226104;70327,80611;250052,0" o:connectangles="0,0,0,0,0,0,0,0,0,0"/>
                      </v:shape>
                      <w10:anchorlock/>
                    </v:group>
                  </w:pict>
                </mc:Fallback>
              </mc:AlternateContent>
            </w:r>
          </w:p>
        </w:tc>
      </w:tr>
    </w:tbl>
    <w:p w14:paraId="4199B606" w14:textId="77777777" w:rsidR="00FA1A8D" w:rsidRDefault="00FA1A8D">
      <w:pPr>
        <w:spacing w:before="0" w:after="160" w:line="259" w:lineRule="auto"/>
        <w:rPr>
          <w:spacing w:val="-4"/>
        </w:rPr>
      </w:pPr>
      <w:bookmarkStart w:id="114" w:name="_Ref85439714"/>
      <w:bookmarkStart w:id="115" w:name="_Ref85439913"/>
      <w:bookmarkStart w:id="116" w:name="_Ref85439992"/>
      <w:bookmarkStart w:id="117" w:name="_Toc88804083"/>
      <w:bookmarkStart w:id="118" w:name="_Toc89930044"/>
      <w:bookmarkStart w:id="119" w:name="_Toc90453363"/>
      <w:r>
        <w:rPr>
          <w:spacing w:val="-4"/>
        </w:rPr>
        <w:br w:type="page"/>
      </w:r>
    </w:p>
    <w:p w14:paraId="0E6A8F02" w14:textId="13FF3B7C" w:rsidR="007E534E" w:rsidRPr="002A4AE3" w:rsidRDefault="00E71ACF" w:rsidP="00E71ACF">
      <w:pPr>
        <w:pStyle w:val="Heading2"/>
      </w:pPr>
      <w:bookmarkStart w:id="120" w:name="_Toc113448691"/>
      <w:r>
        <w:lastRenderedPageBreak/>
        <w:t xml:space="preserve">5.3 </w:t>
      </w:r>
      <w:r w:rsidR="007E534E" w:rsidRPr="007E534E">
        <w:t>What were the key barriers and enablers to the implementation of the Standards?</w:t>
      </w:r>
      <w:r w:rsidR="005F19FC">
        <w:t xml:space="preserve"> </w:t>
      </w:r>
      <w:r w:rsidR="005F19FC" w:rsidRPr="005F19FC">
        <w:t>What other external factors have impacted the implementation of the Standards?</w:t>
      </w:r>
      <w:bookmarkEnd w:id="114"/>
      <w:bookmarkEnd w:id="115"/>
      <w:bookmarkEnd w:id="116"/>
      <w:bookmarkEnd w:id="117"/>
      <w:bookmarkEnd w:id="118"/>
      <w:bookmarkEnd w:id="119"/>
      <w:bookmarkEnd w:id="120"/>
    </w:p>
    <w:p w14:paraId="5F0202D4" w14:textId="7AA8C03F" w:rsidR="002356DB" w:rsidRPr="002356DB" w:rsidRDefault="00CB3970" w:rsidP="005230A9">
      <w:pPr>
        <w:pStyle w:val="BodyText1"/>
      </w:pPr>
      <w:r>
        <w:t>Providers</w:t>
      </w:r>
      <w:r w:rsidR="00D825F5">
        <w:t xml:space="preserve"> consulted as part of this Evaluation</w:t>
      </w:r>
      <w:r w:rsidR="00F43357">
        <w:t xml:space="preserve"> and </w:t>
      </w:r>
      <w:r w:rsidR="0026392F">
        <w:t>those that participated in the survey</w:t>
      </w:r>
      <w:r w:rsidR="00D825F5">
        <w:t xml:space="preserve"> were asked about </w:t>
      </w:r>
      <w:r w:rsidR="00F43357">
        <w:t>their experience in implementing the Standards</w:t>
      </w:r>
      <w:r w:rsidR="002B074C">
        <w:t>. They were also asked to identify</w:t>
      </w:r>
      <w:r w:rsidR="00F43357">
        <w:t xml:space="preserve"> factors </w:t>
      </w:r>
      <w:r w:rsidR="002B074C">
        <w:t>which</w:t>
      </w:r>
      <w:r w:rsidR="0026392F">
        <w:t xml:space="preserve"> </w:t>
      </w:r>
      <w:r w:rsidR="00F43357">
        <w:t xml:space="preserve">either enabled or constrained their ability to implement the Standards. </w:t>
      </w:r>
      <w:r w:rsidR="007E534E">
        <w:t>A number of themes emerged as enablers and barriers to implementing the Standards.</w:t>
      </w:r>
    </w:p>
    <w:p w14:paraId="63A07977" w14:textId="0E582776" w:rsidR="003A1C83" w:rsidRPr="00020BCB" w:rsidRDefault="00CB3970" w:rsidP="005230A9">
      <w:pPr>
        <w:pStyle w:val="BodyText1"/>
      </w:pPr>
      <w:r>
        <w:t xml:space="preserve">Overall, </w:t>
      </w:r>
      <w:r w:rsidRPr="00020BCB">
        <w:t xml:space="preserve">66% of survey respondents (379 of a total of 570 aged care service providers and workers, including volunteers who completed the survey) reported </w:t>
      </w:r>
      <w:r w:rsidR="00EA68B2">
        <w:t xml:space="preserve">that </w:t>
      </w:r>
      <w:r w:rsidRPr="00020BCB">
        <w:t xml:space="preserve">they </w:t>
      </w:r>
      <w:r w:rsidR="00EA68B2">
        <w:t>had</w:t>
      </w:r>
      <w:r w:rsidRPr="00020BCB">
        <w:t xml:space="preserve"> experienced challenges in implementing the Standards.</w:t>
      </w:r>
      <w:r>
        <w:t xml:space="preserve"> </w:t>
      </w:r>
      <w:r w:rsidRPr="00020BCB">
        <w:t>The most common reported barriers experienced by providers in implementing the Standards were related to workforce, including staff availability, capacity and skills</w:t>
      </w:r>
      <w:r w:rsidR="003661EE">
        <w:t xml:space="preserve"> and </w:t>
      </w:r>
      <w:r w:rsidRPr="00020BCB">
        <w:t xml:space="preserve">cost of compliance </w:t>
      </w:r>
      <w:r w:rsidR="003A1C83">
        <w:t xml:space="preserve">(as presented in </w:t>
      </w:r>
      <w:r w:rsidR="003A1C83">
        <w:fldChar w:fldCharType="begin" w:fldLock="1"/>
      </w:r>
      <w:r w:rsidR="003A1C83">
        <w:instrText xml:space="preserve"> REF _Ref85401983 \h </w:instrText>
      </w:r>
      <w:r w:rsidR="003A1C83">
        <w:fldChar w:fldCharType="separate"/>
      </w:r>
      <w:r w:rsidR="002532EA">
        <w:t xml:space="preserve">Table </w:t>
      </w:r>
      <w:r w:rsidR="002532EA">
        <w:rPr>
          <w:noProof/>
        </w:rPr>
        <w:t>7</w:t>
      </w:r>
      <w:r w:rsidR="003A1C83">
        <w:fldChar w:fldCharType="end"/>
      </w:r>
      <w:r w:rsidR="003A1C83">
        <w:t>).</w:t>
      </w:r>
      <w:r>
        <w:t xml:space="preserve"> </w:t>
      </w:r>
      <w:r w:rsidR="000A1D56">
        <w:t>Stakeholder views presented in Table 7 below may reflect their experience implementing the Standards prior to 1 July 2019 and ongoing challenges embedding the Standards within their organisations.</w:t>
      </w:r>
    </w:p>
    <w:p w14:paraId="769340A1" w14:textId="451B3DDA" w:rsidR="00CB3970" w:rsidRPr="00597826" w:rsidRDefault="00CB3970" w:rsidP="00597826">
      <w:pPr>
        <w:pStyle w:val="Caption"/>
      </w:pPr>
      <w:bookmarkStart w:id="121" w:name="_Ref85401983"/>
      <w:bookmarkStart w:id="122" w:name="_Toc85369340"/>
      <w:r w:rsidRPr="00597826">
        <w:t xml:space="preserve">Table </w:t>
      </w:r>
      <w:r w:rsidRPr="00597826">
        <w:fldChar w:fldCharType="begin"/>
      </w:r>
      <w:r w:rsidRPr="00597826">
        <w:instrText>SEQ Table \* ARABIC</w:instrText>
      </w:r>
      <w:r w:rsidRPr="00597826">
        <w:fldChar w:fldCharType="separate"/>
      </w:r>
      <w:r w:rsidR="0083123A" w:rsidRPr="00597826">
        <w:t>7</w:t>
      </w:r>
      <w:r w:rsidRPr="00597826">
        <w:fldChar w:fldCharType="end"/>
      </w:r>
      <w:bookmarkEnd w:id="121"/>
      <w:r w:rsidR="00F246D4" w:rsidRPr="00597826">
        <w:t>:</w:t>
      </w:r>
      <w:r w:rsidRPr="00597826">
        <w:t xml:space="preserve"> 'What barriers existed in your organisation putting the Quality Standards into practice?', count and percentage</w:t>
      </w:r>
      <w:bookmarkEnd w:id="122"/>
    </w:p>
    <w:p w14:paraId="447CA943" w14:textId="77777777" w:rsidR="00394BB8" w:rsidRPr="00313C7B" w:rsidRDefault="00394BB8" w:rsidP="00313C7B">
      <w:pPr>
        <w:spacing w:before="0" w:after="0"/>
        <w:rPr>
          <w:sz w:val="2"/>
          <w:szCs w:val="2"/>
        </w:rPr>
      </w:pPr>
    </w:p>
    <w:tbl>
      <w:tblPr>
        <w:tblStyle w:val="TableGrid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5955"/>
        <w:gridCol w:w="1562"/>
        <w:gridCol w:w="1553"/>
      </w:tblGrid>
      <w:tr w:rsidR="00E710DB" w:rsidRPr="008D7332" w14:paraId="051BC08C" w14:textId="77777777" w:rsidTr="00E710DB">
        <w:trPr>
          <w:cnfStyle w:val="100000000000" w:firstRow="1" w:lastRow="0" w:firstColumn="0" w:lastColumn="0" w:oddVBand="0" w:evenVBand="0" w:oddHBand="0" w:evenHBand="0" w:firstRowFirstColumn="0" w:firstRowLastColumn="0" w:lastRowFirstColumn="0" w:lastRowLastColumn="0"/>
        </w:trPr>
        <w:tc>
          <w:tcPr>
            <w:tcW w:w="5000" w:type="pct"/>
            <w:gridSpan w:val="3"/>
            <w:tcBorders>
              <w:bottom w:val="single" w:sz="8" w:space="0" w:color="00338D" w:themeColor="text2"/>
            </w:tcBorders>
            <w:vAlign w:val="bottom"/>
          </w:tcPr>
          <w:p w14:paraId="7A7567CB" w14:textId="665067AC" w:rsidR="00E710DB" w:rsidRPr="00E108D9" w:rsidRDefault="00E710DB" w:rsidP="00E710DB">
            <w:pPr>
              <w:pStyle w:val="Tableheading"/>
            </w:pPr>
            <w:r w:rsidRPr="00E947EA">
              <w:t>What barriers existed in your organisation putting the Quality Standards into practice?</w:t>
            </w:r>
          </w:p>
        </w:tc>
      </w:tr>
      <w:tr w:rsidR="00CB3970" w:rsidRPr="008D7332" w14:paraId="2947E0B4" w14:textId="77777777" w:rsidTr="00E710DB">
        <w:tc>
          <w:tcPr>
            <w:tcW w:w="3283" w:type="pct"/>
            <w:tcBorders>
              <w:bottom w:val="single" w:sz="8" w:space="0" w:color="00338D" w:themeColor="text2"/>
            </w:tcBorders>
            <w:shd w:val="clear" w:color="auto" w:fill="004689" w:themeFill="accent3" w:themeFillShade="BF"/>
            <w:vAlign w:val="bottom"/>
            <w:hideMark/>
          </w:tcPr>
          <w:p w14:paraId="14CC7AB3" w14:textId="77777777" w:rsidR="00CB3970" w:rsidRPr="00E108D9" w:rsidRDefault="00CB3970" w:rsidP="00E710DB">
            <w:pPr>
              <w:pStyle w:val="Tableheading"/>
            </w:pPr>
            <w:r w:rsidRPr="00E108D9">
              <w:t>Response option</w:t>
            </w:r>
          </w:p>
        </w:tc>
        <w:tc>
          <w:tcPr>
            <w:tcW w:w="861" w:type="pct"/>
            <w:tcBorders>
              <w:bottom w:val="single" w:sz="8" w:space="0" w:color="00338D" w:themeColor="text2"/>
            </w:tcBorders>
            <w:shd w:val="clear" w:color="auto" w:fill="004689" w:themeFill="accent3" w:themeFillShade="BF"/>
            <w:vAlign w:val="bottom"/>
            <w:hideMark/>
          </w:tcPr>
          <w:p w14:paraId="038BEAA4" w14:textId="77777777" w:rsidR="00CB3970" w:rsidRPr="00E108D9" w:rsidRDefault="00CB3970" w:rsidP="00E710DB">
            <w:pPr>
              <w:pStyle w:val="Tableheading"/>
            </w:pPr>
            <w:r w:rsidRPr="00E108D9">
              <w:t>Number of responses</w:t>
            </w:r>
          </w:p>
        </w:tc>
        <w:tc>
          <w:tcPr>
            <w:tcW w:w="856" w:type="pct"/>
            <w:tcBorders>
              <w:bottom w:val="single" w:sz="8" w:space="0" w:color="00338D" w:themeColor="text2"/>
            </w:tcBorders>
            <w:shd w:val="clear" w:color="auto" w:fill="004689" w:themeFill="accent3" w:themeFillShade="BF"/>
            <w:vAlign w:val="bottom"/>
            <w:hideMark/>
          </w:tcPr>
          <w:p w14:paraId="29B53F3D" w14:textId="77777777" w:rsidR="00CB3970" w:rsidRPr="00E108D9" w:rsidRDefault="00CB3970" w:rsidP="00E710DB">
            <w:pPr>
              <w:pStyle w:val="Tableheading"/>
            </w:pPr>
            <w:r w:rsidRPr="00E108D9">
              <w:t xml:space="preserve">% </w:t>
            </w:r>
            <w:proofErr w:type="gramStart"/>
            <w:r w:rsidRPr="00E108D9">
              <w:t>of</w:t>
            </w:r>
            <w:proofErr w:type="gramEnd"/>
            <w:r w:rsidRPr="00E108D9">
              <w:t xml:space="preserve"> total respondents</w:t>
            </w:r>
          </w:p>
        </w:tc>
      </w:tr>
      <w:tr w:rsidR="00CB3970" w:rsidRPr="008D7332" w14:paraId="4506A239" w14:textId="77777777" w:rsidTr="00394BB8">
        <w:tc>
          <w:tcPr>
            <w:tcW w:w="3283" w:type="pct"/>
            <w:tcBorders>
              <w:top w:val="single" w:sz="8" w:space="0" w:color="00338D" w:themeColor="text2"/>
              <w:bottom w:val="dotted" w:sz="4" w:space="0" w:color="BFBFBF" w:themeColor="background1" w:themeShade="BF"/>
            </w:tcBorders>
            <w:hideMark/>
          </w:tcPr>
          <w:p w14:paraId="45840F30" w14:textId="77777777" w:rsidR="00CB3970" w:rsidRPr="00E108D9" w:rsidRDefault="00CB3970" w:rsidP="005230A9">
            <w:pPr>
              <w:pStyle w:val="Tabletext"/>
              <w:rPr>
                <w:sz w:val="19"/>
                <w:szCs w:val="19"/>
              </w:rPr>
            </w:pPr>
            <w:r w:rsidRPr="00E108D9">
              <w:rPr>
                <w:sz w:val="19"/>
                <w:szCs w:val="19"/>
              </w:rPr>
              <w:t>Staff availability or capacity to implement the Quality Standards</w:t>
            </w:r>
          </w:p>
        </w:tc>
        <w:tc>
          <w:tcPr>
            <w:tcW w:w="861" w:type="pct"/>
            <w:tcBorders>
              <w:top w:val="single" w:sz="8" w:space="0" w:color="00338D" w:themeColor="text2"/>
              <w:bottom w:val="dotted" w:sz="4" w:space="0" w:color="BFBFBF" w:themeColor="background1" w:themeShade="BF"/>
            </w:tcBorders>
            <w:hideMark/>
          </w:tcPr>
          <w:p w14:paraId="76478E4F" w14:textId="77777777" w:rsidR="00CB3970" w:rsidRPr="00E108D9" w:rsidRDefault="00CB3970" w:rsidP="008C6AD9">
            <w:pPr>
              <w:pStyle w:val="Tabletext"/>
              <w:jc w:val="center"/>
              <w:rPr>
                <w:sz w:val="19"/>
                <w:szCs w:val="19"/>
              </w:rPr>
            </w:pPr>
            <w:r w:rsidRPr="00E108D9">
              <w:rPr>
                <w:sz w:val="19"/>
                <w:szCs w:val="19"/>
              </w:rPr>
              <w:t>240</w:t>
            </w:r>
          </w:p>
        </w:tc>
        <w:tc>
          <w:tcPr>
            <w:tcW w:w="856" w:type="pct"/>
            <w:tcBorders>
              <w:top w:val="single" w:sz="8" w:space="0" w:color="00338D" w:themeColor="text2"/>
              <w:bottom w:val="dotted" w:sz="4" w:space="0" w:color="BFBFBF" w:themeColor="background1" w:themeShade="BF"/>
            </w:tcBorders>
            <w:hideMark/>
          </w:tcPr>
          <w:p w14:paraId="322B5FCA" w14:textId="77777777" w:rsidR="00CB3970" w:rsidRPr="00E108D9" w:rsidRDefault="00CB3970" w:rsidP="008C6AD9">
            <w:pPr>
              <w:pStyle w:val="Tabletext"/>
              <w:jc w:val="center"/>
              <w:rPr>
                <w:sz w:val="19"/>
                <w:szCs w:val="19"/>
              </w:rPr>
            </w:pPr>
            <w:r w:rsidRPr="00E108D9">
              <w:rPr>
                <w:sz w:val="19"/>
                <w:szCs w:val="19"/>
              </w:rPr>
              <w:t>63%</w:t>
            </w:r>
          </w:p>
        </w:tc>
      </w:tr>
      <w:tr w:rsidR="00CB3970" w:rsidRPr="008D7332" w14:paraId="61A3AE3B" w14:textId="77777777" w:rsidTr="00394BB8">
        <w:tc>
          <w:tcPr>
            <w:tcW w:w="3283" w:type="pct"/>
            <w:tcBorders>
              <w:top w:val="dotted" w:sz="4" w:space="0" w:color="BFBFBF" w:themeColor="background1" w:themeShade="BF"/>
              <w:bottom w:val="dotted" w:sz="4" w:space="0" w:color="BFBFBF" w:themeColor="background1" w:themeShade="BF"/>
            </w:tcBorders>
            <w:hideMark/>
          </w:tcPr>
          <w:p w14:paraId="2A8A3661" w14:textId="77777777" w:rsidR="00CB3970" w:rsidRPr="00E108D9" w:rsidRDefault="00CB3970" w:rsidP="005230A9">
            <w:pPr>
              <w:pStyle w:val="Tabletext"/>
              <w:rPr>
                <w:sz w:val="19"/>
                <w:szCs w:val="19"/>
              </w:rPr>
            </w:pPr>
            <w:r w:rsidRPr="00E108D9">
              <w:rPr>
                <w:sz w:val="19"/>
                <w:szCs w:val="19"/>
              </w:rPr>
              <w:t>Raising staff awareness of their role in implementing the Quality Standards</w:t>
            </w:r>
          </w:p>
        </w:tc>
        <w:tc>
          <w:tcPr>
            <w:tcW w:w="861" w:type="pct"/>
            <w:tcBorders>
              <w:top w:val="dotted" w:sz="4" w:space="0" w:color="BFBFBF" w:themeColor="background1" w:themeShade="BF"/>
              <w:bottom w:val="dotted" w:sz="4" w:space="0" w:color="BFBFBF" w:themeColor="background1" w:themeShade="BF"/>
            </w:tcBorders>
            <w:hideMark/>
          </w:tcPr>
          <w:p w14:paraId="135500A1" w14:textId="77777777" w:rsidR="00CB3970" w:rsidRPr="00E108D9" w:rsidRDefault="00CB3970" w:rsidP="008C6AD9">
            <w:pPr>
              <w:pStyle w:val="Tabletext"/>
              <w:jc w:val="center"/>
              <w:rPr>
                <w:sz w:val="19"/>
                <w:szCs w:val="19"/>
              </w:rPr>
            </w:pPr>
            <w:r w:rsidRPr="00E108D9">
              <w:rPr>
                <w:sz w:val="19"/>
                <w:szCs w:val="19"/>
              </w:rPr>
              <w:t>238</w:t>
            </w:r>
          </w:p>
        </w:tc>
        <w:tc>
          <w:tcPr>
            <w:tcW w:w="856" w:type="pct"/>
            <w:tcBorders>
              <w:top w:val="dotted" w:sz="4" w:space="0" w:color="BFBFBF" w:themeColor="background1" w:themeShade="BF"/>
              <w:bottom w:val="dotted" w:sz="4" w:space="0" w:color="BFBFBF" w:themeColor="background1" w:themeShade="BF"/>
            </w:tcBorders>
            <w:hideMark/>
          </w:tcPr>
          <w:p w14:paraId="3F05EEB7" w14:textId="77777777" w:rsidR="00CB3970" w:rsidRPr="00E108D9" w:rsidRDefault="00CB3970" w:rsidP="008C6AD9">
            <w:pPr>
              <w:pStyle w:val="Tabletext"/>
              <w:jc w:val="center"/>
              <w:rPr>
                <w:sz w:val="19"/>
                <w:szCs w:val="19"/>
              </w:rPr>
            </w:pPr>
            <w:r w:rsidRPr="00E108D9">
              <w:rPr>
                <w:sz w:val="19"/>
                <w:szCs w:val="19"/>
              </w:rPr>
              <w:t>63%</w:t>
            </w:r>
          </w:p>
        </w:tc>
      </w:tr>
      <w:tr w:rsidR="00CB3970" w:rsidRPr="008D7332" w14:paraId="3CE7E246" w14:textId="77777777" w:rsidTr="00394BB8">
        <w:tc>
          <w:tcPr>
            <w:tcW w:w="3283" w:type="pct"/>
            <w:tcBorders>
              <w:top w:val="dotted" w:sz="4" w:space="0" w:color="BFBFBF" w:themeColor="background1" w:themeShade="BF"/>
              <w:bottom w:val="dotted" w:sz="4" w:space="0" w:color="BFBFBF" w:themeColor="background1" w:themeShade="BF"/>
            </w:tcBorders>
            <w:hideMark/>
          </w:tcPr>
          <w:p w14:paraId="5F5FFFC6" w14:textId="77777777" w:rsidR="00CB3970" w:rsidRPr="00E108D9" w:rsidRDefault="00CB3970" w:rsidP="005230A9">
            <w:pPr>
              <w:pStyle w:val="Tabletext"/>
              <w:rPr>
                <w:sz w:val="19"/>
                <w:szCs w:val="19"/>
              </w:rPr>
            </w:pPr>
            <w:r w:rsidRPr="00E108D9">
              <w:rPr>
                <w:sz w:val="19"/>
                <w:szCs w:val="19"/>
              </w:rPr>
              <w:t>Developing staff skills to implement the Quality Standards</w:t>
            </w:r>
          </w:p>
        </w:tc>
        <w:tc>
          <w:tcPr>
            <w:tcW w:w="861" w:type="pct"/>
            <w:tcBorders>
              <w:top w:val="dotted" w:sz="4" w:space="0" w:color="BFBFBF" w:themeColor="background1" w:themeShade="BF"/>
              <w:bottom w:val="dotted" w:sz="4" w:space="0" w:color="BFBFBF" w:themeColor="background1" w:themeShade="BF"/>
            </w:tcBorders>
            <w:hideMark/>
          </w:tcPr>
          <w:p w14:paraId="00E42FD1" w14:textId="77777777" w:rsidR="00CB3970" w:rsidRPr="00E108D9" w:rsidRDefault="00CB3970" w:rsidP="008C6AD9">
            <w:pPr>
              <w:pStyle w:val="Tabletext"/>
              <w:jc w:val="center"/>
              <w:rPr>
                <w:sz w:val="19"/>
                <w:szCs w:val="19"/>
              </w:rPr>
            </w:pPr>
            <w:r w:rsidRPr="00E108D9">
              <w:rPr>
                <w:sz w:val="19"/>
                <w:szCs w:val="19"/>
              </w:rPr>
              <w:t>228</w:t>
            </w:r>
          </w:p>
        </w:tc>
        <w:tc>
          <w:tcPr>
            <w:tcW w:w="856" w:type="pct"/>
            <w:tcBorders>
              <w:top w:val="dotted" w:sz="4" w:space="0" w:color="BFBFBF" w:themeColor="background1" w:themeShade="BF"/>
              <w:bottom w:val="dotted" w:sz="4" w:space="0" w:color="BFBFBF" w:themeColor="background1" w:themeShade="BF"/>
            </w:tcBorders>
            <w:hideMark/>
          </w:tcPr>
          <w:p w14:paraId="4D0B1315" w14:textId="77777777" w:rsidR="00CB3970" w:rsidRPr="00E108D9" w:rsidRDefault="00CB3970" w:rsidP="008C6AD9">
            <w:pPr>
              <w:pStyle w:val="Tabletext"/>
              <w:jc w:val="center"/>
              <w:rPr>
                <w:sz w:val="19"/>
                <w:szCs w:val="19"/>
              </w:rPr>
            </w:pPr>
            <w:r w:rsidRPr="00E108D9">
              <w:rPr>
                <w:sz w:val="19"/>
                <w:szCs w:val="19"/>
              </w:rPr>
              <w:t>60%</w:t>
            </w:r>
          </w:p>
        </w:tc>
      </w:tr>
      <w:tr w:rsidR="00CB3970" w:rsidRPr="008D7332" w14:paraId="77CE9106" w14:textId="77777777" w:rsidTr="00394BB8">
        <w:tc>
          <w:tcPr>
            <w:tcW w:w="3283" w:type="pct"/>
            <w:tcBorders>
              <w:top w:val="dotted" w:sz="4" w:space="0" w:color="BFBFBF" w:themeColor="background1" w:themeShade="BF"/>
              <w:bottom w:val="dotted" w:sz="4" w:space="0" w:color="BFBFBF" w:themeColor="background1" w:themeShade="BF"/>
            </w:tcBorders>
            <w:hideMark/>
          </w:tcPr>
          <w:p w14:paraId="26E06DF9" w14:textId="77777777" w:rsidR="00CB3970" w:rsidRPr="00E108D9" w:rsidRDefault="00CB3970" w:rsidP="005230A9">
            <w:pPr>
              <w:pStyle w:val="Tabletext"/>
              <w:rPr>
                <w:sz w:val="19"/>
                <w:szCs w:val="19"/>
              </w:rPr>
            </w:pPr>
            <w:r w:rsidRPr="00E108D9">
              <w:rPr>
                <w:sz w:val="19"/>
                <w:szCs w:val="19"/>
              </w:rPr>
              <w:t>Cost of compliance with the Quality Standards</w:t>
            </w:r>
          </w:p>
        </w:tc>
        <w:tc>
          <w:tcPr>
            <w:tcW w:w="861" w:type="pct"/>
            <w:tcBorders>
              <w:top w:val="dotted" w:sz="4" w:space="0" w:color="BFBFBF" w:themeColor="background1" w:themeShade="BF"/>
              <w:bottom w:val="dotted" w:sz="4" w:space="0" w:color="BFBFBF" w:themeColor="background1" w:themeShade="BF"/>
            </w:tcBorders>
            <w:hideMark/>
          </w:tcPr>
          <w:p w14:paraId="0AE7BB6F" w14:textId="77777777" w:rsidR="00CB3970" w:rsidRPr="00E108D9" w:rsidRDefault="00CB3970" w:rsidP="008C6AD9">
            <w:pPr>
              <w:pStyle w:val="Tabletext"/>
              <w:jc w:val="center"/>
              <w:rPr>
                <w:sz w:val="19"/>
                <w:szCs w:val="19"/>
              </w:rPr>
            </w:pPr>
            <w:r w:rsidRPr="00E108D9">
              <w:rPr>
                <w:sz w:val="19"/>
                <w:szCs w:val="19"/>
              </w:rPr>
              <w:t>207</w:t>
            </w:r>
          </w:p>
        </w:tc>
        <w:tc>
          <w:tcPr>
            <w:tcW w:w="856" w:type="pct"/>
            <w:tcBorders>
              <w:top w:val="dotted" w:sz="4" w:space="0" w:color="BFBFBF" w:themeColor="background1" w:themeShade="BF"/>
              <w:bottom w:val="dotted" w:sz="4" w:space="0" w:color="BFBFBF" w:themeColor="background1" w:themeShade="BF"/>
            </w:tcBorders>
            <w:hideMark/>
          </w:tcPr>
          <w:p w14:paraId="770E39DB" w14:textId="77777777" w:rsidR="00CB3970" w:rsidRPr="00E108D9" w:rsidRDefault="00CB3970" w:rsidP="008C6AD9">
            <w:pPr>
              <w:pStyle w:val="Tabletext"/>
              <w:jc w:val="center"/>
              <w:rPr>
                <w:sz w:val="19"/>
                <w:szCs w:val="19"/>
              </w:rPr>
            </w:pPr>
            <w:r w:rsidRPr="00E108D9">
              <w:rPr>
                <w:sz w:val="19"/>
                <w:szCs w:val="19"/>
              </w:rPr>
              <w:t>55%</w:t>
            </w:r>
          </w:p>
        </w:tc>
      </w:tr>
      <w:tr w:rsidR="00CB3970" w:rsidRPr="008D7332" w14:paraId="04627458" w14:textId="77777777" w:rsidTr="00394BB8">
        <w:tc>
          <w:tcPr>
            <w:tcW w:w="3283" w:type="pct"/>
            <w:tcBorders>
              <w:top w:val="dotted" w:sz="4" w:space="0" w:color="BFBFBF" w:themeColor="background1" w:themeShade="BF"/>
              <w:bottom w:val="dotted" w:sz="4" w:space="0" w:color="BFBFBF" w:themeColor="background1" w:themeShade="BF"/>
            </w:tcBorders>
            <w:hideMark/>
          </w:tcPr>
          <w:p w14:paraId="4A9E86CB" w14:textId="77777777" w:rsidR="00CB3970" w:rsidRPr="00E108D9" w:rsidRDefault="00CB3970" w:rsidP="005230A9">
            <w:pPr>
              <w:pStyle w:val="Tabletext"/>
              <w:rPr>
                <w:sz w:val="19"/>
                <w:szCs w:val="19"/>
              </w:rPr>
            </w:pPr>
            <w:r w:rsidRPr="00E108D9">
              <w:rPr>
                <w:sz w:val="19"/>
                <w:szCs w:val="19"/>
              </w:rPr>
              <w:t>Implementing the Quality Standards during COVID-19</w:t>
            </w:r>
          </w:p>
        </w:tc>
        <w:tc>
          <w:tcPr>
            <w:tcW w:w="861" w:type="pct"/>
            <w:tcBorders>
              <w:top w:val="dotted" w:sz="4" w:space="0" w:color="BFBFBF" w:themeColor="background1" w:themeShade="BF"/>
              <w:bottom w:val="dotted" w:sz="4" w:space="0" w:color="BFBFBF" w:themeColor="background1" w:themeShade="BF"/>
            </w:tcBorders>
            <w:hideMark/>
          </w:tcPr>
          <w:p w14:paraId="3EA5FE13" w14:textId="77777777" w:rsidR="00CB3970" w:rsidRPr="00E108D9" w:rsidRDefault="00CB3970" w:rsidP="008C6AD9">
            <w:pPr>
              <w:pStyle w:val="Tabletext"/>
              <w:jc w:val="center"/>
              <w:rPr>
                <w:sz w:val="19"/>
                <w:szCs w:val="19"/>
              </w:rPr>
            </w:pPr>
            <w:r w:rsidRPr="00E108D9">
              <w:rPr>
                <w:sz w:val="19"/>
                <w:szCs w:val="19"/>
              </w:rPr>
              <w:t>189</w:t>
            </w:r>
          </w:p>
        </w:tc>
        <w:tc>
          <w:tcPr>
            <w:tcW w:w="856" w:type="pct"/>
            <w:tcBorders>
              <w:top w:val="dotted" w:sz="4" w:space="0" w:color="BFBFBF" w:themeColor="background1" w:themeShade="BF"/>
              <w:bottom w:val="dotted" w:sz="4" w:space="0" w:color="BFBFBF" w:themeColor="background1" w:themeShade="BF"/>
            </w:tcBorders>
            <w:hideMark/>
          </w:tcPr>
          <w:p w14:paraId="01110110" w14:textId="77777777" w:rsidR="00CB3970" w:rsidRPr="00E108D9" w:rsidRDefault="00CB3970" w:rsidP="008C6AD9">
            <w:pPr>
              <w:pStyle w:val="Tabletext"/>
              <w:jc w:val="center"/>
              <w:rPr>
                <w:sz w:val="19"/>
                <w:szCs w:val="19"/>
              </w:rPr>
            </w:pPr>
            <w:r w:rsidRPr="00E108D9">
              <w:rPr>
                <w:sz w:val="19"/>
                <w:szCs w:val="19"/>
              </w:rPr>
              <w:t>50%</w:t>
            </w:r>
          </w:p>
        </w:tc>
      </w:tr>
      <w:tr w:rsidR="00CB3970" w:rsidRPr="008D7332" w14:paraId="1C8DC514" w14:textId="77777777" w:rsidTr="00394BB8">
        <w:tc>
          <w:tcPr>
            <w:tcW w:w="3283" w:type="pct"/>
            <w:tcBorders>
              <w:top w:val="dotted" w:sz="4" w:space="0" w:color="BFBFBF" w:themeColor="background1" w:themeShade="BF"/>
              <w:bottom w:val="dotted" w:sz="4" w:space="0" w:color="BFBFBF" w:themeColor="background1" w:themeShade="BF"/>
            </w:tcBorders>
            <w:hideMark/>
          </w:tcPr>
          <w:p w14:paraId="501609EB" w14:textId="77777777" w:rsidR="00CB3970" w:rsidRPr="00E108D9" w:rsidRDefault="00CB3970" w:rsidP="005230A9">
            <w:pPr>
              <w:pStyle w:val="Tabletext"/>
              <w:rPr>
                <w:sz w:val="19"/>
                <w:szCs w:val="19"/>
              </w:rPr>
            </w:pPr>
            <w:r w:rsidRPr="00E108D9">
              <w:rPr>
                <w:sz w:val="19"/>
                <w:szCs w:val="19"/>
              </w:rPr>
              <w:t>Developing the policies and processes to implement the Quality Standards</w:t>
            </w:r>
          </w:p>
        </w:tc>
        <w:tc>
          <w:tcPr>
            <w:tcW w:w="861" w:type="pct"/>
            <w:tcBorders>
              <w:top w:val="dotted" w:sz="4" w:space="0" w:color="BFBFBF" w:themeColor="background1" w:themeShade="BF"/>
              <w:bottom w:val="dotted" w:sz="4" w:space="0" w:color="BFBFBF" w:themeColor="background1" w:themeShade="BF"/>
            </w:tcBorders>
            <w:hideMark/>
          </w:tcPr>
          <w:p w14:paraId="78875950" w14:textId="77777777" w:rsidR="00CB3970" w:rsidRPr="00E108D9" w:rsidRDefault="00CB3970" w:rsidP="008C6AD9">
            <w:pPr>
              <w:pStyle w:val="Tabletext"/>
              <w:jc w:val="center"/>
              <w:rPr>
                <w:sz w:val="19"/>
                <w:szCs w:val="19"/>
              </w:rPr>
            </w:pPr>
            <w:r w:rsidRPr="00E108D9">
              <w:rPr>
                <w:sz w:val="19"/>
                <w:szCs w:val="19"/>
              </w:rPr>
              <w:t>186</w:t>
            </w:r>
          </w:p>
        </w:tc>
        <w:tc>
          <w:tcPr>
            <w:tcW w:w="856" w:type="pct"/>
            <w:tcBorders>
              <w:top w:val="dotted" w:sz="4" w:space="0" w:color="BFBFBF" w:themeColor="background1" w:themeShade="BF"/>
              <w:bottom w:val="dotted" w:sz="4" w:space="0" w:color="BFBFBF" w:themeColor="background1" w:themeShade="BF"/>
            </w:tcBorders>
            <w:hideMark/>
          </w:tcPr>
          <w:p w14:paraId="7B7A43F3" w14:textId="77777777" w:rsidR="00CB3970" w:rsidRPr="00E108D9" w:rsidRDefault="00CB3970" w:rsidP="008C6AD9">
            <w:pPr>
              <w:pStyle w:val="Tabletext"/>
              <w:jc w:val="center"/>
              <w:rPr>
                <w:sz w:val="19"/>
                <w:szCs w:val="19"/>
              </w:rPr>
            </w:pPr>
            <w:r w:rsidRPr="00E108D9">
              <w:rPr>
                <w:sz w:val="19"/>
                <w:szCs w:val="19"/>
              </w:rPr>
              <w:t>49%</w:t>
            </w:r>
          </w:p>
        </w:tc>
      </w:tr>
      <w:tr w:rsidR="00CB3970" w:rsidRPr="008D7332" w14:paraId="2F3C7308" w14:textId="77777777" w:rsidTr="00394BB8">
        <w:tc>
          <w:tcPr>
            <w:tcW w:w="3283" w:type="pct"/>
            <w:tcBorders>
              <w:top w:val="dotted" w:sz="4" w:space="0" w:color="BFBFBF" w:themeColor="background1" w:themeShade="BF"/>
              <w:bottom w:val="dotted" w:sz="4" w:space="0" w:color="BFBFBF" w:themeColor="background1" w:themeShade="BF"/>
            </w:tcBorders>
            <w:hideMark/>
          </w:tcPr>
          <w:p w14:paraId="05CE573A" w14:textId="77777777" w:rsidR="00CB3970" w:rsidRPr="00E108D9" w:rsidRDefault="00CB3970" w:rsidP="005230A9">
            <w:pPr>
              <w:pStyle w:val="Tabletext"/>
              <w:rPr>
                <w:sz w:val="19"/>
                <w:szCs w:val="19"/>
              </w:rPr>
            </w:pPr>
            <w:r w:rsidRPr="00E108D9">
              <w:rPr>
                <w:sz w:val="19"/>
                <w:szCs w:val="19"/>
              </w:rPr>
              <w:t>Understanding what was required to implement the Quality Standards</w:t>
            </w:r>
          </w:p>
        </w:tc>
        <w:tc>
          <w:tcPr>
            <w:tcW w:w="861" w:type="pct"/>
            <w:tcBorders>
              <w:top w:val="dotted" w:sz="4" w:space="0" w:color="BFBFBF" w:themeColor="background1" w:themeShade="BF"/>
              <w:bottom w:val="dotted" w:sz="4" w:space="0" w:color="BFBFBF" w:themeColor="background1" w:themeShade="BF"/>
            </w:tcBorders>
            <w:hideMark/>
          </w:tcPr>
          <w:p w14:paraId="57F50012" w14:textId="77777777" w:rsidR="00CB3970" w:rsidRPr="00E108D9" w:rsidRDefault="00CB3970" w:rsidP="008C6AD9">
            <w:pPr>
              <w:pStyle w:val="Tabletext"/>
              <w:jc w:val="center"/>
              <w:rPr>
                <w:sz w:val="19"/>
                <w:szCs w:val="19"/>
              </w:rPr>
            </w:pPr>
            <w:r w:rsidRPr="00E108D9">
              <w:rPr>
                <w:sz w:val="19"/>
                <w:szCs w:val="19"/>
              </w:rPr>
              <w:t>172</w:t>
            </w:r>
          </w:p>
        </w:tc>
        <w:tc>
          <w:tcPr>
            <w:tcW w:w="856" w:type="pct"/>
            <w:tcBorders>
              <w:top w:val="dotted" w:sz="4" w:space="0" w:color="BFBFBF" w:themeColor="background1" w:themeShade="BF"/>
              <w:bottom w:val="dotted" w:sz="4" w:space="0" w:color="BFBFBF" w:themeColor="background1" w:themeShade="BF"/>
            </w:tcBorders>
            <w:hideMark/>
          </w:tcPr>
          <w:p w14:paraId="6D108EA0" w14:textId="77777777" w:rsidR="00CB3970" w:rsidRPr="00E108D9" w:rsidRDefault="00CB3970" w:rsidP="008C6AD9">
            <w:pPr>
              <w:pStyle w:val="Tabletext"/>
              <w:jc w:val="center"/>
              <w:rPr>
                <w:sz w:val="19"/>
                <w:szCs w:val="19"/>
              </w:rPr>
            </w:pPr>
            <w:r w:rsidRPr="00E108D9">
              <w:rPr>
                <w:sz w:val="19"/>
                <w:szCs w:val="19"/>
              </w:rPr>
              <w:t>45%</w:t>
            </w:r>
          </w:p>
        </w:tc>
      </w:tr>
      <w:tr w:rsidR="00CB3970" w:rsidRPr="008D7332" w14:paraId="03AEFE01" w14:textId="77777777" w:rsidTr="00394BB8">
        <w:tc>
          <w:tcPr>
            <w:tcW w:w="3283" w:type="pct"/>
            <w:tcBorders>
              <w:top w:val="dotted" w:sz="4" w:space="0" w:color="BFBFBF" w:themeColor="background1" w:themeShade="BF"/>
              <w:bottom w:val="dotted" w:sz="4" w:space="0" w:color="BFBFBF" w:themeColor="background1" w:themeShade="BF"/>
            </w:tcBorders>
            <w:hideMark/>
          </w:tcPr>
          <w:p w14:paraId="3D15CAC1" w14:textId="77777777" w:rsidR="00CB3970" w:rsidRPr="00E108D9" w:rsidRDefault="00CB3970" w:rsidP="005230A9">
            <w:pPr>
              <w:pStyle w:val="Tabletext"/>
              <w:rPr>
                <w:sz w:val="19"/>
                <w:szCs w:val="19"/>
              </w:rPr>
            </w:pPr>
            <w:r w:rsidRPr="00E108D9">
              <w:rPr>
                <w:sz w:val="19"/>
                <w:szCs w:val="19"/>
              </w:rPr>
              <w:t>Access to training and resources to implement the Quality Standards</w:t>
            </w:r>
          </w:p>
        </w:tc>
        <w:tc>
          <w:tcPr>
            <w:tcW w:w="861" w:type="pct"/>
            <w:tcBorders>
              <w:top w:val="dotted" w:sz="4" w:space="0" w:color="BFBFBF" w:themeColor="background1" w:themeShade="BF"/>
              <w:bottom w:val="dotted" w:sz="4" w:space="0" w:color="BFBFBF" w:themeColor="background1" w:themeShade="BF"/>
            </w:tcBorders>
            <w:hideMark/>
          </w:tcPr>
          <w:p w14:paraId="08102795" w14:textId="77777777" w:rsidR="00CB3970" w:rsidRPr="00E108D9" w:rsidRDefault="00CB3970" w:rsidP="008C6AD9">
            <w:pPr>
              <w:pStyle w:val="Tabletext"/>
              <w:jc w:val="center"/>
              <w:rPr>
                <w:sz w:val="19"/>
                <w:szCs w:val="19"/>
              </w:rPr>
            </w:pPr>
            <w:r w:rsidRPr="00E108D9">
              <w:rPr>
                <w:sz w:val="19"/>
                <w:szCs w:val="19"/>
              </w:rPr>
              <w:t>167</w:t>
            </w:r>
          </w:p>
        </w:tc>
        <w:tc>
          <w:tcPr>
            <w:tcW w:w="856" w:type="pct"/>
            <w:tcBorders>
              <w:top w:val="dotted" w:sz="4" w:space="0" w:color="BFBFBF" w:themeColor="background1" w:themeShade="BF"/>
              <w:bottom w:val="dotted" w:sz="4" w:space="0" w:color="BFBFBF" w:themeColor="background1" w:themeShade="BF"/>
            </w:tcBorders>
            <w:hideMark/>
          </w:tcPr>
          <w:p w14:paraId="6ECB2DF5" w14:textId="77777777" w:rsidR="00CB3970" w:rsidRPr="00E108D9" w:rsidRDefault="00CB3970" w:rsidP="008C6AD9">
            <w:pPr>
              <w:pStyle w:val="Tabletext"/>
              <w:jc w:val="center"/>
              <w:rPr>
                <w:sz w:val="19"/>
                <w:szCs w:val="19"/>
              </w:rPr>
            </w:pPr>
            <w:r w:rsidRPr="00E108D9">
              <w:rPr>
                <w:sz w:val="19"/>
                <w:szCs w:val="19"/>
              </w:rPr>
              <w:t>44%</w:t>
            </w:r>
          </w:p>
        </w:tc>
      </w:tr>
      <w:tr w:rsidR="00CB3970" w:rsidRPr="008D7332" w14:paraId="603F2E1E" w14:textId="77777777" w:rsidTr="00394BB8">
        <w:tc>
          <w:tcPr>
            <w:tcW w:w="3283" w:type="pct"/>
            <w:tcBorders>
              <w:top w:val="dotted" w:sz="4" w:space="0" w:color="BFBFBF" w:themeColor="background1" w:themeShade="BF"/>
              <w:bottom w:val="dotted" w:sz="4" w:space="0" w:color="BFBFBF" w:themeColor="background1" w:themeShade="BF"/>
            </w:tcBorders>
            <w:hideMark/>
          </w:tcPr>
          <w:p w14:paraId="6B53125A" w14:textId="77777777" w:rsidR="00CB3970" w:rsidRPr="00E108D9" w:rsidRDefault="00CB3970" w:rsidP="005230A9">
            <w:pPr>
              <w:pStyle w:val="Tabletext"/>
              <w:rPr>
                <w:sz w:val="19"/>
                <w:szCs w:val="19"/>
              </w:rPr>
            </w:pPr>
            <w:r w:rsidRPr="00E108D9">
              <w:rPr>
                <w:sz w:val="19"/>
                <w:szCs w:val="19"/>
              </w:rPr>
              <w:t>Accessing resources to interpret the Quality Standards</w:t>
            </w:r>
          </w:p>
        </w:tc>
        <w:tc>
          <w:tcPr>
            <w:tcW w:w="861" w:type="pct"/>
            <w:tcBorders>
              <w:top w:val="dotted" w:sz="4" w:space="0" w:color="BFBFBF" w:themeColor="background1" w:themeShade="BF"/>
              <w:bottom w:val="dotted" w:sz="4" w:space="0" w:color="BFBFBF" w:themeColor="background1" w:themeShade="BF"/>
            </w:tcBorders>
            <w:hideMark/>
          </w:tcPr>
          <w:p w14:paraId="6CF3E40E" w14:textId="77777777" w:rsidR="00CB3970" w:rsidRPr="00E108D9" w:rsidRDefault="00CB3970" w:rsidP="008C6AD9">
            <w:pPr>
              <w:pStyle w:val="Tabletext"/>
              <w:jc w:val="center"/>
              <w:rPr>
                <w:sz w:val="19"/>
                <w:szCs w:val="19"/>
              </w:rPr>
            </w:pPr>
            <w:r w:rsidRPr="00E108D9">
              <w:rPr>
                <w:sz w:val="19"/>
                <w:szCs w:val="19"/>
              </w:rPr>
              <w:t>128</w:t>
            </w:r>
          </w:p>
        </w:tc>
        <w:tc>
          <w:tcPr>
            <w:tcW w:w="856" w:type="pct"/>
            <w:tcBorders>
              <w:top w:val="dotted" w:sz="4" w:space="0" w:color="BFBFBF" w:themeColor="background1" w:themeShade="BF"/>
              <w:bottom w:val="dotted" w:sz="4" w:space="0" w:color="BFBFBF" w:themeColor="background1" w:themeShade="BF"/>
            </w:tcBorders>
            <w:hideMark/>
          </w:tcPr>
          <w:p w14:paraId="6380D383" w14:textId="77777777" w:rsidR="00CB3970" w:rsidRPr="00E108D9" w:rsidRDefault="00CB3970" w:rsidP="008C6AD9">
            <w:pPr>
              <w:pStyle w:val="Tabletext"/>
              <w:jc w:val="center"/>
              <w:rPr>
                <w:sz w:val="19"/>
                <w:szCs w:val="19"/>
              </w:rPr>
            </w:pPr>
            <w:r w:rsidRPr="00E108D9">
              <w:rPr>
                <w:sz w:val="19"/>
                <w:szCs w:val="19"/>
              </w:rPr>
              <w:t>34%</w:t>
            </w:r>
          </w:p>
        </w:tc>
      </w:tr>
      <w:tr w:rsidR="00CB3970" w:rsidRPr="008D7332" w14:paraId="797FC9EF" w14:textId="77777777" w:rsidTr="00394BB8">
        <w:tc>
          <w:tcPr>
            <w:tcW w:w="3283" w:type="pct"/>
            <w:tcBorders>
              <w:top w:val="dotted" w:sz="4" w:space="0" w:color="BFBFBF" w:themeColor="background1" w:themeShade="BF"/>
              <w:bottom w:val="dotted" w:sz="4" w:space="0" w:color="BFBFBF" w:themeColor="background1" w:themeShade="BF"/>
            </w:tcBorders>
            <w:hideMark/>
          </w:tcPr>
          <w:p w14:paraId="72D91375" w14:textId="77777777" w:rsidR="00CB3970" w:rsidRPr="00E108D9" w:rsidRDefault="00CB3970" w:rsidP="005230A9">
            <w:pPr>
              <w:pStyle w:val="Tabletext"/>
              <w:rPr>
                <w:sz w:val="19"/>
                <w:szCs w:val="19"/>
              </w:rPr>
            </w:pPr>
            <w:r w:rsidRPr="00E108D9">
              <w:rPr>
                <w:sz w:val="19"/>
                <w:szCs w:val="19"/>
              </w:rPr>
              <w:t>Availability of data on your organisation’s performance to prioritise areas for improvement or evaluate performance</w:t>
            </w:r>
          </w:p>
        </w:tc>
        <w:tc>
          <w:tcPr>
            <w:tcW w:w="861" w:type="pct"/>
            <w:tcBorders>
              <w:top w:val="dotted" w:sz="4" w:space="0" w:color="BFBFBF" w:themeColor="background1" w:themeShade="BF"/>
              <w:bottom w:val="dotted" w:sz="4" w:space="0" w:color="BFBFBF" w:themeColor="background1" w:themeShade="BF"/>
            </w:tcBorders>
            <w:hideMark/>
          </w:tcPr>
          <w:p w14:paraId="0CCC5230" w14:textId="77777777" w:rsidR="00CB3970" w:rsidRPr="00E108D9" w:rsidRDefault="00CB3970" w:rsidP="008C6AD9">
            <w:pPr>
              <w:pStyle w:val="Tabletext"/>
              <w:jc w:val="center"/>
              <w:rPr>
                <w:sz w:val="19"/>
                <w:szCs w:val="19"/>
              </w:rPr>
            </w:pPr>
            <w:r w:rsidRPr="00E108D9">
              <w:rPr>
                <w:sz w:val="19"/>
                <w:szCs w:val="19"/>
              </w:rPr>
              <w:t>102</w:t>
            </w:r>
          </w:p>
        </w:tc>
        <w:tc>
          <w:tcPr>
            <w:tcW w:w="856" w:type="pct"/>
            <w:tcBorders>
              <w:top w:val="dotted" w:sz="4" w:space="0" w:color="BFBFBF" w:themeColor="background1" w:themeShade="BF"/>
              <w:bottom w:val="dotted" w:sz="4" w:space="0" w:color="BFBFBF" w:themeColor="background1" w:themeShade="BF"/>
            </w:tcBorders>
            <w:hideMark/>
          </w:tcPr>
          <w:p w14:paraId="1579B775" w14:textId="77777777" w:rsidR="00CB3970" w:rsidRPr="00E108D9" w:rsidRDefault="00CB3970" w:rsidP="008C6AD9">
            <w:pPr>
              <w:pStyle w:val="Tabletext"/>
              <w:jc w:val="center"/>
              <w:rPr>
                <w:sz w:val="19"/>
                <w:szCs w:val="19"/>
              </w:rPr>
            </w:pPr>
            <w:r w:rsidRPr="00E108D9">
              <w:rPr>
                <w:sz w:val="19"/>
                <w:szCs w:val="19"/>
              </w:rPr>
              <w:t>27%</w:t>
            </w:r>
          </w:p>
        </w:tc>
      </w:tr>
      <w:tr w:rsidR="00CB3970" w:rsidRPr="008D7332" w14:paraId="1452F104" w14:textId="77777777" w:rsidTr="00394BB8">
        <w:tc>
          <w:tcPr>
            <w:tcW w:w="3283" w:type="pct"/>
            <w:tcBorders>
              <w:top w:val="dotted" w:sz="4" w:space="0" w:color="BFBFBF" w:themeColor="background1" w:themeShade="BF"/>
              <w:bottom w:val="dotted" w:sz="4" w:space="0" w:color="BFBFBF" w:themeColor="background1" w:themeShade="BF"/>
            </w:tcBorders>
            <w:hideMark/>
          </w:tcPr>
          <w:p w14:paraId="3672CC23" w14:textId="77777777" w:rsidR="00CB3970" w:rsidRPr="00E108D9" w:rsidRDefault="00CB3970" w:rsidP="005230A9">
            <w:pPr>
              <w:pStyle w:val="Tabletext"/>
              <w:rPr>
                <w:sz w:val="19"/>
                <w:szCs w:val="19"/>
              </w:rPr>
            </w:pPr>
            <w:r w:rsidRPr="00E108D9">
              <w:rPr>
                <w:sz w:val="19"/>
                <w:szCs w:val="19"/>
              </w:rPr>
              <w:t>Appropriateness of the Quality Standards to your organisation</w:t>
            </w:r>
          </w:p>
        </w:tc>
        <w:tc>
          <w:tcPr>
            <w:tcW w:w="861" w:type="pct"/>
            <w:tcBorders>
              <w:top w:val="dotted" w:sz="4" w:space="0" w:color="BFBFBF" w:themeColor="background1" w:themeShade="BF"/>
              <w:bottom w:val="dotted" w:sz="4" w:space="0" w:color="BFBFBF" w:themeColor="background1" w:themeShade="BF"/>
            </w:tcBorders>
            <w:hideMark/>
          </w:tcPr>
          <w:p w14:paraId="6D0E2D5C" w14:textId="77777777" w:rsidR="00CB3970" w:rsidRPr="00E108D9" w:rsidRDefault="00CB3970" w:rsidP="008C6AD9">
            <w:pPr>
              <w:pStyle w:val="Tabletext"/>
              <w:jc w:val="center"/>
              <w:rPr>
                <w:sz w:val="19"/>
                <w:szCs w:val="19"/>
              </w:rPr>
            </w:pPr>
            <w:r w:rsidRPr="00E108D9">
              <w:rPr>
                <w:sz w:val="19"/>
                <w:szCs w:val="19"/>
              </w:rPr>
              <w:t>101</w:t>
            </w:r>
          </w:p>
        </w:tc>
        <w:tc>
          <w:tcPr>
            <w:tcW w:w="856" w:type="pct"/>
            <w:tcBorders>
              <w:top w:val="dotted" w:sz="4" w:space="0" w:color="BFBFBF" w:themeColor="background1" w:themeShade="BF"/>
              <w:bottom w:val="dotted" w:sz="4" w:space="0" w:color="BFBFBF" w:themeColor="background1" w:themeShade="BF"/>
            </w:tcBorders>
            <w:hideMark/>
          </w:tcPr>
          <w:p w14:paraId="53EF09AC" w14:textId="77777777" w:rsidR="00CB3970" w:rsidRPr="00E108D9" w:rsidRDefault="00CB3970" w:rsidP="008C6AD9">
            <w:pPr>
              <w:pStyle w:val="Tabletext"/>
              <w:jc w:val="center"/>
              <w:rPr>
                <w:sz w:val="19"/>
                <w:szCs w:val="19"/>
              </w:rPr>
            </w:pPr>
            <w:r w:rsidRPr="00E108D9">
              <w:rPr>
                <w:sz w:val="19"/>
                <w:szCs w:val="19"/>
              </w:rPr>
              <w:t>27%</w:t>
            </w:r>
          </w:p>
        </w:tc>
      </w:tr>
      <w:tr w:rsidR="00CB3970" w:rsidRPr="008D7332" w14:paraId="38292A06" w14:textId="77777777" w:rsidTr="00394BB8">
        <w:tc>
          <w:tcPr>
            <w:tcW w:w="3283" w:type="pct"/>
            <w:tcBorders>
              <w:top w:val="dotted" w:sz="4" w:space="0" w:color="BFBFBF" w:themeColor="background1" w:themeShade="BF"/>
              <w:bottom w:val="dotted" w:sz="4" w:space="0" w:color="BFBFBF" w:themeColor="background1" w:themeShade="BF"/>
            </w:tcBorders>
            <w:hideMark/>
          </w:tcPr>
          <w:p w14:paraId="4CF4DEA6" w14:textId="77777777" w:rsidR="00CB3970" w:rsidRPr="00E108D9" w:rsidRDefault="00CB3970" w:rsidP="005230A9">
            <w:pPr>
              <w:pStyle w:val="Tabletext"/>
              <w:rPr>
                <w:sz w:val="19"/>
                <w:szCs w:val="19"/>
              </w:rPr>
            </w:pPr>
            <w:r w:rsidRPr="00E108D9">
              <w:rPr>
                <w:sz w:val="19"/>
                <w:szCs w:val="19"/>
              </w:rPr>
              <w:t>Limited leadership from management to support implementation of the Quality Standards</w:t>
            </w:r>
          </w:p>
        </w:tc>
        <w:tc>
          <w:tcPr>
            <w:tcW w:w="861" w:type="pct"/>
            <w:tcBorders>
              <w:top w:val="dotted" w:sz="4" w:space="0" w:color="BFBFBF" w:themeColor="background1" w:themeShade="BF"/>
              <w:bottom w:val="dotted" w:sz="4" w:space="0" w:color="BFBFBF" w:themeColor="background1" w:themeShade="BF"/>
            </w:tcBorders>
            <w:hideMark/>
          </w:tcPr>
          <w:p w14:paraId="690E68FC" w14:textId="77777777" w:rsidR="00CB3970" w:rsidRPr="00E108D9" w:rsidRDefault="00CB3970" w:rsidP="008C6AD9">
            <w:pPr>
              <w:pStyle w:val="Tabletext"/>
              <w:jc w:val="center"/>
              <w:rPr>
                <w:sz w:val="19"/>
                <w:szCs w:val="19"/>
              </w:rPr>
            </w:pPr>
            <w:r w:rsidRPr="00E108D9">
              <w:rPr>
                <w:sz w:val="19"/>
                <w:szCs w:val="19"/>
              </w:rPr>
              <w:t>81</w:t>
            </w:r>
          </w:p>
        </w:tc>
        <w:tc>
          <w:tcPr>
            <w:tcW w:w="856" w:type="pct"/>
            <w:tcBorders>
              <w:top w:val="dotted" w:sz="4" w:space="0" w:color="BFBFBF" w:themeColor="background1" w:themeShade="BF"/>
              <w:bottom w:val="dotted" w:sz="4" w:space="0" w:color="BFBFBF" w:themeColor="background1" w:themeShade="BF"/>
            </w:tcBorders>
            <w:hideMark/>
          </w:tcPr>
          <w:p w14:paraId="68DE6DDA" w14:textId="77777777" w:rsidR="00CB3970" w:rsidRPr="00E108D9" w:rsidRDefault="00CB3970" w:rsidP="008C6AD9">
            <w:pPr>
              <w:pStyle w:val="Tabletext"/>
              <w:jc w:val="center"/>
              <w:rPr>
                <w:sz w:val="19"/>
                <w:szCs w:val="19"/>
              </w:rPr>
            </w:pPr>
            <w:r w:rsidRPr="00E108D9">
              <w:rPr>
                <w:sz w:val="19"/>
                <w:szCs w:val="19"/>
              </w:rPr>
              <w:t>21%</w:t>
            </w:r>
          </w:p>
        </w:tc>
      </w:tr>
      <w:tr w:rsidR="00CB3970" w:rsidRPr="008D7332" w14:paraId="47220E16" w14:textId="77777777" w:rsidTr="00394BB8">
        <w:tc>
          <w:tcPr>
            <w:tcW w:w="3283" w:type="pct"/>
            <w:tcBorders>
              <w:top w:val="dotted" w:sz="4" w:space="0" w:color="BFBFBF" w:themeColor="background1" w:themeShade="BF"/>
              <w:bottom w:val="single" w:sz="8" w:space="0" w:color="00338D" w:themeColor="text2"/>
            </w:tcBorders>
            <w:hideMark/>
          </w:tcPr>
          <w:p w14:paraId="1E3DFC40" w14:textId="77777777" w:rsidR="00CB3970" w:rsidRPr="00E108D9" w:rsidRDefault="00CB3970" w:rsidP="005230A9">
            <w:pPr>
              <w:pStyle w:val="Tabletext"/>
              <w:rPr>
                <w:sz w:val="19"/>
                <w:szCs w:val="19"/>
              </w:rPr>
            </w:pPr>
            <w:r w:rsidRPr="00E108D9">
              <w:rPr>
                <w:sz w:val="19"/>
                <w:szCs w:val="19"/>
              </w:rPr>
              <w:t>Other (Free text)</w:t>
            </w:r>
          </w:p>
        </w:tc>
        <w:tc>
          <w:tcPr>
            <w:tcW w:w="861" w:type="pct"/>
            <w:tcBorders>
              <w:top w:val="dotted" w:sz="4" w:space="0" w:color="BFBFBF" w:themeColor="background1" w:themeShade="BF"/>
              <w:bottom w:val="single" w:sz="8" w:space="0" w:color="00338D" w:themeColor="text2"/>
            </w:tcBorders>
            <w:hideMark/>
          </w:tcPr>
          <w:p w14:paraId="4B02F572" w14:textId="77777777" w:rsidR="00CB3970" w:rsidRPr="00E108D9" w:rsidRDefault="00CB3970" w:rsidP="008C6AD9">
            <w:pPr>
              <w:pStyle w:val="Tabletext"/>
              <w:jc w:val="center"/>
              <w:rPr>
                <w:sz w:val="19"/>
                <w:szCs w:val="19"/>
              </w:rPr>
            </w:pPr>
            <w:r w:rsidRPr="00E108D9">
              <w:rPr>
                <w:sz w:val="19"/>
                <w:szCs w:val="19"/>
              </w:rPr>
              <w:t>38</w:t>
            </w:r>
          </w:p>
        </w:tc>
        <w:tc>
          <w:tcPr>
            <w:tcW w:w="856" w:type="pct"/>
            <w:tcBorders>
              <w:top w:val="dotted" w:sz="4" w:space="0" w:color="BFBFBF" w:themeColor="background1" w:themeShade="BF"/>
              <w:bottom w:val="single" w:sz="8" w:space="0" w:color="00338D" w:themeColor="text2"/>
            </w:tcBorders>
            <w:hideMark/>
          </w:tcPr>
          <w:p w14:paraId="4B8EFA38" w14:textId="77777777" w:rsidR="00CB3970" w:rsidRPr="00E108D9" w:rsidRDefault="00CB3970" w:rsidP="008C6AD9">
            <w:pPr>
              <w:pStyle w:val="Tabletext"/>
              <w:jc w:val="center"/>
              <w:rPr>
                <w:sz w:val="19"/>
                <w:szCs w:val="19"/>
              </w:rPr>
            </w:pPr>
            <w:r w:rsidRPr="00E108D9">
              <w:rPr>
                <w:sz w:val="19"/>
                <w:szCs w:val="19"/>
              </w:rPr>
              <w:t>10%</w:t>
            </w:r>
          </w:p>
        </w:tc>
      </w:tr>
    </w:tbl>
    <w:p w14:paraId="0083305F" w14:textId="2BE0D2D9" w:rsidR="00CB3970" w:rsidRPr="00FD39C5" w:rsidRDefault="00CB3970" w:rsidP="00231A99">
      <w:pPr>
        <w:pStyle w:val="Source0"/>
      </w:pPr>
      <w:r w:rsidRPr="00FD39C5">
        <w:t xml:space="preserve">Source: </w:t>
      </w:r>
      <w:r w:rsidR="00F246D4">
        <w:t xml:space="preserve">Analysis of Evaluation Survey, </w:t>
      </w:r>
      <w:r w:rsidR="00163B7E">
        <w:t>KPMG</w:t>
      </w:r>
      <w:r w:rsidR="00E947EA">
        <w:t>.</w:t>
      </w:r>
    </w:p>
    <w:p w14:paraId="52396CF2" w14:textId="407B9C72" w:rsidR="002707D2" w:rsidRDefault="002707D2" w:rsidP="005230A9">
      <w:pPr>
        <w:pStyle w:val="BodyText1"/>
      </w:pPr>
      <w:r>
        <w:t xml:space="preserve">Of the barriers experienced by providers, there was a difference in </w:t>
      </w:r>
      <w:r w:rsidR="008E5C00">
        <w:t>the barriers</w:t>
      </w:r>
      <w:r>
        <w:t xml:space="preserve"> observed by </w:t>
      </w:r>
      <w:r w:rsidR="008E5C00">
        <w:t xml:space="preserve">service delivery </w:t>
      </w:r>
      <w:r>
        <w:t>setting.</w:t>
      </w:r>
      <w:r w:rsidR="00D00394">
        <w:t xml:space="preserve"> Survey respondents </w:t>
      </w:r>
      <w:r w:rsidR="00723346">
        <w:t>from p</w:t>
      </w:r>
      <w:r w:rsidR="00D00394">
        <w:t xml:space="preserve">roviders in rural and remote areas overall </w:t>
      </w:r>
      <w:r w:rsidR="002C7E16">
        <w:t>selected a slightly</w:t>
      </w:r>
      <w:r w:rsidR="00D00394">
        <w:t xml:space="preserve"> higher number of barriers </w:t>
      </w:r>
      <w:r w:rsidR="002C7E16">
        <w:t>in the survey</w:t>
      </w:r>
      <w:r w:rsidR="00723346">
        <w:t xml:space="preserve"> (6.35)</w:t>
      </w:r>
      <w:r w:rsidR="00D00394">
        <w:t xml:space="preserve"> than those in</w:t>
      </w:r>
      <w:r w:rsidR="00723346">
        <w:t xml:space="preserve"> regional areas (average of 5.51) and major cities (5.35).</w:t>
      </w:r>
      <w:r w:rsidR="00511733">
        <w:t xml:space="preserve"> Workforce and cost of compliance acted as a more significant barrier to providers in rural and remote locations </w:t>
      </w:r>
      <w:r w:rsidR="002075DD">
        <w:t xml:space="preserve">than </w:t>
      </w:r>
      <w:r w:rsidR="00511733">
        <w:t xml:space="preserve">to those in regional and major city areas (as presented in </w:t>
      </w:r>
      <w:r w:rsidR="00511733">
        <w:fldChar w:fldCharType="begin" w:fldLock="1"/>
      </w:r>
      <w:r w:rsidR="00511733">
        <w:instrText xml:space="preserve"> REF _Ref85184383 \h </w:instrText>
      </w:r>
      <w:r w:rsidR="00511733">
        <w:fldChar w:fldCharType="separate"/>
      </w:r>
      <w:r w:rsidR="00453533">
        <w:t xml:space="preserve">Figure </w:t>
      </w:r>
      <w:r w:rsidR="00453533">
        <w:rPr>
          <w:noProof/>
        </w:rPr>
        <w:t>5</w:t>
      </w:r>
      <w:r w:rsidR="00511733">
        <w:fldChar w:fldCharType="end"/>
      </w:r>
      <w:r w:rsidR="00511733">
        <w:t>).</w:t>
      </w:r>
    </w:p>
    <w:p w14:paraId="4A59E5D1" w14:textId="47E6DEB1" w:rsidR="003B54A5" w:rsidRDefault="003B54A5" w:rsidP="00231A99">
      <w:pPr>
        <w:pStyle w:val="Caption"/>
      </w:pPr>
      <w:bookmarkStart w:id="123" w:name="_Ref85184383"/>
      <w:bookmarkStart w:id="124" w:name="_Toc85369262"/>
      <w:r>
        <w:lastRenderedPageBreak/>
        <w:t xml:space="preserve">Figure </w:t>
      </w:r>
      <w:r>
        <w:fldChar w:fldCharType="begin"/>
      </w:r>
      <w:r>
        <w:instrText>SEQ Figure \* ARABIC</w:instrText>
      </w:r>
      <w:r>
        <w:fldChar w:fldCharType="separate"/>
      </w:r>
      <w:r w:rsidR="0083123A">
        <w:rPr>
          <w:noProof/>
        </w:rPr>
        <w:t>5</w:t>
      </w:r>
      <w:r>
        <w:fldChar w:fldCharType="end"/>
      </w:r>
      <w:bookmarkEnd w:id="123"/>
      <w:r w:rsidR="000E5B4C">
        <w:t>:</w:t>
      </w:r>
      <w:r>
        <w:t xml:space="preserve"> </w:t>
      </w:r>
      <w:r w:rsidRPr="00485AD6">
        <w:t>‘What barriers existed in your organisation putting the Quality Standards into practice?’</w:t>
      </w:r>
      <w:r>
        <w:t>, percentage</w:t>
      </w:r>
      <w:bookmarkEnd w:id="124"/>
      <w:r>
        <w:t xml:space="preserve"> </w:t>
      </w:r>
    </w:p>
    <w:p w14:paraId="75D27005" w14:textId="5BEAE61E" w:rsidR="003B54A5" w:rsidRDefault="00231A99" w:rsidP="00231A99">
      <w:pPr>
        <w:pStyle w:val="BodyText1"/>
      </w:pPr>
      <w:r w:rsidRPr="00231A99">
        <w:rPr>
          <w:noProof/>
          <w:shd w:val="clear" w:color="auto" w:fill="0091DA" w:themeFill="accent1"/>
        </w:rPr>
        <w:drawing>
          <wp:inline distT="0" distB="0" distL="0" distR="0" wp14:anchorId="5D8AF007" wp14:editId="036DD992">
            <wp:extent cx="5759450" cy="3239770"/>
            <wp:effectExtent l="0" t="0" r="0" b="0"/>
            <wp:docPr id="50" name="Chart 50" descr="Stacked bar chart. Figure 5. What barriers existed in your organisation putting the Quality Standards into practice?’, percentage. Source KPMG.">
              <a:extLst xmlns:a="http://schemas.openxmlformats.org/drawingml/2006/main">
                <a:ext uri="{FF2B5EF4-FFF2-40B4-BE49-F238E27FC236}">
                  <a16:creationId xmlns:a16="http://schemas.microsoft.com/office/drawing/2014/main" id="{EA9BD101-F6B7-4E68-976A-137234FA30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5205BA4" w14:textId="031C905E" w:rsidR="00812BA9" w:rsidRPr="002D794E" w:rsidRDefault="00E102DF" w:rsidP="00231A99">
      <w:pPr>
        <w:pStyle w:val="Source0"/>
      </w:pPr>
      <w:r>
        <w:t xml:space="preserve">Source: </w:t>
      </w:r>
      <w:r w:rsidR="00163B7E">
        <w:t>KPMG</w:t>
      </w:r>
      <w:r w:rsidR="00E947EA">
        <w:t>.</w:t>
      </w:r>
    </w:p>
    <w:p w14:paraId="6B793105" w14:textId="09E235D9" w:rsidR="003414DC" w:rsidRDefault="00552E28" w:rsidP="00231A99">
      <w:pPr>
        <w:pStyle w:val="HeadingLevel3NoNumber"/>
      </w:pPr>
      <w:r>
        <w:t xml:space="preserve">Governance and </w:t>
      </w:r>
      <w:r w:rsidR="00862791">
        <w:t>workforce</w:t>
      </w:r>
    </w:p>
    <w:p w14:paraId="0DEA649B" w14:textId="4710C1EE" w:rsidR="00423032" w:rsidRDefault="00552E28" w:rsidP="005230A9">
      <w:pPr>
        <w:pStyle w:val="BodyText1"/>
      </w:pPr>
      <w:r>
        <w:t xml:space="preserve">Governance and workforce </w:t>
      </w:r>
      <w:r w:rsidR="008022F9">
        <w:t>were</w:t>
      </w:r>
      <w:r w:rsidR="007E23FF">
        <w:t xml:space="preserve"> raised as both enabler</w:t>
      </w:r>
      <w:r w:rsidR="008022F9">
        <w:t>s</w:t>
      </w:r>
      <w:r w:rsidR="007E23FF">
        <w:t xml:space="preserve"> and barrier</w:t>
      </w:r>
      <w:r w:rsidR="008022F9">
        <w:t>s</w:t>
      </w:r>
      <w:r w:rsidR="007E23FF">
        <w:t xml:space="preserve"> to </w:t>
      </w:r>
      <w:r w:rsidR="008022F9">
        <w:t xml:space="preserve">the </w:t>
      </w:r>
      <w:r w:rsidR="007E23FF">
        <w:t xml:space="preserve">implementation of the Standards. </w:t>
      </w:r>
      <w:r w:rsidR="005102DF">
        <w:t>C</w:t>
      </w:r>
      <w:r w:rsidR="000904A8">
        <w:t>ommon themes raised as enablers</w:t>
      </w:r>
      <w:r w:rsidR="005102DF">
        <w:t xml:space="preserve"> were</w:t>
      </w:r>
      <w:r w:rsidR="000904A8">
        <w:t xml:space="preserve"> as follows</w:t>
      </w:r>
      <w:r w:rsidR="00DB582D">
        <w:t>:</w:t>
      </w:r>
    </w:p>
    <w:p w14:paraId="6A77D1A7" w14:textId="58FA63C0" w:rsidR="002A470A" w:rsidRDefault="00DB582D" w:rsidP="00E947EA">
      <w:pPr>
        <w:pStyle w:val="Bullet1stlevel"/>
        <w:spacing w:before="120" w:after="120"/>
      </w:pPr>
      <w:r w:rsidRPr="00E710DB">
        <w:rPr>
          <w:rStyle w:val="Strong"/>
        </w:rPr>
        <w:t>Governance and leadership within an organisation:</w:t>
      </w:r>
      <w:r>
        <w:t xml:space="preserve"> </w:t>
      </w:r>
      <w:r w:rsidR="007D4D01">
        <w:t>The Royal Commission highlighted the role of leadership and governance in supporting high quality and safe care</w:t>
      </w:r>
      <w:r w:rsidR="002075DD">
        <w:t>.</w:t>
      </w:r>
      <w:r w:rsidR="0083123A">
        <w:rPr>
          <w:rFonts w:ascii="ZWAdobeF" w:hAnsi="ZWAdobeF" w:cs="ZWAdobeF"/>
          <w:sz w:val="2"/>
          <w:szCs w:val="2"/>
        </w:rPr>
        <w:t>23F</w:t>
      </w:r>
      <w:r w:rsidR="00573B6D" w:rsidRPr="00274483">
        <w:rPr>
          <w:vertAlign w:val="superscript"/>
        </w:rPr>
        <w:footnoteReference w:id="24"/>
      </w:r>
      <w:r w:rsidR="007D4D01">
        <w:t xml:space="preserve"> </w:t>
      </w:r>
      <w:r>
        <w:t xml:space="preserve">Feedback </w:t>
      </w:r>
      <w:r w:rsidR="007D4D01">
        <w:t xml:space="preserve">received </w:t>
      </w:r>
      <w:r>
        <w:t>from some providers</w:t>
      </w:r>
      <w:r w:rsidR="007D4D01">
        <w:t xml:space="preserve"> related to workforce highlighted that the leadership and governance of their organisation had acted as an enabler to </w:t>
      </w:r>
      <w:r w:rsidR="00206DAE">
        <w:t>their organisation</w:t>
      </w:r>
      <w:r w:rsidR="007D4D01">
        <w:t xml:space="preserve"> implement</w:t>
      </w:r>
      <w:r w:rsidR="00863769">
        <w:t>ing</w:t>
      </w:r>
      <w:r w:rsidR="007D4D01">
        <w:t xml:space="preserve"> the Standards. </w:t>
      </w:r>
      <w:r w:rsidR="00F654CE">
        <w:t>Examples were raised</w:t>
      </w:r>
      <w:r w:rsidR="002075DD" w:rsidDel="00274483">
        <w:t xml:space="preserve"> </w:t>
      </w:r>
      <w:r w:rsidR="002075DD">
        <w:t>that</w:t>
      </w:r>
      <w:r w:rsidR="00100C2C">
        <w:t xml:space="preserve"> the culture and leadership set by senior leaders and managers within the</w:t>
      </w:r>
      <w:r w:rsidR="009244DC">
        <w:t>ir</w:t>
      </w:r>
      <w:r w:rsidR="00100C2C">
        <w:t xml:space="preserve"> organisation</w:t>
      </w:r>
      <w:r w:rsidR="00EC2A65">
        <w:t xml:space="preserve"> </w:t>
      </w:r>
      <w:r w:rsidR="0036673A">
        <w:t>meant there was</w:t>
      </w:r>
      <w:r w:rsidR="00EC2A65">
        <w:t xml:space="preserve"> a</w:t>
      </w:r>
      <w:r w:rsidR="0036673A">
        <w:t xml:space="preserve"> strong focus on implementing the Standards</w:t>
      </w:r>
      <w:r w:rsidR="00FE1AC4">
        <w:t>, including investing in</w:t>
      </w:r>
      <w:r w:rsidR="0036673A">
        <w:t xml:space="preserve"> staff training</w:t>
      </w:r>
      <w:r w:rsidR="00FE1AC4">
        <w:t xml:space="preserve"> and implementation activities</w:t>
      </w:r>
      <w:r w:rsidR="0036673A">
        <w:t>, which</w:t>
      </w:r>
      <w:r w:rsidR="009244DC">
        <w:t xml:space="preserve"> had enabled their organisation to implement the Standards:</w:t>
      </w:r>
      <w:r w:rsidR="00920D45">
        <w:t xml:space="preserve">  </w:t>
      </w:r>
    </w:p>
    <w:tbl>
      <w:tblPr>
        <w:tblStyle w:val="TableGrid"/>
        <w:tblW w:w="0" w:type="auto"/>
        <w:tblInd w:w="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338D" w:themeFill="text2"/>
        <w:tblLook w:val="04A0" w:firstRow="1" w:lastRow="0" w:firstColumn="1" w:lastColumn="0" w:noHBand="0" w:noVBand="1"/>
      </w:tblPr>
      <w:tblGrid>
        <w:gridCol w:w="816"/>
        <w:gridCol w:w="7090"/>
        <w:gridCol w:w="842"/>
      </w:tblGrid>
      <w:tr w:rsidR="00DF3667" w14:paraId="4E0605E4" w14:textId="77777777" w:rsidTr="00E947EA">
        <w:tc>
          <w:tcPr>
            <w:tcW w:w="666" w:type="dxa"/>
            <w:shd w:val="clear" w:color="auto" w:fill="00338D" w:themeFill="text2"/>
          </w:tcPr>
          <w:p w14:paraId="21FEAB6F" w14:textId="77777777" w:rsidR="00DF3667" w:rsidRDefault="00DF3667" w:rsidP="00E710DB">
            <w:pPr>
              <w:pStyle w:val="Tableheading"/>
              <w:rPr>
                <w:noProof/>
              </w:rPr>
            </w:pPr>
            <w:r>
              <w:rPr>
                <w:noProof/>
              </w:rPr>
              <mc:AlternateContent>
                <mc:Choice Requires="wpg">
                  <w:drawing>
                    <wp:inline distT="0" distB="0" distL="0" distR="0" wp14:anchorId="581CE5ED" wp14:editId="767EA7E2">
                      <wp:extent cx="365760" cy="295710"/>
                      <wp:effectExtent l="0" t="0" r="15240" b="28575"/>
                      <wp:docPr id="474" name="Group 4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5760" cy="295710"/>
                                <a:chOff x="0" y="0"/>
                                <a:chExt cx="464481" cy="375528"/>
                              </a:xfrm>
                            </wpg:grpSpPr>
                            <wps:wsp>
                              <wps:cNvPr id="475" name="Freeform 5"/>
                              <wps:cNvSpPr>
                                <a:spLocks/>
                              </wps:cNvSpPr>
                              <wps:spPr bwMode="auto">
                                <a:xfrm>
                                  <a:off x="157277" y="7316"/>
                                  <a:ext cx="307204" cy="368212"/>
                                </a:xfrm>
                                <a:custGeom>
                                  <a:avLst/>
                                  <a:gdLst>
                                    <a:gd name="T0" fmla="*/ 127 w 157"/>
                                    <a:gd name="T1" fmla="*/ 0 h 187"/>
                                    <a:gd name="T2" fmla="*/ 131 w 157"/>
                                    <a:gd name="T3" fmla="*/ 2 h 187"/>
                                    <a:gd name="T4" fmla="*/ 94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7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7" y="0"/>
                                      </a:moveTo>
                                      <a:cubicBezTo>
                                        <a:pt x="131" y="2"/>
                                        <a:pt x="131" y="2"/>
                                        <a:pt x="131" y="2"/>
                                      </a:cubicBezTo>
                                      <a:cubicBezTo>
                                        <a:pt x="109" y="14"/>
                                        <a:pt x="97" y="31"/>
                                        <a:pt x="94" y="53"/>
                                      </a:cubicBezTo>
                                      <a:cubicBezTo>
                                        <a:pt x="136" y="64"/>
                                        <a:pt x="157" y="85"/>
                                        <a:pt x="157" y="117"/>
                                      </a:cubicBezTo>
                                      <a:cubicBezTo>
                                        <a:pt x="157" y="137"/>
                                        <a:pt x="149" y="154"/>
                                        <a:pt x="134" y="167"/>
                                      </a:cubicBezTo>
                                      <a:cubicBezTo>
                                        <a:pt x="119" y="181"/>
                                        <a:pt x="100" y="187"/>
                                        <a:pt x="78" y="187"/>
                                      </a:cubicBezTo>
                                      <a:cubicBezTo>
                                        <a:pt x="55" y="187"/>
                                        <a:pt x="36" y="181"/>
                                        <a:pt x="22" y="167"/>
                                      </a:cubicBezTo>
                                      <a:cubicBezTo>
                                        <a:pt x="7" y="153"/>
                                        <a:pt x="0" y="136"/>
                                        <a:pt x="0" y="115"/>
                                      </a:cubicBezTo>
                                      <a:cubicBezTo>
                                        <a:pt x="0" y="88"/>
                                        <a:pt x="12" y="64"/>
                                        <a:pt x="36" y="41"/>
                                      </a:cubicBezTo>
                                      <a:cubicBezTo>
                                        <a:pt x="60" y="19"/>
                                        <a:pt x="91" y="5"/>
                                        <a:pt x="127" y="0"/>
                                      </a:cubicBezTo>
                                    </a:path>
                                  </a:pathLst>
                                </a:custGeom>
                                <a:solidFill>
                                  <a:schemeClr val="bg1"/>
                                </a:solidFill>
                                <a:ln w="19050">
                                  <a:solidFill>
                                    <a:schemeClr val="bg1"/>
                                  </a:solidFill>
                                </a:ln>
                              </wps:spPr>
                              <wps:bodyPr vert="horz" wrap="square" lIns="91440" tIns="45720" rIns="91440" bIns="45720" numCol="1" anchor="t" anchorCtr="0" compatLnSpc="1">
                                <a:prstTxWarp prst="textNoShape">
                                  <a:avLst/>
                                </a:prstTxWarp>
                              </wps:bodyPr>
                            </wps:wsp>
                            <wps:wsp>
                              <wps:cNvPr id="477" name="Freeform 6"/>
                              <wps:cNvSpPr>
                                <a:spLocks/>
                              </wps:cNvSpPr>
                              <wps:spPr bwMode="auto">
                                <a:xfrm>
                                  <a:off x="0" y="0"/>
                                  <a:ext cx="306705" cy="367665"/>
                                </a:xfrm>
                                <a:custGeom>
                                  <a:avLst/>
                                  <a:gdLst>
                                    <a:gd name="T0" fmla="*/ 128 w 157"/>
                                    <a:gd name="T1" fmla="*/ 0 h 187"/>
                                    <a:gd name="T2" fmla="*/ 132 w 157"/>
                                    <a:gd name="T3" fmla="*/ 2 h 187"/>
                                    <a:gd name="T4" fmla="*/ 95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8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8" y="0"/>
                                      </a:moveTo>
                                      <a:cubicBezTo>
                                        <a:pt x="132" y="2"/>
                                        <a:pt x="132" y="2"/>
                                        <a:pt x="132" y="2"/>
                                      </a:cubicBezTo>
                                      <a:cubicBezTo>
                                        <a:pt x="110" y="14"/>
                                        <a:pt x="97" y="31"/>
                                        <a:pt x="95" y="53"/>
                                      </a:cubicBezTo>
                                      <a:cubicBezTo>
                                        <a:pt x="137" y="64"/>
                                        <a:pt x="157" y="85"/>
                                        <a:pt x="157" y="117"/>
                                      </a:cubicBezTo>
                                      <a:cubicBezTo>
                                        <a:pt x="157" y="137"/>
                                        <a:pt x="150" y="154"/>
                                        <a:pt x="134" y="167"/>
                                      </a:cubicBezTo>
                                      <a:cubicBezTo>
                                        <a:pt x="119" y="181"/>
                                        <a:pt x="100" y="187"/>
                                        <a:pt x="78" y="187"/>
                                      </a:cubicBezTo>
                                      <a:cubicBezTo>
                                        <a:pt x="55" y="187"/>
                                        <a:pt x="37" y="181"/>
                                        <a:pt x="22" y="167"/>
                                      </a:cubicBezTo>
                                      <a:cubicBezTo>
                                        <a:pt x="7" y="153"/>
                                        <a:pt x="0" y="136"/>
                                        <a:pt x="0" y="115"/>
                                      </a:cubicBezTo>
                                      <a:cubicBezTo>
                                        <a:pt x="0" y="88"/>
                                        <a:pt x="12" y="64"/>
                                        <a:pt x="36" y="41"/>
                                      </a:cubicBezTo>
                                      <a:cubicBezTo>
                                        <a:pt x="61" y="19"/>
                                        <a:pt x="91" y="5"/>
                                        <a:pt x="128" y="0"/>
                                      </a:cubicBezTo>
                                    </a:path>
                                  </a:pathLst>
                                </a:custGeom>
                                <a:solidFill>
                                  <a:schemeClr val="tx2"/>
                                </a:solidFill>
                                <a:ln w="19050">
                                  <a:solidFill>
                                    <a:schemeClr val="bg1"/>
                                  </a:solidFill>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1884A43A" id="Group 474" o:spid="_x0000_s1026" alt="&quot;&quot;" style="width:28.8pt;height:23.3pt;mso-position-horizontal-relative:char;mso-position-vertical-relative:line" coordsize="464481,375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">
                      <v:shape id="Freeform 5" o:spid="_x0000_s1027" style="position:absolute;left:157277;top:7316;width:307204;height:368212;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" path="m127,v4,2,4,2,4,2c109,14,97,31,94,53v42,11,63,32,63,64c157,137,149,154,134,167v-15,14,-34,20,-56,20c55,187,36,181,22,167,7,153,,136,,115,,88,12,64,36,41,60,19,91,5,127,e" fillcolor="white [3212]" strokecolor="white [3212]" strokeweight="1.5pt">
                        <v:path arrowok="t" o:connecttype="custom" o:connectlocs="248503,0;256329,3938;183931,104360;307204,230379;262200,328831;152624,368212;43048,328831;0,226441;70442,80731;248503,0" o:connectangles="0,0,0,0,0,0,0,0,0,0"/>
                      </v:shape>
                      <v:shape id="Freeform 6" o:spid="_x0000_s1028" style="position:absolute;width:306705;height:367665;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" path="m128,v4,2,4,2,4,2c110,14,97,31,95,53v42,11,62,32,62,64c157,137,150,154,134,167v-15,14,-34,20,-56,20c55,187,37,181,22,167,7,153,,136,,115,,88,12,64,36,41,61,19,91,5,128,e" fillcolor="#00338d [3215]" strokecolor="white [3212]" strokeweight="1.5pt">
                        <v:path arrowok="t" o:connecttype="custom" o:connectlocs="250052,0;257867,3932;185586,104205;306705,230036;261774,328343;152376,367665;42978,328343;0,226104;70327,80611;250052,0" o:connectangles="0,0,0,0,0,0,0,0,0,0"/>
                      </v:shape>
                      <w10:anchorlock/>
                    </v:group>
                  </w:pict>
                </mc:Fallback>
              </mc:AlternateContent>
            </w:r>
          </w:p>
        </w:tc>
        <w:tc>
          <w:tcPr>
            <w:tcW w:w="7229" w:type="dxa"/>
            <w:shd w:val="clear" w:color="auto" w:fill="00338D" w:themeFill="text2"/>
          </w:tcPr>
          <w:p w14:paraId="420372B4" w14:textId="3C65E550" w:rsidR="00DF3667" w:rsidRPr="00E710DB" w:rsidRDefault="00E947EA" w:rsidP="00E710DB">
            <w:pPr>
              <w:pStyle w:val="Tableheading"/>
              <w:rPr>
                <w:noProof/>
              </w:rPr>
            </w:pPr>
            <w:r w:rsidRPr="00E710DB">
              <w:rPr>
                <w:noProof/>
              </w:rPr>
              <w:t>Organisational governance, supportive leadership, adequate resources and time allowed to ensure we have the tools to document what we do and we record the evidence of it being done.</w:t>
            </w:r>
          </w:p>
        </w:tc>
        <w:tc>
          <w:tcPr>
            <w:tcW w:w="843" w:type="dxa"/>
            <w:shd w:val="clear" w:color="auto" w:fill="00338D" w:themeFill="text2"/>
          </w:tcPr>
          <w:p w14:paraId="195431C5" w14:textId="77777777" w:rsidR="00DF3667" w:rsidRDefault="00DF3667" w:rsidP="00E710DB">
            <w:pPr>
              <w:pStyle w:val="Tableheading"/>
              <w:rPr>
                <w:noProof/>
              </w:rPr>
            </w:pPr>
            <w:r>
              <w:rPr>
                <w:noProof/>
              </w:rPr>
              <mc:AlternateContent>
                <mc:Choice Requires="wpg">
                  <w:drawing>
                    <wp:inline distT="0" distB="0" distL="0" distR="0" wp14:anchorId="097C516A" wp14:editId="73FB8A93">
                      <wp:extent cx="365760" cy="295710"/>
                      <wp:effectExtent l="0" t="0" r="15240" b="28575"/>
                      <wp:docPr id="478" name="Group 4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0800000">
                                <a:off x="0" y="0"/>
                                <a:ext cx="365760" cy="295710"/>
                                <a:chOff x="0" y="0"/>
                                <a:chExt cx="464481" cy="375528"/>
                              </a:xfrm>
                            </wpg:grpSpPr>
                            <wps:wsp>
                              <wps:cNvPr id="479" name="Freeform 5"/>
                              <wps:cNvSpPr>
                                <a:spLocks/>
                              </wps:cNvSpPr>
                              <wps:spPr bwMode="auto">
                                <a:xfrm>
                                  <a:off x="157277" y="7316"/>
                                  <a:ext cx="307204" cy="368212"/>
                                </a:xfrm>
                                <a:custGeom>
                                  <a:avLst/>
                                  <a:gdLst>
                                    <a:gd name="T0" fmla="*/ 127 w 157"/>
                                    <a:gd name="T1" fmla="*/ 0 h 187"/>
                                    <a:gd name="T2" fmla="*/ 131 w 157"/>
                                    <a:gd name="T3" fmla="*/ 2 h 187"/>
                                    <a:gd name="T4" fmla="*/ 94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7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7" y="0"/>
                                      </a:moveTo>
                                      <a:cubicBezTo>
                                        <a:pt x="131" y="2"/>
                                        <a:pt x="131" y="2"/>
                                        <a:pt x="131" y="2"/>
                                      </a:cubicBezTo>
                                      <a:cubicBezTo>
                                        <a:pt x="109" y="14"/>
                                        <a:pt x="97" y="31"/>
                                        <a:pt x="94" y="53"/>
                                      </a:cubicBezTo>
                                      <a:cubicBezTo>
                                        <a:pt x="136" y="64"/>
                                        <a:pt x="157" y="85"/>
                                        <a:pt x="157" y="117"/>
                                      </a:cubicBezTo>
                                      <a:cubicBezTo>
                                        <a:pt x="157" y="137"/>
                                        <a:pt x="149" y="154"/>
                                        <a:pt x="134" y="167"/>
                                      </a:cubicBezTo>
                                      <a:cubicBezTo>
                                        <a:pt x="119" y="181"/>
                                        <a:pt x="100" y="187"/>
                                        <a:pt x="78" y="187"/>
                                      </a:cubicBezTo>
                                      <a:cubicBezTo>
                                        <a:pt x="55" y="187"/>
                                        <a:pt x="36" y="181"/>
                                        <a:pt x="22" y="167"/>
                                      </a:cubicBezTo>
                                      <a:cubicBezTo>
                                        <a:pt x="7" y="153"/>
                                        <a:pt x="0" y="136"/>
                                        <a:pt x="0" y="115"/>
                                      </a:cubicBezTo>
                                      <a:cubicBezTo>
                                        <a:pt x="0" y="88"/>
                                        <a:pt x="12" y="64"/>
                                        <a:pt x="36" y="41"/>
                                      </a:cubicBezTo>
                                      <a:cubicBezTo>
                                        <a:pt x="60" y="19"/>
                                        <a:pt x="91" y="5"/>
                                        <a:pt x="127" y="0"/>
                                      </a:cubicBezTo>
                                    </a:path>
                                  </a:pathLst>
                                </a:custGeom>
                                <a:solidFill>
                                  <a:schemeClr val="bg1"/>
                                </a:solidFill>
                                <a:ln w="19050">
                                  <a:solidFill>
                                    <a:schemeClr val="bg1"/>
                                  </a:solidFill>
                                </a:ln>
                              </wps:spPr>
                              <wps:bodyPr vert="horz" wrap="square" lIns="91440" tIns="45720" rIns="91440" bIns="45720" numCol="1" anchor="t" anchorCtr="0" compatLnSpc="1">
                                <a:prstTxWarp prst="textNoShape">
                                  <a:avLst/>
                                </a:prstTxWarp>
                              </wps:bodyPr>
                            </wps:wsp>
                            <wps:wsp>
                              <wps:cNvPr id="32" name="Freeform 6"/>
                              <wps:cNvSpPr>
                                <a:spLocks/>
                              </wps:cNvSpPr>
                              <wps:spPr bwMode="auto">
                                <a:xfrm>
                                  <a:off x="0" y="0"/>
                                  <a:ext cx="306705" cy="367665"/>
                                </a:xfrm>
                                <a:custGeom>
                                  <a:avLst/>
                                  <a:gdLst>
                                    <a:gd name="T0" fmla="*/ 128 w 157"/>
                                    <a:gd name="T1" fmla="*/ 0 h 187"/>
                                    <a:gd name="T2" fmla="*/ 132 w 157"/>
                                    <a:gd name="T3" fmla="*/ 2 h 187"/>
                                    <a:gd name="T4" fmla="*/ 95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8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8" y="0"/>
                                      </a:moveTo>
                                      <a:cubicBezTo>
                                        <a:pt x="132" y="2"/>
                                        <a:pt x="132" y="2"/>
                                        <a:pt x="132" y="2"/>
                                      </a:cubicBezTo>
                                      <a:cubicBezTo>
                                        <a:pt x="110" y="14"/>
                                        <a:pt x="97" y="31"/>
                                        <a:pt x="95" y="53"/>
                                      </a:cubicBezTo>
                                      <a:cubicBezTo>
                                        <a:pt x="137" y="64"/>
                                        <a:pt x="157" y="85"/>
                                        <a:pt x="157" y="117"/>
                                      </a:cubicBezTo>
                                      <a:cubicBezTo>
                                        <a:pt x="157" y="137"/>
                                        <a:pt x="150" y="154"/>
                                        <a:pt x="134" y="167"/>
                                      </a:cubicBezTo>
                                      <a:cubicBezTo>
                                        <a:pt x="119" y="181"/>
                                        <a:pt x="100" y="187"/>
                                        <a:pt x="78" y="187"/>
                                      </a:cubicBezTo>
                                      <a:cubicBezTo>
                                        <a:pt x="55" y="187"/>
                                        <a:pt x="37" y="181"/>
                                        <a:pt x="22" y="167"/>
                                      </a:cubicBezTo>
                                      <a:cubicBezTo>
                                        <a:pt x="7" y="153"/>
                                        <a:pt x="0" y="136"/>
                                        <a:pt x="0" y="115"/>
                                      </a:cubicBezTo>
                                      <a:cubicBezTo>
                                        <a:pt x="0" y="88"/>
                                        <a:pt x="12" y="64"/>
                                        <a:pt x="36" y="41"/>
                                      </a:cubicBezTo>
                                      <a:cubicBezTo>
                                        <a:pt x="61" y="19"/>
                                        <a:pt x="91" y="5"/>
                                        <a:pt x="128" y="0"/>
                                      </a:cubicBezTo>
                                    </a:path>
                                  </a:pathLst>
                                </a:custGeom>
                                <a:solidFill>
                                  <a:schemeClr val="tx2"/>
                                </a:solidFill>
                                <a:ln w="19050">
                                  <a:solidFill>
                                    <a:schemeClr val="bg1"/>
                                  </a:solidFill>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6D77BA4D" id="Group 478" o:spid="_x0000_s1026" alt="&quot;&quot;" style="width:28.8pt;height:23.3pt;rotation:180;mso-position-horizontal-relative:char;mso-position-vertical-relative:line" coordsize="464481,375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">
                      <v:shape id="Freeform 5" o:spid="_x0000_s1027" style="position:absolute;left:157277;top:7316;width:307204;height:368212;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" path="m127,v4,2,4,2,4,2c109,14,97,31,94,53v42,11,63,32,63,64c157,137,149,154,134,167v-15,14,-34,20,-56,20c55,187,36,181,22,167,7,153,,136,,115,,88,12,64,36,41,60,19,91,5,127,e" fillcolor="white [3212]" strokecolor="white [3212]" strokeweight="1.5pt">
                        <v:path arrowok="t" o:connecttype="custom" o:connectlocs="248503,0;256329,3938;183931,104360;307204,230379;262200,328831;152624,368212;43048,328831;0,226441;70442,80731;248503,0" o:connectangles="0,0,0,0,0,0,0,0,0,0"/>
                      </v:shape>
                      <v:shape id="Freeform 6" o:spid="_x0000_s1028" style="position:absolute;width:306705;height:367665;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" path="m128,v4,2,4,2,4,2c110,14,97,31,95,53v42,11,62,32,62,64c157,137,150,154,134,167v-15,14,-34,20,-56,20c55,187,37,181,22,167,7,153,,136,,115,,88,12,64,36,41,61,19,91,5,128,e" fillcolor="#00338d [3215]" strokecolor="white [3212]" strokeweight="1.5pt">
                        <v:path arrowok="t" o:connecttype="custom" o:connectlocs="250052,0;257867,3932;185586,104205;306705,230036;261774,328343;152376,367665;42978,328343;0,226104;70327,80611;250052,0" o:connectangles="0,0,0,0,0,0,0,0,0,0"/>
                      </v:shape>
                      <w10:anchorlock/>
                    </v:group>
                  </w:pict>
                </mc:Fallback>
              </mc:AlternateContent>
            </w:r>
          </w:p>
        </w:tc>
      </w:tr>
    </w:tbl>
    <w:p w14:paraId="19143065" w14:textId="6B05AB4B" w:rsidR="00F06BEF" w:rsidRDefault="00A719D7" w:rsidP="00E947EA">
      <w:pPr>
        <w:pStyle w:val="Bullet1stlevel"/>
        <w:spacing w:before="120" w:after="120"/>
      </w:pPr>
      <w:r w:rsidRPr="00E710DB">
        <w:rPr>
          <w:rStyle w:val="Strong"/>
        </w:rPr>
        <w:t xml:space="preserve">Quality </w:t>
      </w:r>
      <w:r w:rsidR="00F4552C" w:rsidRPr="00E710DB">
        <w:rPr>
          <w:rStyle w:val="Strong"/>
        </w:rPr>
        <w:t>management</w:t>
      </w:r>
      <w:r w:rsidRPr="00E710DB">
        <w:rPr>
          <w:rStyle w:val="Strong"/>
        </w:rPr>
        <w:t xml:space="preserve"> roles:</w:t>
      </w:r>
      <w:r>
        <w:t xml:space="preserve"> </w:t>
      </w:r>
      <w:r w:rsidR="00AC2062">
        <w:t xml:space="preserve">Some organisations either employed or utilised </w:t>
      </w:r>
      <w:r w:rsidR="00526F59">
        <w:t>existing Quality Management personnel to support implementation of the Standards.</w:t>
      </w:r>
      <w:r w:rsidR="0036673A">
        <w:t xml:space="preserve"> Such personnel were tasked by such organisations with championing the change within their service </w:t>
      </w:r>
      <w:r w:rsidR="00672D7F">
        <w:t>such as through delivering training</w:t>
      </w:r>
      <w:r w:rsidR="0036673A">
        <w:t xml:space="preserve"> and </w:t>
      </w:r>
      <w:r w:rsidR="00672D7F">
        <w:t>developing</w:t>
      </w:r>
      <w:r w:rsidR="00F06BEF">
        <w:t xml:space="preserve"> policies and practices to support the adoption of the Standards.</w:t>
      </w:r>
    </w:p>
    <w:tbl>
      <w:tblPr>
        <w:tblStyle w:val="TableGrid"/>
        <w:tblW w:w="0" w:type="auto"/>
        <w:tblInd w:w="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338D" w:themeFill="text2"/>
        <w:tblLook w:val="04A0" w:firstRow="1" w:lastRow="0" w:firstColumn="1" w:lastColumn="0" w:noHBand="0" w:noVBand="1"/>
      </w:tblPr>
      <w:tblGrid>
        <w:gridCol w:w="816"/>
        <w:gridCol w:w="7062"/>
        <w:gridCol w:w="842"/>
      </w:tblGrid>
      <w:tr w:rsidR="00DF3667" w14:paraId="6CC962DA" w14:textId="77777777" w:rsidTr="00E947EA">
        <w:tc>
          <w:tcPr>
            <w:tcW w:w="638" w:type="dxa"/>
            <w:shd w:val="clear" w:color="auto" w:fill="00338D" w:themeFill="text2"/>
          </w:tcPr>
          <w:p w14:paraId="2A7768C4" w14:textId="77777777" w:rsidR="00DF3667" w:rsidRDefault="00DF3667" w:rsidP="00E710DB">
            <w:pPr>
              <w:pStyle w:val="Tableheading"/>
              <w:rPr>
                <w:noProof/>
              </w:rPr>
            </w:pPr>
            <w:r>
              <w:rPr>
                <w:noProof/>
              </w:rPr>
              <mc:AlternateContent>
                <mc:Choice Requires="wpg">
                  <w:drawing>
                    <wp:inline distT="0" distB="0" distL="0" distR="0" wp14:anchorId="04E23105" wp14:editId="140024D0">
                      <wp:extent cx="365760" cy="295710"/>
                      <wp:effectExtent l="0" t="0" r="15240" b="28575"/>
                      <wp:docPr id="33" name="Group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5760" cy="295710"/>
                                <a:chOff x="0" y="0"/>
                                <a:chExt cx="464481" cy="375528"/>
                              </a:xfrm>
                            </wpg:grpSpPr>
                            <wps:wsp>
                              <wps:cNvPr id="34" name="Freeform 5"/>
                              <wps:cNvSpPr>
                                <a:spLocks/>
                              </wps:cNvSpPr>
                              <wps:spPr bwMode="auto">
                                <a:xfrm>
                                  <a:off x="157277" y="7316"/>
                                  <a:ext cx="307204" cy="368212"/>
                                </a:xfrm>
                                <a:custGeom>
                                  <a:avLst/>
                                  <a:gdLst>
                                    <a:gd name="T0" fmla="*/ 127 w 157"/>
                                    <a:gd name="T1" fmla="*/ 0 h 187"/>
                                    <a:gd name="T2" fmla="*/ 131 w 157"/>
                                    <a:gd name="T3" fmla="*/ 2 h 187"/>
                                    <a:gd name="T4" fmla="*/ 94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7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7" y="0"/>
                                      </a:moveTo>
                                      <a:cubicBezTo>
                                        <a:pt x="131" y="2"/>
                                        <a:pt x="131" y="2"/>
                                        <a:pt x="131" y="2"/>
                                      </a:cubicBezTo>
                                      <a:cubicBezTo>
                                        <a:pt x="109" y="14"/>
                                        <a:pt x="97" y="31"/>
                                        <a:pt x="94" y="53"/>
                                      </a:cubicBezTo>
                                      <a:cubicBezTo>
                                        <a:pt x="136" y="64"/>
                                        <a:pt x="157" y="85"/>
                                        <a:pt x="157" y="117"/>
                                      </a:cubicBezTo>
                                      <a:cubicBezTo>
                                        <a:pt x="157" y="137"/>
                                        <a:pt x="149" y="154"/>
                                        <a:pt x="134" y="167"/>
                                      </a:cubicBezTo>
                                      <a:cubicBezTo>
                                        <a:pt x="119" y="181"/>
                                        <a:pt x="100" y="187"/>
                                        <a:pt x="78" y="187"/>
                                      </a:cubicBezTo>
                                      <a:cubicBezTo>
                                        <a:pt x="55" y="187"/>
                                        <a:pt x="36" y="181"/>
                                        <a:pt x="22" y="167"/>
                                      </a:cubicBezTo>
                                      <a:cubicBezTo>
                                        <a:pt x="7" y="153"/>
                                        <a:pt x="0" y="136"/>
                                        <a:pt x="0" y="115"/>
                                      </a:cubicBezTo>
                                      <a:cubicBezTo>
                                        <a:pt x="0" y="88"/>
                                        <a:pt x="12" y="64"/>
                                        <a:pt x="36" y="41"/>
                                      </a:cubicBezTo>
                                      <a:cubicBezTo>
                                        <a:pt x="60" y="19"/>
                                        <a:pt x="91" y="5"/>
                                        <a:pt x="127" y="0"/>
                                      </a:cubicBezTo>
                                    </a:path>
                                  </a:pathLst>
                                </a:custGeom>
                                <a:solidFill>
                                  <a:schemeClr val="bg1"/>
                                </a:solidFill>
                                <a:ln w="19050">
                                  <a:solidFill>
                                    <a:schemeClr val="bg1"/>
                                  </a:solidFill>
                                </a:ln>
                              </wps:spPr>
                              <wps:bodyPr vert="horz" wrap="square" lIns="91440" tIns="45720" rIns="91440" bIns="45720" numCol="1" anchor="t" anchorCtr="0" compatLnSpc="1">
                                <a:prstTxWarp prst="textNoShape">
                                  <a:avLst/>
                                </a:prstTxWarp>
                              </wps:bodyPr>
                            </wps:wsp>
                            <wps:wsp>
                              <wps:cNvPr id="35" name="Freeform 6"/>
                              <wps:cNvSpPr>
                                <a:spLocks/>
                              </wps:cNvSpPr>
                              <wps:spPr bwMode="auto">
                                <a:xfrm>
                                  <a:off x="0" y="0"/>
                                  <a:ext cx="306705" cy="367665"/>
                                </a:xfrm>
                                <a:custGeom>
                                  <a:avLst/>
                                  <a:gdLst>
                                    <a:gd name="T0" fmla="*/ 128 w 157"/>
                                    <a:gd name="T1" fmla="*/ 0 h 187"/>
                                    <a:gd name="T2" fmla="*/ 132 w 157"/>
                                    <a:gd name="T3" fmla="*/ 2 h 187"/>
                                    <a:gd name="T4" fmla="*/ 95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8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8" y="0"/>
                                      </a:moveTo>
                                      <a:cubicBezTo>
                                        <a:pt x="132" y="2"/>
                                        <a:pt x="132" y="2"/>
                                        <a:pt x="132" y="2"/>
                                      </a:cubicBezTo>
                                      <a:cubicBezTo>
                                        <a:pt x="110" y="14"/>
                                        <a:pt x="97" y="31"/>
                                        <a:pt x="95" y="53"/>
                                      </a:cubicBezTo>
                                      <a:cubicBezTo>
                                        <a:pt x="137" y="64"/>
                                        <a:pt x="157" y="85"/>
                                        <a:pt x="157" y="117"/>
                                      </a:cubicBezTo>
                                      <a:cubicBezTo>
                                        <a:pt x="157" y="137"/>
                                        <a:pt x="150" y="154"/>
                                        <a:pt x="134" y="167"/>
                                      </a:cubicBezTo>
                                      <a:cubicBezTo>
                                        <a:pt x="119" y="181"/>
                                        <a:pt x="100" y="187"/>
                                        <a:pt x="78" y="187"/>
                                      </a:cubicBezTo>
                                      <a:cubicBezTo>
                                        <a:pt x="55" y="187"/>
                                        <a:pt x="37" y="181"/>
                                        <a:pt x="22" y="167"/>
                                      </a:cubicBezTo>
                                      <a:cubicBezTo>
                                        <a:pt x="7" y="153"/>
                                        <a:pt x="0" y="136"/>
                                        <a:pt x="0" y="115"/>
                                      </a:cubicBezTo>
                                      <a:cubicBezTo>
                                        <a:pt x="0" y="88"/>
                                        <a:pt x="12" y="64"/>
                                        <a:pt x="36" y="41"/>
                                      </a:cubicBezTo>
                                      <a:cubicBezTo>
                                        <a:pt x="61" y="19"/>
                                        <a:pt x="91" y="5"/>
                                        <a:pt x="128" y="0"/>
                                      </a:cubicBezTo>
                                    </a:path>
                                  </a:pathLst>
                                </a:custGeom>
                                <a:solidFill>
                                  <a:schemeClr val="tx2"/>
                                </a:solidFill>
                                <a:ln w="19050">
                                  <a:solidFill>
                                    <a:schemeClr val="bg1"/>
                                  </a:solidFill>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77F0ECAB" id="Group 33" o:spid="_x0000_s1026" alt="&quot;&quot;" style="width:28.8pt;height:23.3pt;mso-position-horizontal-relative:char;mso-position-vertical-relative:line" coordsize="464481,375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">
                      <v:shape id="Freeform 5" o:spid="_x0000_s1027" style="position:absolute;left:157277;top:7316;width:307204;height:368212;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" path="m127,v4,2,4,2,4,2c109,14,97,31,94,53v42,11,63,32,63,64c157,137,149,154,134,167v-15,14,-34,20,-56,20c55,187,36,181,22,167,7,153,,136,,115,,88,12,64,36,41,60,19,91,5,127,e" fillcolor="white [3212]" strokecolor="white [3212]" strokeweight="1.5pt">
                        <v:path arrowok="t" o:connecttype="custom" o:connectlocs="248503,0;256329,3938;183931,104360;307204,230379;262200,328831;152624,368212;43048,328831;0,226441;70442,80731;248503,0" o:connectangles="0,0,0,0,0,0,0,0,0,0"/>
                      </v:shape>
                      <v:shape id="Freeform 6" o:spid="_x0000_s1028" style="position:absolute;width:306705;height:367665;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" path="m128,v4,2,4,2,4,2c110,14,97,31,95,53v42,11,62,32,62,64c157,137,150,154,134,167v-15,14,-34,20,-56,20c55,187,37,181,22,167,7,153,,136,,115,,88,12,64,36,41,61,19,91,5,128,e" fillcolor="#00338d [3215]" strokecolor="white [3212]" strokeweight="1.5pt">
                        <v:path arrowok="t" o:connecttype="custom" o:connectlocs="250052,0;257867,3932;185586,104205;306705,230036;261774,328343;152376,367665;42978,328343;0,226104;70327,80611;250052,0" o:connectangles="0,0,0,0,0,0,0,0,0,0"/>
                      </v:shape>
                      <w10:anchorlock/>
                    </v:group>
                  </w:pict>
                </mc:Fallback>
              </mc:AlternateContent>
            </w:r>
          </w:p>
        </w:tc>
        <w:tc>
          <w:tcPr>
            <w:tcW w:w="7229" w:type="dxa"/>
            <w:shd w:val="clear" w:color="auto" w:fill="00338D" w:themeFill="text2"/>
          </w:tcPr>
          <w:p w14:paraId="41FAE099" w14:textId="448B1EA3" w:rsidR="00DF3667" w:rsidRPr="00E710DB" w:rsidRDefault="00E947EA" w:rsidP="00E710DB">
            <w:pPr>
              <w:pStyle w:val="Tableheading"/>
              <w:rPr>
                <w:noProof/>
              </w:rPr>
            </w:pPr>
            <w:r w:rsidRPr="00E710DB">
              <w:rPr>
                <w:noProof/>
              </w:rPr>
              <w:t>Another factor in implementing the quality standards is the employment of a competent and very skilled Quality Manager who drove all changes and updates required.</w:t>
            </w:r>
          </w:p>
        </w:tc>
        <w:tc>
          <w:tcPr>
            <w:tcW w:w="843" w:type="dxa"/>
            <w:shd w:val="clear" w:color="auto" w:fill="00338D" w:themeFill="text2"/>
          </w:tcPr>
          <w:p w14:paraId="50872CAA" w14:textId="77777777" w:rsidR="00DF3667" w:rsidRDefault="00DF3667" w:rsidP="00E710DB">
            <w:pPr>
              <w:pStyle w:val="Tableheading"/>
              <w:rPr>
                <w:noProof/>
              </w:rPr>
            </w:pPr>
            <w:r>
              <w:rPr>
                <w:noProof/>
              </w:rPr>
              <mc:AlternateContent>
                <mc:Choice Requires="wpg">
                  <w:drawing>
                    <wp:inline distT="0" distB="0" distL="0" distR="0" wp14:anchorId="5305B592" wp14:editId="6490F955">
                      <wp:extent cx="365760" cy="295710"/>
                      <wp:effectExtent l="0" t="0" r="15240" b="28575"/>
                      <wp:docPr id="36" name="Group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0800000">
                                <a:off x="0" y="0"/>
                                <a:ext cx="365760" cy="295710"/>
                                <a:chOff x="0" y="0"/>
                                <a:chExt cx="464481" cy="375528"/>
                              </a:xfrm>
                            </wpg:grpSpPr>
                            <wps:wsp>
                              <wps:cNvPr id="39" name="Freeform 5"/>
                              <wps:cNvSpPr>
                                <a:spLocks/>
                              </wps:cNvSpPr>
                              <wps:spPr bwMode="auto">
                                <a:xfrm>
                                  <a:off x="157277" y="7316"/>
                                  <a:ext cx="307204" cy="368212"/>
                                </a:xfrm>
                                <a:custGeom>
                                  <a:avLst/>
                                  <a:gdLst>
                                    <a:gd name="T0" fmla="*/ 127 w 157"/>
                                    <a:gd name="T1" fmla="*/ 0 h 187"/>
                                    <a:gd name="T2" fmla="*/ 131 w 157"/>
                                    <a:gd name="T3" fmla="*/ 2 h 187"/>
                                    <a:gd name="T4" fmla="*/ 94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7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7" y="0"/>
                                      </a:moveTo>
                                      <a:cubicBezTo>
                                        <a:pt x="131" y="2"/>
                                        <a:pt x="131" y="2"/>
                                        <a:pt x="131" y="2"/>
                                      </a:cubicBezTo>
                                      <a:cubicBezTo>
                                        <a:pt x="109" y="14"/>
                                        <a:pt x="97" y="31"/>
                                        <a:pt x="94" y="53"/>
                                      </a:cubicBezTo>
                                      <a:cubicBezTo>
                                        <a:pt x="136" y="64"/>
                                        <a:pt x="157" y="85"/>
                                        <a:pt x="157" y="117"/>
                                      </a:cubicBezTo>
                                      <a:cubicBezTo>
                                        <a:pt x="157" y="137"/>
                                        <a:pt x="149" y="154"/>
                                        <a:pt x="134" y="167"/>
                                      </a:cubicBezTo>
                                      <a:cubicBezTo>
                                        <a:pt x="119" y="181"/>
                                        <a:pt x="100" y="187"/>
                                        <a:pt x="78" y="187"/>
                                      </a:cubicBezTo>
                                      <a:cubicBezTo>
                                        <a:pt x="55" y="187"/>
                                        <a:pt x="36" y="181"/>
                                        <a:pt x="22" y="167"/>
                                      </a:cubicBezTo>
                                      <a:cubicBezTo>
                                        <a:pt x="7" y="153"/>
                                        <a:pt x="0" y="136"/>
                                        <a:pt x="0" y="115"/>
                                      </a:cubicBezTo>
                                      <a:cubicBezTo>
                                        <a:pt x="0" y="88"/>
                                        <a:pt x="12" y="64"/>
                                        <a:pt x="36" y="41"/>
                                      </a:cubicBezTo>
                                      <a:cubicBezTo>
                                        <a:pt x="60" y="19"/>
                                        <a:pt x="91" y="5"/>
                                        <a:pt x="127" y="0"/>
                                      </a:cubicBezTo>
                                    </a:path>
                                  </a:pathLst>
                                </a:custGeom>
                                <a:solidFill>
                                  <a:schemeClr val="bg1"/>
                                </a:solidFill>
                                <a:ln w="19050">
                                  <a:solidFill>
                                    <a:schemeClr val="bg1"/>
                                  </a:solidFill>
                                </a:ln>
                              </wps:spPr>
                              <wps:bodyPr vert="horz" wrap="square" lIns="91440" tIns="45720" rIns="91440" bIns="45720" numCol="1" anchor="t" anchorCtr="0" compatLnSpc="1">
                                <a:prstTxWarp prst="textNoShape">
                                  <a:avLst/>
                                </a:prstTxWarp>
                              </wps:bodyPr>
                            </wps:wsp>
                            <wps:wsp>
                              <wps:cNvPr id="41" name="Freeform 6"/>
                              <wps:cNvSpPr>
                                <a:spLocks/>
                              </wps:cNvSpPr>
                              <wps:spPr bwMode="auto">
                                <a:xfrm>
                                  <a:off x="0" y="0"/>
                                  <a:ext cx="306705" cy="367665"/>
                                </a:xfrm>
                                <a:custGeom>
                                  <a:avLst/>
                                  <a:gdLst>
                                    <a:gd name="T0" fmla="*/ 128 w 157"/>
                                    <a:gd name="T1" fmla="*/ 0 h 187"/>
                                    <a:gd name="T2" fmla="*/ 132 w 157"/>
                                    <a:gd name="T3" fmla="*/ 2 h 187"/>
                                    <a:gd name="T4" fmla="*/ 95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8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8" y="0"/>
                                      </a:moveTo>
                                      <a:cubicBezTo>
                                        <a:pt x="132" y="2"/>
                                        <a:pt x="132" y="2"/>
                                        <a:pt x="132" y="2"/>
                                      </a:cubicBezTo>
                                      <a:cubicBezTo>
                                        <a:pt x="110" y="14"/>
                                        <a:pt x="97" y="31"/>
                                        <a:pt x="95" y="53"/>
                                      </a:cubicBezTo>
                                      <a:cubicBezTo>
                                        <a:pt x="137" y="64"/>
                                        <a:pt x="157" y="85"/>
                                        <a:pt x="157" y="117"/>
                                      </a:cubicBezTo>
                                      <a:cubicBezTo>
                                        <a:pt x="157" y="137"/>
                                        <a:pt x="150" y="154"/>
                                        <a:pt x="134" y="167"/>
                                      </a:cubicBezTo>
                                      <a:cubicBezTo>
                                        <a:pt x="119" y="181"/>
                                        <a:pt x="100" y="187"/>
                                        <a:pt x="78" y="187"/>
                                      </a:cubicBezTo>
                                      <a:cubicBezTo>
                                        <a:pt x="55" y="187"/>
                                        <a:pt x="37" y="181"/>
                                        <a:pt x="22" y="167"/>
                                      </a:cubicBezTo>
                                      <a:cubicBezTo>
                                        <a:pt x="7" y="153"/>
                                        <a:pt x="0" y="136"/>
                                        <a:pt x="0" y="115"/>
                                      </a:cubicBezTo>
                                      <a:cubicBezTo>
                                        <a:pt x="0" y="88"/>
                                        <a:pt x="12" y="64"/>
                                        <a:pt x="36" y="41"/>
                                      </a:cubicBezTo>
                                      <a:cubicBezTo>
                                        <a:pt x="61" y="19"/>
                                        <a:pt x="91" y="5"/>
                                        <a:pt x="128" y="0"/>
                                      </a:cubicBezTo>
                                    </a:path>
                                  </a:pathLst>
                                </a:custGeom>
                                <a:solidFill>
                                  <a:schemeClr val="tx2"/>
                                </a:solidFill>
                                <a:ln w="19050">
                                  <a:solidFill>
                                    <a:schemeClr val="bg1"/>
                                  </a:solidFill>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6A47CC4A" id="Group 36" o:spid="_x0000_s1026" alt="&quot;&quot;" style="width:28.8pt;height:23.3pt;rotation:180;mso-position-horizontal-relative:char;mso-position-vertical-relative:line" coordsize="464481,375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">
                      <v:shape id="Freeform 5" o:spid="_x0000_s1027" style="position:absolute;left:157277;top:7316;width:307204;height:368212;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" path="m127,v4,2,4,2,4,2c109,14,97,31,94,53v42,11,63,32,63,64c157,137,149,154,134,167v-15,14,-34,20,-56,20c55,187,36,181,22,167,7,153,,136,,115,,88,12,64,36,41,60,19,91,5,127,e" fillcolor="white [3212]" strokecolor="white [3212]" strokeweight="1.5pt">
                        <v:path arrowok="t" o:connecttype="custom" o:connectlocs="248503,0;256329,3938;183931,104360;307204,230379;262200,328831;152624,368212;43048,328831;0,226441;70442,80731;248503,0" o:connectangles="0,0,0,0,0,0,0,0,0,0"/>
                      </v:shape>
                      <v:shape id="Freeform 6" o:spid="_x0000_s1028" style="position:absolute;width:306705;height:367665;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" path="m128,v4,2,4,2,4,2c110,14,97,31,95,53v42,11,62,32,62,64c157,137,150,154,134,167v-15,14,-34,20,-56,20c55,187,37,181,22,167,7,153,,136,,115,,88,12,64,36,41,61,19,91,5,128,e" fillcolor="#00338d [3215]" strokecolor="white [3212]" strokeweight="1.5pt">
                        <v:path arrowok="t" o:connecttype="custom" o:connectlocs="250052,0;257867,3932;185586,104205;306705,230036;261774,328343;152376,367665;42978,328343;0,226104;70327,80611;250052,0" o:connectangles="0,0,0,0,0,0,0,0,0,0"/>
                      </v:shape>
                      <w10:anchorlock/>
                    </v:group>
                  </w:pict>
                </mc:Fallback>
              </mc:AlternateContent>
            </w:r>
          </w:p>
        </w:tc>
      </w:tr>
    </w:tbl>
    <w:p w14:paraId="06CD5706" w14:textId="2A4D3C2B" w:rsidR="0069631B" w:rsidRDefault="00C106EC" w:rsidP="00E947EA">
      <w:pPr>
        <w:pStyle w:val="Bullet1stlevel"/>
        <w:spacing w:before="120" w:after="120"/>
      </w:pPr>
      <w:r w:rsidRPr="00E710DB">
        <w:rPr>
          <w:rStyle w:val="Strong"/>
        </w:rPr>
        <w:t xml:space="preserve">Culture </w:t>
      </w:r>
      <w:r w:rsidR="008B209F" w:rsidRPr="00E710DB">
        <w:rPr>
          <w:rStyle w:val="Strong"/>
        </w:rPr>
        <w:t>of</w:t>
      </w:r>
      <w:r w:rsidRPr="00E710DB">
        <w:rPr>
          <w:rStyle w:val="Strong"/>
        </w:rPr>
        <w:t xml:space="preserve"> the workforce:</w:t>
      </w:r>
      <w:r>
        <w:t xml:space="preserve"> </w:t>
      </w:r>
      <w:proofErr w:type="gramStart"/>
      <w:r>
        <w:t>A number of</w:t>
      </w:r>
      <w:proofErr w:type="gramEnd"/>
      <w:r>
        <w:t xml:space="preserve"> stakeholders</w:t>
      </w:r>
      <w:r w:rsidR="00CB33A4">
        <w:t xml:space="preserve"> </w:t>
      </w:r>
      <w:r w:rsidR="008B209F">
        <w:t xml:space="preserve">from providers </w:t>
      </w:r>
      <w:r w:rsidR="00CB33A4">
        <w:t>commented that despite other barriers faced by their organisation, the</w:t>
      </w:r>
      <w:r w:rsidR="007C59F6">
        <w:t>re was a strong culture within the workforce and desire by staff to implement the Standards</w:t>
      </w:r>
      <w:r w:rsidR="008B209F">
        <w:t xml:space="preserve">, which had ensured their organisation was able to adopt the Standards. </w:t>
      </w:r>
    </w:p>
    <w:tbl>
      <w:tblPr>
        <w:tblStyle w:val="TableGrid"/>
        <w:tblW w:w="0" w:type="auto"/>
        <w:tblInd w:w="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338D" w:themeFill="text2"/>
        <w:tblLook w:val="04A0" w:firstRow="1" w:lastRow="0" w:firstColumn="1" w:lastColumn="0" w:noHBand="0" w:noVBand="1"/>
      </w:tblPr>
      <w:tblGrid>
        <w:gridCol w:w="816"/>
        <w:gridCol w:w="7048"/>
        <w:gridCol w:w="842"/>
      </w:tblGrid>
      <w:tr w:rsidR="00DF3667" w14:paraId="46648D13" w14:textId="77777777" w:rsidTr="00E947EA">
        <w:tc>
          <w:tcPr>
            <w:tcW w:w="624" w:type="dxa"/>
            <w:shd w:val="clear" w:color="auto" w:fill="00338D" w:themeFill="text2"/>
          </w:tcPr>
          <w:p w14:paraId="574E2853" w14:textId="77777777" w:rsidR="00DF3667" w:rsidRDefault="00DF3667" w:rsidP="00E710DB">
            <w:pPr>
              <w:pStyle w:val="Tableheading"/>
              <w:rPr>
                <w:noProof/>
              </w:rPr>
            </w:pPr>
            <w:r>
              <w:rPr>
                <w:noProof/>
              </w:rPr>
              <w:lastRenderedPageBreak/>
              <mc:AlternateContent>
                <mc:Choice Requires="wpg">
                  <w:drawing>
                    <wp:inline distT="0" distB="0" distL="0" distR="0" wp14:anchorId="1A84F376" wp14:editId="28BA0D71">
                      <wp:extent cx="365760" cy="295710"/>
                      <wp:effectExtent l="0" t="0" r="15240" b="28575"/>
                      <wp:docPr id="42" name="Group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5760" cy="295710"/>
                                <a:chOff x="0" y="0"/>
                                <a:chExt cx="464481" cy="375528"/>
                              </a:xfrm>
                            </wpg:grpSpPr>
                            <wps:wsp>
                              <wps:cNvPr id="59" name="Freeform 5"/>
                              <wps:cNvSpPr>
                                <a:spLocks/>
                              </wps:cNvSpPr>
                              <wps:spPr bwMode="auto">
                                <a:xfrm>
                                  <a:off x="157277" y="7316"/>
                                  <a:ext cx="307204" cy="368212"/>
                                </a:xfrm>
                                <a:custGeom>
                                  <a:avLst/>
                                  <a:gdLst>
                                    <a:gd name="T0" fmla="*/ 127 w 157"/>
                                    <a:gd name="T1" fmla="*/ 0 h 187"/>
                                    <a:gd name="T2" fmla="*/ 131 w 157"/>
                                    <a:gd name="T3" fmla="*/ 2 h 187"/>
                                    <a:gd name="T4" fmla="*/ 94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7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7" y="0"/>
                                      </a:moveTo>
                                      <a:cubicBezTo>
                                        <a:pt x="131" y="2"/>
                                        <a:pt x="131" y="2"/>
                                        <a:pt x="131" y="2"/>
                                      </a:cubicBezTo>
                                      <a:cubicBezTo>
                                        <a:pt x="109" y="14"/>
                                        <a:pt x="97" y="31"/>
                                        <a:pt x="94" y="53"/>
                                      </a:cubicBezTo>
                                      <a:cubicBezTo>
                                        <a:pt x="136" y="64"/>
                                        <a:pt x="157" y="85"/>
                                        <a:pt x="157" y="117"/>
                                      </a:cubicBezTo>
                                      <a:cubicBezTo>
                                        <a:pt x="157" y="137"/>
                                        <a:pt x="149" y="154"/>
                                        <a:pt x="134" y="167"/>
                                      </a:cubicBezTo>
                                      <a:cubicBezTo>
                                        <a:pt x="119" y="181"/>
                                        <a:pt x="100" y="187"/>
                                        <a:pt x="78" y="187"/>
                                      </a:cubicBezTo>
                                      <a:cubicBezTo>
                                        <a:pt x="55" y="187"/>
                                        <a:pt x="36" y="181"/>
                                        <a:pt x="22" y="167"/>
                                      </a:cubicBezTo>
                                      <a:cubicBezTo>
                                        <a:pt x="7" y="153"/>
                                        <a:pt x="0" y="136"/>
                                        <a:pt x="0" y="115"/>
                                      </a:cubicBezTo>
                                      <a:cubicBezTo>
                                        <a:pt x="0" y="88"/>
                                        <a:pt x="12" y="64"/>
                                        <a:pt x="36" y="41"/>
                                      </a:cubicBezTo>
                                      <a:cubicBezTo>
                                        <a:pt x="60" y="19"/>
                                        <a:pt x="91" y="5"/>
                                        <a:pt x="127" y="0"/>
                                      </a:cubicBezTo>
                                    </a:path>
                                  </a:pathLst>
                                </a:custGeom>
                                <a:solidFill>
                                  <a:schemeClr val="bg1"/>
                                </a:solidFill>
                                <a:ln w="19050">
                                  <a:solidFill>
                                    <a:schemeClr val="bg1"/>
                                  </a:solidFill>
                                </a:ln>
                              </wps:spPr>
                              <wps:bodyPr vert="horz" wrap="square" lIns="91440" tIns="45720" rIns="91440" bIns="45720" numCol="1" anchor="t" anchorCtr="0" compatLnSpc="1">
                                <a:prstTxWarp prst="textNoShape">
                                  <a:avLst/>
                                </a:prstTxWarp>
                              </wps:bodyPr>
                            </wps:wsp>
                            <wps:wsp>
                              <wps:cNvPr id="60" name="Freeform 6"/>
                              <wps:cNvSpPr>
                                <a:spLocks/>
                              </wps:cNvSpPr>
                              <wps:spPr bwMode="auto">
                                <a:xfrm>
                                  <a:off x="0" y="0"/>
                                  <a:ext cx="306705" cy="367665"/>
                                </a:xfrm>
                                <a:custGeom>
                                  <a:avLst/>
                                  <a:gdLst>
                                    <a:gd name="T0" fmla="*/ 128 w 157"/>
                                    <a:gd name="T1" fmla="*/ 0 h 187"/>
                                    <a:gd name="T2" fmla="*/ 132 w 157"/>
                                    <a:gd name="T3" fmla="*/ 2 h 187"/>
                                    <a:gd name="T4" fmla="*/ 95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8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8" y="0"/>
                                      </a:moveTo>
                                      <a:cubicBezTo>
                                        <a:pt x="132" y="2"/>
                                        <a:pt x="132" y="2"/>
                                        <a:pt x="132" y="2"/>
                                      </a:cubicBezTo>
                                      <a:cubicBezTo>
                                        <a:pt x="110" y="14"/>
                                        <a:pt x="97" y="31"/>
                                        <a:pt x="95" y="53"/>
                                      </a:cubicBezTo>
                                      <a:cubicBezTo>
                                        <a:pt x="137" y="64"/>
                                        <a:pt x="157" y="85"/>
                                        <a:pt x="157" y="117"/>
                                      </a:cubicBezTo>
                                      <a:cubicBezTo>
                                        <a:pt x="157" y="137"/>
                                        <a:pt x="150" y="154"/>
                                        <a:pt x="134" y="167"/>
                                      </a:cubicBezTo>
                                      <a:cubicBezTo>
                                        <a:pt x="119" y="181"/>
                                        <a:pt x="100" y="187"/>
                                        <a:pt x="78" y="187"/>
                                      </a:cubicBezTo>
                                      <a:cubicBezTo>
                                        <a:pt x="55" y="187"/>
                                        <a:pt x="37" y="181"/>
                                        <a:pt x="22" y="167"/>
                                      </a:cubicBezTo>
                                      <a:cubicBezTo>
                                        <a:pt x="7" y="153"/>
                                        <a:pt x="0" y="136"/>
                                        <a:pt x="0" y="115"/>
                                      </a:cubicBezTo>
                                      <a:cubicBezTo>
                                        <a:pt x="0" y="88"/>
                                        <a:pt x="12" y="64"/>
                                        <a:pt x="36" y="41"/>
                                      </a:cubicBezTo>
                                      <a:cubicBezTo>
                                        <a:pt x="61" y="19"/>
                                        <a:pt x="91" y="5"/>
                                        <a:pt x="128" y="0"/>
                                      </a:cubicBezTo>
                                    </a:path>
                                  </a:pathLst>
                                </a:custGeom>
                                <a:solidFill>
                                  <a:schemeClr val="tx2"/>
                                </a:solidFill>
                                <a:ln w="19050">
                                  <a:solidFill>
                                    <a:schemeClr val="bg1"/>
                                  </a:solidFill>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565B9FDF" id="Group 42" o:spid="_x0000_s1026" alt="&quot;&quot;" style="width:28.8pt;height:23.3pt;mso-position-horizontal-relative:char;mso-position-vertical-relative:line" coordsize="464481,375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">
                      <v:shape id="Freeform 5" o:spid="_x0000_s1027" style="position:absolute;left:157277;top:7316;width:307204;height:368212;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" path="m127,v4,2,4,2,4,2c109,14,97,31,94,53v42,11,63,32,63,64c157,137,149,154,134,167v-15,14,-34,20,-56,20c55,187,36,181,22,167,7,153,,136,,115,,88,12,64,36,41,60,19,91,5,127,e" fillcolor="white [3212]" strokecolor="white [3212]" strokeweight="1.5pt">
                        <v:path arrowok="t" o:connecttype="custom" o:connectlocs="248503,0;256329,3938;183931,104360;307204,230379;262200,328831;152624,368212;43048,328831;0,226441;70442,80731;248503,0" o:connectangles="0,0,0,0,0,0,0,0,0,0"/>
                      </v:shape>
                      <v:shape id="Freeform 6" o:spid="_x0000_s1028" style="position:absolute;width:306705;height:367665;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" path="m128,v4,2,4,2,4,2c110,14,97,31,95,53v42,11,62,32,62,64c157,137,150,154,134,167v-15,14,-34,20,-56,20c55,187,37,181,22,167,7,153,,136,,115,,88,12,64,36,41,61,19,91,5,128,e" fillcolor="#00338d [3215]" strokecolor="white [3212]" strokeweight="1.5pt">
                        <v:path arrowok="t" o:connecttype="custom" o:connectlocs="250052,0;257867,3932;185586,104205;306705,230036;261774,328343;152376,367665;42978,328343;0,226104;70327,80611;250052,0" o:connectangles="0,0,0,0,0,0,0,0,0,0"/>
                      </v:shape>
                      <w10:anchorlock/>
                    </v:group>
                  </w:pict>
                </mc:Fallback>
              </mc:AlternateContent>
            </w:r>
          </w:p>
        </w:tc>
        <w:tc>
          <w:tcPr>
            <w:tcW w:w="7229" w:type="dxa"/>
            <w:shd w:val="clear" w:color="auto" w:fill="00338D" w:themeFill="text2"/>
          </w:tcPr>
          <w:p w14:paraId="6C6DCB65" w14:textId="1FB1CE9D" w:rsidR="00DF3667" w:rsidRPr="00E710DB" w:rsidRDefault="00E947EA" w:rsidP="00E710DB">
            <w:pPr>
              <w:pStyle w:val="Tableheading"/>
              <w:rPr>
                <w:noProof/>
              </w:rPr>
            </w:pPr>
            <w:r w:rsidRPr="00E710DB">
              <w:rPr>
                <w:noProof/>
              </w:rPr>
              <w:t>Genuine desire from individuals working in the sector to improve outcomes for older people.</w:t>
            </w:r>
          </w:p>
        </w:tc>
        <w:tc>
          <w:tcPr>
            <w:tcW w:w="843" w:type="dxa"/>
            <w:shd w:val="clear" w:color="auto" w:fill="00338D" w:themeFill="text2"/>
          </w:tcPr>
          <w:p w14:paraId="4B20DA53" w14:textId="77777777" w:rsidR="00DF3667" w:rsidRDefault="00DF3667" w:rsidP="00E710DB">
            <w:pPr>
              <w:pStyle w:val="Tableheading"/>
              <w:rPr>
                <w:noProof/>
              </w:rPr>
            </w:pPr>
            <w:r>
              <w:rPr>
                <w:noProof/>
              </w:rPr>
              <mc:AlternateContent>
                <mc:Choice Requires="wpg">
                  <w:drawing>
                    <wp:inline distT="0" distB="0" distL="0" distR="0" wp14:anchorId="415385CB" wp14:editId="04A2808C">
                      <wp:extent cx="365760" cy="295710"/>
                      <wp:effectExtent l="0" t="0" r="15240" b="28575"/>
                      <wp:docPr id="61" name="Group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0800000">
                                <a:off x="0" y="0"/>
                                <a:ext cx="365760" cy="295710"/>
                                <a:chOff x="0" y="0"/>
                                <a:chExt cx="464481" cy="375528"/>
                              </a:xfrm>
                            </wpg:grpSpPr>
                            <wps:wsp>
                              <wps:cNvPr id="62" name="Freeform 5"/>
                              <wps:cNvSpPr>
                                <a:spLocks/>
                              </wps:cNvSpPr>
                              <wps:spPr bwMode="auto">
                                <a:xfrm>
                                  <a:off x="157277" y="7316"/>
                                  <a:ext cx="307204" cy="368212"/>
                                </a:xfrm>
                                <a:custGeom>
                                  <a:avLst/>
                                  <a:gdLst>
                                    <a:gd name="T0" fmla="*/ 127 w 157"/>
                                    <a:gd name="T1" fmla="*/ 0 h 187"/>
                                    <a:gd name="T2" fmla="*/ 131 w 157"/>
                                    <a:gd name="T3" fmla="*/ 2 h 187"/>
                                    <a:gd name="T4" fmla="*/ 94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7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7" y="0"/>
                                      </a:moveTo>
                                      <a:cubicBezTo>
                                        <a:pt x="131" y="2"/>
                                        <a:pt x="131" y="2"/>
                                        <a:pt x="131" y="2"/>
                                      </a:cubicBezTo>
                                      <a:cubicBezTo>
                                        <a:pt x="109" y="14"/>
                                        <a:pt x="97" y="31"/>
                                        <a:pt x="94" y="53"/>
                                      </a:cubicBezTo>
                                      <a:cubicBezTo>
                                        <a:pt x="136" y="64"/>
                                        <a:pt x="157" y="85"/>
                                        <a:pt x="157" y="117"/>
                                      </a:cubicBezTo>
                                      <a:cubicBezTo>
                                        <a:pt x="157" y="137"/>
                                        <a:pt x="149" y="154"/>
                                        <a:pt x="134" y="167"/>
                                      </a:cubicBezTo>
                                      <a:cubicBezTo>
                                        <a:pt x="119" y="181"/>
                                        <a:pt x="100" y="187"/>
                                        <a:pt x="78" y="187"/>
                                      </a:cubicBezTo>
                                      <a:cubicBezTo>
                                        <a:pt x="55" y="187"/>
                                        <a:pt x="36" y="181"/>
                                        <a:pt x="22" y="167"/>
                                      </a:cubicBezTo>
                                      <a:cubicBezTo>
                                        <a:pt x="7" y="153"/>
                                        <a:pt x="0" y="136"/>
                                        <a:pt x="0" y="115"/>
                                      </a:cubicBezTo>
                                      <a:cubicBezTo>
                                        <a:pt x="0" y="88"/>
                                        <a:pt x="12" y="64"/>
                                        <a:pt x="36" y="41"/>
                                      </a:cubicBezTo>
                                      <a:cubicBezTo>
                                        <a:pt x="60" y="19"/>
                                        <a:pt x="91" y="5"/>
                                        <a:pt x="127" y="0"/>
                                      </a:cubicBezTo>
                                    </a:path>
                                  </a:pathLst>
                                </a:custGeom>
                                <a:solidFill>
                                  <a:schemeClr val="bg1"/>
                                </a:solidFill>
                                <a:ln w="19050">
                                  <a:solidFill>
                                    <a:schemeClr val="bg1"/>
                                  </a:solidFill>
                                </a:ln>
                              </wps:spPr>
                              <wps:bodyPr vert="horz" wrap="square" lIns="91440" tIns="45720" rIns="91440" bIns="45720" numCol="1" anchor="t" anchorCtr="0" compatLnSpc="1">
                                <a:prstTxWarp prst="textNoShape">
                                  <a:avLst/>
                                </a:prstTxWarp>
                              </wps:bodyPr>
                            </wps:wsp>
                            <wps:wsp>
                              <wps:cNvPr id="63" name="Freeform 6"/>
                              <wps:cNvSpPr>
                                <a:spLocks/>
                              </wps:cNvSpPr>
                              <wps:spPr bwMode="auto">
                                <a:xfrm>
                                  <a:off x="0" y="0"/>
                                  <a:ext cx="306705" cy="367665"/>
                                </a:xfrm>
                                <a:custGeom>
                                  <a:avLst/>
                                  <a:gdLst>
                                    <a:gd name="T0" fmla="*/ 128 w 157"/>
                                    <a:gd name="T1" fmla="*/ 0 h 187"/>
                                    <a:gd name="T2" fmla="*/ 132 w 157"/>
                                    <a:gd name="T3" fmla="*/ 2 h 187"/>
                                    <a:gd name="T4" fmla="*/ 95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8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8" y="0"/>
                                      </a:moveTo>
                                      <a:cubicBezTo>
                                        <a:pt x="132" y="2"/>
                                        <a:pt x="132" y="2"/>
                                        <a:pt x="132" y="2"/>
                                      </a:cubicBezTo>
                                      <a:cubicBezTo>
                                        <a:pt x="110" y="14"/>
                                        <a:pt x="97" y="31"/>
                                        <a:pt x="95" y="53"/>
                                      </a:cubicBezTo>
                                      <a:cubicBezTo>
                                        <a:pt x="137" y="64"/>
                                        <a:pt x="157" y="85"/>
                                        <a:pt x="157" y="117"/>
                                      </a:cubicBezTo>
                                      <a:cubicBezTo>
                                        <a:pt x="157" y="137"/>
                                        <a:pt x="150" y="154"/>
                                        <a:pt x="134" y="167"/>
                                      </a:cubicBezTo>
                                      <a:cubicBezTo>
                                        <a:pt x="119" y="181"/>
                                        <a:pt x="100" y="187"/>
                                        <a:pt x="78" y="187"/>
                                      </a:cubicBezTo>
                                      <a:cubicBezTo>
                                        <a:pt x="55" y="187"/>
                                        <a:pt x="37" y="181"/>
                                        <a:pt x="22" y="167"/>
                                      </a:cubicBezTo>
                                      <a:cubicBezTo>
                                        <a:pt x="7" y="153"/>
                                        <a:pt x="0" y="136"/>
                                        <a:pt x="0" y="115"/>
                                      </a:cubicBezTo>
                                      <a:cubicBezTo>
                                        <a:pt x="0" y="88"/>
                                        <a:pt x="12" y="64"/>
                                        <a:pt x="36" y="41"/>
                                      </a:cubicBezTo>
                                      <a:cubicBezTo>
                                        <a:pt x="61" y="19"/>
                                        <a:pt x="91" y="5"/>
                                        <a:pt x="128" y="0"/>
                                      </a:cubicBezTo>
                                    </a:path>
                                  </a:pathLst>
                                </a:custGeom>
                                <a:solidFill>
                                  <a:schemeClr val="tx2"/>
                                </a:solidFill>
                                <a:ln w="19050">
                                  <a:solidFill>
                                    <a:schemeClr val="bg1"/>
                                  </a:solidFill>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4CAB534D" id="Group 61" o:spid="_x0000_s1026" alt="&quot;&quot;" style="width:28.8pt;height:23.3pt;rotation:180;mso-position-horizontal-relative:char;mso-position-vertical-relative:line" coordsize="464481,375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">
                      <v:shape id="Freeform 5" o:spid="_x0000_s1027" style="position:absolute;left:157277;top:7316;width:307204;height:368212;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" path="m127,v4,2,4,2,4,2c109,14,97,31,94,53v42,11,63,32,63,64c157,137,149,154,134,167v-15,14,-34,20,-56,20c55,187,36,181,22,167,7,153,,136,,115,,88,12,64,36,41,60,19,91,5,127,e" fillcolor="white [3212]" strokecolor="white [3212]" strokeweight="1.5pt">
                        <v:path arrowok="t" o:connecttype="custom" o:connectlocs="248503,0;256329,3938;183931,104360;307204,230379;262200,328831;152624,368212;43048,328831;0,226441;70442,80731;248503,0" o:connectangles="0,0,0,0,0,0,0,0,0,0"/>
                      </v:shape>
                      <v:shape id="Freeform 6" o:spid="_x0000_s1028" style="position:absolute;width:306705;height:367665;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" path="m128,v4,2,4,2,4,2c110,14,97,31,95,53v42,11,62,32,62,64c157,137,150,154,134,167v-15,14,-34,20,-56,20c55,187,37,181,22,167,7,153,,136,,115,,88,12,64,36,41,61,19,91,5,128,e" fillcolor="#00338d [3215]" strokecolor="white [3212]" strokeweight="1.5pt">
                        <v:path arrowok="t" o:connecttype="custom" o:connectlocs="250052,0;257867,3932;185586,104205;306705,230036;261774,328343;152376,367665;42978,328343;0,226104;70327,80611;250052,0" o:connectangles="0,0,0,0,0,0,0,0,0,0"/>
                      </v:shape>
                      <w10:anchorlock/>
                    </v:group>
                  </w:pict>
                </mc:Fallback>
              </mc:AlternateContent>
            </w:r>
          </w:p>
        </w:tc>
      </w:tr>
    </w:tbl>
    <w:p w14:paraId="3E4A8E7D" w14:textId="7F0F8E7A" w:rsidR="00A245A2" w:rsidRDefault="00DE290A" w:rsidP="005230A9">
      <w:pPr>
        <w:pStyle w:val="BodyText1"/>
      </w:pPr>
      <w:r>
        <w:t xml:space="preserve">A number of barriers were also highlighted related to workforce. </w:t>
      </w:r>
      <w:r w:rsidR="00DF1DD5">
        <w:t>T</w:t>
      </w:r>
      <w:r w:rsidR="007E23FF" w:rsidRPr="0039444B">
        <w:t xml:space="preserve">he ability </w:t>
      </w:r>
      <w:r w:rsidR="00DF1DD5">
        <w:t>of providers</w:t>
      </w:r>
      <w:r w:rsidR="007E23FF" w:rsidRPr="0039444B">
        <w:t xml:space="preserve"> to implement the Standards was impacted by recruitment and retention of the workforce, as well as high rates of attrition and staff turnover within the sector</w:t>
      </w:r>
      <w:r w:rsidR="002075DD">
        <w:t>.</w:t>
      </w:r>
      <w:r w:rsidR="0083123A">
        <w:rPr>
          <w:rFonts w:ascii="ZWAdobeF" w:hAnsi="ZWAdobeF" w:cs="ZWAdobeF"/>
          <w:sz w:val="2"/>
          <w:szCs w:val="2"/>
        </w:rPr>
        <w:t>24F</w:t>
      </w:r>
      <w:r w:rsidR="00CC5EA0" w:rsidRPr="000318A7">
        <w:rPr>
          <w:vertAlign w:val="superscript"/>
        </w:rPr>
        <w:footnoteReference w:id="25"/>
      </w:r>
      <w:r w:rsidR="00643FD4">
        <w:t xml:space="preserve"> </w:t>
      </w:r>
      <w:r w:rsidR="00772328" w:rsidRPr="0039444B">
        <w:t xml:space="preserve">This </w:t>
      </w:r>
      <w:r w:rsidR="00772328">
        <w:t xml:space="preserve">issue </w:t>
      </w:r>
      <w:r w:rsidR="00772328" w:rsidRPr="0039444B">
        <w:t xml:space="preserve">has been exacerbated by broader workforce constraints from limited migration activity during COVID-19 and workforce constraints in other sectors. </w:t>
      </w:r>
      <w:r w:rsidR="00643FD4">
        <w:t xml:space="preserve">Some providers experienced challenges with upskilling new staff on the Standards or </w:t>
      </w:r>
      <w:r w:rsidR="002D4614">
        <w:t xml:space="preserve">employing </w:t>
      </w:r>
      <w:r w:rsidR="00B62C3F">
        <w:t xml:space="preserve">suitable staff to support implementation activities. Other providers reported that their ability to </w:t>
      </w:r>
      <w:r w:rsidR="00267526">
        <w:t xml:space="preserve">fill vacancies in direct care roles had </w:t>
      </w:r>
      <w:r w:rsidR="00250EDC">
        <w:t>meant there was limited capacity within</w:t>
      </w:r>
      <w:r w:rsidR="00267526">
        <w:t xml:space="preserve"> their </w:t>
      </w:r>
      <w:r w:rsidR="00250EDC">
        <w:t xml:space="preserve">workforce </w:t>
      </w:r>
      <w:r w:rsidR="00267526">
        <w:t>to</w:t>
      </w:r>
      <w:r w:rsidR="002436FF">
        <w:t xml:space="preserve"> </w:t>
      </w:r>
      <w:r w:rsidR="00250EDC">
        <w:t>dedicate time to upskilling and training on the Standards</w:t>
      </w:r>
      <w:r w:rsidR="00D9235B">
        <w:t xml:space="preserve"> outside of their direct care role</w:t>
      </w:r>
      <w:r w:rsidR="00250EDC">
        <w:t>.</w:t>
      </w:r>
      <w:r w:rsidR="002436FF">
        <w:t xml:space="preserve"> </w:t>
      </w:r>
    </w:p>
    <w:p w14:paraId="12158972" w14:textId="7AE4E972" w:rsidR="00FC12BB" w:rsidRPr="00FC12BB" w:rsidRDefault="00EE7B54" w:rsidP="005230A9">
      <w:pPr>
        <w:pStyle w:val="BodyText1"/>
      </w:pPr>
      <w:r>
        <w:t>Qualitative s</w:t>
      </w:r>
      <w:r w:rsidR="00663C2F">
        <w:t>urvey responses</w:t>
      </w:r>
      <w:r w:rsidR="00B77001">
        <w:t xml:space="preserve"> from </w:t>
      </w:r>
      <w:r w:rsidR="00663C2F">
        <w:t xml:space="preserve">segments of </w:t>
      </w:r>
      <w:r w:rsidR="00E7145E">
        <w:t xml:space="preserve">the aged care workforce </w:t>
      </w:r>
      <w:r w:rsidR="00663C2F">
        <w:t xml:space="preserve">highlight that </w:t>
      </w:r>
      <w:r w:rsidR="00B20A93">
        <w:t xml:space="preserve">broader organisational leadership and governance </w:t>
      </w:r>
      <w:r w:rsidR="00364715">
        <w:t xml:space="preserve">has played a role </w:t>
      </w:r>
      <w:r w:rsidR="009169C3">
        <w:t xml:space="preserve">for some providers </w:t>
      </w:r>
      <w:r w:rsidR="00A46A3C">
        <w:t>in the ability of the workforce to access training</w:t>
      </w:r>
      <w:r w:rsidR="008B209F">
        <w:t xml:space="preserve"> and implement the Standards</w:t>
      </w:r>
      <w:r w:rsidR="00B26AA3">
        <w:t>. For example</w:t>
      </w:r>
      <w:r w:rsidR="00EF752E">
        <w:t>,</w:t>
      </w:r>
      <w:r w:rsidR="00B26AA3">
        <w:t xml:space="preserve"> one </w:t>
      </w:r>
      <w:r w:rsidR="00E34DC7">
        <w:t xml:space="preserve">workforce member </w:t>
      </w:r>
      <w:r w:rsidR="00B26AA3">
        <w:t>described that there ha</w:t>
      </w:r>
      <w:r w:rsidR="007E4F0D">
        <w:t>d</w:t>
      </w:r>
      <w:r w:rsidR="00B26AA3">
        <w:t xml:space="preserve"> been limited communication from leadership and management in relation to the Standards and </w:t>
      </w:r>
      <w:r w:rsidR="00365A10">
        <w:t>no protected time in their day to participate in training opportunities.</w:t>
      </w:r>
      <w:r w:rsidR="00A97501">
        <w:t xml:space="preserve"> </w:t>
      </w:r>
      <w:r w:rsidR="00A97501" w:rsidRPr="00A97501">
        <w:t xml:space="preserve">It was also noted </w:t>
      </w:r>
      <w:r w:rsidR="00A97501">
        <w:t xml:space="preserve">by some providers </w:t>
      </w:r>
      <w:r w:rsidR="00A97501" w:rsidRPr="00A97501">
        <w:t>that there was a lack of willingness to change in some segments of the workforce</w:t>
      </w:r>
      <w:r w:rsidR="00A97501">
        <w:t>, both at a leadership and a workforce level.</w:t>
      </w:r>
    </w:p>
    <w:p w14:paraId="01D4F687" w14:textId="2EEF695A" w:rsidR="000E583A" w:rsidRDefault="000E583A" w:rsidP="00231A99">
      <w:pPr>
        <w:pStyle w:val="HeadingLevel3NoNumber"/>
      </w:pPr>
      <w:r>
        <w:t xml:space="preserve">Implementation </w:t>
      </w:r>
      <w:r w:rsidR="0026226E">
        <w:t>support from other</w:t>
      </w:r>
      <w:r>
        <w:t xml:space="preserve"> sector stakeholders</w:t>
      </w:r>
    </w:p>
    <w:p w14:paraId="1B6F2AAC" w14:textId="41676D04" w:rsidR="0026226E" w:rsidRPr="0076565A" w:rsidRDefault="00C86619" w:rsidP="005230A9">
      <w:pPr>
        <w:pStyle w:val="BodyText1"/>
      </w:pPr>
      <w:r>
        <w:t xml:space="preserve">A number of </w:t>
      </w:r>
      <w:r w:rsidR="008E11DE">
        <w:t>other organisations within the aged care sector</w:t>
      </w:r>
      <w:r w:rsidR="00C250EC">
        <w:t>,</w:t>
      </w:r>
      <w:r w:rsidR="008E11DE">
        <w:t xml:space="preserve"> </w:t>
      </w:r>
      <w:r w:rsidR="006E4D12">
        <w:t>including aged care peak bodies and consumer representative organisations</w:t>
      </w:r>
      <w:r w:rsidR="00C250EC">
        <w:t>,</w:t>
      </w:r>
      <w:r w:rsidR="006E4D12">
        <w:t xml:space="preserve"> published guidance material and resources </w:t>
      </w:r>
      <w:r w:rsidR="00935C30">
        <w:t>and delivered training</w:t>
      </w:r>
      <w:r w:rsidR="006E4D12">
        <w:t xml:space="preserve"> </w:t>
      </w:r>
      <w:r w:rsidR="0060659D">
        <w:t>on</w:t>
      </w:r>
      <w:r w:rsidR="006E4D12">
        <w:t xml:space="preserve"> the Standards. </w:t>
      </w:r>
      <w:r w:rsidR="00C0396E">
        <w:t xml:space="preserve">Providers reported that these activities had </w:t>
      </w:r>
      <w:r w:rsidR="0060659D">
        <w:t xml:space="preserve">supported their organisation to understand how to prepare for the Standards and how to adapt their systems, policies and processes </w:t>
      </w:r>
      <w:r w:rsidR="00156E76">
        <w:t>in preparation for 1 July 2019. Other s</w:t>
      </w:r>
      <w:r w:rsidR="0026226E" w:rsidRPr="0026226E">
        <w:t>ector support and development functions funded by the Department</w:t>
      </w:r>
      <w:r w:rsidR="00C250EC">
        <w:t>,</w:t>
      </w:r>
      <w:r w:rsidR="0026226E" w:rsidRPr="0026226E">
        <w:t xml:space="preserve"> such as the Sector Support and Development Program</w:t>
      </w:r>
      <w:r w:rsidR="00C250EC">
        <w:t>,</w:t>
      </w:r>
      <w:r w:rsidR="002075DD" w:rsidRPr="0026226E">
        <w:t xml:space="preserve"> </w:t>
      </w:r>
      <w:r w:rsidR="00D055A7">
        <w:t>also delivered support, which received positive feedback from providers.</w:t>
      </w:r>
      <w:r w:rsidR="0026226E" w:rsidRPr="0026226E">
        <w:t xml:space="preserve"> </w:t>
      </w:r>
    </w:p>
    <w:p w14:paraId="6F25809E" w14:textId="70014603" w:rsidR="006E4D12" w:rsidRDefault="00E91F65" w:rsidP="005230A9">
      <w:pPr>
        <w:pStyle w:val="BodyText1"/>
      </w:pPr>
      <w:r>
        <w:t xml:space="preserve">Provider representatives </w:t>
      </w:r>
      <w:r w:rsidR="006E4D12" w:rsidRPr="00C938A8">
        <w:t xml:space="preserve">also highlighted that their existing working relationships with other providers within the sector promoted information sharing in relation to the Standards. Stakeholders explained that they utilised tools other organisations had developed in response to the </w:t>
      </w:r>
      <w:r w:rsidR="00C250EC">
        <w:t>S</w:t>
      </w:r>
      <w:r w:rsidR="006E4D12" w:rsidRPr="00C938A8">
        <w:t>tandards, and that this relationship served as a quality check</w:t>
      </w:r>
      <w:r w:rsidR="00D55D71">
        <w:t xml:space="preserve"> to their organisation’s </w:t>
      </w:r>
      <w:r w:rsidR="00685E1C">
        <w:t>preparation for the Standards.</w:t>
      </w:r>
      <w:r w:rsidR="006E4D12" w:rsidRPr="00C938A8">
        <w:t xml:space="preserve"> </w:t>
      </w:r>
    </w:p>
    <w:p w14:paraId="248295F4" w14:textId="4CC42548" w:rsidR="0014140B" w:rsidRPr="00F744CD" w:rsidRDefault="0069738B" w:rsidP="00231A99">
      <w:pPr>
        <w:pStyle w:val="HeadingLevel3NoNumber"/>
      </w:pPr>
      <w:r w:rsidRPr="00F744CD">
        <w:t>Resourcing</w:t>
      </w:r>
      <w:r w:rsidR="0071291A" w:rsidRPr="00F744CD">
        <w:t xml:space="preserve"> and associated costs</w:t>
      </w:r>
    </w:p>
    <w:p w14:paraId="61D0DC6C" w14:textId="77777777" w:rsidR="00C340A2" w:rsidRDefault="00097069" w:rsidP="005230A9">
      <w:pPr>
        <w:pStyle w:val="BodyText1"/>
      </w:pPr>
      <w:r>
        <w:t>Provider and peak representatives</w:t>
      </w:r>
      <w:r w:rsidR="009540D4" w:rsidRPr="00477C6A">
        <w:t xml:space="preserve"> highlighted </w:t>
      </w:r>
      <w:r w:rsidR="00FA3498" w:rsidRPr="00477C6A">
        <w:t xml:space="preserve">that there were </w:t>
      </w:r>
      <w:r w:rsidR="009540D4" w:rsidRPr="00477C6A">
        <w:t xml:space="preserve">a number of </w:t>
      </w:r>
      <w:r w:rsidR="00F12588" w:rsidRPr="00477C6A">
        <w:t xml:space="preserve">impacts </w:t>
      </w:r>
      <w:r w:rsidR="000779ED" w:rsidRPr="00477C6A">
        <w:t>relat</w:t>
      </w:r>
      <w:r w:rsidR="00073632">
        <w:t>ed</w:t>
      </w:r>
      <w:r w:rsidR="00DA41FA" w:rsidRPr="00477C6A">
        <w:t xml:space="preserve"> to resourcing and </w:t>
      </w:r>
      <w:r w:rsidR="002075DD" w:rsidRPr="00477C6A">
        <w:t>associate</w:t>
      </w:r>
      <w:r w:rsidR="002C7281">
        <w:t>d</w:t>
      </w:r>
      <w:r w:rsidR="00DA41FA" w:rsidRPr="00477C6A">
        <w:t xml:space="preserve"> costs</w:t>
      </w:r>
      <w:r w:rsidR="000779ED" w:rsidRPr="00477C6A">
        <w:t xml:space="preserve"> </w:t>
      </w:r>
      <w:r w:rsidR="003D5EC7">
        <w:t>of implementing the Standards</w:t>
      </w:r>
      <w:r w:rsidR="00DA41FA" w:rsidRPr="00477C6A">
        <w:t xml:space="preserve">. </w:t>
      </w:r>
      <w:r w:rsidR="002A6A9B" w:rsidRPr="00A46566">
        <w:t>Providers noted</w:t>
      </w:r>
      <w:r w:rsidR="00C45AED">
        <w:t xml:space="preserve"> </w:t>
      </w:r>
      <w:r w:rsidR="00DD4E53" w:rsidRPr="00A46566">
        <w:t xml:space="preserve">that </w:t>
      </w:r>
      <w:r w:rsidR="00005058" w:rsidRPr="00A46566">
        <w:t>t</w:t>
      </w:r>
      <w:r w:rsidR="00E6771B" w:rsidRPr="00A46566">
        <w:t xml:space="preserve">here was a cost </w:t>
      </w:r>
      <w:r w:rsidR="00C45AED">
        <w:t xml:space="preserve">and time </w:t>
      </w:r>
      <w:r w:rsidR="00E6771B" w:rsidRPr="00A46566">
        <w:t>impact</w:t>
      </w:r>
      <w:r w:rsidR="00C45AED">
        <w:t xml:space="preserve"> related to adapting their systems,</w:t>
      </w:r>
      <w:r w:rsidR="00E6771B" w:rsidRPr="00A46566">
        <w:t xml:space="preserve"> </w:t>
      </w:r>
      <w:r w:rsidR="00E85131" w:rsidRPr="00A46566">
        <w:t>policies,</w:t>
      </w:r>
      <w:r w:rsidR="00E6771B" w:rsidRPr="00A46566">
        <w:t xml:space="preserve"> and procedures</w:t>
      </w:r>
      <w:r w:rsidR="00C45AED">
        <w:t xml:space="preserve"> to the new requirements</w:t>
      </w:r>
      <w:r w:rsidR="003B0A5B">
        <w:t xml:space="preserve"> and educating their workforce on the Standards</w:t>
      </w:r>
      <w:r w:rsidR="00E6771B" w:rsidRPr="00A46566">
        <w:t xml:space="preserve">. </w:t>
      </w:r>
    </w:p>
    <w:p w14:paraId="1007C173" w14:textId="7AAFEACB" w:rsidR="00E85131" w:rsidRDefault="003558F0" w:rsidP="005230A9">
      <w:pPr>
        <w:pStyle w:val="BodyText1"/>
      </w:pPr>
      <w:r>
        <w:t>For example, s</w:t>
      </w:r>
      <w:r w:rsidR="007124A6" w:rsidRPr="00A46566">
        <w:t>ome p</w:t>
      </w:r>
      <w:r w:rsidR="00F40A0C" w:rsidRPr="00A46566">
        <w:t xml:space="preserve">roviders </w:t>
      </w:r>
      <w:r w:rsidR="007124A6" w:rsidRPr="00A46566">
        <w:t xml:space="preserve">created </w:t>
      </w:r>
      <w:r w:rsidR="00F40A0C" w:rsidRPr="00A46566">
        <w:t>n</w:t>
      </w:r>
      <w:r w:rsidR="009A23CC" w:rsidRPr="00A46566">
        <w:t xml:space="preserve">ew roles </w:t>
      </w:r>
      <w:r w:rsidR="007124A6" w:rsidRPr="00A46566">
        <w:t>such as</w:t>
      </w:r>
      <w:r w:rsidR="009A23CC" w:rsidRPr="00A46566">
        <w:t xml:space="preserve"> quality managers</w:t>
      </w:r>
      <w:r w:rsidR="007124A6" w:rsidRPr="00A46566">
        <w:t xml:space="preserve"> or hired consultants to assist with the implementation</w:t>
      </w:r>
      <w:r w:rsidR="0054191C">
        <w:t xml:space="preserve"> process at their organisation</w:t>
      </w:r>
      <w:r w:rsidR="009A23CC" w:rsidRPr="00A46566">
        <w:t>.</w:t>
      </w:r>
      <w:r w:rsidR="00752E41" w:rsidRPr="00A46566">
        <w:t xml:space="preserve"> </w:t>
      </w:r>
      <w:r w:rsidR="0054191C">
        <w:t>There was a broader concern raised by some providers that there was a</w:t>
      </w:r>
      <w:r w:rsidR="00E85131" w:rsidRPr="00BF4C22">
        <w:t xml:space="preserve"> ‘lack of recognition</w:t>
      </w:r>
      <w:r w:rsidR="0054191C">
        <w:t xml:space="preserve"> by </w:t>
      </w:r>
      <w:r w:rsidR="00AA017F">
        <w:t>G</w:t>
      </w:r>
      <w:r w:rsidR="0054191C">
        <w:t>overnment on</w:t>
      </w:r>
      <w:r w:rsidR="00E85131" w:rsidRPr="00BF4C22">
        <w:t xml:space="preserve"> the cost to the sector from this rework’</w:t>
      </w:r>
      <w:r w:rsidR="00E85131">
        <w:t>.</w:t>
      </w:r>
    </w:p>
    <w:p w14:paraId="795F0042" w14:textId="3FCCF752" w:rsidR="00550227" w:rsidRPr="000C4EF6" w:rsidRDefault="0069738B" w:rsidP="00231A99">
      <w:pPr>
        <w:pStyle w:val="HeadingLevel3NoNumber"/>
      </w:pPr>
      <w:r w:rsidRPr="000C4EF6">
        <w:t>Reform a</w:t>
      </w:r>
      <w:r w:rsidR="00FC52CD" w:rsidRPr="000C4EF6">
        <w:t>n</w:t>
      </w:r>
      <w:r w:rsidRPr="000C4EF6">
        <w:t>d change fatigue</w:t>
      </w:r>
    </w:p>
    <w:p w14:paraId="32C7F0A9" w14:textId="5B6A3575" w:rsidR="00F069F8" w:rsidRDefault="00130224" w:rsidP="005230A9">
      <w:pPr>
        <w:pStyle w:val="BodyText1"/>
      </w:pPr>
      <w:r>
        <w:t>During</w:t>
      </w:r>
      <w:r w:rsidR="00893EB7" w:rsidRPr="00A651B5">
        <w:t xml:space="preserve"> implementation of the Quality Standards, </w:t>
      </w:r>
      <w:r w:rsidR="00AF2378">
        <w:t xml:space="preserve">a range of </w:t>
      </w:r>
      <w:r w:rsidR="00893EB7" w:rsidRPr="00A651B5">
        <w:t>b</w:t>
      </w:r>
      <w:r w:rsidR="0028651C" w:rsidRPr="00A651B5">
        <w:t xml:space="preserve">roader </w:t>
      </w:r>
      <w:r w:rsidR="002075DD" w:rsidRPr="00A651B5">
        <w:t>reform</w:t>
      </w:r>
      <w:r w:rsidR="00AF2378">
        <w:t>s</w:t>
      </w:r>
      <w:r w:rsidR="0028651C" w:rsidRPr="00A651B5">
        <w:t xml:space="preserve"> </w:t>
      </w:r>
      <w:r w:rsidR="00893EB7" w:rsidRPr="00A651B5">
        <w:t>w</w:t>
      </w:r>
      <w:r w:rsidR="00E877AE">
        <w:t>ere</w:t>
      </w:r>
      <w:r w:rsidR="00893EB7" w:rsidRPr="00A651B5">
        <w:t xml:space="preserve"> </w:t>
      </w:r>
      <w:r w:rsidR="0028651C" w:rsidRPr="00A651B5">
        <w:t>occurring in the sector</w:t>
      </w:r>
      <w:r w:rsidR="00893EB7" w:rsidRPr="00A651B5">
        <w:t xml:space="preserve">, </w:t>
      </w:r>
      <w:r w:rsidR="008022F9" w:rsidRPr="00A651B5">
        <w:t xml:space="preserve">including </w:t>
      </w:r>
      <w:r w:rsidR="008022F9" w:rsidRPr="00A95051">
        <w:rPr>
          <w:lang w:eastAsia="en-AU"/>
        </w:rPr>
        <w:t xml:space="preserve">Serious Incidence Report </w:t>
      </w:r>
      <w:r w:rsidR="008022F9">
        <w:rPr>
          <w:lang w:eastAsia="en-AU"/>
        </w:rPr>
        <w:t>S</w:t>
      </w:r>
      <w:r w:rsidR="008022F9" w:rsidRPr="00A95051">
        <w:rPr>
          <w:lang w:eastAsia="en-AU"/>
        </w:rPr>
        <w:t>cheme</w:t>
      </w:r>
      <w:r w:rsidR="008022F9">
        <w:rPr>
          <w:lang w:eastAsia="en-AU"/>
        </w:rPr>
        <w:t xml:space="preserve"> (</w:t>
      </w:r>
      <w:r w:rsidR="008022F9" w:rsidRPr="00A651B5">
        <w:t>SIRS</w:t>
      </w:r>
      <w:r w:rsidR="008022F9">
        <w:t>)</w:t>
      </w:r>
      <w:r w:rsidR="008022F9" w:rsidRPr="00A651B5">
        <w:t xml:space="preserve">, </w:t>
      </w:r>
      <w:r w:rsidR="008022F9">
        <w:t xml:space="preserve">the </w:t>
      </w:r>
      <w:r w:rsidR="008022F9" w:rsidRPr="00A651B5">
        <w:t>QI</w:t>
      </w:r>
      <w:r w:rsidR="008022F9">
        <w:t xml:space="preserve"> Program</w:t>
      </w:r>
      <w:r w:rsidR="000C51E7">
        <w:t xml:space="preserve"> </w:t>
      </w:r>
      <w:r w:rsidR="008022F9" w:rsidRPr="00A651B5">
        <w:t xml:space="preserve">and </w:t>
      </w:r>
      <w:r w:rsidR="008022F9">
        <w:t xml:space="preserve">strengthened regulations related to </w:t>
      </w:r>
      <w:r w:rsidR="008022F9" w:rsidRPr="00A651B5">
        <w:t>restrictive practices</w:t>
      </w:r>
      <w:r w:rsidR="008022F9">
        <w:t xml:space="preserve"> (formerly referred to as restraints). </w:t>
      </w:r>
      <w:r w:rsidR="00447CBD">
        <w:t>Providers reported experiencing challenges with balancing i</w:t>
      </w:r>
      <w:r w:rsidR="0028651C" w:rsidRPr="00A651B5">
        <w:t xml:space="preserve">mplementation efforts between reform and the </w:t>
      </w:r>
      <w:r w:rsidR="00F348E6">
        <w:t>S</w:t>
      </w:r>
      <w:r w:rsidR="0028651C" w:rsidRPr="00A651B5">
        <w:t>tandards.</w:t>
      </w:r>
      <w:r w:rsidR="00893EB7" w:rsidRPr="00A651B5">
        <w:t xml:space="preserve"> </w:t>
      </w:r>
      <w:r w:rsidR="00447CBD">
        <w:t>Some p</w:t>
      </w:r>
      <w:r w:rsidR="00A651B5" w:rsidRPr="00A651B5">
        <w:t xml:space="preserve">roviders operating in adjacent sectors </w:t>
      </w:r>
      <w:r w:rsidR="00447CBD">
        <w:t xml:space="preserve">also </w:t>
      </w:r>
      <w:r w:rsidR="00A651B5" w:rsidRPr="00A651B5">
        <w:t xml:space="preserve">reported that they experienced </w:t>
      </w:r>
      <w:r w:rsidR="003B0A5B">
        <w:t xml:space="preserve">particular </w:t>
      </w:r>
      <w:r w:rsidR="00A651B5" w:rsidRPr="00A651B5">
        <w:t xml:space="preserve">challenges with understanding how to align systems, policies and practices with requirements in other sectors. </w:t>
      </w:r>
    </w:p>
    <w:p w14:paraId="2B8B08DE" w14:textId="65E79B31" w:rsidR="003C6476" w:rsidRDefault="00B9133F" w:rsidP="00BF3224">
      <w:pPr>
        <w:pStyle w:val="Heading2"/>
        <w:rPr>
          <w:lang w:eastAsia="en-AU"/>
        </w:rPr>
      </w:pPr>
      <w:bookmarkStart w:id="125" w:name="_Ref85389136"/>
      <w:bookmarkStart w:id="126" w:name="_Toc88804084"/>
      <w:bookmarkStart w:id="127" w:name="_Toc89930045"/>
      <w:bookmarkStart w:id="128" w:name="_Toc90453364"/>
      <w:bookmarkStart w:id="129" w:name="_Toc113448692"/>
      <w:r>
        <w:rPr>
          <w:lang w:eastAsia="en-AU"/>
        </w:rPr>
        <w:lastRenderedPageBreak/>
        <w:t xml:space="preserve">5.4 </w:t>
      </w:r>
      <w:r w:rsidR="002E07EA" w:rsidRPr="002E07EA">
        <w:rPr>
          <w:lang w:eastAsia="en-AU"/>
        </w:rPr>
        <w:t>What can be learnt from the implementation of the Standards to inform future review and changes to the Standards?</w:t>
      </w:r>
      <w:bookmarkEnd w:id="125"/>
      <w:bookmarkEnd w:id="126"/>
      <w:bookmarkEnd w:id="127"/>
      <w:bookmarkEnd w:id="128"/>
      <w:bookmarkEnd w:id="129"/>
    </w:p>
    <w:p w14:paraId="2351F1FF" w14:textId="4A72A72F" w:rsidR="00F276DE" w:rsidRDefault="00974D3E" w:rsidP="005230A9">
      <w:pPr>
        <w:pStyle w:val="BodyText1"/>
        <w:rPr>
          <w:lang w:eastAsia="en-AU"/>
        </w:rPr>
      </w:pPr>
      <w:r>
        <w:rPr>
          <w:lang w:eastAsia="en-AU"/>
        </w:rPr>
        <w:t xml:space="preserve">Stakeholders were </w:t>
      </w:r>
      <w:r w:rsidR="00C6419B">
        <w:rPr>
          <w:lang w:eastAsia="en-AU"/>
        </w:rPr>
        <w:t xml:space="preserve">asked </w:t>
      </w:r>
      <w:r w:rsidR="00512AEA">
        <w:rPr>
          <w:lang w:eastAsia="en-AU"/>
        </w:rPr>
        <w:t xml:space="preserve">to identify improvement and learning opportunities </w:t>
      </w:r>
      <w:r w:rsidR="003455B5">
        <w:rPr>
          <w:lang w:eastAsia="en-AU"/>
        </w:rPr>
        <w:t xml:space="preserve">for any future </w:t>
      </w:r>
      <w:r w:rsidR="00661107">
        <w:rPr>
          <w:lang w:eastAsia="en-AU"/>
        </w:rPr>
        <w:t>reform or review of the Standards</w:t>
      </w:r>
      <w:r w:rsidR="00F623DE">
        <w:rPr>
          <w:lang w:eastAsia="en-AU"/>
        </w:rPr>
        <w:t>, including improvements to implementation</w:t>
      </w:r>
      <w:r w:rsidR="00BC3069">
        <w:rPr>
          <w:lang w:eastAsia="en-AU"/>
        </w:rPr>
        <w:t>.</w:t>
      </w:r>
      <w:r w:rsidR="00AE323F">
        <w:rPr>
          <w:lang w:eastAsia="en-AU"/>
        </w:rPr>
        <w:t xml:space="preserve"> </w:t>
      </w:r>
      <w:r w:rsidR="00BC3069">
        <w:rPr>
          <w:lang w:eastAsia="en-AU"/>
        </w:rPr>
        <w:t xml:space="preserve">A number of recommendations were </w:t>
      </w:r>
      <w:r w:rsidR="00A97D07">
        <w:rPr>
          <w:lang w:eastAsia="en-AU"/>
        </w:rPr>
        <w:t>provide</w:t>
      </w:r>
      <w:r w:rsidR="00434BC6">
        <w:rPr>
          <w:lang w:eastAsia="en-AU"/>
        </w:rPr>
        <w:t xml:space="preserve">d through both consultations and </w:t>
      </w:r>
      <w:r w:rsidR="00345C13">
        <w:rPr>
          <w:lang w:eastAsia="en-AU"/>
        </w:rPr>
        <w:t>survey responses</w:t>
      </w:r>
      <w:r w:rsidR="00022B8A">
        <w:rPr>
          <w:lang w:eastAsia="en-AU"/>
        </w:rPr>
        <w:t>, including:</w:t>
      </w:r>
    </w:p>
    <w:p w14:paraId="1CC9844B" w14:textId="16E97D68" w:rsidR="006D3350" w:rsidRDefault="003A3618" w:rsidP="002A4AE3">
      <w:pPr>
        <w:pStyle w:val="Bullet1stlevel"/>
        <w:rPr>
          <w:lang w:eastAsia="en-AU"/>
        </w:rPr>
      </w:pPr>
      <w:r>
        <w:rPr>
          <w:lang w:eastAsia="en-AU"/>
        </w:rPr>
        <w:t xml:space="preserve">Increased </w:t>
      </w:r>
      <w:r w:rsidR="006D3350">
        <w:rPr>
          <w:lang w:eastAsia="en-AU"/>
        </w:rPr>
        <w:t>learning opportunities and guidance</w:t>
      </w:r>
    </w:p>
    <w:p w14:paraId="762BC62A" w14:textId="77777777" w:rsidR="006D3350" w:rsidRDefault="006D3350" w:rsidP="002A4AE3">
      <w:pPr>
        <w:pStyle w:val="Bullet1stlevel"/>
        <w:rPr>
          <w:lang w:eastAsia="en-AU"/>
        </w:rPr>
      </w:pPr>
      <w:r>
        <w:rPr>
          <w:lang w:eastAsia="en-AU"/>
        </w:rPr>
        <w:t>Increased implementation time and support</w:t>
      </w:r>
    </w:p>
    <w:p w14:paraId="1D28A9C2" w14:textId="77777777" w:rsidR="00A04430" w:rsidRDefault="006D3350" w:rsidP="002A4AE3">
      <w:pPr>
        <w:pStyle w:val="Bullet1stlevel"/>
        <w:rPr>
          <w:lang w:eastAsia="en-AU"/>
        </w:rPr>
      </w:pPr>
      <w:r>
        <w:rPr>
          <w:lang w:eastAsia="en-AU"/>
        </w:rPr>
        <w:t>Consistent and transparent assessment</w:t>
      </w:r>
    </w:p>
    <w:p w14:paraId="63208842" w14:textId="7DC98E0F" w:rsidR="00B11D03" w:rsidRDefault="006D3350" w:rsidP="002A4AE3">
      <w:pPr>
        <w:pStyle w:val="Bullet1stlevel"/>
        <w:rPr>
          <w:lang w:eastAsia="en-AU"/>
        </w:rPr>
      </w:pPr>
      <w:r>
        <w:rPr>
          <w:lang w:eastAsia="en-AU"/>
        </w:rPr>
        <w:t>Increased consultation</w:t>
      </w:r>
      <w:r w:rsidR="006B5975">
        <w:rPr>
          <w:lang w:eastAsia="en-AU"/>
        </w:rPr>
        <w:t xml:space="preserve"> </w:t>
      </w:r>
      <w:r w:rsidR="00D6480C">
        <w:rPr>
          <w:lang w:eastAsia="en-AU"/>
        </w:rPr>
        <w:t>and promotion to consumers</w:t>
      </w:r>
      <w:r w:rsidR="000B15D3">
        <w:rPr>
          <w:lang w:eastAsia="en-AU"/>
        </w:rPr>
        <w:t>.</w:t>
      </w:r>
    </w:p>
    <w:p w14:paraId="6AADAAA0" w14:textId="34B65106" w:rsidR="00FA6A6D" w:rsidRPr="009F3746" w:rsidRDefault="00FA6A6D" w:rsidP="00231A99">
      <w:pPr>
        <w:pStyle w:val="HeadingLevel3NoNumber"/>
        <w:rPr>
          <w:lang w:eastAsia="en-AU"/>
        </w:rPr>
      </w:pPr>
      <w:r w:rsidRPr="009F3746">
        <w:rPr>
          <w:lang w:eastAsia="en-AU"/>
        </w:rPr>
        <w:t xml:space="preserve">Increased </w:t>
      </w:r>
      <w:r w:rsidR="007A51C9">
        <w:rPr>
          <w:lang w:eastAsia="en-AU"/>
        </w:rPr>
        <w:t>learning opportunities</w:t>
      </w:r>
      <w:r w:rsidRPr="009F3746">
        <w:rPr>
          <w:lang w:eastAsia="en-AU"/>
        </w:rPr>
        <w:t xml:space="preserve"> and guidance</w:t>
      </w:r>
    </w:p>
    <w:p w14:paraId="2BD752E1" w14:textId="4CF4CE54" w:rsidR="009F3746" w:rsidRDefault="009F3746" w:rsidP="005230A9">
      <w:pPr>
        <w:pStyle w:val="BodyText1"/>
        <w:rPr>
          <w:lang w:eastAsia="en-AU"/>
        </w:rPr>
      </w:pPr>
      <w:r>
        <w:rPr>
          <w:lang w:eastAsia="en-AU"/>
        </w:rPr>
        <w:t xml:space="preserve">Providers and </w:t>
      </w:r>
      <w:r w:rsidR="002C4A3E">
        <w:rPr>
          <w:lang w:eastAsia="en-AU"/>
        </w:rPr>
        <w:t>provider peak body representatives</w:t>
      </w:r>
      <w:r>
        <w:rPr>
          <w:lang w:eastAsia="en-AU"/>
        </w:rPr>
        <w:t xml:space="preserve"> highlighted </w:t>
      </w:r>
      <w:r w:rsidR="009D661C">
        <w:rPr>
          <w:lang w:eastAsia="en-AU"/>
        </w:rPr>
        <w:t xml:space="preserve">a </w:t>
      </w:r>
      <w:r w:rsidR="00E944EA">
        <w:rPr>
          <w:lang w:eastAsia="en-AU"/>
        </w:rPr>
        <w:t xml:space="preserve">need to improve </w:t>
      </w:r>
      <w:r w:rsidR="00E63966">
        <w:rPr>
          <w:lang w:eastAsia="en-AU"/>
        </w:rPr>
        <w:t>ongoing learning opportunities to support best practice approac</w:t>
      </w:r>
      <w:r w:rsidR="00AF2EF5">
        <w:rPr>
          <w:lang w:eastAsia="en-AU"/>
        </w:rPr>
        <w:t xml:space="preserve">hes and to support workforces with understanding of the requirements. </w:t>
      </w:r>
      <w:r w:rsidR="00823C3A">
        <w:rPr>
          <w:lang w:eastAsia="en-AU"/>
        </w:rPr>
        <w:t xml:space="preserve">The feedback on the learning opportunities and </w:t>
      </w:r>
      <w:r w:rsidR="00D1017F">
        <w:rPr>
          <w:lang w:eastAsia="en-AU"/>
        </w:rPr>
        <w:t>improvements is consistent with the barriers to implementation through workforce skills and investment, explored under</w:t>
      </w:r>
      <w:r w:rsidR="0033776E">
        <w:rPr>
          <w:lang w:eastAsia="en-AU"/>
        </w:rPr>
        <w:t xml:space="preserve"> Section</w:t>
      </w:r>
      <w:r w:rsidR="00D1017F">
        <w:rPr>
          <w:lang w:eastAsia="en-AU"/>
        </w:rPr>
        <w:t xml:space="preserve"> </w:t>
      </w:r>
      <w:r w:rsidR="006B49AF">
        <w:rPr>
          <w:lang w:eastAsia="en-AU"/>
        </w:rPr>
        <w:fldChar w:fldCharType="begin" w:fldLock="1"/>
      </w:r>
      <w:r w:rsidR="006B49AF">
        <w:rPr>
          <w:lang w:eastAsia="en-AU"/>
        </w:rPr>
        <w:instrText xml:space="preserve"> REF _Ref85439913 \r \h </w:instrText>
      </w:r>
      <w:r w:rsidR="006B49AF">
        <w:rPr>
          <w:lang w:eastAsia="en-AU"/>
        </w:rPr>
      </w:r>
      <w:r w:rsidR="006B49AF">
        <w:rPr>
          <w:lang w:eastAsia="en-AU"/>
        </w:rPr>
        <w:fldChar w:fldCharType="separate"/>
      </w:r>
      <w:r w:rsidR="00453533">
        <w:rPr>
          <w:lang w:eastAsia="en-AU"/>
        </w:rPr>
        <w:t>5.3</w:t>
      </w:r>
      <w:r w:rsidR="006B49AF">
        <w:rPr>
          <w:lang w:eastAsia="en-AU"/>
        </w:rPr>
        <w:fldChar w:fldCharType="end"/>
      </w:r>
      <w:r w:rsidR="006B49AF">
        <w:rPr>
          <w:lang w:eastAsia="en-AU"/>
        </w:rPr>
        <w:t xml:space="preserve"> </w:t>
      </w:r>
      <w:r w:rsidR="00572AE9">
        <w:rPr>
          <w:lang w:eastAsia="en-AU"/>
        </w:rPr>
        <w:t xml:space="preserve">above. </w:t>
      </w:r>
      <w:r w:rsidR="002016D2">
        <w:rPr>
          <w:lang w:eastAsia="en-AU"/>
        </w:rPr>
        <w:t>Stakeholders raised</w:t>
      </w:r>
      <w:r w:rsidR="009160BB">
        <w:rPr>
          <w:lang w:eastAsia="en-AU"/>
        </w:rPr>
        <w:t xml:space="preserve"> </w:t>
      </w:r>
      <w:r w:rsidR="007A1163">
        <w:rPr>
          <w:lang w:eastAsia="en-AU"/>
        </w:rPr>
        <w:t xml:space="preserve">a range of options for improved support, including </w:t>
      </w:r>
      <w:r w:rsidR="005D64D2">
        <w:rPr>
          <w:lang w:eastAsia="en-AU"/>
        </w:rPr>
        <w:t xml:space="preserve">further </w:t>
      </w:r>
      <w:r>
        <w:rPr>
          <w:lang w:eastAsia="en-AU"/>
        </w:rPr>
        <w:t xml:space="preserve">guidance, case studies, definition of terms, audit tools and general support to improve understanding of requirements and implementation into the future. </w:t>
      </w:r>
    </w:p>
    <w:p w14:paraId="1B11EDE0" w14:textId="669C57BC" w:rsidR="000E31CB" w:rsidRDefault="000E31CB" w:rsidP="005230A9">
      <w:pPr>
        <w:pStyle w:val="BodyText1"/>
        <w:rPr>
          <w:lang w:eastAsia="en-AU"/>
        </w:rPr>
      </w:pPr>
      <w:r>
        <w:rPr>
          <w:lang w:eastAsia="en-AU"/>
        </w:rPr>
        <w:t xml:space="preserve">A number of </w:t>
      </w:r>
      <w:r w:rsidR="002C4A3E">
        <w:rPr>
          <w:lang w:eastAsia="en-AU"/>
        </w:rPr>
        <w:t xml:space="preserve">representatives from providers </w:t>
      </w:r>
      <w:r>
        <w:rPr>
          <w:lang w:eastAsia="en-AU"/>
        </w:rPr>
        <w:t xml:space="preserve">asked for the Standards to be ‘simplified’ and </w:t>
      </w:r>
      <w:r w:rsidR="000A519D">
        <w:rPr>
          <w:lang w:eastAsia="en-AU"/>
        </w:rPr>
        <w:t xml:space="preserve">to increase clarity around terms and expectations. This </w:t>
      </w:r>
      <w:r w:rsidR="00E0443A">
        <w:rPr>
          <w:lang w:eastAsia="en-AU"/>
        </w:rPr>
        <w:t xml:space="preserve">feedback was in line with </w:t>
      </w:r>
      <w:r w:rsidR="003138A7">
        <w:rPr>
          <w:lang w:eastAsia="en-AU"/>
        </w:rPr>
        <w:t xml:space="preserve">consultation feedback further explored under </w:t>
      </w:r>
      <w:r w:rsidR="002075DD">
        <w:rPr>
          <w:lang w:eastAsia="en-AU"/>
        </w:rPr>
        <w:t xml:space="preserve">Section </w:t>
      </w:r>
      <w:r w:rsidR="006B49AF">
        <w:rPr>
          <w:lang w:eastAsia="en-AU"/>
        </w:rPr>
        <w:fldChar w:fldCharType="begin" w:fldLock="1"/>
      </w:r>
      <w:r w:rsidR="006B49AF">
        <w:rPr>
          <w:lang w:eastAsia="en-AU"/>
        </w:rPr>
        <w:instrText xml:space="preserve"> REF _Ref85223274 \r \h </w:instrText>
      </w:r>
      <w:r w:rsidR="006B49AF">
        <w:rPr>
          <w:lang w:eastAsia="en-AU"/>
        </w:rPr>
      </w:r>
      <w:r w:rsidR="006B49AF">
        <w:rPr>
          <w:lang w:eastAsia="en-AU"/>
        </w:rPr>
        <w:fldChar w:fldCharType="separate"/>
      </w:r>
      <w:r w:rsidR="00453533">
        <w:rPr>
          <w:lang w:eastAsia="en-AU"/>
        </w:rPr>
        <w:t>6.1</w:t>
      </w:r>
      <w:r w:rsidR="006B49AF">
        <w:rPr>
          <w:lang w:eastAsia="en-AU"/>
        </w:rPr>
        <w:fldChar w:fldCharType="end"/>
      </w:r>
      <w:r w:rsidR="00D17B6B">
        <w:rPr>
          <w:lang w:eastAsia="en-AU"/>
        </w:rPr>
        <w:t xml:space="preserve"> of this report</w:t>
      </w:r>
      <w:r w:rsidR="009011E7">
        <w:rPr>
          <w:lang w:eastAsia="en-AU"/>
        </w:rPr>
        <w:t>.</w:t>
      </w:r>
    </w:p>
    <w:p w14:paraId="0B034838" w14:textId="7B2DEFF4" w:rsidR="00EE6336" w:rsidRDefault="0003450E" w:rsidP="005230A9">
      <w:pPr>
        <w:pStyle w:val="BodyText1"/>
        <w:rPr>
          <w:lang w:eastAsia="en-AU"/>
        </w:rPr>
      </w:pPr>
      <w:r>
        <w:rPr>
          <w:lang w:eastAsia="en-AU"/>
        </w:rPr>
        <w:t xml:space="preserve">Additional guidance and support </w:t>
      </w:r>
      <w:r w:rsidR="00770F01">
        <w:rPr>
          <w:lang w:eastAsia="en-AU"/>
        </w:rPr>
        <w:t>were</w:t>
      </w:r>
      <w:r>
        <w:rPr>
          <w:lang w:eastAsia="en-AU"/>
        </w:rPr>
        <w:t xml:space="preserve"> requested in relation to implementation of the Standards </w:t>
      </w:r>
      <w:r w:rsidR="00BB4AB4">
        <w:rPr>
          <w:lang w:eastAsia="en-AU"/>
        </w:rPr>
        <w:t xml:space="preserve">in specific </w:t>
      </w:r>
      <w:r w:rsidR="009011E7">
        <w:rPr>
          <w:lang w:eastAsia="en-AU"/>
        </w:rPr>
        <w:t xml:space="preserve">service </w:t>
      </w:r>
      <w:r w:rsidR="002075DD">
        <w:rPr>
          <w:lang w:eastAsia="en-AU"/>
        </w:rPr>
        <w:t>setting</w:t>
      </w:r>
      <w:r w:rsidR="00522074">
        <w:rPr>
          <w:lang w:eastAsia="en-AU"/>
        </w:rPr>
        <w:t>s</w:t>
      </w:r>
      <w:r w:rsidR="009E5ABB">
        <w:rPr>
          <w:lang w:eastAsia="en-AU"/>
        </w:rPr>
        <w:t xml:space="preserve">, </w:t>
      </w:r>
      <w:r w:rsidR="00A04430">
        <w:rPr>
          <w:lang w:eastAsia="en-AU"/>
        </w:rPr>
        <w:t>especially</w:t>
      </w:r>
      <w:r w:rsidR="0048126B">
        <w:rPr>
          <w:lang w:eastAsia="en-AU"/>
        </w:rPr>
        <w:t xml:space="preserve"> home care</w:t>
      </w:r>
      <w:r w:rsidR="00F265BA">
        <w:rPr>
          <w:lang w:eastAsia="en-AU"/>
        </w:rPr>
        <w:t xml:space="preserve">.  </w:t>
      </w:r>
      <w:r w:rsidR="002C4A3E">
        <w:rPr>
          <w:lang w:eastAsia="en-AU"/>
        </w:rPr>
        <w:t xml:space="preserve">Some providers also requested </w:t>
      </w:r>
      <w:r w:rsidR="00D57BB6">
        <w:rPr>
          <w:lang w:eastAsia="en-AU"/>
        </w:rPr>
        <w:t xml:space="preserve">guidance that </w:t>
      </w:r>
      <w:r w:rsidR="00F265BA">
        <w:rPr>
          <w:lang w:eastAsia="en-AU"/>
        </w:rPr>
        <w:t>support</w:t>
      </w:r>
      <w:r w:rsidR="00133D79">
        <w:rPr>
          <w:lang w:eastAsia="en-AU"/>
        </w:rPr>
        <w:t xml:space="preserve">s </w:t>
      </w:r>
      <w:r w:rsidR="00D57BB6">
        <w:rPr>
          <w:lang w:eastAsia="en-AU"/>
        </w:rPr>
        <w:t>home care providers to understand relevance and application of requirements</w:t>
      </w:r>
      <w:r w:rsidR="00DD1E6A">
        <w:rPr>
          <w:lang w:eastAsia="en-AU"/>
        </w:rPr>
        <w:t xml:space="preserve"> and </w:t>
      </w:r>
      <w:r w:rsidR="009011E7">
        <w:rPr>
          <w:lang w:eastAsia="en-AU"/>
        </w:rPr>
        <w:t xml:space="preserve">to clarify </w:t>
      </w:r>
      <w:r w:rsidR="00556644">
        <w:rPr>
          <w:lang w:eastAsia="en-AU"/>
        </w:rPr>
        <w:t>scope of responsibilities</w:t>
      </w:r>
      <w:r w:rsidR="00133D79">
        <w:rPr>
          <w:lang w:eastAsia="en-AU"/>
        </w:rPr>
        <w:t xml:space="preserve"> </w:t>
      </w:r>
      <w:r w:rsidR="00D971C6">
        <w:rPr>
          <w:lang w:eastAsia="en-AU"/>
        </w:rPr>
        <w:t>that were</w:t>
      </w:r>
      <w:r w:rsidR="00133D79">
        <w:rPr>
          <w:lang w:eastAsia="en-AU"/>
        </w:rPr>
        <w:t xml:space="preserve"> identified </w:t>
      </w:r>
      <w:r w:rsidR="00D971C6">
        <w:rPr>
          <w:lang w:eastAsia="en-AU"/>
        </w:rPr>
        <w:t>for the service.</w:t>
      </w:r>
      <w:r w:rsidR="00556644">
        <w:rPr>
          <w:lang w:eastAsia="en-AU"/>
        </w:rPr>
        <w:t xml:space="preserve"> </w:t>
      </w:r>
      <w:r w:rsidR="00982C52">
        <w:rPr>
          <w:lang w:eastAsia="en-AU"/>
        </w:rPr>
        <w:t xml:space="preserve">Providers raised that the HCP program funding caused confusion for providers and consumers in connection with the Standards. </w:t>
      </w:r>
      <w:r w:rsidR="00F27835">
        <w:rPr>
          <w:lang w:eastAsia="en-AU"/>
        </w:rPr>
        <w:t xml:space="preserve">For example, </w:t>
      </w:r>
      <w:r w:rsidR="006F7EE0">
        <w:rPr>
          <w:lang w:eastAsia="en-AU"/>
        </w:rPr>
        <w:t xml:space="preserve">where </w:t>
      </w:r>
      <w:r w:rsidR="00770F01">
        <w:rPr>
          <w:lang w:eastAsia="en-AU"/>
        </w:rPr>
        <w:t xml:space="preserve">the ‘beginning and end’ of provider responsibilities </w:t>
      </w:r>
      <w:r w:rsidR="00B43D1F">
        <w:rPr>
          <w:lang w:eastAsia="en-AU"/>
        </w:rPr>
        <w:t>sat</w:t>
      </w:r>
      <w:r w:rsidR="00770F01">
        <w:rPr>
          <w:lang w:eastAsia="en-AU"/>
        </w:rPr>
        <w:t xml:space="preserve"> </w:t>
      </w:r>
      <w:r w:rsidR="00556644">
        <w:rPr>
          <w:lang w:eastAsia="en-AU"/>
        </w:rPr>
        <w:t>in relation to contracted services requested by consumers</w:t>
      </w:r>
      <w:r w:rsidR="00EE6336">
        <w:rPr>
          <w:lang w:eastAsia="en-AU"/>
        </w:rPr>
        <w:t xml:space="preserve">. </w:t>
      </w:r>
    </w:p>
    <w:p w14:paraId="04C64DAF" w14:textId="49CF70A5" w:rsidR="000E40FA" w:rsidRDefault="00770F01" w:rsidP="005230A9">
      <w:pPr>
        <w:pStyle w:val="BodyText1"/>
        <w:rPr>
          <w:lang w:eastAsia="en-AU"/>
        </w:rPr>
      </w:pPr>
      <w:r>
        <w:rPr>
          <w:lang w:eastAsia="en-AU"/>
        </w:rPr>
        <w:t>Providers</w:t>
      </w:r>
      <w:r w:rsidR="00486CB1">
        <w:rPr>
          <w:lang w:eastAsia="en-AU"/>
        </w:rPr>
        <w:t>, peaks,</w:t>
      </w:r>
      <w:r w:rsidR="004300AB">
        <w:rPr>
          <w:lang w:eastAsia="en-AU"/>
        </w:rPr>
        <w:t xml:space="preserve"> </w:t>
      </w:r>
      <w:r w:rsidR="00D14F33">
        <w:rPr>
          <w:lang w:eastAsia="en-AU"/>
        </w:rPr>
        <w:t>consultant</w:t>
      </w:r>
      <w:r w:rsidR="004300AB">
        <w:rPr>
          <w:lang w:eastAsia="en-AU"/>
        </w:rPr>
        <w:t>s</w:t>
      </w:r>
      <w:r w:rsidR="00D14F33">
        <w:rPr>
          <w:lang w:eastAsia="en-AU"/>
        </w:rPr>
        <w:t xml:space="preserve"> and advocacy groups</w:t>
      </w:r>
      <w:r>
        <w:rPr>
          <w:lang w:eastAsia="en-AU"/>
        </w:rPr>
        <w:t xml:space="preserve"> also called for increased tailored guidance</w:t>
      </w:r>
      <w:r w:rsidR="008E056F">
        <w:rPr>
          <w:lang w:eastAsia="en-AU"/>
        </w:rPr>
        <w:t xml:space="preserve"> and learning opportunities</w:t>
      </w:r>
      <w:r>
        <w:rPr>
          <w:lang w:eastAsia="en-AU"/>
        </w:rPr>
        <w:t xml:space="preserve"> for services in rural and remote settings as well as smaller service settings. </w:t>
      </w:r>
      <w:r w:rsidR="008E056F">
        <w:rPr>
          <w:lang w:eastAsia="en-AU"/>
        </w:rPr>
        <w:t xml:space="preserve">Examples </w:t>
      </w:r>
      <w:r w:rsidR="00C418F8">
        <w:rPr>
          <w:lang w:eastAsia="en-AU"/>
        </w:rPr>
        <w:t xml:space="preserve">raised </w:t>
      </w:r>
      <w:r w:rsidR="008E056F">
        <w:rPr>
          <w:lang w:eastAsia="en-AU"/>
        </w:rPr>
        <w:t>included increased guidance under Standards 7 and 8 where services may face increased staff challenges</w:t>
      </w:r>
      <w:r w:rsidR="00A04520">
        <w:rPr>
          <w:lang w:eastAsia="en-AU"/>
        </w:rPr>
        <w:t xml:space="preserve">, </w:t>
      </w:r>
      <w:r w:rsidR="008E056F">
        <w:rPr>
          <w:lang w:eastAsia="en-AU"/>
        </w:rPr>
        <w:t>have a smaller governance structure</w:t>
      </w:r>
      <w:r w:rsidR="00A04520">
        <w:rPr>
          <w:lang w:eastAsia="en-AU"/>
        </w:rPr>
        <w:t xml:space="preserve"> or </w:t>
      </w:r>
      <w:r w:rsidR="006E565B">
        <w:rPr>
          <w:lang w:eastAsia="en-AU"/>
        </w:rPr>
        <w:t xml:space="preserve">where services respond to </w:t>
      </w:r>
      <w:r w:rsidR="003121FD">
        <w:rPr>
          <w:lang w:eastAsia="en-AU"/>
        </w:rPr>
        <w:t>complex Indigenous cultural challenges</w:t>
      </w:r>
      <w:r w:rsidR="00AA017F">
        <w:rPr>
          <w:lang w:eastAsia="en-AU"/>
        </w:rPr>
        <w:t>.</w:t>
      </w:r>
    </w:p>
    <w:p w14:paraId="2C1163FC" w14:textId="452CBE08" w:rsidR="000E31CB" w:rsidRDefault="00DE109F" w:rsidP="005230A9">
      <w:pPr>
        <w:pStyle w:val="BodyText1"/>
        <w:rPr>
          <w:lang w:eastAsia="en-AU"/>
        </w:rPr>
      </w:pPr>
      <w:r>
        <w:rPr>
          <w:lang w:eastAsia="en-AU"/>
        </w:rPr>
        <w:t>Both consumers and p</w:t>
      </w:r>
      <w:r w:rsidR="00E126D2">
        <w:rPr>
          <w:lang w:eastAsia="en-AU"/>
        </w:rPr>
        <w:t xml:space="preserve">roviders </w:t>
      </w:r>
      <w:r w:rsidR="00C418F8">
        <w:rPr>
          <w:lang w:eastAsia="en-AU"/>
        </w:rPr>
        <w:t xml:space="preserve">also </w:t>
      </w:r>
      <w:r w:rsidR="00543510">
        <w:rPr>
          <w:lang w:eastAsia="en-AU"/>
        </w:rPr>
        <w:t xml:space="preserve">raised that </w:t>
      </w:r>
      <w:r w:rsidR="00C418F8">
        <w:rPr>
          <w:lang w:eastAsia="en-AU"/>
        </w:rPr>
        <w:t>there were important opportunities to increase</w:t>
      </w:r>
      <w:r w:rsidR="006870E7">
        <w:rPr>
          <w:lang w:eastAsia="en-AU"/>
        </w:rPr>
        <w:t xml:space="preserve"> guidance in other languages to </w:t>
      </w:r>
      <w:r w:rsidR="00C418F8">
        <w:rPr>
          <w:lang w:eastAsia="en-AU"/>
        </w:rPr>
        <w:t>support segments of the workforce that had</w:t>
      </w:r>
      <w:r w:rsidR="00C73D33">
        <w:rPr>
          <w:lang w:eastAsia="en-AU"/>
        </w:rPr>
        <w:t xml:space="preserve"> English as a second language. </w:t>
      </w:r>
    </w:p>
    <w:p w14:paraId="63942E74" w14:textId="77777777" w:rsidR="00D617D5" w:rsidRDefault="00EA6D4F" w:rsidP="00231A99">
      <w:pPr>
        <w:pStyle w:val="HeadingLevel3NoNumber"/>
        <w:rPr>
          <w:lang w:eastAsia="en-AU"/>
        </w:rPr>
      </w:pPr>
      <w:r>
        <w:rPr>
          <w:lang w:eastAsia="en-AU"/>
        </w:rPr>
        <w:t xml:space="preserve">Increased </w:t>
      </w:r>
      <w:r w:rsidR="00D617D5">
        <w:rPr>
          <w:lang w:eastAsia="en-AU"/>
        </w:rPr>
        <w:t>timeframe and support</w:t>
      </w:r>
    </w:p>
    <w:p w14:paraId="5C803E1A" w14:textId="550A79E9" w:rsidR="00394887" w:rsidRDefault="005345A3" w:rsidP="005230A9">
      <w:pPr>
        <w:pStyle w:val="BodyText1"/>
        <w:rPr>
          <w:lang w:eastAsia="en-AU"/>
        </w:rPr>
      </w:pPr>
      <w:r>
        <w:rPr>
          <w:lang w:eastAsia="en-AU"/>
        </w:rPr>
        <w:t xml:space="preserve">Providers </w:t>
      </w:r>
      <w:r w:rsidR="0090760E">
        <w:rPr>
          <w:lang w:eastAsia="en-AU"/>
        </w:rPr>
        <w:t>fre</w:t>
      </w:r>
      <w:r w:rsidR="00E5032B">
        <w:rPr>
          <w:lang w:eastAsia="en-AU"/>
        </w:rPr>
        <w:t xml:space="preserve">quently </w:t>
      </w:r>
      <w:r>
        <w:rPr>
          <w:lang w:eastAsia="en-AU"/>
        </w:rPr>
        <w:t xml:space="preserve">suggested that options to explore increased time and funding to support implementation be explored in the future. </w:t>
      </w:r>
      <w:r w:rsidR="003D4904">
        <w:rPr>
          <w:lang w:eastAsia="en-AU"/>
        </w:rPr>
        <w:t>Some p</w:t>
      </w:r>
      <w:r w:rsidR="00740C62">
        <w:rPr>
          <w:lang w:eastAsia="en-AU"/>
        </w:rPr>
        <w:t>roviders raised that the implementation timeframe for</w:t>
      </w:r>
      <w:r w:rsidR="006E590C">
        <w:rPr>
          <w:lang w:eastAsia="en-AU"/>
        </w:rPr>
        <w:t xml:space="preserve"> Standards </w:t>
      </w:r>
      <w:r w:rsidR="008F3B3C">
        <w:rPr>
          <w:lang w:eastAsia="en-AU"/>
        </w:rPr>
        <w:t>acted as a barrier to implementing the Standards</w:t>
      </w:r>
      <w:r w:rsidR="00C7169A">
        <w:rPr>
          <w:lang w:eastAsia="en-AU"/>
        </w:rPr>
        <w:t xml:space="preserve"> and that future reform to the Standards needed a significantly longer period of time to implement. </w:t>
      </w:r>
      <w:r w:rsidR="007B6519">
        <w:rPr>
          <w:lang w:eastAsia="en-AU"/>
        </w:rPr>
        <w:t xml:space="preserve">A </w:t>
      </w:r>
      <w:r w:rsidR="002D3BBA">
        <w:rPr>
          <w:lang w:eastAsia="en-AU"/>
        </w:rPr>
        <w:t xml:space="preserve">smaller </w:t>
      </w:r>
      <w:r w:rsidR="007B6519">
        <w:rPr>
          <w:lang w:eastAsia="en-AU"/>
        </w:rPr>
        <w:t xml:space="preserve">number of providers also raised the </w:t>
      </w:r>
      <w:r w:rsidR="003A46CC">
        <w:rPr>
          <w:lang w:eastAsia="en-AU"/>
        </w:rPr>
        <w:t xml:space="preserve">high cost of implementation </w:t>
      </w:r>
      <w:r w:rsidR="00E23621">
        <w:rPr>
          <w:lang w:eastAsia="en-AU"/>
        </w:rPr>
        <w:t xml:space="preserve">to their service </w:t>
      </w:r>
      <w:r w:rsidR="003A46CC">
        <w:rPr>
          <w:lang w:eastAsia="en-AU"/>
        </w:rPr>
        <w:t xml:space="preserve">and proposed that the sector needed increased funding support to implement </w:t>
      </w:r>
      <w:r w:rsidR="00730F09">
        <w:rPr>
          <w:lang w:eastAsia="en-AU"/>
        </w:rPr>
        <w:t xml:space="preserve">and meet </w:t>
      </w:r>
      <w:r w:rsidR="003A46CC">
        <w:rPr>
          <w:lang w:eastAsia="en-AU"/>
        </w:rPr>
        <w:t>the Standards.</w:t>
      </w:r>
    </w:p>
    <w:p w14:paraId="7F990BDD" w14:textId="656AC641" w:rsidR="008A6874" w:rsidRDefault="008A6874" w:rsidP="00231A99">
      <w:pPr>
        <w:pStyle w:val="HeadingLevel3NoNumber"/>
        <w:rPr>
          <w:lang w:eastAsia="en-AU"/>
        </w:rPr>
      </w:pPr>
      <w:r>
        <w:rPr>
          <w:lang w:eastAsia="en-AU"/>
        </w:rPr>
        <w:lastRenderedPageBreak/>
        <w:t>Consist</w:t>
      </w:r>
      <w:r w:rsidR="00896F87">
        <w:rPr>
          <w:lang w:eastAsia="en-AU"/>
        </w:rPr>
        <w:t xml:space="preserve">ent and </w:t>
      </w:r>
      <w:r w:rsidR="00C64CD2">
        <w:rPr>
          <w:lang w:eastAsia="en-AU"/>
        </w:rPr>
        <w:t>t</w:t>
      </w:r>
      <w:r w:rsidR="00896F87">
        <w:rPr>
          <w:lang w:eastAsia="en-AU"/>
        </w:rPr>
        <w:t xml:space="preserve">ransparent </w:t>
      </w:r>
      <w:r w:rsidR="00C64CD2">
        <w:rPr>
          <w:lang w:eastAsia="en-AU"/>
        </w:rPr>
        <w:t>a</w:t>
      </w:r>
      <w:r w:rsidR="00896F87">
        <w:rPr>
          <w:lang w:eastAsia="en-AU"/>
        </w:rPr>
        <w:t>ssessment</w:t>
      </w:r>
    </w:p>
    <w:p w14:paraId="33010999" w14:textId="034EAAF3" w:rsidR="00896F87" w:rsidRDefault="00896F87" w:rsidP="005230A9">
      <w:pPr>
        <w:pStyle w:val="BodyText1"/>
        <w:rPr>
          <w:lang w:eastAsia="en-AU"/>
        </w:rPr>
      </w:pPr>
      <w:r>
        <w:rPr>
          <w:lang w:eastAsia="en-AU"/>
        </w:rPr>
        <w:t xml:space="preserve">Providers and </w:t>
      </w:r>
      <w:r w:rsidR="00DE109F">
        <w:rPr>
          <w:lang w:eastAsia="en-AU"/>
        </w:rPr>
        <w:t xml:space="preserve">peak representatives </w:t>
      </w:r>
      <w:r>
        <w:rPr>
          <w:lang w:eastAsia="en-AU"/>
        </w:rPr>
        <w:t>con</w:t>
      </w:r>
      <w:r w:rsidR="001C5DAC">
        <w:rPr>
          <w:lang w:eastAsia="en-AU"/>
        </w:rPr>
        <w:t>tinued to raise that they wanted clarity and transparency around the assessment of the Standards and to have consistent understanding of the assessment methodology with the Commission</w:t>
      </w:r>
      <w:r w:rsidR="00C855EF">
        <w:rPr>
          <w:lang w:eastAsia="en-AU"/>
        </w:rPr>
        <w:t xml:space="preserve"> in the future</w:t>
      </w:r>
      <w:r w:rsidR="001C5DAC">
        <w:rPr>
          <w:lang w:eastAsia="en-AU"/>
        </w:rPr>
        <w:t xml:space="preserve">. </w:t>
      </w:r>
      <w:r w:rsidR="00FE3806">
        <w:rPr>
          <w:lang w:eastAsia="en-AU"/>
        </w:rPr>
        <w:t xml:space="preserve">Stakeholders described both transparency </w:t>
      </w:r>
      <w:r w:rsidR="009C20FA">
        <w:rPr>
          <w:lang w:eastAsia="en-AU"/>
        </w:rPr>
        <w:t>of the assessment methodology through guidance material</w:t>
      </w:r>
      <w:r w:rsidR="00FE3806">
        <w:rPr>
          <w:lang w:eastAsia="en-AU"/>
        </w:rPr>
        <w:t xml:space="preserve"> and </w:t>
      </w:r>
      <w:r w:rsidR="003C2635">
        <w:rPr>
          <w:lang w:eastAsia="en-AU"/>
        </w:rPr>
        <w:t>education at the point of assessment as future improvement opportunities.</w:t>
      </w:r>
      <w:r w:rsidR="009C20FA">
        <w:rPr>
          <w:lang w:eastAsia="en-AU"/>
        </w:rPr>
        <w:t xml:space="preserve"> </w:t>
      </w:r>
      <w:r w:rsidR="001C5DAC">
        <w:rPr>
          <w:lang w:eastAsia="en-AU"/>
        </w:rPr>
        <w:t xml:space="preserve">Providers sometimes expressed the view that assessment teams did not explain or educate sufficiently on </w:t>
      </w:r>
      <w:r w:rsidR="000748F4">
        <w:rPr>
          <w:lang w:eastAsia="en-AU"/>
        </w:rPr>
        <w:t xml:space="preserve">the </w:t>
      </w:r>
      <w:r w:rsidR="008054CE">
        <w:rPr>
          <w:lang w:eastAsia="en-AU"/>
        </w:rPr>
        <w:t>achievement of requirements</w:t>
      </w:r>
      <w:r w:rsidR="009C20FA">
        <w:rPr>
          <w:lang w:eastAsia="en-AU"/>
        </w:rPr>
        <w:t xml:space="preserve"> </w:t>
      </w:r>
      <w:r w:rsidR="00F265BA">
        <w:rPr>
          <w:lang w:eastAsia="en-AU"/>
        </w:rPr>
        <w:t xml:space="preserve">at the </w:t>
      </w:r>
      <w:r w:rsidR="001C5DAC">
        <w:rPr>
          <w:lang w:eastAsia="en-AU"/>
        </w:rPr>
        <w:t xml:space="preserve">time of the assessment and </w:t>
      </w:r>
      <w:r w:rsidR="00582AA7">
        <w:rPr>
          <w:lang w:eastAsia="en-AU"/>
        </w:rPr>
        <w:t xml:space="preserve">that this experience could </w:t>
      </w:r>
      <w:r w:rsidR="00096D31">
        <w:rPr>
          <w:lang w:eastAsia="en-AU"/>
        </w:rPr>
        <w:t>be</w:t>
      </w:r>
      <w:r w:rsidR="00F265BA">
        <w:rPr>
          <w:lang w:eastAsia="en-AU"/>
        </w:rPr>
        <w:t xml:space="preserve"> improve</w:t>
      </w:r>
      <w:r w:rsidR="00096D31">
        <w:rPr>
          <w:lang w:eastAsia="en-AU"/>
        </w:rPr>
        <w:t>d</w:t>
      </w:r>
      <w:r w:rsidR="00582AA7">
        <w:rPr>
          <w:lang w:eastAsia="en-AU"/>
        </w:rPr>
        <w:t xml:space="preserve"> to support future </w:t>
      </w:r>
      <w:r w:rsidR="000748F4">
        <w:rPr>
          <w:lang w:eastAsia="en-AU"/>
        </w:rPr>
        <w:t>adoption of the Standards</w:t>
      </w:r>
      <w:r w:rsidR="00582AA7">
        <w:rPr>
          <w:lang w:eastAsia="en-AU"/>
        </w:rPr>
        <w:t>.</w:t>
      </w:r>
      <w:r w:rsidR="00774994">
        <w:rPr>
          <w:lang w:eastAsia="en-AU"/>
        </w:rPr>
        <w:t xml:space="preserve"> During assessment, assessment teams </w:t>
      </w:r>
      <w:r w:rsidR="008B45CC">
        <w:rPr>
          <w:lang w:eastAsia="en-AU"/>
        </w:rPr>
        <w:t>feedback</w:t>
      </w:r>
      <w:r w:rsidR="00E57A35">
        <w:rPr>
          <w:lang w:eastAsia="en-AU"/>
        </w:rPr>
        <w:t xml:space="preserve"> observations and</w:t>
      </w:r>
      <w:r w:rsidR="008B45CC">
        <w:rPr>
          <w:lang w:eastAsia="en-AU"/>
        </w:rPr>
        <w:t xml:space="preserve"> </w:t>
      </w:r>
      <w:r w:rsidR="00D91520">
        <w:rPr>
          <w:lang w:eastAsia="en-AU"/>
        </w:rPr>
        <w:t>any key issues identified</w:t>
      </w:r>
      <w:r w:rsidR="00EB37F3">
        <w:rPr>
          <w:lang w:eastAsia="en-AU"/>
        </w:rPr>
        <w:t xml:space="preserve"> but do not confirm </w:t>
      </w:r>
      <w:r w:rsidR="00522C9E">
        <w:rPr>
          <w:lang w:eastAsia="en-AU"/>
        </w:rPr>
        <w:t xml:space="preserve">performance outcomes. </w:t>
      </w:r>
      <w:r w:rsidR="00D87DA5">
        <w:rPr>
          <w:lang w:eastAsia="en-AU"/>
        </w:rPr>
        <w:t>Providers</w:t>
      </w:r>
      <w:r w:rsidR="00570106">
        <w:rPr>
          <w:lang w:eastAsia="en-AU"/>
        </w:rPr>
        <w:t xml:space="preserve"> and peak representatives </w:t>
      </w:r>
      <w:r w:rsidR="008A2FD9">
        <w:rPr>
          <w:lang w:eastAsia="en-AU"/>
        </w:rPr>
        <w:t>explained that along with limitations of clarity in the guidance t</w:t>
      </w:r>
      <w:r w:rsidR="00A5169F">
        <w:rPr>
          <w:lang w:eastAsia="en-AU"/>
        </w:rPr>
        <w:t>here was a lo</w:t>
      </w:r>
      <w:r w:rsidR="00AD1C66">
        <w:rPr>
          <w:lang w:eastAsia="en-AU"/>
        </w:rPr>
        <w:t>st</w:t>
      </w:r>
      <w:r w:rsidR="006E5605">
        <w:rPr>
          <w:lang w:eastAsia="en-AU"/>
        </w:rPr>
        <w:t xml:space="preserve"> opportunity</w:t>
      </w:r>
      <w:r w:rsidR="00CB39AB">
        <w:rPr>
          <w:lang w:eastAsia="en-AU"/>
        </w:rPr>
        <w:t xml:space="preserve"> to better understand </w:t>
      </w:r>
      <w:r w:rsidR="00067D51">
        <w:rPr>
          <w:lang w:eastAsia="en-AU"/>
        </w:rPr>
        <w:t xml:space="preserve">meeting of </w:t>
      </w:r>
      <w:r w:rsidR="00CB39AB">
        <w:rPr>
          <w:lang w:eastAsia="en-AU"/>
        </w:rPr>
        <w:t>requirements at the point of assessment</w:t>
      </w:r>
      <w:r w:rsidR="00AA3CE9">
        <w:rPr>
          <w:lang w:eastAsia="en-AU"/>
        </w:rPr>
        <w:t>,</w:t>
      </w:r>
      <w:r w:rsidR="000D2079">
        <w:rPr>
          <w:lang w:eastAsia="en-AU"/>
        </w:rPr>
        <w:t xml:space="preserve"> </w:t>
      </w:r>
      <w:r w:rsidR="00B14605">
        <w:rPr>
          <w:lang w:eastAsia="en-AU"/>
        </w:rPr>
        <w:t>for example</w:t>
      </w:r>
      <w:r w:rsidR="003C14DC">
        <w:rPr>
          <w:lang w:eastAsia="en-AU"/>
        </w:rPr>
        <w:t>, understanding</w:t>
      </w:r>
      <w:r w:rsidR="00593EAD">
        <w:rPr>
          <w:lang w:eastAsia="en-AU"/>
        </w:rPr>
        <w:t xml:space="preserve"> </w:t>
      </w:r>
      <w:r w:rsidR="00D37449">
        <w:rPr>
          <w:lang w:eastAsia="en-AU"/>
        </w:rPr>
        <w:t xml:space="preserve">monitoring and review expectations </w:t>
      </w:r>
      <w:r w:rsidR="00F31864">
        <w:rPr>
          <w:lang w:eastAsia="en-AU"/>
        </w:rPr>
        <w:t>for requirements.</w:t>
      </w:r>
      <w:r w:rsidR="000D2079">
        <w:rPr>
          <w:lang w:eastAsia="en-AU"/>
        </w:rPr>
        <w:t xml:space="preserve"> </w:t>
      </w:r>
      <w:r w:rsidR="00AC4C2D">
        <w:rPr>
          <w:lang w:eastAsia="en-AU"/>
        </w:rPr>
        <w:t xml:space="preserve">This issue was linked to calls for </w:t>
      </w:r>
      <w:r w:rsidR="0067302F">
        <w:rPr>
          <w:lang w:eastAsia="en-AU"/>
        </w:rPr>
        <w:t xml:space="preserve">audit </w:t>
      </w:r>
      <w:r w:rsidR="00B630E0">
        <w:rPr>
          <w:lang w:eastAsia="en-AU"/>
        </w:rPr>
        <w:t>tools and</w:t>
      </w:r>
      <w:r w:rsidR="00196ECA">
        <w:rPr>
          <w:lang w:eastAsia="en-AU"/>
        </w:rPr>
        <w:t xml:space="preserve"> is also </w:t>
      </w:r>
      <w:r w:rsidR="000748F4">
        <w:rPr>
          <w:lang w:eastAsia="en-AU"/>
        </w:rPr>
        <w:t>closely related to the level of detail and prescrip</w:t>
      </w:r>
      <w:r w:rsidR="005F328C">
        <w:rPr>
          <w:lang w:eastAsia="en-AU"/>
        </w:rPr>
        <w:t>tive</w:t>
      </w:r>
      <w:r w:rsidR="000748F4">
        <w:rPr>
          <w:lang w:eastAsia="en-AU"/>
        </w:rPr>
        <w:t xml:space="preserve">ness </w:t>
      </w:r>
      <w:r w:rsidR="005F328C">
        <w:rPr>
          <w:lang w:eastAsia="en-AU"/>
        </w:rPr>
        <w:t>of</w:t>
      </w:r>
      <w:r w:rsidR="000748F4">
        <w:rPr>
          <w:lang w:eastAsia="en-AU"/>
        </w:rPr>
        <w:t xml:space="preserve"> the Standards </w:t>
      </w:r>
      <w:r w:rsidR="005F328C">
        <w:rPr>
          <w:lang w:eastAsia="en-AU"/>
        </w:rPr>
        <w:t xml:space="preserve">and guidance material which is discussed further in Section </w:t>
      </w:r>
      <w:r w:rsidR="005F328C">
        <w:rPr>
          <w:lang w:eastAsia="en-AU"/>
        </w:rPr>
        <w:fldChar w:fldCharType="begin" w:fldLock="1"/>
      </w:r>
      <w:r w:rsidR="005F328C">
        <w:rPr>
          <w:lang w:eastAsia="en-AU"/>
        </w:rPr>
        <w:instrText xml:space="preserve"> REF _Ref85382822 \r \h </w:instrText>
      </w:r>
      <w:r w:rsidR="005F328C">
        <w:rPr>
          <w:lang w:eastAsia="en-AU"/>
        </w:rPr>
      </w:r>
      <w:r w:rsidR="005F328C">
        <w:rPr>
          <w:lang w:eastAsia="en-AU"/>
        </w:rPr>
        <w:fldChar w:fldCharType="separate"/>
      </w:r>
      <w:r w:rsidR="00453533">
        <w:rPr>
          <w:lang w:eastAsia="en-AU"/>
        </w:rPr>
        <w:t>6</w:t>
      </w:r>
      <w:r w:rsidR="005F328C">
        <w:rPr>
          <w:lang w:eastAsia="en-AU"/>
        </w:rPr>
        <w:fldChar w:fldCharType="end"/>
      </w:r>
      <w:r w:rsidR="005F328C">
        <w:rPr>
          <w:lang w:eastAsia="en-AU"/>
        </w:rPr>
        <w:t xml:space="preserve">. </w:t>
      </w:r>
      <w:r w:rsidR="005B6BCB">
        <w:rPr>
          <w:lang w:eastAsia="en-AU"/>
        </w:rPr>
        <w:t xml:space="preserve">Additional information provided by the Commission as part of this evaluation in relation to the assessment methodology </w:t>
      </w:r>
      <w:r w:rsidR="0091539B">
        <w:rPr>
          <w:lang w:eastAsia="en-AU"/>
        </w:rPr>
        <w:t>is provided at Appendix D</w:t>
      </w:r>
      <w:r w:rsidR="00622A76">
        <w:rPr>
          <w:lang w:eastAsia="en-AU"/>
        </w:rPr>
        <w:t xml:space="preserve">. The Commission also publishes information about the assessment methodology </w:t>
      </w:r>
      <w:r w:rsidR="0091539B">
        <w:rPr>
          <w:lang w:eastAsia="en-AU"/>
        </w:rPr>
        <w:t>on the Commission’s website</w:t>
      </w:r>
      <w:r w:rsidR="0091539B">
        <w:rPr>
          <w:rStyle w:val="FootnoteReference"/>
          <w:lang w:eastAsia="en-AU"/>
        </w:rPr>
        <w:footnoteReference w:id="26"/>
      </w:r>
      <w:r w:rsidR="0091539B">
        <w:rPr>
          <w:lang w:eastAsia="en-AU"/>
        </w:rPr>
        <w:t>.</w:t>
      </w:r>
    </w:p>
    <w:p w14:paraId="68267DEE" w14:textId="1B052B42" w:rsidR="0079068D" w:rsidRDefault="0079068D" w:rsidP="00231A99">
      <w:pPr>
        <w:pStyle w:val="HeadingLevel3NoNumber"/>
        <w:rPr>
          <w:lang w:eastAsia="en-AU"/>
        </w:rPr>
      </w:pPr>
      <w:r>
        <w:rPr>
          <w:lang w:eastAsia="en-AU"/>
        </w:rPr>
        <w:t xml:space="preserve">Increased </w:t>
      </w:r>
      <w:r w:rsidR="00C64CD2">
        <w:rPr>
          <w:lang w:eastAsia="en-AU"/>
        </w:rPr>
        <w:t>c</w:t>
      </w:r>
      <w:r>
        <w:rPr>
          <w:lang w:eastAsia="en-AU"/>
        </w:rPr>
        <w:t>onsultation</w:t>
      </w:r>
      <w:r w:rsidR="00670348">
        <w:rPr>
          <w:lang w:eastAsia="en-AU"/>
        </w:rPr>
        <w:t xml:space="preserve"> and promotion to consumers</w:t>
      </w:r>
    </w:p>
    <w:p w14:paraId="7B78554F" w14:textId="5776D8BD" w:rsidR="00031CBD" w:rsidRDefault="00D23C7B" w:rsidP="005230A9">
      <w:pPr>
        <w:pStyle w:val="BodyText1"/>
        <w:rPr>
          <w:lang w:eastAsia="en-AU"/>
        </w:rPr>
      </w:pPr>
      <w:r>
        <w:rPr>
          <w:lang w:eastAsia="en-AU"/>
        </w:rPr>
        <w:t>While the development of the Standards was out of scope for this Evaluation, a</w:t>
      </w:r>
      <w:r w:rsidR="00767F6D">
        <w:rPr>
          <w:lang w:eastAsia="en-AU"/>
        </w:rPr>
        <w:t xml:space="preserve"> number of stakeholders </w:t>
      </w:r>
      <w:r w:rsidR="000926C7">
        <w:rPr>
          <w:lang w:eastAsia="en-AU"/>
        </w:rPr>
        <w:t>including consu</w:t>
      </w:r>
      <w:r w:rsidR="00085244">
        <w:rPr>
          <w:lang w:eastAsia="en-AU"/>
        </w:rPr>
        <w:t xml:space="preserve">mers, </w:t>
      </w:r>
      <w:r w:rsidR="00B95643">
        <w:rPr>
          <w:lang w:eastAsia="en-AU"/>
        </w:rPr>
        <w:t>providers</w:t>
      </w:r>
      <w:r w:rsidR="00E622CD">
        <w:rPr>
          <w:lang w:eastAsia="en-AU"/>
        </w:rPr>
        <w:t xml:space="preserve"> </w:t>
      </w:r>
      <w:r w:rsidR="004E1462">
        <w:rPr>
          <w:lang w:eastAsia="en-AU"/>
        </w:rPr>
        <w:t xml:space="preserve">and </w:t>
      </w:r>
      <w:r w:rsidR="003A78E3">
        <w:rPr>
          <w:lang w:eastAsia="en-AU"/>
        </w:rPr>
        <w:t>peak representati</w:t>
      </w:r>
      <w:r w:rsidR="00E622CD">
        <w:rPr>
          <w:lang w:eastAsia="en-AU"/>
        </w:rPr>
        <w:t>v</w:t>
      </w:r>
      <w:r w:rsidR="003A78E3">
        <w:rPr>
          <w:lang w:eastAsia="en-AU"/>
        </w:rPr>
        <w:t>es</w:t>
      </w:r>
      <w:r w:rsidR="00E622CD">
        <w:rPr>
          <w:lang w:eastAsia="en-AU"/>
        </w:rPr>
        <w:t>,</w:t>
      </w:r>
      <w:r w:rsidR="003A78E3">
        <w:rPr>
          <w:lang w:eastAsia="en-AU"/>
        </w:rPr>
        <w:t xml:space="preserve"> </w:t>
      </w:r>
      <w:r w:rsidR="00767F6D">
        <w:rPr>
          <w:lang w:eastAsia="en-AU"/>
        </w:rPr>
        <w:t xml:space="preserve">expressed the view that the consultation process </w:t>
      </w:r>
      <w:r w:rsidR="00031CBD">
        <w:rPr>
          <w:lang w:eastAsia="en-AU"/>
        </w:rPr>
        <w:t xml:space="preserve">for the development of future changes to the Standards </w:t>
      </w:r>
      <w:r w:rsidR="00DB00A1">
        <w:rPr>
          <w:lang w:eastAsia="en-AU"/>
        </w:rPr>
        <w:t xml:space="preserve">should </w:t>
      </w:r>
      <w:r w:rsidR="00031CBD">
        <w:rPr>
          <w:lang w:eastAsia="en-AU"/>
        </w:rPr>
        <w:t>be expanded</w:t>
      </w:r>
      <w:r w:rsidR="00DB00A1">
        <w:rPr>
          <w:lang w:eastAsia="en-AU"/>
        </w:rPr>
        <w:t xml:space="preserve"> to increase </w:t>
      </w:r>
      <w:r w:rsidR="00031CBD">
        <w:rPr>
          <w:lang w:eastAsia="en-AU"/>
        </w:rPr>
        <w:t>the</w:t>
      </w:r>
      <w:r w:rsidR="00DB00A1">
        <w:rPr>
          <w:lang w:eastAsia="en-AU"/>
        </w:rPr>
        <w:t xml:space="preserve"> involvement of consumers, providers and other stakeholders</w:t>
      </w:r>
      <w:r w:rsidR="00AC0C7D">
        <w:rPr>
          <w:lang w:eastAsia="en-AU"/>
        </w:rPr>
        <w:t xml:space="preserve">. </w:t>
      </w:r>
    </w:p>
    <w:p w14:paraId="24A1288A" w14:textId="04E2BD59" w:rsidR="00767F6D" w:rsidRDefault="00670348" w:rsidP="005230A9">
      <w:pPr>
        <w:pStyle w:val="BodyText1"/>
        <w:rPr>
          <w:lang w:eastAsia="en-AU"/>
        </w:rPr>
      </w:pPr>
      <w:r>
        <w:rPr>
          <w:lang w:eastAsia="en-AU"/>
        </w:rPr>
        <w:t xml:space="preserve">Stakeholders </w:t>
      </w:r>
      <w:r w:rsidR="00031CBD">
        <w:rPr>
          <w:lang w:eastAsia="en-AU"/>
        </w:rPr>
        <w:t>also</w:t>
      </w:r>
      <w:r>
        <w:rPr>
          <w:lang w:eastAsia="en-AU"/>
        </w:rPr>
        <w:t xml:space="preserve"> recommended that the Standards could be further promoted to consumers and that there should also be an increased effort to promote the Standards to culturally and linguistically diverse consumers and communities. </w:t>
      </w:r>
    </w:p>
    <w:p w14:paraId="1C214889" w14:textId="0A15537D" w:rsidR="007E1379" w:rsidRDefault="005A263E" w:rsidP="005230A9">
      <w:pPr>
        <w:pStyle w:val="BodyText1"/>
        <w:rPr>
          <w:lang w:eastAsia="en-AU"/>
        </w:rPr>
      </w:pPr>
      <w:r>
        <w:rPr>
          <w:lang w:eastAsia="en-AU"/>
        </w:rPr>
        <w:t>Overall</w:t>
      </w:r>
      <w:r w:rsidR="000279B4">
        <w:rPr>
          <w:lang w:eastAsia="en-AU"/>
        </w:rPr>
        <w:t>,</w:t>
      </w:r>
      <w:r>
        <w:rPr>
          <w:lang w:eastAsia="en-AU"/>
        </w:rPr>
        <w:t xml:space="preserve"> stakeholders and particularly providers and peak representatives </w:t>
      </w:r>
      <w:r w:rsidR="00B36955">
        <w:rPr>
          <w:lang w:eastAsia="en-AU"/>
        </w:rPr>
        <w:t xml:space="preserve">raised </w:t>
      </w:r>
      <w:r w:rsidR="00D0550F">
        <w:rPr>
          <w:lang w:eastAsia="en-AU"/>
        </w:rPr>
        <w:t>that the high impact of implementation to the sector needed to be recognised and further acknowledged through increased sector support</w:t>
      </w:r>
      <w:r w:rsidR="00BB5612">
        <w:rPr>
          <w:lang w:eastAsia="en-AU"/>
        </w:rPr>
        <w:t xml:space="preserve"> into the future.</w:t>
      </w:r>
      <w:r w:rsidR="00AD261C">
        <w:rPr>
          <w:lang w:eastAsia="en-AU"/>
        </w:rPr>
        <w:t xml:space="preserve"> </w:t>
      </w:r>
      <w:r w:rsidR="00CF3B3A">
        <w:rPr>
          <w:lang w:eastAsia="en-AU"/>
        </w:rPr>
        <w:t xml:space="preserve">The options for improvement </w:t>
      </w:r>
      <w:r w:rsidR="007E1379">
        <w:rPr>
          <w:lang w:eastAsia="en-AU"/>
        </w:rPr>
        <w:t xml:space="preserve">were </w:t>
      </w:r>
      <w:r w:rsidR="00CF3B3A">
        <w:rPr>
          <w:lang w:eastAsia="en-AU"/>
        </w:rPr>
        <w:t xml:space="preserve">raised </w:t>
      </w:r>
      <w:r w:rsidR="00F72DDE">
        <w:rPr>
          <w:lang w:eastAsia="en-AU"/>
        </w:rPr>
        <w:t>with a high degree of consistency and aligned to the identified challenges for implementation raised by stakeholders</w:t>
      </w:r>
      <w:r w:rsidR="00254B00">
        <w:rPr>
          <w:lang w:eastAsia="en-AU"/>
        </w:rPr>
        <w:t xml:space="preserve"> (</w:t>
      </w:r>
      <w:r w:rsidR="00031CBD">
        <w:rPr>
          <w:lang w:eastAsia="en-AU"/>
        </w:rPr>
        <w:t xml:space="preserve">presented in </w:t>
      </w:r>
      <w:r w:rsidR="00254B00">
        <w:rPr>
          <w:lang w:eastAsia="en-AU"/>
        </w:rPr>
        <w:t xml:space="preserve">Section </w:t>
      </w:r>
      <w:r w:rsidR="006B49AF">
        <w:rPr>
          <w:lang w:eastAsia="en-AU"/>
        </w:rPr>
        <w:fldChar w:fldCharType="begin" w:fldLock="1"/>
      </w:r>
      <w:r w:rsidR="006B49AF">
        <w:rPr>
          <w:lang w:eastAsia="en-AU"/>
        </w:rPr>
        <w:instrText xml:space="preserve"> REF _Ref85439992 \r \h </w:instrText>
      </w:r>
      <w:r w:rsidR="006B49AF">
        <w:rPr>
          <w:lang w:eastAsia="en-AU"/>
        </w:rPr>
      </w:r>
      <w:r w:rsidR="006B49AF">
        <w:rPr>
          <w:lang w:eastAsia="en-AU"/>
        </w:rPr>
        <w:fldChar w:fldCharType="separate"/>
      </w:r>
      <w:r w:rsidR="00453533">
        <w:rPr>
          <w:lang w:eastAsia="en-AU"/>
        </w:rPr>
        <w:t>5.3</w:t>
      </w:r>
      <w:r w:rsidR="006B49AF">
        <w:rPr>
          <w:lang w:eastAsia="en-AU"/>
        </w:rPr>
        <w:fldChar w:fldCharType="end"/>
      </w:r>
      <w:r w:rsidR="00254B00">
        <w:rPr>
          <w:lang w:eastAsia="en-AU"/>
        </w:rPr>
        <w:t>).</w:t>
      </w:r>
    </w:p>
    <w:p w14:paraId="507BCA37" w14:textId="4A123D94" w:rsidR="00E970DB" w:rsidRDefault="00D47C9A" w:rsidP="00150B48">
      <w:pPr>
        <w:pStyle w:val="Heading2"/>
        <w:rPr>
          <w:lang w:eastAsia="en-AU"/>
        </w:rPr>
      </w:pPr>
      <w:bookmarkStart w:id="130" w:name="_Toc85384232"/>
      <w:bookmarkStart w:id="131" w:name="_Toc85384310"/>
      <w:bookmarkStart w:id="132" w:name="_Toc88804085"/>
      <w:bookmarkStart w:id="133" w:name="_Toc89930046"/>
      <w:bookmarkStart w:id="134" w:name="_Toc90453365"/>
      <w:bookmarkStart w:id="135" w:name="_Toc113448693"/>
      <w:bookmarkEnd w:id="130"/>
      <w:bookmarkEnd w:id="131"/>
      <w:r>
        <w:rPr>
          <w:lang w:eastAsia="en-AU"/>
        </w:rPr>
        <w:t xml:space="preserve">5.5 </w:t>
      </w:r>
      <w:r w:rsidR="002E07EA" w:rsidRPr="002E07EA">
        <w:rPr>
          <w:lang w:eastAsia="en-AU"/>
        </w:rPr>
        <w:t>What changes are required to align the</w:t>
      </w:r>
      <w:r w:rsidR="0077397E">
        <w:rPr>
          <w:lang w:eastAsia="en-AU"/>
        </w:rPr>
        <w:t xml:space="preserve"> </w:t>
      </w:r>
      <w:r w:rsidR="002E07EA" w:rsidRPr="002E07EA">
        <w:rPr>
          <w:lang w:eastAsia="en-AU"/>
        </w:rPr>
        <w:t>Standards with future reform in the aged care sector?</w:t>
      </w:r>
      <w:bookmarkEnd w:id="132"/>
      <w:bookmarkEnd w:id="133"/>
      <w:bookmarkEnd w:id="134"/>
      <w:bookmarkEnd w:id="135"/>
    </w:p>
    <w:p w14:paraId="0B0ADE61" w14:textId="2E04E2CB" w:rsidR="002D2330" w:rsidRDefault="00E5035C" w:rsidP="005230A9">
      <w:pPr>
        <w:pStyle w:val="BodyText1"/>
      </w:pPr>
      <w:r>
        <w:t xml:space="preserve">The Royal Commission recommendations </w:t>
      </w:r>
      <w:r w:rsidR="00C91ABD">
        <w:t xml:space="preserve">and the Australian Government’s response to the Royal Commission </w:t>
      </w:r>
      <w:r>
        <w:t>have laid a pathway of reform for the aged care sector. The Royal Commission also highlighted that reform has at times</w:t>
      </w:r>
      <w:r w:rsidR="00316307">
        <w:t xml:space="preserve"> been fragmented and disjointed, </w:t>
      </w:r>
      <w:r>
        <w:t xml:space="preserve">and that </w:t>
      </w:r>
      <w:r w:rsidR="00917F17">
        <w:t>it had resulted that:</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338D" w:themeFill="text2"/>
        <w:tblLook w:val="04A0" w:firstRow="1" w:lastRow="0" w:firstColumn="1" w:lastColumn="0" w:noHBand="0" w:noVBand="1"/>
      </w:tblPr>
      <w:tblGrid>
        <w:gridCol w:w="993"/>
        <w:gridCol w:w="7229"/>
        <w:gridCol w:w="843"/>
      </w:tblGrid>
      <w:tr w:rsidR="00E947EA" w:rsidRPr="00E947EA" w14:paraId="245B705C" w14:textId="77777777" w:rsidTr="003D62F3">
        <w:tc>
          <w:tcPr>
            <w:tcW w:w="993" w:type="dxa"/>
            <w:shd w:val="clear" w:color="auto" w:fill="00338D" w:themeFill="text2"/>
          </w:tcPr>
          <w:p w14:paraId="2A98F90C" w14:textId="77777777" w:rsidR="00E947EA" w:rsidRPr="00E947EA" w:rsidRDefault="00E947EA" w:rsidP="00E710DB">
            <w:pPr>
              <w:pStyle w:val="Tableheading"/>
              <w:rPr>
                <w:noProof/>
              </w:rPr>
            </w:pPr>
            <w:r w:rsidRPr="00E947EA">
              <w:rPr>
                <w:noProof/>
              </w:rPr>
              <mc:AlternateContent>
                <mc:Choice Requires="wpg">
                  <w:drawing>
                    <wp:inline distT="0" distB="0" distL="0" distR="0" wp14:anchorId="62F23D3B" wp14:editId="38D14223">
                      <wp:extent cx="365760" cy="295710"/>
                      <wp:effectExtent l="0" t="0" r="15240" b="28575"/>
                      <wp:docPr id="770" name="Group 7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5760" cy="295710"/>
                                <a:chOff x="0" y="0"/>
                                <a:chExt cx="464481" cy="375528"/>
                              </a:xfrm>
                            </wpg:grpSpPr>
                            <wps:wsp>
                              <wps:cNvPr id="771" name="Freeform 5"/>
                              <wps:cNvSpPr>
                                <a:spLocks/>
                              </wps:cNvSpPr>
                              <wps:spPr bwMode="auto">
                                <a:xfrm>
                                  <a:off x="157277" y="7316"/>
                                  <a:ext cx="307204" cy="368212"/>
                                </a:xfrm>
                                <a:custGeom>
                                  <a:avLst/>
                                  <a:gdLst>
                                    <a:gd name="T0" fmla="*/ 127 w 157"/>
                                    <a:gd name="T1" fmla="*/ 0 h 187"/>
                                    <a:gd name="T2" fmla="*/ 131 w 157"/>
                                    <a:gd name="T3" fmla="*/ 2 h 187"/>
                                    <a:gd name="T4" fmla="*/ 94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7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7" y="0"/>
                                      </a:moveTo>
                                      <a:cubicBezTo>
                                        <a:pt x="131" y="2"/>
                                        <a:pt x="131" y="2"/>
                                        <a:pt x="131" y="2"/>
                                      </a:cubicBezTo>
                                      <a:cubicBezTo>
                                        <a:pt x="109" y="14"/>
                                        <a:pt x="97" y="31"/>
                                        <a:pt x="94" y="53"/>
                                      </a:cubicBezTo>
                                      <a:cubicBezTo>
                                        <a:pt x="136" y="64"/>
                                        <a:pt x="157" y="85"/>
                                        <a:pt x="157" y="117"/>
                                      </a:cubicBezTo>
                                      <a:cubicBezTo>
                                        <a:pt x="157" y="137"/>
                                        <a:pt x="149" y="154"/>
                                        <a:pt x="134" y="167"/>
                                      </a:cubicBezTo>
                                      <a:cubicBezTo>
                                        <a:pt x="119" y="181"/>
                                        <a:pt x="100" y="187"/>
                                        <a:pt x="78" y="187"/>
                                      </a:cubicBezTo>
                                      <a:cubicBezTo>
                                        <a:pt x="55" y="187"/>
                                        <a:pt x="36" y="181"/>
                                        <a:pt x="22" y="167"/>
                                      </a:cubicBezTo>
                                      <a:cubicBezTo>
                                        <a:pt x="7" y="153"/>
                                        <a:pt x="0" y="136"/>
                                        <a:pt x="0" y="115"/>
                                      </a:cubicBezTo>
                                      <a:cubicBezTo>
                                        <a:pt x="0" y="88"/>
                                        <a:pt x="12" y="64"/>
                                        <a:pt x="36" y="41"/>
                                      </a:cubicBezTo>
                                      <a:cubicBezTo>
                                        <a:pt x="60" y="19"/>
                                        <a:pt x="91" y="5"/>
                                        <a:pt x="127" y="0"/>
                                      </a:cubicBezTo>
                                    </a:path>
                                  </a:pathLst>
                                </a:custGeom>
                                <a:solidFill>
                                  <a:schemeClr val="bg1"/>
                                </a:solidFill>
                                <a:ln w="19050">
                                  <a:solidFill>
                                    <a:schemeClr val="bg1"/>
                                  </a:solidFill>
                                </a:ln>
                              </wps:spPr>
                              <wps:bodyPr vert="horz" wrap="square" lIns="91440" tIns="45720" rIns="91440" bIns="45720" numCol="1" anchor="t" anchorCtr="0" compatLnSpc="1">
                                <a:prstTxWarp prst="textNoShape">
                                  <a:avLst/>
                                </a:prstTxWarp>
                              </wps:bodyPr>
                            </wps:wsp>
                            <wps:wsp>
                              <wps:cNvPr id="772" name="Freeform 6"/>
                              <wps:cNvSpPr>
                                <a:spLocks/>
                              </wps:cNvSpPr>
                              <wps:spPr bwMode="auto">
                                <a:xfrm>
                                  <a:off x="0" y="0"/>
                                  <a:ext cx="306705" cy="367665"/>
                                </a:xfrm>
                                <a:custGeom>
                                  <a:avLst/>
                                  <a:gdLst>
                                    <a:gd name="T0" fmla="*/ 128 w 157"/>
                                    <a:gd name="T1" fmla="*/ 0 h 187"/>
                                    <a:gd name="T2" fmla="*/ 132 w 157"/>
                                    <a:gd name="T3" fmla="*/ 2 h 187"/>
                                    <a:gd name="T4" fmla="*/ 95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8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8" y="0"/>
                                      </a:moveTo>
                                      <a:cubicBezTo>
                                        <a:pt x="132" y="2"/>
                                        <a:pt x="132" y="2"/>
                                        <a:pt x="132" y="2"/>
                                      </a:cubicBezTo>
                                      <a:cubicBezTo>
                                        <a:pt x="110" y="14"/>
                                        <a:pt x="97" y="31"/>
                                        <a:pt x="95" y="53"/>
                                      </a:cubicBezTo>
                                      <a:cubicBezTo>
                                        <a:pt x="137" y="64"/>
                                        <a:pt x="157" y="85"/>
                                        <a:pt x="157" y="117"/>
                                      </a:cubicBezTo>
                                      <a:cubicBezTo>
                                        <a:pt x="157" y="137"/>
                                        <a:pt x="150" y="154"/>
                                        <a:pt x="134" y="167"/>
                                      </a:cubicBezTo>
                                      <a:cubicBezTo>
                                        <a:pt x="119" y="181"/>
                                        <a:pt x="100" y="187"/>
                                        <a:pt x="78" y="187"/>
                                      </a:cubicBezTo>
                                      <a:cubicBezTo>
                                        <a:pt x="55" y="187"/>
                                        <a:pt x="37" y="181"/>
                                        <a:pt x="22" y="167"/>
                                      </a:cubicBezTo>
                                      <a:cubicBezTo>
                                        <a:pt x="7" y="153"/>
                                        <a:pt x="0" y="136"/>
                                        <a:pt x="0" y="115"/>
                                      </a:cubicBezTo>
                                      <a:cubicBezTo>
                                        <a:pt x="0" y="88"/>
                                        <a:pt x="12" y="64"/>
                                        <a:pt x="36" y="41"/>
                                      </a:cubicBezTo>
                                      <a:cubicBezTo>
                                        <a:pt x="61" y="19"/>
                                        <a:pt x="91" y="5"/>
                                        <a:pt x="128" y="0"/>
                                      </a:cubicBezTo>
                                    </a:path>
                                  </a:pathLst>
                                </a:custGeom>
                                <a:solidFill>
                                  <a:schemeClr val="tx2"/>
                                </a:solidFill>
                                <a:ln w="19050">
                                  <a:solidFill>
                                    <a:schemeClr val="bg1"/>
                                  </a:solidFill>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495905AC" id="Group 770" o:spid="_x0000_s1026" alt="&quot;&quot;" style="width:28.8pt;height:23.3pt;mso-position-horizontal-relative:char;mso-position-vertical-relative:line" coordsize="464481,375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">
                      <v:shape id="Freeform 5" o:spid="_x0000_s1027" style="position:absolute;left:157277;top:7316;width:307204;height:368212;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" path="m127,v4,2,4,2,4,2c109,14,97,31,94,53v42,11,63,32,63,64c157,137,149,154,134,167v-15,14,-34,20,-56,20c55,187,36,181,22,167,7,153,,136,,115,,88,12,64,36,41,60,19,91,5,127,e" fillcolor="white [3212]" strokecolor="white [3212]" strokeweight="1.5pt">
                        <v:path arrowok="t" o:connecttype="custom" o:connectlocs="248503,0;256329,3938;183931,104360;307204,230379;262200,328831;152624,368212;43048,328831;0,226441;70442,80731;248503,0" o:connectangles="0,0,0,0,0,0,0,0,0,0"/>
                      </v:shape>
                      <v:shape id="Freeform 6" o:spid="_x0000_s1028" style="position:absolute;width:306705;height:367665;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" path="m128,v4,2,4,2,4,2c110,14,97,31,95,53v42,11,62,32,62,64c157,137,150,154,134,167v-15,14,-34,20,-56,20c55,187,37,181,22,167,7,153,,136,,115,,88,12,64,36,41,61,19,91,5,128,e" fillcolor="#00338d [3215]" strokecolor="white [3212]" strokeweight="1.5pt">
                        <v:path arrowok="t" o:connecttype="custom" o:connectlocs="250052,0;257867,3932;185586,104205;306705,230036;261774,328343;152376,367665;42978,328343;0,226104;70327,80611;250052,0" o:connectangles="0,0,0,0,0,0,0,0,0,0"/>
                      </v:shape>
                      <w10:anchorlock/>
                    </v:group>
                  </w:pict>
                </mc:Fallback>
              </mc:AlternateContent>
            </w:r>
          </w:p>
        </w:tc>
        <w:tc>
          <w:tcPr>
            <w:tcW w:w="7229" w:type="dxa"/>
            <w:shd w:val="clear" w:color="auto" w:fill="00338D" w:themeFill="text2"/>
          </w:tcPr>
          <w:p w14:paraId="4996FEE0" w14:textId="00FFFBA3" w:rsidR="00E947EA" w:rsidRPr="00E947EA" w:rsidRDefault="00AA017F" w:rsidP="00E710DB">
            <w:pPr>
              <w:pStyle w:val="Tableheading"/>
              <w:rPr>
                <w:noProof/>
              </w:rPr>
            </w:pPr>
            <w:r>
              <w:rPr>
                <w:noProof/>
              </w:rPr>
              <w:t>C</w:t>
            </w:r>
            <w:r w:rsidR="00E947EA" w:rsidRPr="00E947EA">
              <w:rPr>
                <w:noProof/>
              </w:rPr>
              <w:t>hanges to the aged care Standards have sometimes been developed in isolation from other changes to the broader system, in response to a particular issue of public concern, and therefore lack any strategic context.</w:t>
            </w:r>
            <w:r w:rsidR="00E947EA" w:rsidRPr="00540408">
              <w:rPr>
                <w:noProof/>
                <w:vertAlign w:val="superscript"/>
              </w:rPr>
              <w:footnoteReference w:id="27"/>
            </w:r>
          </w:p>
        </w:tc>
        <w:tc>
          <w:tcPr>
            <w:tcW w:w="843" w:type="dxa"/>
            <w:shd w:val="clear" w:color="auto" w:fill="00338D" w:themeFill="text2"/>
          </w:tcPr>
          <w:p w14:paraId="40BCC196" w14:textId="77777777" w:rsidR="00E947EA" w:rsidRPr="00E947EA" w:rsidRDefault="00E947EA" w:rsidP="00E710DB">
            <w:pPr>
              <w:pStyle w:val="Tableheading"/>
              <w:rPr>
                <w:noProof/>
              </w:rPr>
            </w:pPr>
            <w:r w:rsidRPr="00E947EA">
              <w:rPr>
                <w:noProof/>
              </w:rPr>
              <mc:AlternateContent>
                <mc:Choice Requires="wpg">
                  <w:drawing>
                    <wp:inline distT="0" distB="0" distL="0" distR="0" wp14:anchorId="36AFC7A0" wp14:editId="4EE31DB8">
                      <wp:extent cx="365760" cy="295710"/>
                      <wp:effectExtent l="0" t="0" r="15240" b="28575"/>
                      <wp:docPr id="773" name="Group 7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0800000">
                                <a:off x="0" y="0"/>
                                <a:ext cx="365760" cy="295710"/>
                                <a:chOff x="0" y="0"/>
                                <a:chExt cx="464481" cy="375528"/>
                              </a:xfrm>
                            </wpg:grpSpPr>
                            <wps:wsp>
                              <wps:cNvPr id="774" name="Freeform 5"/>
                              <wps:cNvSpPr>
                                <a:spLocks/>
                              </wps:cNvSpPr>
                              <wps:spPr bwMode="auto">
                                <a:xfrm>
                                  <a:off x="157277" y="7316"/>
                                  <a:ext cx="307204" cy="368212"/>
                                </a:xfrm>
                                <a:custGeom>
                                  <a:avLst/>
                                  <a:gdLst>
                                    <a:gd name="T0" fmla="*/ 127 w 157"/>
                                    <a:gd name="T1" fmla="*/ 0 h 187"/>
                                    <a:gd name="T2" fmla="*/ 131 w 157"/>
                                    <a:gd name="T3" fmla="*/ 2 h 187"/>
                                    <a:gd name="T4" fmla="*/ 94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7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7" y="0"/>
                                      </a:moveTo>
                                      <a:cubicBezTo>
                                        <a:pt x="131" y="2"/>
                                        <a:pt x="131" y="2"/>
                                        <a:pt x="131" y="2"/>
                                      </a:cubicBezTo>
                                      <a:cubicBezTo>
                                        <a:pt x="109" y="14"/>
                                        <a:pt x="97" y="31"/>
                                        <a:pt x="94" y="53"/>
                                      </a:cubicBezTo>
                                      <a:cubicBezTo>
                                        <a:pt x="136" y="64"/>
                                        <a:pt x="157" y="85"/>
                                        <a:pt x="157" y="117"/>
                                      </a:cubicBezTo>
                                      <a:cubicBezTo>
                                        <a:pt x="157" y="137"/>
                                        <a:pt x="149" y="154"/>
                                        <a:pt x="134" y="167"/>
                                      </a:cubicBezTo>
                                      <a:cubicBezTo>
                                        <a:pt x="119" y="181"/>
                                        <a:pt x="100" y="187"/>
                                        <a:pt x="78" y="187"/>
                                      </a:cubicBezTo>
                                      <a:cubicBezTo>
                                        <a:pt x="55" y="187"/>
                                        <a:pt x="36" y="181"/>
                                        <a:pt x="22" y="167"/>
                                      </a:cubicBezTo>
                                      <a:cubicBezTo>
                                        <a:pt x="7" y="153"/>
                                        <a:pt x="0" y="136"/>
                                        <a:pt x="0" y="115"/>
                                      </a:cubicBezTo>
                                      <a:cubicBezTo>
                                        <a:pt x="0" y="88"/>
                                        <a:pt x="12" y="64"/>
                                        <a:pt x="36" y="41"/>
                                      </a:cubicBezTo>
                                      <a:cubicBezTo>
                                        <a:pt x="60" y="19"/>
                                        <a:pt x="91" y="5"/>
                                        <a:pt x="127" y="0"/>
                                      </a:cubicBezTo>
                                    </a:path>
                                  </a:pathLst>
                                </a:custGeom>
                                <a:solidFill>
                                  <a:schemeClr val="bg1"/>
                                </a:solidFill>
                                <a:ln w="19050">
                                  <a:solidFill>
                                    <a:schemeClr val="bg1"/>
                                  </a:solidFill>
                                </a:ln>
                              </wps:spPr>
                              <wps:bodyPr vert="horz" wrap="square" lIns="91440" tIns="45720" rIns="91440" bIns="45720" numCol="1" anchor="t" anchorCtr="0" compatLnSpc="1">
                                <a:prstTxWarp prst="textNoShape">
                                  <a:avLst/>
                                </a:prstTxWarp>
                              </wps:bodyPr>
                            </wps:wsp>
                            <wps:wsp>
                              <wps:cNvPr id="775" name="Freeform 6"/>
                              <wps:cNvSpPr>
                                <a:spLocks/>
                              </wps:cNvSpPr>
                              <wps:spPr bwMode="auto">
                                <a:xfrm>
                                  <a:off x="0" y="0"/>
                                  <a:ext cx="306705" cy="367665"/>
                                </a:xfrm>
                                <a:custGeom>
                                  <a:avLst/>
                                  <a:gdLst>
                                    <a:gd name="T0" fmla="*/ 128 w 157"/>
                                    <a:gd name="T1" fmla="*/ 0 h 187"/>
                                    <a:gd name="T2" fmla="*/ 132 w 157"/>
                                    <a:gd name="T3" fmla="*/ 2 h 187"/>
                                    <a:gd name="T4" fmla="*/ 95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8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8" y="0"/>
                                      </a:moveTo>
                                      <a:cubicBezTo>
                                        <a:pt x="132" y="2"/>
                                        <a:pt x="132" y="2"/>
                                        <a:pt x="132" y="2"/>
                                      </a:cubicBezTo>
                                      <a:cubicBezTo>
                                        <a:pt x="110" y="14"/>
                                        <a:pt x="97" y="31"/>
                                        <a:pt x="95" y="53"/>
                                      </a:cubicBezTo>
                                      <a:cubicBezTo>
                                        <a:pt x="137" y="64"/>
                                        <a:pt x="157" y="85"/>
                                        <a:pt x="157" y="117"/>
                                      </a:cubicBezTo>
                                      <a:cubicBezTo>
                                        <a:pt x="157" y="137"/>
                                        <a:pt x="150" y="154"/>
                                        <a:pt x="134" y="167"/>
                                      </a:cubicBezTo>
                                      <a:cubicBezTo>
                                        <a:pt x="119" y="181"/>
                                        <a:pt x="100" y="187"/>
                                        <a:pt x="78" y="187"/>
                                      </a:cubicBezTo>
                                      <a:cubicBezTo>
                                        <a:pt x="55" y="187"/>
                                        <a:pt x="37" y="181"/>
                                        <a:pt x="22" y="167"/>
                                      </a:cubicBezTo>
                                      <a:cubicBezTo>
                                        <a:pt x="7" y="153"/>
                                        <a:pt x="0" y="136"/>
                                        <a:pt x="0" y="115"/>
                                      </a:cubicBezTo>
                                      <a:cubicBezTo>
                                        <a:pt x="0" y="88"/>
                                        <a:pt x="12" y="64"/>
                                        <a:pt x="36" y="41"/>
                                      </a:cubicBezTo>
                                      <a:cubicBezTo>
                                        <a:pt x="61" y="19"/>
                                        <a:pt x="91" y="5"/>
                                        <a:pt x="128" y="0"/>
                                      </a:cubicBezTo>
                                    </a:path>
                                  </a:pathLst>
                                </a:custGeom>
                                <a:solidFill>
                                  <a:schemeClr val="tx2"/>
                                </a:solidFill>
                                <a:ln w="19050">
                                  <a:solidFill>
                                    <a:schemeClr val="bg1"/>
                                  </a:solidFill>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0EE734F7" id="Group 773" o:spid="_x0000_s1026" alt="&quot;&quot;" style="width:28.8pt;height:23.3pt;rotation:180;mso-position-horizontal-relative:char;mso-position-vertical-relative:line" coordsize="464481,375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">
                      <v:shape id="Freeform 5" o:spid="_x0000_s1027" style="position:absolute;left:157277;top:7316;width:307204;height:368212;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" path="m127,v4,2,4,2,4,2c109,14,97,31,94,53v42,11,63,32,63,64c157,137,149,154,134,167v-15,14,-34,20,-56,20c55,187,36,181,22,167,7,153,,136,,115,,88,12,64,36,41,60,19,91,5,127,e" fillcolor="white [3212]" strokecolor="white [3212]" strokeweight="1.5pt">
                        <v:path arrowok="t" o:connecttype="custom" o:connectlocs="248503,0;256329,3938;183931,104360;307204,230379;262200,328831;152624,368212;43048,328831;0,226441;70442,80731;248503,0" o:connectangles="0,0,0,0,0,0,0,0,0,0"/>
                      </v:shape>
                      <v:shape id="Freeform 6" o:spid="_x0000_s1028" style="position:absolute;width:306705;height:367665;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" path="m128,v4,2,4,2,4,2c110,14,97,31,95,53v42,11,62,32,62,64c157,137,150,154,134,167v-15,14,-34,20,-56,20c55,187,37,181,22,167,7,153,,136,,115,,88,12,64,36,41,61,19,91,5,128,e" fillcolor="#00338d [3215]" strokecolor="white [3212]" strokeweight="1.5pt">
                        <v:path arrowok="t" o:connecttype="custom" o:connectlocs="250052,0;257867,3932;185586,104205;306705,230036;261774,328343;152376,367665;42978,328343;0,226104;70327,80611;250052,0" o:connectangles="0,0,0,0,0,0,0,0,0,0"/>
                      </v:shape>
                      <w10:anchorlock/>
                    </v:group>
                  </w:pict>
                </mc:Fallback>
              </mc:AlternateContent>
            </w:r>
          </w:p>
        </w:tc>
      </w:tr>
    </w:tbl>
    <w:p w14:paraId="5324C79B" w14:textId="176BE89D" w:rsidR="00E5035C" w:rsidRDefault="00B35104" w:rsidP="005230A9">
      <w:pPr>
        <w:pStyle w:val="BodyText1"/>
      </w:pPr>
      <w:r>
        <w:t xml:space="preserve">A number of the recommendations will intersect and need to be considered with future changes to the Standards. </w:t>
      </w:r>
      <w:r w:rsidR="00E5035C">
        <w:t xml:space="preserve">Stakeholders raised examples of both </w:t>
      </w:r>
      <w:r w:rsidR="00A11E7C">
        <w:t xml:space="preserve">current </w:t>
      </w:r>
      <w:r w:rsidR="00E5035C">
        <w:t xml:space="preserve">policy and new requirements </w:t>
      </w:r>
      <w:r w:rsidR="00A11E7C">
        <w:t xml:space="preserve">and regulations </w:t>
      </w:r>
      <w:r w:rsidR="00E5035C">
        <w:t>which will need to be aligned with future changes to the Standards. Specific areas highlighted during consultations are presented below.</w:t>
      </w:r>
    </w:p>
    <w:tbl>
      <w:tblPr>
        <w:tblStyle w:val="TableGridLight"/>
        <w:tblW w:w="0" w:type="auto"/>
        <w:tblLook w:val="04A0" w:firstRow="1" w:lastRow="0" w:firstColumn="1" w:lastColumn="0" w:noHBand="0" w:noVBand="1"/>
      </w:tblPr>
      <w:tblGrid>
        <w:gridCol w:w="1838"/>
        <w:gridCol w:w="7222"/>
      </w:tblGrid>
      <w:tr w:rsidR="0008167F" w14:paraId="5C09EB4A" w14:textId="77777777" w:rsidTr="00CD3D14">
        <w:trPr>
          <w:cnfStyle w:val="100000000000" w:firstRow="1" w:lastRow="0" w:firstColumn="0" w:lastColumn="0" w:oddVBand="0" w:evenVBand="0" w:oddHBand="0" w:evenHBand="0" w:firstRowFirstColumn="0" w:firstRowLastColumn="0" w:lastRowFirstColumn="0" w:lastRowLastColumn="0"/>
          <w:tblHeader/>
        </w:trPr>
        <w:tc>
          <w:tcPr>
            <w:tcW w:w="1838" w:type="dxa"/>
          </w:tcPr>
          <w:p w14:paraId="0DDC423A" w14:textId="76F74614" w:rsidR="0008167F" w:rsidRPr="00B23F8A" w:rsidRDefault="00EE157E" w:rsidP="00575CC4">
            <w:pPr>
              <w:pStyle w:val="Tableheading"/>
              <w:rPr>
                <w:lang w:eastAsia="en-AU"/>
              </w:rPr>
            </w:pPr>
            <w:r w:rsidRPr="00B23F8A">
              <w:rPr>
                <w:lang w:eastAsia="en-AU"/>
              </w:rPr>
              <w:lastRenderedPageBreak/>
              <w:t>Future Reform</w:t>
            </w:r>
          </w:p>
        </w:tc>
        <w:tc>
          <w:tcPr>
            <w:tcW w:w="7222" w:type="dxa"/>
          </w:tcPr>
          <w:p w14:paraId="55E562BE" w14:textId="279D07BF" w:rsidR="0008167F" w:rsidRPr="00B23F8A" w:rsidRDefault="008860BF" w:rsidP="00575CC4">
            <w:pPr>
              <w:pStyle w:val="Tableheading"/>
              <w:rPr>
                <w:lang w:eastAsia="en-AU"/>
              </w:rPr>
            </w:pPr>
            <w:r w:rsidRPr="00B23F8A">
              <w:rPr>
                <w:lang w:eastAsia="en-AU"/>
              </w:rPr>
              <w:t xml:space="preserve">Stakeholder </w:t>
            </w:r>
            <w:r w:rsidR="007A5089" w:rsidRPr="00B23F8A">
              <w:rPr>
                <w:lang w:eastAsia="en-AU"/>
              </w:rPr>
              <w:t>responses</w:t>
            </w:r>
          </w:p>
        </w:tc>
      </w:tr>
      <w:tr w:rsidR="0008167F" w14:paraId="344FEFA9" w14:textId="77777777" w:rsidTr="00CD3D14">
        <w:tc>
          <w:tcPr>
            <w:tcW w:w="1838" w:type="dxa"/>
          </w:tcPr>
          <w:p w14:paraId="03944EAD" w14:textId="48B98931" w:rsidR="0008167F" w:rsidRPr="00E947EA" w:rsidRDefault="00826346" w:rsidP="00CD3D14">
            <w:pPr>
              <w:pStyle w:val="Tabletextbold0"/>
              <w:rPr>
                <w:lang w:eastAsia="en-AU"/>
              </w:rPr>
            </w:pPr>
            <w:r w:rsidRPr="00E947EA">
              <w:rPr>
                <w:lang w:eastAsia="en-AU"/>
              </w:rPr>
              <w:t>New Aged Care Act</w:t>
            </w:r>
            <w:r w:rsidR="0083123A" w:rsidRPr="00E947EA">
              <w:rPr>
                <w:rFonts w:ascii="ZWAdobeF" w:hAnsi="ZWAdobeF" w:cs="ZWAdobeF"/>
                <w:sz w:val="2"/>
                <w:szCs w:val="2"/>
                <w:lang w:eastAsia="en-AU"/>
              </w:rPr>
              <w:t>26F</w:t>
            </w:r>
            <w:r w:rsidR="00967BC1" w:rsidRPr="00E947EA">
              <w:rPr>
                <w:rStyle w:val="FootnoteReference"/>
                <w:lang w:eastAsia="en-AU"/>
              </w:rPr>
              <w:footnoteReference w:id="28"/>
            </w:r>
          </w:p>
        </w:tc>
        <w:tc>
          <w:tcPr>
            <w:tcW w:w="7222" w:type="dxa"/>
          </w:tcPr>
          <w:p w14:paraId="3E274258" w14:textId="26B46A49" w:rsidR="00E27629" w:rsidRDefault="00080E35" w:rsidP="005230A9">
            <w:pPr>
              <w:pStyle w:val="Tabletext"/>
              <w:rPr>
                <w:lang w:eastAsia="en-AU"/>
              </w:rPr>
            </w:pPr>
            <w:r>
              <w:rPr>
                <w:lang w:eastAsia="en-AU"/>
              </w:rPr>
              <w:t>A</w:t>
            </w:r>
            <w:r w:rsidR="003832DE">
              <w:rPr>
                <w:lang w:eastAsia="en-AU"/>
              </w:rPr>
              <w:t>ny new amendments to the Standards should be aligned to all other obligations under the new Aged Care Act</w:t>
            </w:r>
          </w:p>
          <w:p w14:paraId="6B9AFFB0" w14:textId="51C7CF7F" w:rsidR="0008167F" w:rsidRDefault="00E93286" w:rsidP="005230A9">
            <w:pPr>
              <w:pStyle w:val="Tabletext"/>
              <w:rPr>
                <w:lang w:eastAsia="en-AU"/>
              </w:rPr>
            </w:pPr>
            <w:r>
              <w:rPr>
                <w:lang w:eastAsia="en-AU"/>
              </w:rPr>
              <w:t>There is o</w:t>
            </w:r>
            <w:r w:rsidR="00D4246A">
              <w:rPr>
                <w:lang w:eastAsia="en-AU"/>
              </w:rPr>
              <w:t xml:space="preserve">pportunity to clarify obligations outside of the Standards, </w:t>
            </w:r>
            <w:r w:rsidR="00245D74">
              <w:rPr>
                <w:lang w:eastAsia="en-AU"/>
              </w:rPr>
              <w:t>such as the</w:t>
            </w:r>
            <w:r w:rsidR="00D4246A">
              <w:rPr>
                <w:lang w:eastAsia="en-AU"/>
              </w:rPr>
              <w:t xml:space="preserve"> clarif</w:t>
            </w:r>
            <w:r w:rsidR="00245D74">
              <w:rPr>
                <w:lang w:eastAsia="en-AU"/>
              </w:rPr>
              <w:t xml:space="preserve">ication </w:t>
            </w:r>
            <w:r w:rsidR="00B421F3">
              <w:rPr>
                <w:lang w:eastAsia="en-AU"/>
              </w:rPr>
              <w:t>and separati</w:t>
            </w:r>
            <w:r w:rsidR="00245D74">
              <w:rPr>
                <w:lang w:eastAsia="en-AU"/>
              </w:rPr>
              <w:t xml:space="preserve">on of </w:t>
            </w:r>
            <w:r w:rsidR="00B421F3">
              <w:rPr>
                <w:lang w:eastAsia="en-AU"/>
              </w:rPr>
              <w:t xml:space="preserve">provider </w:t>
            </w:r>
            <w:r w:rsidR="00685885">
              <w:rPr>
                <w:lang w:eastAsia="en-AU"/>
              </w:rPr>
              <w:t xml:space="preserve">level </w:t>
            </w:r>
            <w:r w:rsidR="00F321B1">
              <w:rPr>
                <w:lang w:eastAsia="en-AU"/>
              </w:rPr>
              <w:t xml:space="preserve">and </w:t>
            </w:r>
            <w:r w:rsidR="00685885">
              <w:rPr>
                <w:lang w:eastAsia="en-AU"/>
              </w:rPr>
              <w:t>site-specific (</w:t>
            </w:r>
            <w:r w:rsidR="00F321B1">
              <w:rPr>
                <w:lang w:eastAsia="en-AU"/>
              </w:rPr>
              <w:t>service</w:t>
            </w:r>
            <w:r w:rsidR="001714F9">
              <w:rPr>
                <w:lang w:eastAsia="en-AU"/>
              </w:rPr>
              <w:t xml:space="preserve"> </w:t>
            </w:r>
            <w:r w:rsidR="00685885">
              <w:rPr>
                <w:lang w:eastAsia="en-AU"/>
              </w:rPr>
              <w:t>level) governance</w:t>
            </w:r>
            <w:r w:rsidR="00F321B1">
              <w:rPr>
                <w:lang w:eastAsia="en-AU"/>
              </w:rPr>
              <w:t xml:space="preserve"> obligations </w:t>
            </w:r>
            <w:r w:rsidR="00917B72">
              <w:rPr>
                <w:lang w:eastAsia="en-AU"/>
              </w:rPr>
              <w:t>under Standard 8</w:t>
            </w:r>
          </w:p>
        </w:tc>
      </w:tr>
      <w:tr w:rsidR="0008167F" w14:paraId="39A260A0" w14:textId="77777777" w:rsidTr="00CD3D14">
        <w:tc>
          <w:tcPr>
            <w:tcW w:w="1838" w:type="dxa"/>
          </w:tcPr>
          <w:p w14:paraId="79A9EF72" w14:textId="10D0F478" w:rsidR="0008167F" w:rsidRPr="00E947EA" w:rsidRDefault="00826346" w:rsidP="00CD3D14">
            <w:pPr>
              <w:pStyle w:val="Tabletextbold0"/>
              <w:rPr>
                <w:lang w:eastAsia="en-AU"/>
              </w:rPr>
            </w:pPr>
            <w:r w:rsidRPr="00E947EA">
              <w:t>Australian National Aged Care Classification (AN</w:t>
            </w:r>
            <w:r w:rsidR="00080E35" w:rsidRPr="00E947EA">
              <w:noBreakHyphen/>
            </w:r>
            <w:r w:rsidRPr="00E947EA">
              <w:t>ACC)</w:t>
            </w:r>
            <w:r w:rsidR="0083123A" w:rsidRPr="00E947EA">
              <w:rPr>
                <w:rFonts w:ascii="ZWAdobeF" w:hAnsi="ZWAdobeF" w:cs="ZWAdobeF"/>
                <w:sz w:val="2"/>
                <w:szCs w:val="2"/>
              </w:rPr>
              <w:t>27F</w:t>
            </w:r>
            <w:r w:rsidR="00C63858" w:rsidRPr="00E947EA">
              <w:rPr>
                <w:rStyle w:val="FootnoteReference"/>
              </w:rPr>
              <w:footnoteReference w:id="29"/>
            </w:r>
          </w:p>
        </w:tc>
        <w:tc>
          <w:tcPr>
            <w:tcW w:w="7222" w:type="dxa"/>
          </w:tcPr>
          <w:p w14:paraId="0753EC71" w14:textId="05EC9F5C" w:rsidR="0008167F" w:rsidRPr="00273702" w:rsidRDefault="00080E35" w:rsidP="005230A9">
            <w:pPr>
              <w:pStyle w:val="Tabletext"/>
              <w:rPr>
                <w:lang w:eastAsia="en-AU"/>
              </w:rPr>
            </w:pPr>
            <w:r>
              <w:t>A</w:t>
            </w:r>
            <w:r w:rsidR="00826346">
              <w:t>lignment to AN-ACC</w:t>
            </w:r>
            <w:r w:rsidR="00991AAA">
              <w:t xml:space="preserve"> </w:t>
            </w:r>
            <w:r w:rsidR="00826346">
              <w:t>to improve clarity and linkage of staffing requirements and care assessment activities under Standards 2 and 7</w:t>
            </w:r>
          </w:p>
        </w:tc>
      </w:tr>
      <w:tr w:rsidR="00FD3A31" w14:paraId="4D4AB441" w14:textId="77777777" w:rsidTr="00CD3D14">
        <w:tc>
          <w:tcPr>
            <w:tcW w:w="1838" w:type="dxa"/>
          </w:tcPr>
          <w:p w14:paraId="3D8E5A11" w14:textId="3B3F6700" w:rsidR="00FD3A31" w:rsidRPr="00E947EA" w:rsidRDefault="0005642A" w:rsidP="00CD3D14">
            <w:pPr>
              <w:pStyle w:val="Tabletextbold0"/>
            </w:pPr>
            <w:r w:rsidRPr="00E947EA">
              <w:t xml:space="preserve">Review of clinical Standard by </w:t>
            </w:r>
            <w:r w:rsidR="00FD3A31" w:rsidRPr="00E947EA">
              <w:t>ACQSHC</w:t>
            </w:r>
            <w:r w:rsidR="0083123A" w:rsidRPr="00E947EA">
              <w:rPr>
                <w:rFonts w:ascii="ZWAdobeF" w:hAnsi="ZWAdobeF" w:cs="ZWAdobeF"/>
                <w:sz w:val="2"/>
                <w:szCs w:val="2"/>
              </w:rPr>
              <w:t>28F</w:t>
            </w:r>
            <w:r w:rsidR="003021B2" w:rsidRPr="00E947EA">
              <w:rPr>
                <w:rStyle w:val="FootnoteReference"/>
              </w:rPr>
              <w:footnoteReference w:id="30"/>
            </w:r>
          </w:p>
        </w:tc>
        <w:tc>
          <w:tcPr>
            <w:tcW w:w="7222" w:type="dxa"/>
          </w:tcPr>
          <w:p w14:paraId="192220A2" w14:textId="1575B563" w:rsidR="00FD3A31" w:rsidRDefault="00FD3A31" w:rsidP="005230A9">
            <w:pPr>
              <w:pStyle w:val="Tabletext"/>
            </w:pPr>
            <w:r>
              <w:t xml:space="preserve">Any future amendments the clinical Standard should </w:t>
            </w:r>
            <w:r w:rsidR="003021B2">
              <w:t xml:space="preserve">be presented </w:t>
            </w:r>
            <w:r w:rsidR="00A706C4">
              <w:t xml:space="preserve">with </w:t>
            </w:r>
            <w:r w:rsidR="003021B2">
              <w:t>consistency and alignment to other Standards</w:t>
            </w:r>
          </w:p>
        </w:tc>
      </w:tr>
      <w:tr w:rsidR="0008167F" w14:paraId="69D051E9" w14:textId="77777777" w:rsidTr="00CD3D14">
        <w:tc>
          <w:tcPr>
            <w:tcW w:w="1838" w:type="dxa"/>
          </w:tcPr>
          <w:p w14:paraId="2561AF18" w14:textId="0A5F48D0" w:rsidR="0008167F" w:rsidRPr="00E947EA" w:rsidRDefault="00F55C4E" w:rsidP="00CD3D14">
            <w:pPr>
              <w:pStyle w:val="Tabletextbold0"/>
              <w:rPr>
                <w:lang w:eastAsia="en-AU"/>
              </w:rPr>
            </w:pPr>
            <w:r w:rsidRPr="00E947EA">
              <w:t>Single In-Home Care Program</w:t>
            </w:r>
            <w:r w:rsidR="0083123A" w:rsidRPr="00E947EA">
              <w:rPr>
                <w:rFonts w:ascii="ZWAdobeF" w:hAnsi="ZWAdobeF" w:cs="ZWAdobeF"/>
                <w:sz w:val="2"/>
                <w:szCs w:val="2"/>
              </w:rPr>
              <w:t>29F</w:t>
            </w:r>
            <w:r w:rsidR="0064070C" w:rsidRPr="00E947EA">
              <w:rPr>
                <w:rStyle w:val="FootnoteReference"/>
              </w:rPr>
              <w:footnoteReference w:id="31"/>
            </w:r>
          </w:p>
        </w:tc>
        <w:tc>
          <w:tcPr>
            <w:tcW w:w="7222" w:type="dxa"/>
          </w:tcPr>
          <w:p w14:paraId="2F8704CF" w14:textId="723EBC72" w:rsidR="0008167F" w:rsidRDefault="00306B5E" w:rsidP="005230A9">
            <w:pPr>
              <w:pStyle w:val="Tabletext"/>
            </w:pPr>
            <w:r>
              <w:t>Improve clarity of expectations of requirements for home care pro</w:t>
            </w:r>
            <w:r w:rsidR="0050613E">
              <w:t>viders</w:t>
            </w:r>
            <w:r w:rsidR="002521E7">
              <w:t xml:space="preserve"> </w:t>
            </w:r>
            <w:r>
              <w:t>as the new Single In-Home Care Program is designed and introduced</w:t>
            </w:r>
          </w:p>
        </w:tc>
      </w:tr>
      <w:tr w:rsidR="0008167F" w14:paraId="5FE3F7E7" w14:textId="77777777" w:rsidTr="00CD3D14">
        <w:tc>
          <w:tcPr>
            <w:tcW w:w="1838" w:type="dxa"/>
          </w:tcPr>
          <w:p w14:paraId="77E35A3E" w14:textId="047916ED" w:rsidR="0008167F" w:rsidRPr="00E947EA" w:rsidRDefault="00111B42" w:rsidP="00CD3D14">
            <w:pPr>
              <w:pStyle w:val="Tabletextbold0"/>
              <w:rPr>
                <w:lang w:eastAsia="en-AU"/>
              </w:rPr>
            </w:pPr>
            <w:r w:rsidRPr="00E947EA">
              <w:rPr>
                <w:lang w:eastAsia="en-AU"/>
              </w:rPr>
              <w:t>Workforce reforms</w:t>
            </w:r>
            <w:r w:rsidR="0083123A" w:rsidRPr="00E947EA">
              <w:rPr>
                <w:rFonts w:ascii="ZWAdobeF" w:hAnsi="ZWAdobeF" w:cs="ZWAdobeF"/>
                <w:sz w:val="2"/>
                <w:szCs w:val="2"/>
                <w:lang w:eastAsia="en-AU"/>
              </w:rPr>
              <w:t>30F</w:t>
            </w:r>
            <w:r w:rsidR="009F6D10" w:rsidRPr="00E947EA">
              <w:rPr>
                <w:rStyle w:val="FootnoteReference"/>
                <w:lang w:eastAsia="en-AU"/>
              </w:rPr>
              <w:footnoteReference w:id="32"/>
            </w:r>
          </w:p>
        </w:tc>
        <w:tc>
          <w:tcPr>
            <w:tcW w:w="7222" w:type="dxa"/>
          </w:tcPr>
          <w:p w14:paraId="093F1BAD" w14:textId="4D4E730E" w:rsidR="00E50B59" w:rsidRDefault="00752D62" w:rsidP="005230A9">
            <w:pPr>
              <w:pStyle w:val="Tabletext"/>
              <w:rPr>
                <w:lang w:eastAsia="en-AU"/>
              </w:rPr>
            </w:pPr>
            <w:r>
              <w:rPr>
                <w:lang w:eastAsia="en-AU"/>
              </w:rPr>
              <w:t>Identify regulation and work</w:t>
            </w:r>
            <w:r w:rsidR="0047125F">
              <w:rPr>
                <w:lang w:eastAsia="en-AU"/>
              </w:rPr>
              <w:t>f</w:t>
            </w:r>
            <w:r>
              <w:rPr>
                <w:lang w:eastAsia="en-AU"/>
              </w:rPr>
              <w:t xml:space="preserve">orce screening requirements </w:t>
            </w:r>
            <w:r w:rsidR="0047125F">
              <w:rPr>
                <w:lang w:eastAsia="en-AU"/>
              </w:rPr>
              <w:t>under Standard</w:t>
            </w:r>
            <w:r w:rsidR="00080E35">
              <w:rPr>
                <w:lang w:eastAsia="en-AU"/>
              </w:rPr>
              <w:t> </w:t>
            </w:r>
            <w:r w:rsidR="0047125F">
              <w:rPr>
                <w:lang w:eastAsia="en-AU"/>
              </w:rPr>
              <w:t>7</w:t>
            </w:r>
          </w:p>
          <w:p w14:paraId="31068437" w14:textId="347140E3" w:rsidR="00E50B59" w:rsidRDefault="0002285A" w:rsidP="005230A9">
            <w:pPr>
              <w:pStyle w:val="Tabletext"/>
              <w:rPr>
                <w:lang w:eastAsia="en-AU"/>
              </w:rPr>
            </w:pPr>
            <w:r>
              <w:rPr>
                <w:lang w:eastAsia="en-AU"/>
              </w:rPr>
              <w:t>Identify</w:t>
            </w:r>
            <w:r w:rsidR="00AE5E31">
              <w:rPr>
                <w:lang w:eastAsia="en-AU"/>
              </w:rPr>
              <w:t xml:space="preserve"> improved workforce training and qualification expectation</w:t>
            </w:r>
            <w:r>
              <w:rPr>
                <w:lang w:eastAsia="en-AU"/>
              </w:rPr>
              <w:t>s</w:t>
            </w:r>
            <w:r w:rsidR="00AE5E31">
              <w:rPr>
                <w:lang w:eastAsia="en-AU"/>
              </w:rPr>
              <w:t xml:space="preserve"> under Standard 7</w:t>
            </w:r>
            <w:r w:rsidR="0083123A">
              <w:rPr>
                <w:rFonts w:ascii="ZWAdobeF" w:hAnsi="ZWAdobeF" w:cs="ZWAdobeF"/>
                <w:sz w:val="2"/>
                <w:szCs w:val="2"/>
                <w:lang w:eastAsia="en-AU"/>
              </w:rPr>
              <w:t>31F</w:t>
            </w:r>
            <w:r w:rsidR="00AE5E31">
              <w:rPr>
                <w:rStyle w:val="FootnoteReference"/>
                <w:lang w:eastAsia="en-AU"/>
              </w:rPr>
              <w:footnoteReference w:id="33"/>
            </w:r>
          </w:p>
          <w:p w14:paraId="6809ED5D" w14:textId="6E4AFDB4" w:rsidR="0008167F" w:rsidRPr="00273702" w:rsidRDefault="00F50C2F" w:rsidP="005230A9">
            <w:pPr>
              <w:pStyle w:val="Tabletext"/>
              <w:rPr>
                <w:lang w:eastAsia="en-AU"/>
              </w:rPr>
            </w:pPr>
            <w:r>
              <w:rPr>
                <w:lang w:eastAsia="en-AU"/>
              </w:rPr>
              <w:t xml:space="preserve">Introduction of </w:t>
            </w:r>
            <w:r w:rsidR="008B12B4">
              <w:rPr>
                <w:lang w:eastAsia="en-AU"/>
              </w:rPr>
              <w:t xml:space="preserve">further </w:t>
            </w:r>
            <w:r>
              <w:rPr>
                <w:lang w:eastAsia="en-AU"/>
              </w:rPr>
              <w:t xml:space="preserve">mandatory </w:t>
            </w:r>
            <w:r w:rsidR="002B0BC5">
              <w:rPr>
                <w:lang w:eastAsia="en-AU"/>
              </w:rPr>
              <w:t>training requirements as well as staff ratios</w:t>
            </w:r>
            <w:r w:rsidR="00E53E09">
              <w:rPr>
                <w:lang w:eastAsia="en-AU"/>
              </w:rPr>
              <w:t xml:space="preserve"> suggested under </w:t>
            </w:r>
            <w:r w:rsidR="00263025">
              <w:rPr>
                <w:lang w:eastAsia="en-AU"/>
              </w:rPr>
              <w:t xml:space="preserve">all </w:t>
            </w:r>
            <w:r w:rsidR="00E53E09">
              <w:rPr>
                <w:lang w:eastAsia="en-AU"/>
              </w:rPr>
              <w:t>future Standards</w:t>
            </w:r>
          </w:p>
        </w:tc>
      </w:tr>
      <w:tr w:rsidR="0008167F" w14:paraId="3136A250" w14:textId="77777777" w:rsidTr="00CD3D14">
        <w:tc>
          <w:tcPr>
            <w:tcW w:w="1838" w:type="dxa"/>
          </w:tcPr>
          <w:p w14:paraId="47AA4111" w14:textId="77D3268B" w:rsidR="0008167F" w:rsidRPr="00E947EA" w:rsidRDefault="00FE6538" w:rsidP="00CD3D14">
            <w:pPr>
              <w:pStyle w:val="Tabletextbold0"/>
              <w:rPr>
                <w:lang w:eastAsia="en-AU"/>
              </w:rPr>
            </w:pPr>
            <w:r w:rsidRPr="00E947EA">
              <w:rPr>
                <w:lang w:eastAsia="en-AU"/>
              </w:rPr>
              <w:t>D</w:t>
            </w:r>
            <w:r w:rsidR="00621F50" w:rsidRPr="00E947EA">
              <w:rPr>
                <w:lang w:eastAsia="en-AU"/>
              </w:rPr>
              <w:t xml:space="preserve">ementia, diversity, food, </w:t>
            </w:r>
            <w:proofErr w:type="gramStart"/>
            <w:r w:rsidR="00621F50" w:rsidRPr="00E947EA">
              <w:rPr>
                <w:lang w:eastAsia="en-AU"/>
              </w:rPr>
              <w:t>nutrition</w:t>
            </w:r>
            <w:proofErr w:type="gramEnd"/>
            <w:r w:rsidR="00613CA9" w:rsidRPr="00E947EA">
              <w:rPr>
                <w:lang w:eastAsia="en-AU"/>
              </w:rPr>
              <w:t xml:space="preserve"> </w:t>
            </w:r>
            <w:r w:rsidRPr="00E947EA">
              <w:rPr>
                <w:lang w:eastAsia="en-AU"/>
              </w:rPr>
              <w:t xml:space="preserve">and palliative care improvement </w:t>
            </w:r>
            <w:r w:rsidR="00826346" w:rsidRPr="00E947EA">
              <w:rPr>
                <w:lang w:eastAsia="en-AU"/>
              </w:rPr>
              <w:t>reforms</w:t>
            </w:r>
            <w:r w:rsidR="0083123A" w:rsidRPr="00E947EA">
              <w:rPr>
                <w:rFonts w:ascii="ZWAdobeF" w:hAnsi="ZWAdobeF" w:cs="ZWAdobeF"/>
                <w:sz w:val="2"/>
                <w:szCs w:val="2"/>
                <w:lang w:eastAsia="en-AU"/>
              </w:rPr>
              <w:t>32F</w:t>
            </w:r>
            <w:r w:rsidR="00EF3A5C" w:rsidRPr="00E947EA">
              <w:rPr>
                <w:rStyle w:val="FootnoteReference"/>
                <w:lang w:eastAsia="en-AU"/>
              </w:rPr>
              <w:footnoteReference w:id="34"/>
            </w:r>
          </w:p>
        </w:tc>
        <w:tc>
          <w:tcPr>
            <w:tcW w:w="7222" w:type="dxa"/>
          </w:tcPr>
          <w:p w14:paraId="1A42B2E6" w14:textId="50E49262" w:rsidR="002A1B85" w:rsidRDefault="007E7B39" w:rsidP="005230A9">
            <w:pPr>
              <w:pStyle w:val="Tabletext"/>
              <w:rPr>
                <w:lang w:eastAsia="en-AU"/>
              </w:rPr>
            </w:pPr>
            <w:r>
              <w:rPr>
                <w:lang w:eastAsia="en-AU"/>
              </w:rPr>
              <w:t>Dementia</w:t>
            </w:r>
            <w:r w:rsidR="00826346">
              <w:rPr>
                <w:lang w:eastAsia="en-AU"/>
              </w:rPr>
              <w:t>, palliative care</w:t>
            </w:r>
            <w:r>
              <w:rPr>
                <w:lang w:eastAsia="en-AU"/>
              </w:rPr>
              <w:t xml:space="preserve">, </w:t>
            </w:r>
            <w:r w:rsidR="00826346">
              <w:rPr>
                <w:lang w:eastAsia="en-AU"/>
              </w:rPr>
              <w:t>diversity</w:t>
            </w:r>
            <w:r w:rsidR="00254636">
              <w:rPr>
                <w:lang w:eastAsia="en-AU"/>
              </w:rPr>
              <w:t xml:space="preserve">, food and nutrition </w:t>
            </w:r>
            <w:r w:rsidR="004E0B47">
              <w:rPr>
                <w:lang w:eastAsia="en-AU"/>
              </w:rPr>
              <w:t xml:space="preserve">and palliative care among various announced </w:t>
            </w:r>
            <w:r w:rsidR="002A1B85">
              <w:rPr>
                <w:lang w:eastAsia="en-AU"/>
              </w:rPr>
              <w:t>priority improvements for the sector</w:t>
            </w:r>
          </w:p>
          <w:p w14:paraId="698F1572" w14:textId="24F5DF9B" w:rsidR="0008167F" w:rsidRPr="00273702" w:rsidRDefault="002A1B85" w:rsidP="005230A9">
            <w:pPr>
              <w:pStyle w:val="Tabletext"/>
              <w:rPr>
                <w:lang w:eastAsia="en-AU"/>
              </w:rPr>
            </w:pPr>
            <w:r>
              <w:rPr>
                <w:lang w:eastAsia="en-AU"/>
              </w:rPr>
              <w:t>Reflect and align these reforms in Standards, guidance material in particular Standards 3, 4 and best practice guidance in these areas of care</w:t>
            </w:r>
          </w:p>
        </w:tc>
      </w:tr>
      <w:tr w:rsidR="0008167F" w14:paraId="795B55BC" w14:textId="77777777" w:rsidTr="00CD3D14">
        <w:tc>
          <w:tcPr>
            <w:tcW w:w="1838" w:type="dxa"/>
          </w:tcPr>
          <w:p w14:paraId="17FDA01F" w14:textId="7A7A99C7" w:rsidR="0008167F" w:rsidRPr="00E947EA" w:rsidRDefault="00826346" w:rsidP="00CD3D14">
            <w:pPr>
              <w:pStyle w:val="Tabletextbold0"/>
              <w:rPr>
                <w:lang w:eastAsia="en-AU"/>
              </w:rPr>
            </w:pPr>
            <w:r w:rsidRPr="00E947EA">
              <w:rPr>
                <w:lang w:eastAsia="en-AU"/>
              </w:rPr>
              <w:t>Governance and prudential monitoring reforms</w:t>
            </w:r>
            <w:r w:rsidR="0083123A" w:rsidRPr="00E947EA">
              <w:rPr>
                <w:rFonts w:ascii="ZWAdobeF" w:hAnsi="ZWAdobeF" w:cs="ZWAdobeF"/>
                <w:sz w:val="2"/>
                <w:szCs w:val="2"/>
                <w:lang w:eastAsia="en-AU"/>
              </w:rPr>
              <w:t>33F</w:t>
            </w:r>
            <w:r w:rsidR="003A6CAE" w:rsidRPr="00E947EA">
              <w:rPr>
                <w:rStyle w:val="FootnoteReference"/>
                <w:lang w:eastAsia="en-AU"/>
              </w:rPr>
              <w:footnoteReference w:id="35"/>
            </w:r>
          </w:p>
        </w:tc>
        <w:tc>
          <w:tcPr>
            <w:tcW w:w="7222" w:type="dxa"/>
          </w:tcPr>
          <w:p w14:paraId="4148B270" w14:textId="09F5B10A" w:rsidR="00DD7176" w:rsidRDefault="00DD7176" w:rsidP="005230A9">
            <w:pPr>
              <w:pStyle w:val="Tabletext"/>
              <w:rPr>
                <w:lang w:eastAsia="en-AU"/>
              </w:rPr>
            </w:pPr>
            <w:r>
              <w:rPr>
                <w:lang w:eastAsia="en-AU"/>
              </w:rPr>
              <w:t xml:space="preserve">Alignment of the Standards to all future </w:t>
            </w:r>
            <w:r w:rsidR="00FD0D5E">
              <w:rPr>
                <w:lang w:eastAsia="en-AU"/>
              </w:rPr>
              <w:t>prudential governance, sector governance and provider governance reforms</w:t>
            </w:r>
          </w:p>
          <w:p w14:paraId="77F47C8E" w14:textId="5CF02351" w:rsidR="0008167F" w:rsidRPr="00273702" w:rsidRDefault="00FD0D5E" w:rsidP="005230A9">
            <w:pPr>
              <w:pStyle w:val="Tabletext"/>
              <w:rPr>
                <w:lang w:eastAsia="en-AU"/>
              </w:rPr>
            </w:pPr>
            <w:r>
              <w:rPr>
                <w:lang w:eastAsia="en-AU"/>
              </w:rPr>
              <w:t>Ensure reporting obligations</w:t>
            </w:r>
            <w:r w:rsidR="00A53362">
              <w:rPr>
                <w:lang w:eastAsia="en-AU"/>
              </w:rPr>
              <w:t xml:space="preserve"> and requirements</w:t>
            </w:r>
            <w:r w:rsidR="00A367C2">
              <w:rPr>
                <w:lang w:eastAsia="en-AU"/>
              </w:rPr>
              <w:t xml:space="preserve"> (for example, Basic Daily Fee)</w:t>
            </w:r>
            <w:r>
              <w:rPr>
                <w:lang w:eastAsia="en-AU"/>
              </w:rPr>
              <w:t xml:space="preserve"> are streamlined and linked under the Standards</w:t>
            </w:r>
          </w:p>
        </w:tc>
      </w:tr>
    </w:tbl>
    <w:p w14:paraId="2B880F16" w14:textId="77777777" w:rsidR="002075DD" w:rsidRDefault="002075DD" w:rsidP="005230A9">
      <w:pPr>
        <w:pStyle w:val="BodyText1"/>
        <w:rPr>
          <w:lang w:eastAsia="en-AU"/>
        </w:rPr>
      </w:pPr>
      <w:r>
        <w:rPr>
          <w:lang w:eastAsia="en-AU"/>
        </w:rPr>
        <w:t>In addition to future and speculated areas of reform, stakeholders also raised that there were alignment opportunities to existing aged care programs:</w:t>
      </w:r>
    </w:p>
    <w:tbl>
      <w:tblPr>
        <w:tblStyle w:val="TableGridLight"/>
        <w:tblW w:w="0" w:type="auto"/>
        <w:tblBorders>
          <w:top w:val="none" w:sz="0" w:space="0" w:color="auto"/>
          <w:left w:val="none" w:sz="0" w:space="0" w:color="auto"/>
          <w:bottom w:val="none" w:sz="0" w:space="0" w:color="auto"/>
          <w:right w:val="none" w:sz="0" w:space="0" w:color="auto"/>
          <w:insideH w:val="dotted" w:sz="4" w:space="0" w:color="BFBFBF" w:themeColor="background1" w:themeShade="BF"/>
          <w:insideV w:val="none" w:sz="0" w:space="0" w:color="auto"/>
        </w:tblBorders>
        <w:tblLook w:val="0620" w:firstRow="1" w:lastRow="0" w:firstColumn="0" w:lastColumn="0" w:noHBand="1" w:noVBand="1"/>
      </w:tblPr>
      <w:tblGrid>
        <w:gridCol w:w="1838"/>
        <w:gridCol w:w="7222"/>
      </w:tblGrid>
      <w:tr w:rsidR="00D3488F" w14:paraId="6BE0F9DC" w14:textId="77777777" w:rsidTr="00CD3D14">
        <w:trPr>
          <w:cnfStyle w:val="100000000000" w:firstRow="1" w:lastRow="0" w:firstColumn="0" w:lastColumn="0" w:oddVBand="0" w:evenVBand="0" w:oddHBand="0" w:evenHBand="0" w:firstRowFirstColumn="0" w:firstRowLastColumn="0" w:lastRowFirstColumn="0" w:lastRowLastColumn="0"/>
          <w:tblHeader/>
        </w:trPr>
        <w:tc>
          <w:tcPr>
            <w:tcW w:w="1838" w:type="dxa"/>
            <w:tcBorders>
              <w:top w:val="nil"/>
              <w:bottom w:val="single" w:sz="8" w:space="0" w:color="00338D" w:themeColor="text2"/>
            </w:tcBorders>
          </w:tcPr>
          <w:p w14:paraId="4CA79F9C" w14:textId="2B469E89" w:rsidR="00D3488F" w:rsidRPr="00580CCE" w:rsidRDefault="00D3488F" w:rsidP="00575CC4">
            <w:pPr>
              <w:pStyle w:val="Tableheading"/>
              <w:rPr>
                <w:bCs/>
                <w:lang w:eastAsia="en-AU"/>
              </w:rPr>
            </w:pPr>
            <w:r w:rsidRPr="00580CCE">
              <w:rPr>
                <w:lang w:eastAsia="en-AU"/>
              </w:rPr>
              <w:lastRenderedPageBreak/>
              <w:t>Current Program</w:t>
            </w:r>
          </w:p>
        </w:tc>
        <w:tc>
          <w:tcPr>
            <w:tcW w:w="7222" w:type="dxa"/>
            <w:tcBorders>
              <w:top w:val="nil"/>
              <w:bottom w:val="single" w:sz="8" w:space="0" w:color="00338D" w:themeColor="text2"/>
            </w:tcBorders>
          </w:tcPr>
          <w:p w14:paraId="55A31171" w14:textId="3A687EBF" w:rsidR="00D3488F" w:rsidRPr="00580CCE" w:rsidRDefault="00580CCE" w:rsidP="00575CC4">
            <w:pPr>
              <w:pStyle w:val="Tableheading"/>
              <w:rPr>
                <w:bCs/>
                <w:lang w:eastAsia="en-AU"/>
              </w:rPr>
            </w:pPr>
            <w:r w:rsidRPr="00580CCE">
              <w:rPr>
                <w:lang w:eastAsia="en-AU"/>
              </w:rPr>
              <w:t>Stakeholder responses</w:t>
            </w:r>
          </w:p>
        </w:tc>
      </w:tr>
      <w:tr w:rsidR="00A566B4" w14:paraId="4F1C4BB4" w14:textId="77777777" w:rsidTr="00E947EA">
        <w:tc>
          <w:tcPr>
            <w:tcW w:w="1838" w:type="dxa"/>
            <w:tcBorders>
              <w:top w:val="single" w:sz="8" w:space="0" w:color="00338D" w:themeColor="text2"/>
              <w:bottom w:val="dotted" w:sz="4" w:space="0" w:color="BFBFBF" w:themeColor="background1" w:themeShade="BF"/>
            </w:tcBorders>
          </w:tcPr>
          <w:p w14:paraId="5578F286" w14:textId="1D84CE64" w:rsidR="00A566B4" w:rsidRPr="00E947EA" w:rsidRDefault="00A566B4" w:rsidP="00CD3D14">
            <w:pPr>
              <w:pStyle w:val="Tabletextbold0"/>
              <w:rPr>
                <w:lang w:eastAsia="en-AU"/>
              </w:rPr>
            </w:pPr>
            <w:r w:rsidRPr="00E947EA">
              <w:rPr>
                <w:lang w:eastAsia="en-AU"/>
              </w:rPr>
              <w:t>Alignment to other reporting and indicators</w:t>
            </w:r>
          </w:p>
        </w:tc>
        <w:tc>
          <w:tcPr>
            <w:tcW w:w="7222" w:type="dxa"/>
            <w:tcBorders>
              <w:top w:val="single" w:sz="8" w:space="0" w:color="00338D" w:themeColor="text2"/>
              <w:bottom w:val="dotted" w:sz="4" w:space="0" w:color="BFBFBF" w:themeColor="background1" w:themeShade="BF"/>
            </w:tcBorders>
          </w:tcPr>
          <w:p w14:paraId="1BFCDFA4" w14:textId="65981200" w:rsidR="00A566B4" w:rsidRDefault="000B38DD" w:rsidP="005230A9">
            <w:pPr>
              <w:pStyle w:val="Tabletext"/>
              <w:rPr>
                <w:lang w:eastAsia="en-AU"/>
              </w:rPr>
            </w:pPr>
            <w:r>
              <w:rPr>
                <w:lang w:eastAsia="en-AU"/>
              </w:rPr>
              <w:t xml:space="preserve">Ensure reporting obligations and requirements </w:t>
            </w:r>
            <w:r w:rsidR="003879FA">
              <w:rPr>
                <w:lang w:eastAsia="en-AU"/>
              </w:rPr>
              <w:t xml:space="preserve">for </w:t>
            </w:r>
            <w:r w:rsidR="004C0AEB">
              <w:rPr>
                <w:lang w:eastAsia="en-AU"/>
              </w:rPr>
              <w:t xml:space="preserve">the </w:t>
            </w:r>
            <w:r w:rsidR="003879FA">
              <w:rPr>
                <w:lang w:eastAsia="en-AU"/>
              </w:rPr>
              <w:t xml:space="preserve">QI </w:t>
            </w:r>
            <w:r w:rsidR="004C0AEB">
              <w:rPr>
                <w:lang w:eastAsia="en-AU"/>
              </w:rPr>
              <w:t>Program</w:t>
            </w:r>
            <w:r w:rsidR="003879FA">
              <w:rPr>
                <w:lang w:eastAsia="en-AU"/>
              </w:rPr>
              <w:t xml:space="preserve"> and SIR</w:t>
            </w:r>
            <w:r w:rsidR="004C0AEB">
              <w:rPr>
                <w:lang w:eastAsia="en-AU"/>
              </w:rPr>
              <w:t>S</w:t>
            </w:r>
            <w:r>
              <w:rPr>
                <w:lang w:eastAsia="en-AU"/>
              </w:rPr>
              <w:t xml:space="preserve"> are </w:t>
            </w:r>
            <w:r w:rsidR="00703927">
              <w:rPr>
                <w:lang w:eastAsia="en-AU"/>
              </w:rPr>
              <w:t>sign posted within</w:t>
            </w:r>
            <w:r>
              <w:rPr>
                <w:lang w:eastAsia="en-AU"/>
              </w:rPr>
              <w:t xml:space="preserve"> the Standards </w:t>
            </w:r>
          </w:p>
        </w:tc>
      </w:tr>
      <w:tr w:rsidR="00A566B4" w14:paraId="75AE8255" w14:textId="77777777" w:rsidTr="00E947EA">
        <w:tc>
          <w:tcPr>
            <w:tcW w:w="1838" w:type="dxa"/>
            <w:tcBorders>
              <w:top w:val="dotted" w:sz="4" w:space="0" w:color="BFBFBF" w:themeColor="background1" w:themeShade="BF"/>
              <w:bottom w:val="single" w:sz="8" w:space="0" w:color="00338D" w:themeColor="text2"/>
            </w:tcBorders>
          </w:tcPr>
          <w:p w14:paraId="0B9109EB" w14:textId="07530847" w:rsidR="00A566B4" w:rsidRPr="00E947EA" w:rsidRDefault="00A566B4" w:rsidP="00CD3D14">
            <w:pPr>
              <w:pStyle w:val="Tabletextbold0"/>
              <w:rPr>
                <w:lang w:eastAsia="en-AU"/>
              </w:rPr>
            </w:pPr>
            <w:r w:rsidRPr="00E947EA">
              <w:rPr>
                <w:lang w:eastAsia="en-AU"/>
              </w:rPr>
              <w:t>Schedule of specified care and services for residential aged care</w:t>
            </w:r>
          </w:p>
        </w:tc>
        <w:tc>
          <w:tcPr>
            <w:tcW w:w="7222" w:type="dxa"/>
            <w:tcBorders>
              <w:top w:val="dotted" w:sz="4" w:space="0" w:color="BFBFBF" w:themeColor="background1" w:themeShade="BF"/>
              <w:bottom w:val="single" w:sz="8" w:space="0" w:color="00338D" w:themeColor="text2"/>
            </w:tcBorders>
          </w:tcPr>
          <w:p w14:paraId="56362176" w14:textId="7EA7DC4E" w:rsidR="00A566B4" w:rsidRDefault="003879FA" w:rsidP="005230A9">
            <w:pPr>
              <w:pStyle w:val="Tabletext"/>
              <w:rPr>
                <w:lang w:eastAsia="en-AU"/>
              </w:rPr>
            </w:pPr>
            <w:r>
              <w:rPr>
                <w:lang w:eastAsia="en-AU"/>
              </w:rPr>
              <w:t>Ensure</w:t>
            </w:r>
            <w:r w:rsidR="00386131">
              <w:rPr>
                <w:lang w:eastAsia="en-AU"/>
              </w:rPr>
              <w:t xml:space="preserve"> obligations under the Schedule of specified care and services </w:t>
            </w:r>
            <w:r w:rsidR="00CA7988">
              <w:rPr>
                <w:lang w:eastAsia="en-AU"/>
              </w:rPr>
              <w:t>for residential aged care are reviewed for consistent alignment to the requirements of the Standards.</w:t>
            </w:r>
          </w:p>
        </w:tc>
      </w:tr>
    </w:tbl>
    <w:p w14:paraId="2FC57799" w14:textId="4DDB9B5E" w:rsidR="00A566B4" w:rsidRDefault="00C329E0" w:rsidP="005230A9">
      <w:pPr>
        <w:pStyle w:val="BodyText1"/>
        <w:rPr>
          <w:lang w:eastAsia="en-AU"/>
        </w:rPr>
      </w:pPr>
      <w:r>
        <w:rPr>
          <w:lang w:eastAsia="en-AU"/>
        </w:rPr>
        <w:t xml:space="preserve">Overall, stakeholders expressed strongly that there was a need to review and align the Standards against all other reforms since the sector was undertaking significant transformation through a </w:t>
      </w:r>
      <w:r w:rsidR="00FA23E5">
        <w:rPr>
          <w:lang w:eastAsia="en-AU"/>
        </w:rPr>
        <w:t xml:space="preserve">parallel </w:t>
      </w:r>
      <w:r>
        <w:rPr>
          <w:lang w:eastAsia="en-AU"/>
        </w:rPr>
        <w:t>reform agenda</w:t>
      </w:r>
      <w:r w:rsidR="00FA23E5">
        <w:rPr>
          <w:lang w:eastAsia="en-AU"/>
        </w:rPr>
        <w:t>.</w:t>
      </w:r>
    </w:p>
    <w:p w14:paraId="2C1FF104" w14:textId="77777777" w:rsidR="00D51D98" w:rsidRDefault="00D51D98" w:rsidP="005230A9">
      <w:pPr>
        <w:pStyle w:val="BodyText1"/>
        <w:rPr>
          <w:lang w:eastAsia="en-AU"/>
        </w:rPr>
        <w:sectPr w:rsidR="00D51D98" w:rsidSect="00883902">
          <w:pgSz w:w="11906" w:h="16838"/>
          <w:pgMar w:top="1418" w:right="1418" w:bottom="1418" w:left="1418" w:header="709" w:footer="453" w:gutter="0"/>
          <w:cols w:space="708"/>
          <w:docGrid w:linePitch="360"/>
        </w:sectPr>
      </w:pPr>
    </w:p>
    <w:p w14:paraId="7CE43937" w14:textId="5FAB3F3B" w:rsidR="00D51D98" w:rsidRDefault="00875870" w:rsidP="005230A9">
      <w:pPr>
        <w:pStyle w:val="BodyText1"/>
        <w:rPr>
          <w:lang w:eastAsia="en-AU"/>
        </w:rPr>
      </w:pPr>
      <w:r>
        <w:rPr>
          <w:noProof/>
          <w:lang w:eastAsia="en-AU"/>
        </w:rPr>
        <w:lastRenderedPageBreak/>
        <w:drawing>
          <wp:anchor distT="0" distB="0" distL="114300" distR="114300" simplePos="0" relativeHeight="251705344" behindDoc="1" locked="0" layoutInCell="1" allowOverlap="1" wp14:anchorId="47A5AE46" wp14:editId="670F6E14">
            <wp:simplePos x="0" y="0"/>
            <wp:positionH relativeFrom="column">
              <wp:posOffset>-900430</wp:posOffset>
            </wp:positionH>
            <wp:positionV relativeFrom="paragraph">
              <wp:posOffset>-900430</wp:posOffset>
            </wp:positionV>
            <wp:extent cx="7560000" cy="10692000"/>
            <wp:effectExtent l="0" t="0" r="3175" b="0"/>
            <wp:wrapNone/>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2A218F5D" w14:textId="1D3FF8D6" w:rsidR="005230A9" w:rsidRPr="00FA1A8D" w:rsidRDefault="0030573D" w:rsidP="005230A9">
      <w:pPr>
        <w:pStyle w:val="Heading1Divider"/>
        <w:ind w:left="1106" w:hanging="964"/>
        <w:rPr>
          <w:sz w:val="66"/>
          <w:szCs w:val="48"/>
        </w:rPr>
      </w:pPr>
      <w:bookmarkStart w:id="136" w:name="_Toc85384235"/>
      <w:bookmarkStart w:id="137" w:name="_Toc85384313"/>
      <w:bookmarkStart w:id="138" w:name="_Ref85382822"/>
      <w:bookmarkStart w:id="139" w:name="_Toc88804086"/>
      <w:bookmarkStart w:id="140" w:name="_Toc89930047"/>
      <w:bookmarkStart w:id="141" w:name="_Toc90453366"/>
      <w:bookmarkStart w:id="142" w:name="_Toc113448694"/>
      <w:bookmarkEnd w:id="136"/>
      <w:bookmarkEnd w:id="137"/>
      <w:r w:rsidRPr="00FA1A8D">
        <w:rPr>
          <w:sz w:val="66"/>
          <w:szCs w:val="48"/>
        </w:rPr>
        <w:t>Findings:</w:t>
      </w:r>
      <w:r w:rsidR="004E0287" w:rsidRPr="00FA1A8D">
        <w:rPr>
          <w:sz w:val="66"/>
          <w:szCs w:val="48"/>
        </w:rPr>
        <w:t xml:space="preserve"> </w:t>
      </w:r>
      <w:bookmarkEnd w:id="138"/>
      <w:r w:rsidR="00580A38" w:rsidRPr="00FA1A8D">
        <w:rPr>
          <w:sz w:val="66"/>
          <w:szCs w:val="48"/>
        </w:rPr>
        <w:t xml:space="preserve">Key </w:t>
      </w:r>
      <w:r w:rsidR="00CD3D14">
        <w:rPr>
          <w:sz w:val="66"/>
          <w:szCs w:val="48"/>
        </w:rPr>
        <w:t>e</w:t>
      </w:r>
      <w:r w:rsidR="00580A38" w:rsidRPr="00FA1A8D">
        <w:rPr>
          <w:sz w:val="66"/>
          <w:szCs w:val="48"/>
        </w:rPr>
        <w:t xml:space="preserve">valuation </w:t>
      </w:r>
      <w:r w:rsidR="00CD3D14">
        <w:rPr>
          <w:sz w:val="66"/>
          <w:szCs w:val="48"/>
        </w:rPr>
        <w:t>q</w:t>
      </w:r>
      <w:r w:rsidR="00580A38" w:rsidRPr="00FA1A8D">
        <w:rPr>
          <w:sz w:val="66"/>
          <w:szCs w:val="48"/>
        </w:rPr>
        <w:t>uestion 2</w:t>
      </w:r>
      <w:bookmarkEnd w:id="139"/>
      <w:bookmarkEnd w:id="140"/>
      <w:bookmarkEnd w:id="141"/>
      <w:bookmarkEnd w:id="142"/>
    </w:p>
    <w:p w14:paraId="0DBF8EEC" w14:textId="5CACBF3B" w:rsidR="005230A9" w:rsidRPr="005230A9" w:rsidRDefault="005230A9" w:rsidP="005230A9">
      <w:pPr>
        <w:pStyle w:val="HeadingLevel1NoNumber"/>
      </w:pPr>
      <w:bookmarkStart w:id="143" w:name="_Toc88804087"/>
      <w:r w:rsidRPr="005230A9">
        <w:lastRenderedPageBreak/>
        <w:t>Findings: Key Evaluation Question 2</w:t>
      </w:r>
      <w:bookmarkEnd w:id="143"/>
    </w:p>
    <w:p w14:paraId="6D6189B4" w14:textId="77777777" w:rsidR="00F626EE" w:rsidRDefault="00547319" w:rsidP="00334396">
      <w:pPr>
        <w:pStyle w:val="IntroPara"/>
        <w:tabs>
          <w:tab w:val="clear" w:pos="720"/>
        </w:tabs>
      </w:pPr>
      <w:r>
        <w:t xml:space="preserve">This section explores findings related to </w:t>
      </w:r>
      <w:r w:rsidRPr="005230A9">
        <w:t xml:space="preserve">Key Evaluation Question 2: What improvements could be made to refine the </w:t>
      </w:r>
      <w:r w:rsidR="001119A6" w:rsidRPr="005230A9">
        <w:t>S</w:t>
      </w:r>
      <w:r w:rsidRPr="005230A9">
        <w:t>tandards’ clarity, validity, applicability, and reliability?</w:t>
      </w:r>
      <w:r>
        <w:t xml:space="preserve"> </w:t>
      </w:r>
    </w:p>
    <w:p w14:paraId="131868A0" w14:textId="105D7BC2" w:rsidR="00547319" w:rsidRDefault="00547319" w:rsidP="005230A9">
      <w:pPr>
        <w:pStyle w:val="BodyText1"/>
      </w:pPr>
      <w:r w:rsidRPr="004649AA">
        <w:t xml:space="preserve">This question sought to understand </w:t>
      </w:r>
      <w:r>
        <w:t>the characteristics of the Standards and potential areas for refinement</w:t>
      </w:r>
      <w:r w:rsidRPr="004649AA">
        <w:t>. The following areas were key domains when exploring this question:</w:t>
      </w:r>
      <w:r>
        <w:t xml:space="preserve"> </w:t>
      </w:r>
    </w:p>
    <w:p w14:paraId="5408BBC3" w14:textId="51187579" w:rsidR="00E06255" w:rsidRDefault="00E06255" w:rsidP="00E94B53">
      <w:pPr>
        <w:pStyle w:val="Bullet1stlevel"/>
        <w:spacing w:after="0"/>
      </w:pPr>
      <w:r>
        <w:t xml:space="preserve">Are the </w:t>
      </w:r>
      <w:r w:rsidR="00DE2C29">
        <w:t>S</w:t>
      </w:r>
      <w:r>
        <w:t>tandards clear and easy to understand?</w:t>
      </w:r>
    </w:p>
    <w:p w14:paraId="6E180858" w14:textId="325F7767" w:rsidR="00E06255" w:rsidRDefault="00E06255" w:rsidP="00E94B53">
      <w:pPr>
        <w:pStyle w:val="Bullet1stlevel"/>
        <w:spacing w:after="0"/>
      </w:pPr>
      <w:r>
        <w:t xml:space="preserve">Are the </w:t>
      </w:r>
      <w:r w:rsidR="00DE2C29">
        <w:t>S</w:t>
      </w:r>
      <w:r>
        <w:t>tandards valid and reliable</w:t>
      </w:r>
      <w:r w:rsidR="00335C98">
        <w:t>:</w:t>
      </w:r>
    </w:p>
    <w:p w14:paraId="667C407E" w14:textId="77777777" w:rsidR="00F8384B" w:rsidRDefault="00E06255" w:rsidP="00E94B53">
      <w:pPr>
        <w:pStyle w:val="Bullet2ndlevel"/>
        <w:spacing w:before="0" w:after="0"/>
      </w:pPr>
      <w:r>
        <w:t xml:space="preserve">Do they represent stakeholders’ expectations of quality aged care? </w:t>
      </w:r>
    </w:p>
    <w:p w14:paraId="7D3824D5" w14:textId="47C3025B" w:rsidR="00E06255" w:rsidRDefault="00E06255" w:rsidP="00E94B53">
      <w:pPr>
        <w:pStyle w:val="Bullet2ndlevel"/>
        <w:spacing w:before="0" w:after="0"/>
      </w:pPr>
      <w:r>
        <w:t xml:space="preserve">Do they support consistent assessment of performance? </w:t>
      </w:r>
    </w:p>
    <w:p w14:paraId="6DE9F5EA" w14:textId="13747919" w:rsidR="00AD0D53" w:rsidRPr="00AD0D53" w:rsidRDefault="00E06255" w:rsidP="00E94B53">
      <w:pPr>
        <w:pStyle w:val="Bullet1stlevel"/>
        <w:spacing w:after="0"/>
      </w:pPr>
      <w:r>
        <w:t xml:space="preserve">Are the </w:t>
      </w:r>
      <w:r w:rsidR="00DE2C29">
        <w:t>S</w:t>
      </w:r>
      <w:r>
        <w:t>tandards sufficiently flexible for application across all service types and settings?</w:t>
      </w:r>
    </w:p>
    <w:p w14:paraId="6B238221" w14:textId="11D70B7D" w:rsidR="00335C98" w:rsidRDefault="00335C98" w:rsidP="00E94B53">
      <w:pPr>
        <w:pStyle w:val="Bullet1stlevel"/>
        <w:spacing w:after="0"/>
      </w:pPr>
      <w:r w:rsidRPr="00335C98">
        <w:t>Are there aspects of the Standards that could be harmonised? What benefit would this provide?</w:t>
      </w:r>
    </w:p>
    <w:p w14:paraId="438BF9A2" w14:textId="1C992E74" w:rsidR="00E06255" w:rsidRDefault="00E06255" w:rsidP="00E94B53">
      <w:pPr>
        <w:pStyle w:val="Bullet1stlevel"/>
        <w:spacing w:after="0"/>
      </w:pPr>
      <w:r>
        <w:t xml:space="preserve">Are there any gaps? </w:t>
      </w:r>
    </w:p>
    <w:p w14:paraId="3887CB4D" w14:textId="76565CEA" w:rsidR="00E06255" w:rsidRPr="001A5DF4" w:rsidRDefault="00E06255" w:rsidP="00E94B53">
      <w:pPr>
        <w:pStyle w:val="Bullet1stlevel"/>
        <w:spacing w:after="0"/>
      </w:pPr>
      <w:r>
        <w:t xml:space="preserve">Are there suggestions for improving individual </w:t>
      </w:r>
      <w:r w:rsidR="00DE2C29">
        <w:t>S</w:t>
      </w:r>
      <w:r>
        <w:t>tandards</w:t>
      </w:r>
      <w:r w:rsidR="00F8384B">
        <w:t>?</w:t>
      </w:r>
    </w:p>
    <w:p w14:paraId="3848C393" w14:textId="6A990BBA" w:rsidR="00C65306" w:rsidRDefault="00547319" w:rsidP="00E94B53">
      <w:pPr>
        <w:pStyle w:val="BodyText1"/>
        <w:spacing w:before="0" w:after="0"/>
      </w:pPr>
      <w:r>
        <w:t>The table below presents a summary of findings against this evaluation question.</w:t>
      </w:r>
    </w:p>
    <w:p w14:paraId="0393E733" w14:textId="260DB870" w:rsidR="00E108D9" w:rsidRDefault="00E108D9" w:rsidP="00231A99">
      <w:pPr>
        <w:pStyle w:val="Caption"/>
      </w:pPr>
      <w:r>
        <w:t xml:space="preserve">Table </w:t>
      </w:r>
      <w:r>
        <w:fldChar w:fldCharType="begin"/>
      </w:r>
      <w:r>
        <w:instrText>SEQ Table \* ARABIC</w:instrText>
      </w:r>
      <w:r>
        <w:fldChar w:fldCharType="separate"/>
      </w:r>
      <w:r w:rsidR="0083123A">
        <w:rPr>
          <w:noProof/>
        </w:rPr>
        <w:t>8</w:t>
      </w:r>
      <w:r>
        <w:fldChar w:fldCharType="end"/>
      </w:r>
      <w:r>
        <w:t>: Summary of findings for Key Evaluation Question 2</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1418"/>
        <w:gridCol w:w="7642"/>
      </w:tblGrid>
      <w:tr w:rsidR="009B5097" w14:paraId="1C6398B7" w14:textId="77777777" w:rsidTr="003D62F3">
        <w:trPr>
          <w:cnfStyle w:val="100000000000" w:firstRow="1" w:lastRow="0" w:firstColumn="0" w:lastColumn="0" w:oddVBand="0" w:evenVBand="0" w:oddHBand="0" w:evenHBand="0" w:firstRowFirstColumn="0" w:firstRowLastColumn="0" w:lastRowFirstColumn="0" w:lastRowLastColumn="0"/>
        </w:trPr>
        <w:tc>
          <w:tcPr>
            <w:tcW w:w="1418" w:type="dxa"/>
          </w:tcPr>
          <w:p w14:paraId="1C467BC7" w14:textId="77777777" w:rsidR="009B5097" w:rsidRPr="0056390A" w:rsidRDefault="009B5097" w:rsidP="00575CC4">
            <w:pPr>
              <w:pStyle w:val="Tableheading"/>
            </w:pPr>
            <w:r w:rsidRPr="00DC5212">
              <w:rPr>
                <w:noProof/>
              </w:rPr>
              <w:drawing>
                <wp:inline distT="0" distB="0" distL="0" distR="0" wp14:anchorId="33E677A7" wp14:editId="31A94632">
                  <wp:extent cx="497434" cy="497434"/>
                  <wp:effectExtent l="0" t="0" r="0" b="0"/>
                  <wp:docPr id="777" name="Picture 7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Picture 777">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5099" cy="505099"/>
                          </a:xfrm>
                          <a:prstGeom prst="rect">
                            <a:avLst/>
                          </a:prstGeom>
                          <a:noFill/>
                          <a:ln>
                            <a:noFill/>
                          </a:ln>
                        </pic:spPr>
                      </pic:pic>
                    </a:graphicData>
                  </a:graphic>
                </wp:inline>
              </w:drawing>
            </w:r>
          </w:p>
        </w:tc>
        <w:tc>
          <w:tcPr>
            <w:tcW w:w="7642" w:type="dxa"/>
          </w:tcPr>
          <w:p w14:paraId="5707451A" w14:textId="3C6BE128" w:rsidR="009B5097" w:rsidRPr="0000770C" w:rsidRDefault="009B5097" w:rsidP="00575CC4">
            <w:pPr>
              <w:pStyle w:val="Tableheading"/>
            </w:pPr>
            <w:r w:rsidRPr="0000770C">
              <w:t xml:space="preserve">Key Evaluation Question </w:t>
            </w:r>
            <w:r>
              <w:t>2</w:t>
            </w:r>
          </w:p>
          <w:p w14:paraId="4CF2DF0B" w14:textId="2A1ACF25" w:rsidR="009B5097" w:rsidRPr="0056390A" w:rsidRDefault="009B5097" w:rsidP="00575CC4">
            <w:pPr>
              <w:pStyle w:val="Tableheading"/>
            </w:pPr>
            <w:r w:rsidRPr="009B5097">
              <w:t>What improvements could be made to refine the Standards’ clarity, validity, applicability, and reliability?</w:t>
            </w:r>
          </w:p>
        </w:tc>
      </w:tr>
    </w:tbl>
    <w:p w14:paraId="5BC66F6F" w14:textId="77777777" w:rsidR="00D768E9" w:rsidRPr="00E914B7" w:rsidRDefault="00D768E9" w:rsidP="00E914B7">
      <w:pPr>
        <w:spacing w:before="0" w:after="0"/>
        <w:rPr>
          <w:sz w:val="2"/>
          <w:szCs w:val="2"/>
        </w:rPr>
      </w:pP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9060"/>
      </w:tblGrid>
      <w:tr w:rsidR="009B5097" w:rsidRPr="009B5097" w14:paraId="0F9843F6" w14:textId="77777777" w:rsidTr="009B5097">
        <w:trPr>
          <w:cnfStyle w:val="100000000000" w:firstRow="1" w:lastRow="0" w:firstColumn="0" w:lastColumn="0" w:oddVBand="0" w:evenVBand="0" w:oddHBand="0" w:evenHBand="0" w:firstRowFirstColumn="0" w:firstRowLastColumn="0" w:lastRowFirstColumn="0" w:lastRowLastColumn="0"/>
        </w:trPr>
        <w:tc>
          <w:tcPr>
            <w:tcW w:w="9060" w:type="dxa"/>
            <w:shd w:val="clear" w:color="auto" w:fill="00338D" w:themeFill="text2"/>
          </w:tcPr>
          <w:p w14:paraId="2874456E" w14:textId="77777777" w:rsidR="00E65FBB" w:rsidRPr="009B5097" w:rsidRDefault="00E65FBB" w:rsidP="00575CC4">
            <w:pPr>
              <w:pStyle w:val="Tableheading"/>
            </w:pPr>
            <w:r w:rsidRPr="009B5097">
              <w:t>Summary of findings</w:t>
            </w:r>
          </w:p>
        </w:tc>
      </w:tr>
      <w:tr w:rsidR="000F7255" w14:paraId="27520456" w14:textId="77777777" w:rsidTr="009B5097">
        <w:tc>
          <w:tcPr>
            <w:tcW w:w="9060" w:type="dxa"/>
            <w:tcBorders>
              <w:bottom w:val="single" w:sz="8" w:space="0" w:color="00338D" w:themeColor="text2"/>
            </w:tcBorders>
          </w:tcPr>
          <w:p w14:paraId="3754AA99" w14:textId="2057952E" w:rsidR="00B103BF" w:rsidRDefault="00B103BF" w:rsidP="009A76BC">
            <w:pPr>
              <w:pStyle w:val="TableBullet1"/>
            </w:pPr>
            <w:r w:rsidRPr="00B103BF">
              <w:t>The majority of stakeholders agreed that the wording of the Standards is clear and that they understand the intent of the Standards. However, some providers raised challenges in putting certain more complex themes of the Standards into practice</w:t>
            </w:r>
            <w:r>
              <w:t xml:space="preserve"> such as cultural safety and cultural diversity, dignity of risk, best practice and governance. </w:t>
            </w:r>
            <w:r w:rsidRPr="00B103BF">
              <w:t xml:space="preserve">A large proportion of providers consulted </w:t>
            </w:r>
            <w:r>
              <w:t xml:space="preserve">also </w:t>
            </w:r>
            <w:r w:rsidRPr="00B103BF">
              <w:t>highlighted challenges in understanding the expectations of the Commission.</w:t>
            </w:r>
          </w:p>
          <w:p w14:paraId="2DF86421" w14:textId="01C0693C" w:rsidR="00B40F16" w:rsidRPr="00B40F16" w:rsidRDefault="00B103BF" w:rsidP="009A76BC">
            <w:pPr>
              <w:pStyle w:val="TableBullet1"/>
            </w:pPr>
            <w:r w:rsidRPr="00B103BF">
              <w:t xml:space="preserve">There was a high level of agreement that the Standards represent </w:t>
            </w:r>
            <w:r w:rsidR="000C7F1D">
              <w:t>stakehol</w:t>
            </w:r>
            <w:r w:rsidR="004E16B3">
              <w:t>d</w:t>
            </w:r>
            <w:r w:rsidR="000C7F1D">
              <w:t>er</w:t>
            </w:r>
            <w:r w:rsidRPr="00B103BF">
              <w:t xml:space="preserve"> expectations of quality aged care, however ‘gap areas’ were identified</w:t>
            </w:r>
            <w:r>
              <w:t xml:space="preserve">. </w:t>
            </w:r>
            <w:r w:rsidRPr="00B103BF">
              <w:t xml:space="preserve">New issues or requirements were identified under each </w:t>
            </w:r>
            <w:r w:rsidR="00F41127">
              <w:t>S</w:t>
            </w:r>
            <w:r w:rsidRPr="00B103BF">
              <w:t>tandard and stakeholders articulated the need for the Standards to address specific themes articulated in the Royal Commission</w:t>
            </w:r>
            <w:r w:rsidR="00AA017F">
              <w:t xml:space="preserve"> report</w:t>
            </w:r>
            <w:r w:rsidRPr="00B103BF">
              <w:t>, including nutrition, diversity, palliative care, dementia, clinical and infection control outcomes and provider governance.</w:t>
            </w:r>
          </w:p>
          <w:p w14:paraId="0F9F086B" w14:textId="4EF6EF63" w:rsidR="00C21E95" w:rsidRDefault="00C21E95" w:rsidP="009A76BC">
            <w:pPr>
              <w:pStyle w:val="TableBullet1"/>
            </w:pPr>
            <w:r w:rsidRPr="00C21E95">
              <w:t xml:space="preserve">Overall providers perceived that they can consistently assess their own performance against Standards. However, there </w:t>
            </w:r>
            <w:r w:rsidR="00BC4C3F">
              <w:t>was</w:t>
            </w:r>
            <w:r w:rsidRPr="00C21E95">
              <w:t xml:space="preserve"> a view by providers that there is a level of inconsistency in the Commission’s assessment of provider performance. </w:t>
            </w:r>
            <w:r w:rsidR="003D62F3" w:rsidRPr="003D62F3">
              <w:t>The assessment methodology used by the Commission was out of scope for this Evaluation. KPMG did not evaluate the effectiveness of the assessment process as part of the evaluation and any references made to</w:t>
            </w:r>
            <w:r w:rsidR="00F90796">
              <w:t xml:space="preserve"> the</w:t>
            </w:r>
            <w:r w:rsidR="003D62F3" w:rsidRPr="003D62F3">
              <w:t xml:space="preserve"> assessment </w:t>
            </w:r>
            <w:r w:rsidR="00F90796">
              <w:t xml:space="preserve">process </w:t>
            </w:r>
            <w:r w:rsidR="003D62F3" w:rsidRPr="003D62F3">
              <w:t>relate specifically to stakeholder views. The Commission continuously refines and improves its assessment methodology and there are certain design aspects of the assessment methodology that may have influenced these views.</w:t>
            </w:r>
          </w:p>
          <w:p w14:paraId="579AE9D0" w14:textId="0459047F" w:rsidR="00C21E95" w:rsidRDefault="00C21E95" w:rsidP="009A76BC">
            <w:pPr>
              <w:pStyle w:val="TableBullet1"/>
            </w:pPr>
            <w:r w:rsidRPr="00C21E95">
              <w:t>The Evaluation found that the Standards are sufficiently flexible across all service types and settings</w:t>
            </w:r>
            <w:r w:rsidR="00FD5BBA">
              <w:t>, however some home care providers expressed a view that the Standards were more targeted at residential aged care</w:t>
            </w:r>
            <w:r w:rsidRPr="00C21E95">
              <w:t>.</w:t>
            </w:r>
            <w:r>
              <w:t xml:space="preserve"> </w:t>
            </w:r>
            <w:r w:rsidRPr="00C21E95">
              <w:t>The</w:t>
            </w:r>
            <w:r>
              <w:t xml:space="preserve"> majority of stakeholder also supported further harmonisation of the Standards</w:t>
            </w:r>
            <w:r w:rsidRPr="00C21E95">
              <w:t>.</w:t>
            </w:r>
          </w:p>
          <w:p w14:paraId="238B052B" w14:textId="6D2DD513" w:rsidR="00E65FBB" w:rsidRDefault="004E16B3" w:rsidP="009A76BC">
            <w:pPr>
              <w:pStyle w:val="TableBullet1"/>
            </w:pPr>
            <w:r w:rsidRPr="004E16B3">
              <w:t>There are improvements that could be made to individual standards</w:t>
            </w:r>
            <w:r>
              <w:t>, including removal of</w:t>
            </w:r>
            <w:r w:rsidRPr="004E16B3">
              <w:t xml:space="preserve"> </w:t>
            </w:r>
            <w:r w:rsidR="00F90796">
              <w:t xml:space="preserve">perceived </w:t>
            </w:r>
            <w:r w:rsidRPr="004E16B3">
              <w:t xml:space="preserve">repetition within </w:t>
            </w:r>
            <w:r w:rsidR="007276CC">
              <w:t>the St</w:t>
            </w:r>
            <w:r w:rsidRPr="004E16B3">
              <w:t xml:space="preserve">andards and reducing instances where there are multiple concepts contained </w:t>
            </w:r>
            <w:r w:rsidRPr="004E16B3">
              <w:lastRenderedPageBreak/>
              <w:t xml:space="preserve">within a requirement. There is also opportunity to introduce more prescriptive or detailed requirements within the Standards to address the issue of measurability identified by the Royal Commission and meet provider </w:t>
            </w:r>
            <w:r>
              <w:t>requests</w:t>
            </w:r>
            <w:r w:rsidRPr="004E16B3">
              <w:t xml:space="preserve"> for clarity o</w:t>
            </w:r>
            <w:r>
              <w:t>n the</w:t>
            </w:r>
            <w:r w:rsidRPr="004E16B3">
              <w:t xml:space="preserve"> expectations of the Commission. However, this issue is likely to be a choice between additional detail or prescription within the Standards themselves and </w:t>
            </w:r>
            <w:r>
              <w:t xml:space="preserve">including </w:t>
            </w:r>
            <w:r w:rsidRPr="004E16B3">
              <w:t>further detail in guidance material.</w:t>
            </w:r>
          </w:p>
        </w:tc>
      </w:tr>
    </w:tbl>
    <w:p w14:paraId="79DF941D" w14:textId="777F511D" w:rsidR="00E079B2" w:rsidRPr="000B3C25" w:rsidRDefault="006051B5" w:rsidP="000B3C25">
      <w:pPr>
        <w:pStyle w:val="Heading2"/>
      </w:pPr>
      <w:bookmarkStart w:id="144" w:name="_Toc85402673"/>
      <w:bookmarkStart w:id="145" w:name="_Toc85402674"/>
      <w:bookmarkStart w:id="146" w:name="_Toc85402675"/>
      <w:bookmarkStart w:id="147" w:name="_Toc85402676"/>
      <w:bookmarkStart w:id="148" w:name="_Ref85223274"/>
      <w:bookmarkStart w:id="149" w:name="_Ref85223383"/>
      <w:bookmarkStart w:id="150" w:name="_Ref85223397"/>
      <w:bookmarkStart w:id="151" w:name="_Toc88804088"/>
      <w:bookmarkStart w:id="152" w:name="_Toc89930048"/>
      <w:bookmarkStart w:id="153" w:name="_Toc90453367"/>
      <w:bookmarkStart w:id="154" w:name="_Toc113448695"/>
      <w:bookmarkEnd w:id="144"/>
      <w:bookmarkEnd w:id="145"/>
      <w:bookmarkEnd w:id="146"/>
      <w:bookmarkEnd w:id="147"/>
      <w:r w:rsidRPr="000B3C25">
        <w:rPr>
          <w:rStyle w:val="Heading2Char"/>
        </w:rPr>
        <w:lastRenderedPageBreak/>
        <w:t xml:space="preserve">6.1 </w:t>
      </w:r>
      <w:r w:rsidR="00E079B2" w:rsidRPr="000B3C25">
        <w:t xml:space="preserve">Are the </w:t>
      </w:r>
      <w:r w:rsidR="00056966" w:rsidRPr="000B3C25">
        <w:t>S</w:t>
      </w:r>
      <w:r w:rsidR="00E079B2" w:rsidRPr="000B3C25">
        <w:t>tandards clear and easy to understand?</w:t>
      </w:r>
      <w:bookmarkEnd w:id="148"/>
      <w:bookmarkEnd w:id="149"/>
      <w:bookmarkEnd w:id="150"/>
      <w:bookmarkEnd w:id="151"/>
      <w:bookmarkEnd w:id="152"/>
      <w:bookmarkEnd w:id="153"/>
      <w:bookmarkEnd w:id="154"/>
    </w:p>
    <w:p w14:paraId="6DF1576F" w14:textId="69191595" w:rsidR="004A4D41" w:rsidRDefault="004A4D41" w:rsidP="005230A9">
      <w:pPr>
        <w:pStyle w:val="BodyText1"/>
      </w:pPr>
      <w:r>
        <w:t xml:space="preserve">The majority of stakeholders agreed that the wording of the Standards is clear and that they understand the intent of the Standards. However, some providers raised challenges in </w:t>
      </w:r>
      <w:r w:rsidR="00DC6EF2">
        <w:t>putting</w:t>
      </w:r>
      <w:r>
        <w:t xml:space="preserve"> certain more complex themes of the Standards into practice. A large proportion of providers consulted also</w:t>
      </w:r>
      <w:r w:rsidRPr="00530647">
        <w:t xml:space="preserve"> highlighted challenges in understanding the expectations of the Commission against the Standards</w:t>
      </w:r>
      <w:r>
        <w:t>. The introduction of multiple dimensions of each Standard and the approach to assessing performance appear to influence this perception as described further below.</w:t>
      </w:r>
    </w:p>
    <w:p w14:paraId="5EB435BC" w14:textId="622BC690" w:rsidR="004A4D41" w:rsidRPr="00530647" w:rsidRDefault="004A4D41" w:rsidP="00231A99">
      <w:pPr>
        <w:pStyle w:val="HeadingLevel3NoNumber"/>
      </w:pPr>
      <w:r w:rsidRPr="00530647">
        <w:t>Clarity of wording and intent of the Standards</w:t>
      </w:r>
    </w:p>
    <w:p w14:paraId="49C2B552" w14:textId="794BF63C" w:rsidR="00A64953" w:rsidRDefault="004A4D41" w:rsidP="005230A9">
      <w:pPr>
        <w:pStyle w:val="BodyText1"/>
      </w:pPr>
      <w:proofErr w:type="gramStart"/>
      <w:r>
        <w:t>The majority of</w:t>
      </w:r>
      <w:proofErr w:type="gramEnd"/>
      <w:r>
        <w:t xml:space="preserve"> stakeholders during consultations and </w:t>
      </w:r>
      <w:r w:rsidRPr="00530647">
        <w:t xml:space="preserve">75% of </w:t>
      </w:r>
      <w:r w:rsidR="003C0B8D">
        <w:t xml:space="preserve">all </w:t>
      </w:r>
      <w:r w:rsidRPr="00530647">
        <w:t>survey respondents agreed th</w:t>
      </w:r>
      <w:r>
        <w:t>at the wording and intent of the Standards are clear (</w:t>
      </w:r>
      <w:r w:rsidR="001E631F">
        <w:t xml:space="preserve">a breakdown by </w:t>
      </w:r>
      <w:r w:rsidR="001E34D8">
        <w:t>stakeholder type</w:t>
      </w:r>
      <w:r>
        <w:t xml:space="preserve"> presented in </w:t>
      </w:r>
      <w:r w:rsidR="00AC08BB">
        <w:fldChar w:fldCharType="begin" w:fldLock="1"/>
      </w:r>
      <w:r w:rsidR="00AC08BB">
        <w:instrText xml:space="preserve"> REF _Ref85362076 \h </w:instrText>
      </w:r>
      <w:r w:rsidR="00AC08BB">
        <w:fldChar w:fldCharType="separate"/>
      </w:r>
      <w:r w:rsidR="00453533">
        <w:t xml:space="preserve">Figure </w:t>
      </w:r>
      <w:r w:rsidR="00453533">
        <w:rPr>
          <w:noProof/>
        </w:rPr>
        <w:t>6</w:t>
      </w:r>
      <w:r w:rsidR="00AC08BB">
        <w:fldChar w:fldCharType="end"/>
      </w:r>
      <w:r w:rsidR="00AF1B80">
        <w:t xml:space="preserve">  </w:t>
      </w:r>
      <w:r>
        <w:t>below</w:t>
      </w:r>
      <w:r w:rsidR="00C358E6">
        <w:t xml:space="preserve"> shows limited variation between the stakeholder groups</w:t>
      </w:r>
      <w:r>
        <w:t>).</w:t>
      </w:r>
    </w:p>
    <w:p w14:paraId="3712496E" w14:textId="2D2FEBDF" w:rsidR="00A64953" w:rsidRDefault="00A64953" w:rsidP="00231A99">
      <w:pPr>
        <w:pStyle w:val="Caption"/>
      </w:pPr>
      <w:bookmarkStart w:id="155" w:name="_Ref85362076"/>
      <w:bookmarkStart w:id="156" w:name="_Toc85369263"/>
      <w:r>
        <w:t xml:space="preserve">Figure </w:t>
      </w:r>
      <w:r>
        <w:fldChar w:fldCharType="begin"/>
      </w:r>
      <w:r>
        <w:instrText>SEQ Figure \* ARABIC</w:instrText>
      </w:r>
      <w:r>
        <w:fldChar w:fldCharType="separate"/>
      </w:r>
      <w:r w:rsidR="0083123A">
        <w:rPr>
          <w:noProof/>
        </w:rPr>
        <w:t>6</w:t>
      </w:r>
      <w:r>
        <w:fldChar w:fldCharType="end"/>
      </w:r>
      <w:bookmarkEnd w:id="155"/>
      <w:r w:rsidR="00AC08BB">
        <w:t>:</w:t>
      </w:r>
      <w:r>
        <w:t xml:space="preserve"> </w:t>
      </w:r>
      <w:r w:rsidRPr="00632791">
        <w:t xml:space="preserve">Characteristics of the </w:t>
      </w:r>
      <w:r w:rsidR="00056966">
        <w:t>Q</w:t>
      </w:r>
      <w:r w:rsidR="00F265BA" w:rsidRPr="00632791">
        <w:t xml:space="preserve">uality </w:t>
      </w:r>
      <w:r w:rsidR="00056966">
        <w:t>S</w:t>
      </w:r>
      <w:r w:rsidRPr="00632791">
        <w:t>tandards by stakeholder</w:t>
      </w:r>
      <w:r w:rsidR="00B22713">
        <w:t xml:space="preserve"> group</w:t>
      </w:r>
      <w:r w:rsidR="00C13E82">
        <w:t xml:space="preserve"> - Are the </w:t>
      </w:r>
      <w:r w:rsidR="007B2EBC">
        <w:t>S</w:t>
      </w:r>
      <w:r w:rsidR="00C13E82">
        <w:t>tandards clear?</w:t>
      </w:r>
      <w:r w:rsidRPr="00632791">
        <w:t xml:space="preserve"> </w:t>
      </w:r>
      <w:r w:rsidRPr="0079035C">
        <w:t>percentage</w:t>
      </w:r>
      <w:bookmarkEnd w:id="156"/>
    </w:p>
    <w:p w14:paraId="65698A18" w14:textId="10D9754D" w:rsidR="00A64953" w:rsidRDefault="00B54B7A" w:rsidP="009D3EA7">
      <w:pPr>
        <w:pStyle w:val="BodyText2"/>
      </w:pPr>
      <w:r w:rsidRPr="0079035C">
        <w:rPr>
          <w:noProof/>
        </w:rPr>
        <w:drawing>
          <wp:inline distT="0" distB="0" distL="0" distR="0" wp14:anchorId="7D923B32" wp14:editId="0FF48120">
            <wp:extent cx="5759450" cy="2330450"/>
            <wp:effectExtent l="0" t="0" r="0" b="0"/>
            <wp:docPr id="2" name="Chart 2" descr="Stacked bar chart. Figure 6. The characteristics of the Quality Standards by stakeholder group - Are the Standards clear? percentage. Source KPMG.">
              <a:extLst xmlns:a="http://schemas.openxmlformats.org/drawingml/2006/main">
                <a:ext uri="{FF2B5EF4-FFF2-40B4-BE49-F238E27FC236}">
                  <a16:creationId xmlns:a16="http://schemas.microsoft.com/office/drawing/2014/main" id="{0C51CAFC-6BE9-4E74-A94B-197C78D4E9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70EB131" w14:textId="3F0608FF" w:rsidR="00B54B7A" w:rsidRDefault="00B54B7A" w:rsidP="00231A99">
      <w:pPr>
        <w:pStyle w:val="Source0"/>
        <w:rPr>
          <w:rFonts w:eastAsia="Calibri" w:cs="Arial"/>
        </w:rPr>
      </w:pPr>
      <w:r>
        <w:t xml:space="preserve">Source: </w:t>
      </w:r>
      <w:r w:rsidR="00631F9E">
        <w:t>KPMG</w:t>
      </w:r>
      <w:r w:rsidR="009B5097">
        <w:t>.</w:t>
      </w:r>
    </w:p>
    <w:p w14:paraId="3FD59300" w14:textId="2EDB312A" w:rsidR="00B621A0" w:rsidRDefault="00B621A0" w:rsidP="005230A9">
      <w:pPr>
        <w:pStyle w:val="BodyText1"/>
      </w:pPr>
      <w:r>
        <w:t xml:space="preserve">Similarly, </w:t>
      </w:r>
      <w:proofErr w:type="gramStart"/>
      <w:r>
        <w:t>the majority of</w:t>
      </w:r>
      <w:proofErr w:type="gramEnd"/>
      <w:r>
        <w:t xml:space="preserve"> providers reported that they understand how to implement each Standard as presented in </w:t>
      </w:r>
      <w:r w:rsidR="001F6994">
        <w:fldChar w:fldCharType="begin" w:fldLock="1"/>
      </w:r>
      <w:r w:rsidR="001F6994">
        <w:instrText xml:space="preserve"> REF _Ref85188695 \h </w:instrText>
      </w:r>
      <w:r w:rsidR="001F6994">
        <w:fldChar w:fldCharType="separate"/>
      </w:r>
      <w:r w:rsidR="00453533">
        <w:t xml:space="preserve">Figure </w:t>
      </w:r>
      <w:r w:rsidR="00453533">
        <w:rPr>
          <w:noProof/>
        </w:rPr>
        <w:t>7</w:t>
      </w:r>
      <w:r w:rsidR="001F6994">
        <w:fldChar w:fldCharType="end"/>
      </w:r>
      <w:r>
        <w:t xml:space="preserve"> below).</w:t>
      </w:r>
      <w:r w:rsidR="00E52370">
        <w:t xml:space="preserve"> </w:t>
      </w:r>
      <w:r w:rsidR="00BF476E">
        <w:t>However, t</w:t>
      </w:r>
      <w:r w:rsidR="00E52370">
        <w:t xml:space="preserve">he level of understanding </w:t>
      </w:r>
      <w:r w:rsidR="00BF476E">
        <w:t xml:space="preserve">of </w:t>
      </w:r>
      <w:r w:rsidR="00EF30DE">
        <w:t xml:space="preserve">how to implement </w:t>
      </w:r>
      <w:r w:rsidR="00BF476E">
        <w:t>the Standards by</w:t>
      </w:r>
      <w:r w:rsidR="00E52370">
        <w:t xml:space="preserve"> </w:t>
      </w:r>
      <w:r w:rsidR="003B7F1C">
        <w:t>aged care worker</w:t>
      </w:r>
      <w:r w:rsidR="00BF476E">
        <w:t>s</w:t>
      </w:r>
      <w:r w:rsidR="003B7F1C">
        <w:t xml:space="preserve"> and volunteers </w:t>
      </w:r>
      <w:r w:rsidR="00BF476E">
        <w:t xml:space="preserve">is slightly lower to that of </w:t>
      </w:r>
      <w:r w:rsidR="00EF30DE">
        <w:t xml:space="preserve">leaders and senior managers of providers </w:t>
      </w:r>
      <w:r w:rsidR="007862FF">
        <w:t>(</w:t>
      </w:r>
      <w:r w:rsidR="00EF30DE">
        <w:t xml:space="preserve">as depicted </w:t>
      </w:r>
      <w:r w:rsidR="007862FF">
        <w:t>in</w:t>
      </w:r>
      <w:r w:rsidR="003B7F1C">
        <w:t xml:space="preserve"> </w:t>
      </w:r>
      <w:r w:rsidR="00E108D9">
        <w:fldChar w:fldCharType="begin" w:fldLock="1"/>
      </w:r>
      <w:r w:rsidR="00E108D9">
        <w:instrText xml:space="preserve"> REF _Ref85188708 \h </w:instrText>
      </w:r>
      <w:r w:rsidR="00E108D9">
        <w:fldChar w:fldCharType="separate"/>
      </w:r>
      <w:r w:rsidR="00453533">
        <w:t xml:space="preserve">Figure </w:t>
      </w:r>
      <w:r w:rsidR="00453533">
        <w:rPr>
          <w:noProof/>
        </w:rPr>
        <w:t>8</w:t>
      </w:r>
      <w:r w:rsidR="00E108D9">
        <w:fldChar w:fldCharType="end"/>
      </w:r>
      <w:r w:rsidR="00396B3A">
        <w:t>) which may be explained by staff having less responsibility to direct how the Standards are implemented.</w:t>
      </w:r>
    </w:p>
    <w:p w14:paraId="11F7A97C" w14:textId="7B077E3B" w:rsidR="00AF1B80" w:rsidRDefault="00AF1B80" w:rsidP="00231A99">
      <w:pPr>
        <w:pStyle w:val="Caption"/>
      </w:pPr>
      <w:bookmarkStart w:id="157" w:name="_Ref85188695"/>
      <w:bookmarkStart w:id="158" w:name="_Toc85369264"/>
      <w:r>
        <w:lastRenderedPageBreak/>
        <w:t xml:space="preserve">Figure </w:t>
      </w:r>
      <w:r>
        <w:fldChar w:fldCharType="begin"/>
      </w:r>
      <w:r>
        <w:instrText>SEQ Figure \* ARABIC</w:instrText>
      </w:r>
      <w:r>
        <w:fldChar w:fldCharType="separate"/>
      </w:r>
      <w:r w:rsidR="0083123A">
        <w:rPr>
          <w:noProof/>
        </w:rPr>
        <w:t>7</w:t>
      </w:r>
      <w:r>
        <w:fldChar w:fldCharType="end"/>
      </w:r>
      <w:bookmarkEnd w:id="157"/>
      <w:r w:rsidR="00420D72">
        <w:t>:</w:t>
      </w:r>
      <w:r>
        <w:t xml:space="preserve"> </w:t>
      </w:r>
      <w:r w:rsidRPr="0097244D">
        <w:t xml:space="preserve">'I know what I need to do to implement the QS', </w:t>
      </w:r>
      <w:r w:rsidR="00F7762E">
        <w:t>by provider,</w:t>
      </w:r>
      <w:r w:rsidRPr="0097244D">
        <w:t xml:space="preserve"> percentage</w:t>
      </w:r>
      <w:bookmarkEnd w:id="158"/>
    </w:p>
    <w:p w14:paraId="202F3C8A" w14:textId="77777777" w:rsidR="00ED58E1" w:rsidRDefault="00ED58E1" w:rsidP="00ED58E1">
      <w:pPr>
        <w:keepNext/>
      </w:pPr>
      <w:r w:rsidRPr="00483AF7">
        <w:rPr>
          <w:noProof/>
        </w:rPr>
        <w:drawing>
          <wp:inline distT="0" distB="0" distL="0" distR="0" wp14:anchorId="5400E05A" wp14:editId="662F1419">
            <wp:extent cx="5759450" cy="2880000"/>
            <wp:effectExtent l="0" t="0" r="0" b="0"/>
            <wp:docPr id="29" name="Chart 29" descr="Stacked bar chart. Figure 7. I know what I need to do to implement the QS', by provider, percentage. Source KPMG.">
              <a:extLst xmlns:a="http://schemas.openxmlformats.org/drawingml/2006/main">
                <a:ext uri="{FF2B5EF4-FFF2-40B4-BE49-F238E27FC236}">
                  <a16:creationId xmlns:a16="http://schemas.microsoft.com/office/drawing/2014/main" id="{5B34F886-6A2F-4D0E-B05B-2D06EC1D1A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F3233FA" w14:textId="757FD6B8" w:rsidR="00702E3D" w:rsidRPr="00702E3D" w:rsidRDefault="00ED58E1" w:rsidP="00231A99">
      <w:pPr>
        <w:pStyle w:val="Source0"/>
      </w:pPr>
      <w:r>
        <w:t xml:space="preserve">Source: </w:t>
      </w:r>
      <w:r w:rsidR="00631F9E">
        <w:t>KPMG</w:t>
      </w:r>
      <w:r w:rsidR="009B5097">
        <w:t>.</w:t>
      </w:r>
    </w:p>
    <w:p w14:paraId="027B68D1" w14:textId="1E5B2EBA" w:rsidR="00D02FF4" w:rsidRDefault="00D02FF4" w:rsidP="00231A99">
      <w:pPr>
        <w:pStyle w:val="Caption"/>
      </w:pPr>
      <w:bookmarkStart w:id="159" w:name="_Ref85188708"/>
      <w:bookmarkStart w:id="160" w:name="_Toc85369265"/>
      <w:r>
        <w:t xml:space="preserve">Figure </w:t>
      </w:r>
      <w:r>
        <w:fldChar w:fldCharType="begin"/>
      </w:r>
      <w:r>
        <w:instrText>SEQ Figure \* ARABIC</w:instrText>
      </w:r>
      <w:r>
        <w:fldChar w:fldCharType="separate"/>
      </w:r>
      <w:r w:rsidR="0083123A">
        <w:rPr>
          <w:noProof/>
        </w:rPr>
        <w:t>8</w:t>
      </w:r>
      <w:r>
        <w:fldChar w:fldCharType="end"/>
      </w:r>
      <w:bookmarkEnd w:id="159"/>
      <w:r w:rsidR="00420D72">
        <w:t>:</w:t>
      </w:r>
      <w:r>
        <w:t xml:space="preserve"> </w:t>
      </w:r>
      <w:r w:rsidRPr="0097244D">
        <w:t>'I know what I need to do to implement the QS'</w:t>
      </w:r>
      <w:r w:rsidR="006E6B32">
        <w:t xml:space="preserve"> by </w:t>
      </w:r>
      <w:r w:rsidR="00264510">
        <w:t>provider</w:t>
      </w:r>
      <w:r w:rsidR="00EE7252">
        <w:t xml:space="preserve">s and </w:t>
      </w:r>
      <w:r w:rsidR="00264510">
        <w:t>aged care workers</w:t>
      </w:r>
      <w:r w:rsidRPr="0097244D">
        <w:t>, percentage</w:t>
      </w:r>
      <w:bookmarkEnd w:id="160"/>
    </w:p>
    <w:p w14:paraId="5370C83B" w14:textId="33F14E67" w:rsidR="00D02FF4" w:rsidRDefault="006E6B32" w:rsidP="006E6B32">
      <w:pPr>
        <w:keepNext/>
        <w:keepLines/>
      </w:pPr>
      <w:r>
        <w:rPr>
          <w:noProof/>
        </w:rPr>
        <w:drawing>
          <wp:inline distT="0" distB="0" distL="0" distR="0" wp14:anchorId="4B599F42" wp14:editId="6FF0C7F7">
            <wp:extent cx="5759450" cy="2880000"/>
            <wp:effectExtent l="0" t="0" r="0" b="0"/>
            <wp:docPr id="10" name="Chart 10" descr="Stacked bar chart. Figure 8. 'I know what I need to do to implement the QS' by providers and aged care workers, percentage. Source KPMG.">
              <a:extLst xmlns:a="http://schemas.openxmlformats.org/drawingml/2006/main">
                <a:ext uri="{FF2B5EF4-FFF2-40B4-BE49-F238E27FC236}">
                  <a16:creationId xmlns:a16="http://schemas.microsoft.com/office/drawing/2014/main" id="{39B5C163-1C90-4DDC-AE7B-1EA875FE61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8BE6304" w14:textId="6593E332" w:rsidR="00D02FF4" w:rsidRDefault="00D02FF4" w:rsidP="00231A99">
      <w:pPr>
        <w:pStyle w:val="Source0"/>
      </w:pPr>
      <w:r>
        <w:t xml:space="preserve">Source: </w:t>
      </w:r>
      <w:r w:rsidR="00631F9E">
        <w:t>KPMG</w:t>
      </w:r>
      <w:r w:rsidR="009B5097">
        <w:t>.</w:t>
      </w:r>
    </w:p>
    <w:p w14:paraId="375A506A" w14:textId="2DFB0EE2" w:rsidR="007862FF" w:rsidRDefault="007862FF" w:rsidP="005230A9">
      <w:pPr>
        <w:pStyle w:val="BodyText1"/>
      </w:pPr>
      <w:r w:rsidRPr="00EB6290">
        <w:t>The consumer outcome section was viewed positively by</w:t>
      </w:r>
      <w:r>
        <w:t xml:space="preserve"> all</w:t>
      </w:r>
      <w:r w:rsidRPr="00EB6290">
        <w:t xml:space="preserve"> stakeholders</w:t>
      </w:r>
      <w:r>
        <w:t>. This</w:t>
      </w:r>
      <w:r w:rsidRPr="00EB6290">
        <w:t xml:space="preserve"> was consistent</w:t>
      </w:r>
      <w:r>
        <w:t xml:space="preserve"> with</w:t>
      </w:r>
      <w:r w:rsidRPr="00EB6290">
        <w:t xml:space="preserve"> </w:t>
      </w:r>
      <w:r>
        <w:t>findings from the Royal</w:t>
      </w:r>
      <w:r w:rsidRPr="00EB6290">
        <w:t xml:space="preserve"> Commission. </w:t>
      </w:r>
      <w:r>
        <w:t>For example, f</w:t>
      </w:r>
      <w:r w:rsidRPr="00EB6290">
        <w:t xml:space="preserve">amily members </w:t>
      </w:r>
      <w:r>
        <w:t>of consumers reported that the consumer outcome section of the Standards had</w:t>
      </w:r>
      <w:r w:rsidRPr="00EB6290">
        <w:t xml:space="preserve"> </w:t>
      </w:r>
      <w:r>
        <w:t>supported</w:t>
      </w:r>
      <w:r w:rsidRPr="00EB6290">
        <w:t xml:space="preserve"> them to work in partnership with providers </w:t>
      </w:r>
      <w:r>
        <w:t xml:space="preserve">to discuss expectations of care and services as it describes the quality and safety of care they can </w:t>
      </w:r>
      <w:r w:rsidRPr="00EB6290">
        <w:t xml:space="preserve">expect </w:t>
      </w:r>
      <w:r>
        <w:t>from a provider</w:t>
      </w:r>
      <w:r w:rsidR="005238D6">
        <w:t xml:space="preserve">. </w:t>
      </w:r>
      <w:r w:rsidR="00883ED0">
        <w:t xml:space="preserve">The Law Council of Australia had an alternative view, </w:t>
      </w:r>
      <w:r w:rsidR="004C1EEC">
        <w:t xml:space="preserve">where they consider that </w:t>
      </w:r>
      <w:r w:rsidR="00F64D9C">
        <w:t xml:space="preserve">the consumer statement </w:t>
      </w:r>
      <w:r w:rsidR="004C1EEC">
        <w:t>i</w:t>
      </w:r>
      <w:r w:rsidR="00F64D9C">
        <w:t xml:space="preserve">s </w:t>
      </w:r>
      <w:r w:rsidR="00585AD3">
        <w:t xml:space="preserve">providing context </w:t>
      </w:r>
      <w:r w:rsidR="00283AB5">
        <w:t>which may limit a provider’s understanding of</w:t>
      </w:r>
      <w:r w:rsidR="00E46008">
        <w:t xml:space="preserve"> exactly which part of the Standards must be complied with.</w:t>
      </w:r>
      <w:r w:rsidR="0083123A">
        <w:rPr>
          <w:rFonts w:ascii="ZWAdobeF" w:hAnsi="ZWAdobeF" w:cs="ZWAdobeF"/>
          <w:sz w:val="2"/>
          <w:szCs w:val="2"/>
        </w:rPr>
        <w:t>34F</w:t>
      </w:r>
      <w:r w:rsidR="00883ED0">
        <w:rPr>
          <w:rStyle w:val="FootnoteReference"/>
          <w:rFonts w:eastAsia="Calibri" w:cs="Arial"/>
        </w:rPr>
        <w:footnoteReference w:id="36"/>
      </w:r>
    </w:p>
    <w:p w14:paraId="17F0D7F2" w14:textId="5C2F4952" w:rsidR="003846CA" w:rsidRPr="00E047C0" w:rsidRDefault="003846CA" w:rsidP="005230A9">
      <w:pPr>
        <w:pStyle w:val="BodyText1"/>
      </w:pPr>
      <w:r w:rsidRPr="000A0BC3">
        <w:t>Consumer participants i</w:t>
      </w:r>
      <w:r w:rsidR="00B73FD7">
        <w:t>n</w:t>
      </w:r>
      <w:r w:rsidRPr="000A0BC3">
        <w:t xml:space="preserve"> stakeholder consultations </w:t>
      </w:r>
      <w:r w:rsidR="007862FF">
        <w:t>also</w:t>
      </w:r>
      <w:r w:rsidRPr="000A0BC3">
        <w:t xml:space="preserve"> </w:t>
      </w:r>
      <w:r>
        <w:t xml:space="preserve">specifically </w:t>
      </w:r>
      <w:r w:rsidRPr="000A0BC3">
        <w:t xml:space="preserve">noted that they found the </w:t>
      </w:r>
      <w:r w:rsidR="00190084">
        <w:t>S</w:t>
      </w:r>
      <w:r w:rsidR="002075DD" w:rsidRPr="000A0BC3">
        <w:t xml:space="preserve">tandards </w:t>
      </w:r>
      <w:r w:rsidR="00190084">
        <w:t xml:space="preserve">to be </w:t>
      </w:r>
      <w:r w:rsidRPr="000A0BC3">
        <w:t xml:space="preserve">clear. </w:t>
      </w:r>
      <w:r w:rsidR="00BB5119">
        <w:t>However, s</w:t>
      </w:r>
      <w:r w:rsidR="002075DD" w:rsidRPr="00D66F52">
        <w:t>urvey</w:t>
      </w:r>
      <w:r w:rsidRPr="00D66F52">
        <w:t xml:space="preserve"> respondents had mixed views on the clarity of the </w:t>
      </w:r>
      <w:r w:rsidR="00190084">
        <w:t>S</w:t>
      </w:r>
      <w:r w:rsidRPr="00D66F52">
        <w:t xml:space="preserve">tandards for consumers, with some concerns raised about the use of jargon and the understandability of the </w:t>
      </w:r>
      <w:r w:rsidR="00190084">
        <w:t>S</w:t>
      </w:r>
      <w:r w:rsidRPr="00D66F52">
        <w:t xml:space="preserve">tandards for those from backgrounds other than English. </w:t>
      </w:r>
      <w:r w:rsidRPr="000A0BC3">
        <w:t>There were suggestions</w:t>
      </w:r>
      <w:r w:rsidR="00943152">
        <w:t xml:space="preserve"> by some stakeholders</w:t>
      </w:r>
      <w:r w:rsidRPr="000A0BC3">
        <w:t xml:space="preserve"> for a separate consumer version of the </w:t>
      </w:r>
      <w:r w:rsidR="00EB2AA8">
        <w:lastRenderedPageBreak/>
        <w:t>S</w:t>
      </w:r>
      <w:r w:rsidRPr="000A0BC3">
        <w:t>tandards that is more comprehensible and user friendly.</w:t>
      </w:r>
      <w:r>
        <w:t xml:space="preserve"> </w:t>
      </w:r>
      <w:r w:rsidRPr="00D66F52">
        <w:t>A similar point was made for the understanding of provider staff whose first language is not English</w:t>
      </w:r>
      <w:r w:rsidR="00617934">
        <w:t>. H</w:t>
      </w:r>
      <w:r w:rsidRPr="00D66F52">
        <w:t xml:space="preserve">owever, it should be noted that the Commission already publishes some resources to support the </w:t>
      </w:r>
      <w:r w:rsidR="00190084">
        <w:t>S</w:t>
      </w:r>
      <w:r w:rsidRPr="00D66F52">
        <w:t xml:space="preserve">tandards </w:t>
      </w:r>
      <w:r w:rsidR="00063CC4">
        <w:t>for consumers and</w:t>
      </w:r>
      <w:r w:rsidRPr="00D66F52">
        <w:t xml:space="preserve"> in languages other than English so perhaps more work could be </w:t>
      </w:r>
      <w:r w:rsidR="00190084">
        <w:t>undertaken</w:t>
      </w:r>
      <w:r w:rsidRPr="00D66F52">
        <w:t xml:space="preserve"> to raise awareness of such resources.</w:t>
      </w:r>
    </w:p>
    <w:p w14:paraId="0D9927D3" w14:textId="77777777" w:rsidR="003846CA" w:rsidRPr="00530647" w:rsidRDefault="003846CA" w:rsidP="00231A99">
      <w:pPr>
        <w:pStyle w:val="HeadingLevel3NoNumber"/>
      </w:pPr>
      <w:r w:rsidRPr="00530647">
        <w:t>New complex themes</w:t>
      </w:r>
      <w:r>
        <w:t xml:space="preserve"> and/or dimensions to the Standards</w:t>
      </w:r>
    </w:p>
    <w:p w14:paraId="0379477F" w14:textId="3D4D220B" w:rsidR="003846CA" w:rsidRDefault="003846CA" w:rsidP="005230A9">
      <w:pPr>
        <w:pStyle w:val="BodyText1"/>
      </w:pPr>
      <w:r>
        <w:t xml:space="preserve">While the majority of providers </w:t>
      </w:r>
      <w:r w:rsidRPr="00EB4903">
        <w:t>agreed that the wording of the Standards is clear and that they understand the intent of the Standards</w:t>
      </w:r>
      <w:r>
        <w:t xml:space="preserve">, providers expressed </w:t>
      </w:r>
      <w:proofErr w:type="gramStart"/>
      <w:r>
        <w:t>that certain themes</w:t>
      </w:r>
      <w:proofErr w:type="gramEnd"/>
      <w:r>
        <w:t xml:space="preserve"> and/or dimensions of the Standards were more challenging to</w:t>
      </w:r>
      <w:r w:rsidR="00032927">
        <w:t xml:space="preserve"> understand and</w:t>
      </w:r>
      <w:r>
        <w:t xml:space="preserve"> implement in practice.</w:t>
      </w:r>
    </w:p>
    <w:p w14:paraId="5EB8985E" w14:textId="77777777" w:rsidR="003846CA" w:rsidRDefault="003846CA" w:rsidP="005230A9">
      <w:pPr>
        <w:pStyle w:val="BodyText1"/>
      </w:pPr>
      <w:r w:rsidRPr="0076375C">
        <w:t xml:space="preserve">Many of </w:t>
      </w:r>
      <w:r>
        <w:t xml:space="preserve">these themes or dimensions of the Standards are new to </w:t>
      </w:r>
      <w:r w:rsidR="00AF4F21">
        <w:t>this</w:t>
      </w:r>
      <w:r>
        <w:t xml:space="preserve"> set of Standards. Specific themes or dimensions raised included:</w:t>
      </w:r>
    </w:p>
    <w:p w14:paraId="6ABA480E" w14:textId="0899FEE5" w:rsidR="002075DD" w:rsidRPr="00525708" w:rsidRDefault="002075DD" w:rsidP="002A4AE3">
      <w:pPr>
        <w:pStyle w:val="Bullet1stlevel"/>
      </w:pPr>
      <w:r w:rsidRPr="00CD3D14">
        <w:rPr>
          <w:rStyle w:val="Strong"/>
        </w:rPr>
        <w:t>Cultural safety and cultural diversity:</w:t>
      </w:r>
      <w:r w:rsidRPr="00525708">
        <w:t xml:space="preserve"> Providers felt </w:t>
      </w:r>
      <w:r w:rsidR="00190084">
        <w:t>that</w:t>
      </w:r>
      <w:r w:rsidR="00190084" w:rsidRPr="00525708">
        <w:t xml:space="preserve"> </w:t>
      </w:r>
      <w:r w:rsidRPr="00525708">
        <w:t>these concepts were difficult to reflect in care planning and that the meaning of cultural safety can vary between communities and locations.</w:t>
      </w:r>
    </w:p>
    <w:p w14:paraId="35FFC4B9" w14:textId="3DFBF872" w:rsidR="003846CA" w:rsidRDefault="003846CA" w:rsidP="00E02341">
      <w:pPr>
        <w:pStyle w:val="Bullet1stlevel"/>
      </w:pPr>
      <w:r w:rsidRPr="00CD3D14">
        <w:rPr>
          <w:rStyle w:val="Strong"/>
        </w:rPr>
        <w:t>Dignity of risk:</w:t>
      </w:r>
      <w:r w:rsidRPr="00525708">
        <w:t xml:space="preserve"> </w:t>
      </w:r>
      <w:r w:rsidR="00190084">
        <w:t>W</w:t>
      </w:r>
      <w:r w:rsidR="002075DD" w:rsidRPr="00525708">
        <w:t>hile</w:t>
      </w:r>
      <w:r w:rsidRPr="00525708">
        <w:t xml:space="preserve"> </w:t>
      </w:r>
      <w:r w:rsidR="00CF1EBB">
        <w:t xml:space="preserve">the introduction of </w:t>
      </w:r>
      <w:r w:rsidRPr="00525708">
        <w:t xml:space="preserve">“dignity of risk” under Standard 1 </w:t>
      </w:r>
      <w:r w:rsidR="00CF1EBB">
        <w:t>was</w:t>
      </w:r>
      <w:r w:rsidRPr="00525708">
        <w:t xml:space="preserve"> </w:t>
      </w:r>
      <w:r w:rsidR="001C308D">
        <w:t>viewed as a</w:t>
      </w:r>
      <w:r w:rsidRPr="00525708">
        <w:t xml:space="preserve"> positive change for consumers, </w:t>
      </w:r>
      <w:r w:rsidR="00CF1EBB">
        <w:t xml:space="preserve">providers </w:t>
      </w:r>
      <w:r w:rsidR="001C308D">
        <w:t xml:space="preserve">expressed that they </w:t>
      </w:r>
      <w:proofErr w:type="gramStart"/>
      <w:r w:rsidR="00CF1EBB">
        <w:t>can</w:t>
      </w:r>
      <w:proofErr w:type="gramEnd"/>
      <w:r w:rsidRPr="00525708">
        <w:t xml:space="preserve"> experience challenges with</w:t>
      </w:r>
      <w:r w:rsidR="00032927">
        <w:t xml:space="preserve"> </w:t>
      </w:r>
      <w:r w:rsidR="00E80E4B">
        <w:t>balancing this</w:t>
      </w:r>
      <w:r w:rsidR="00032927">
        <w:t xml:space="preserve"> requirement </w:t>
      </w:r>
      <w:r w:rsidR="00E80E4B">
        <w:t xml:space="preserve">with </w:t>
      </w:r>
      <w:r w:rsidRPr="00525708">
        <w:t>Standard</w:t>
      </w:r>
      <w:r w:rsidR="004B749C">
        <w:t> </w:t>
      </w:r>
      <w:r w:rsidRPr="00525708">
        <w:t>8</w:t>
      </w:r>
      <w:r w:rsidR="009A37F0">
        <w:t xml:space="preserve"> (including managing high-impact or high-prevalence risks associated with the care of consumers)</w:t>
      </w:r>
      <w:r w:rsidRPr="00525708">
        <w:t xml:space="preserve">. </w:t>
      </w:r>
      <w:r w:rsidR="001C308D">
        <w:t>O</w:t>
      </w:r>
      <w:r w:rsidRPr="00525708">
        <w:t>ne provider consultation group suggested that</w:t>
      </w:r>
      <w:r w:rsidR="00190084">
        <w:t>,</w:t>
      </w:r>
      <w:r w:rsidRPr="00525708">
        <w:t xml:space="preserve"> on balance</w:t>
      </w:r>
      <w:r w:rsidR="00190084">
        <w:t>,</w:t>
      </w:r>
      <w:r w:rsidRPr="00525708">
        <w:t xml:space="preserve"> requirements under Standard 8 created the impression that risk is a negative thing and should be avoided.</w:t>
      </w:r>
      <w:r w:rsidR="00A5152F" w:rsidRPr="00525708">
        <w:t xml:space="preserve"> </w:t>
      </w:r>
      <w:r w:rsidR="00B5546A">
        <w:t>It is important to note that Standard 8 includes a requirement in relation to ‘</w:t>
      </w:r>
      <w:r w:rsidR="00B5546A" w:rsidRPr="00322D6E">
        <w:t>supportin</w:t>
      </w:r>
      <w:r w:rsidR="00B5546A">
        <w:t>g</w:t>
      </w:r>
      <w:r w:rsidR="00B5546A" w:rsidRPr="00322D6E">
        <w:t xml:space="preserve"> consumers to live the best life they can</w:t>
      </w:r>
      <w:r w:rsidR="00B5546A">
        <w:t xml:space="preserve">’ and that this example may reflect challenges related to a provider’s understanding of the Standards. </w:t>
      </w:r>
      <w:r w:rsidR="00E657DC">
        <w:t>For example</w:t>
      </w:r>
      <w:r w:rsidR="000A4579">
        <w:t xml:space="preserve">, </w:t>
      </w:r>
      <w:r w:rsidR="00033E4D">
        <w:t xml:space="preserve">a provider </w:t>
      </w:r>
      <w:r w:rsidRPr="005F4954">
        <w:t xml:space="preserve">explained </w:t>
      </w:r>
      <w:r w:rsidR="00E02341">
        <w:t xml:space="preserve">that </w:t>
      </w:r>
      <w:r w:rsidRPr="005F4954">
        <w:t>the</w:t>
      </w:r>
      <w:r w:rsidR="00E02341">
        <w:t>y had concluded they</w:t>
      </w:r>
      <w:r w:rsidR="009A0875" w:rsidRPr="005F4954">
        <w:t xml:space="preserve"> could not allow a resident to enjoy a runny egg</w:t>
      </w:r>
      <w:r w:rsidR="00033E4D" w:rsidRPr="00033E4D">
        <w:t>, which was of the consumer's choosing, b</w:t>
      </w:r>
      <w:r w:rsidR="00E02341">
        <w:t>ecause it</w:t>
      </w:r>
      <w:r w:rsidR="00033E4D" w:rsidRPr="00033E4D">
        <w:t xml:space="preserve"> carried greater health risks.</w:t>
      </w:r>
      <w:r w:rsidR="00E02341">
        <w:t xml:space="preserve"> </w:t>
      </w:r>
    </w:p>
    <w:p w14:paraId="385D162E" w14:textId="2EAE7457" w:rsidR="00D06226" w:rsidRDefault="00C52E54" w:rsidP="005230A9">
      <w:pPr>
        <w:pStyle w:val="BodyText1"/>
        <w:ind w:left="340"/>
      </w:pPr>
      <w:r>
        <w:t>This t</w:t>
      </w:r>
      <w:r w:rsidR="00C15610">
        <w:t xml:space="preserve">heme is also raised </w:t>
      </w:r>
      <w:r w:rsidR="00AE1302">
        <w:t xml:space="preserve">by </w:t>
      </w:r>
      <w:r w:rsidR="004E65AD">
        <w:t>the Law Council of Australia in their submission to the evaluation</w:t>
      </w:r>
      <w:r w:rsidR="0083123A">
        <w:rPr>
          <w:rFonts w:ascii="ZWAdobeF" w:hAnsi="ZWAdobeF" w:cs="ZWAdobeF"/>
          <w:sz w:val="2"/>
          <w:szCs w:val="2"/>
        </w:rPr>
        <w:t>35F</w:t>
      </w:r>
      <w:r w:rsidR="004E65AD" w:rsidRPr="005230A9">
        <w:rPr>
          <w:rStyle w:val="FootnoteReference"/>
        </w:rPr>
        <w:footnoteReference w:id="37"/>
      </w:r>
      <w:r w:rsidR="004E7464">
        <w:t>, who suggest</w:t>
      </w:r>
      <w:r w:rsidR="001E7590">
        <w:t>ed</w:t>
      </w:r>
      <w:r w:rsidR="004E7464">
        <w:t xml:space="preserve"> </w:t>
      </w:r>
      <w:r w:rsidR="00522991">
        <w:t xml:space="preserve">greater clarity </w:t>
      </w:r>
      <w:r w:rsidR="001E7590">
        <w:t>could be offered to</w:t>
      </w:r>
      <w:r w:rsidR="0095037F">
        <w:t xml:space="preserve"> providers </w:t>
      </w:r>
      <w:r w:rsidR="00697D81">
        <w:t xml:space="preserve">“in relation to obligations </w:t>
      </w:r>
      <w:r w:rsidR="007A1D1D">
        <w:t xml:space="preserve">on an aged care provider to </w:t>
      </w:r>
      <w:r w:rsidR="008E7C35">
        <w:t xml:space="preserve">empower and support </w:t>
      </w:r>
      <w:r w:rsidR="000E37B8" w:rsidRPr="000E37B8">
        <w:t>an aged care recipient to exercise choice on one hand, and to provide a safe environment on the other</w:t>
      </w:r>
      <w:r w:rsidR="000E37B8">
        <w:t>”.</w:t>
      </w:r>
      <w:r w:rsidR="0012495B">
        <w:t xml:space="preserve"> Beyond this issue, the Law Council also point to </w:t>
      </w:r>
      <w:r w:rsidR="00F576AE">
        <w:t xml:space="preserve">an additional tension beyond </w:t>
      </w:r>
      <w:r w:rsidR="005815D1">
        <w:t xml:space="preserve">the Standards, suggesting </w:t>
      </w:r>
      <w:r w:rsidR="00062E68">
        <w:t xml:space="preserve">circumstances where the Standards requirements </w:t>
      </w:r>
      <w:r w:rsidR="002A6161">
        <w:t xml:space="preserve">relating to the rights of consumers may also conflict with </w:t>
      </w:r>
      <w:r w:rsidR="00F70BD0">
        <w:t xml:space="preserve">a provider’s </w:t>
      </w:r>
      <w:r w:rsidR="00820C07">
        <w:t>other lega</w:t>
      </w:r>
      <w:r w:rsidR="00D06226">
        <w:t xml:space="preserve">l obligations. </w:t>
      </w:r>
    </w:p>
    <w:p w14:paraId="6FF53C05" w14:textId="62863663" w:rsidR="001F4A7D" w:rsidRPr="00525708" w:rsidRDefault="002075DD" w:rsidP="00DB5EE2">
      <w:pPr>
        <w:pStyle w:val="Bullet1stlevel"/>
      </w:pPr>
      <w:r w:rsidRPr="00CD3D14">
        <w:rPr>
          <w:rStyle w:val="Strong"/>
        </w:rPr>
        <w:t>Best practice:</w:t>
      </w:r>
      <w:r w:rsidRPr="00525708">
        <w:t xml:space="preserve"> </w:t>
      </w:r>
      <w:r w:rsidR="00190084">
        <w:t>D</w:t>
      </w:r>
      <w:r w:rsidRPr="00525708">
        <w:t>uring stakeholder consultations</w:t>
      </w:r>
      <w:r w:rsidR="00190084">
        <w:t>,</w:t>
      </w:r>
      <w:r w:rsidRPr="00525708">
        <w:t xml:space="preserve"> stakeholders expressed that there could be different interpretations of “best practice” in Standard 3. They felt this measure was subjective and shifting</w:t>
      </w:r>
      <w:r>
        <w:t xml:space="preserve">. </w:t>
      </w:r>
      <w:r w:rsidRPr="00525708">
        <w:t xml:space="preserve">Some providers suggested </w:t>
      </w:r>
      <w:r>
        <w:t>“</w:t>
      </w:r>
      <w:r w:rsidRPr="00525708">
        <w:t>evidence-based</w:t>
      </w:r>
      <w:r>
        <w:t xml:space="preserve"> practice”</w:t>
      </w:r>
      <w:r w:rsidRPr="00525708">
        <w:t xml:space="preserve"> </w:t>
      </w:r>
      <w:r>
        <w:t>c</w:t>
      </w:r>
      <w:r w:rsidRPr="00525708">
        <w:t xml:space="preserve">ould be </w:t>
      </w:r>
      <w:r w:rsidR="00190084">
        <w:t xml:space="preserve">a </w:t>
      </w:r>
      <w:r>
        <w:t>b</w:t>
      </w:r>
      <w:r w:rsidRPr="00525708">
        <w:t>etter term</w:t>
      </w:r>
      <w:r>
        <w:t xml:space="preserve"> to use</w:t>
      </w:r>
      <w:r w:rsidRPr="00525708">
        <w:t xml:space="preserve">. </w:t>
      </w:r>
    </w:p>
    <w:p w14:paraId="736DD12D" w14:textId="12CF4409" w:rsidR="002075DD" w:rsidRPr="00495C8E" w:rsidRDefault="002075DD" w:rsidP="002A4AE3">
      <w:pPr>
        <w:pStyle w:val="Bullet1stlevel"/>
      </w:pPr>
      <w:r w:rsidRPr="00CD3D14">
        <w:rPr>
          <w:rStyle w:val="Strong"/>
        </w:rPr>
        <w:t>Governance:</w:t>
      </w:r>
      <w:r w:rsidRPr="00525708">
        <w:t xml:space="preserve"> Whil</w:t>
      </w:r>
      <w:r>
        <w:t>e</w:t>
      </w:r>
      <w:r w:rsidRPr="00525708">
        <w:t xml:space="preserve"> 89% of </w:t>
      </w:r>
      <w:r w:rsidR="0035680F">
        <w:t xml:space="preserve">providers </w:t>
      </w:r>
      <w:r w:rsidR="00190084">
        <w:t>stated</w:t>
      </w:r>
      <w:r w:rsidR="00190084" w:rsidRPr="00525708">
        <w:t xml:space="preserve"> </w:t>
      </w:r>
      <w:r w:rsidRPr="00525708">
        <w:t xml:space="preserve">they personally understood how to implement Standard 8, </w:t>
      </w:r>
      <w:r>
        <w:t xml:space="preserve">only </w:t>
      </w:r>
      <w:r w:rsidRPr="003625DE">
        <w:t xml:space="preserve">39% of providers felt </w:t>
      </w:r>
      <w:r>
        <w:t xml:space="preserve">their organisation was able to understand and assess against </w:t>
      </w:r>
      <w:r w:rsidRPr="003625DE">
        <w:t>Standard 8.</w:t>
      </w:r>
      <w:r>
        <w:t xml:space="preserve"> Overall</w:t>
      </w:r>
      <w:r w:rsidR="00190084">
        <w:t>,</w:t>
      </w:r>
      <w:r>
        <w:t xml:space="preserve"> stakeholders communicated that there is a lower level of understanding of good</w:t>
      </w:r>
      <w:r w:rsidRPr="003625DE">
        <w:t xml:space="preserve"> governance processes than </w:t>
      </w:r>
      <w:r>
        <w:t>the other factors described above</w:t>
      </w:r>
      <w:r w:rsidR="00DB5EE2">
        <w:t>. P</w:t>
      </w:r>
      <w:r>
        <w:t xml:space="preserve">roviders say they understand the intent of the requirement but are less certain about how to </w:t>
      </w:r>
      <w:r w:rsidR="008E3D67" w:rsidRPr="008E3D67">
        <w:t>demonstrate proficiency to support assessment against the standard</w:t>
      </w:r>
      <w:r>
        <w:t>. This is consistent with Royal Commission findings which highlighted that “d</w:t>
      </w:r>
      <w:r w:rsidRPr="00D5692D">
        <w:t>eficiencies in the governance and leadership of some approved providers have resulted in shortfalls in the quality and safety of care</w:t>
      </w:r>
      <w:r>
        <w:t>”.</w:t>
      </w:r>
      <w:r w:rsidR="0083123A">
        <w:rPr>
          <w:rFonts w:ascii="ZWAdobeF" w:hAnsi="ZWAdobeF" w:cs="ZWAdobeF"/>
          <w:sz w:val="2"/>
          <w:szCs w:val="2"/>
        </w:rPr>
        <w:t>36F</w:t>
      </w:r>
      <w:r w:rsidRPr="005E36DD">
        <w:rPr>
          <w:vertAlign w:val="superscript"/>
        </w:rPr>
        <w:footnoteReference w:id="38"/>
      </w:r>
    </w:p>
    <w:p w14:paraId="56FEA22F" w14:textId="7C7659DC" w:rsidR="002075DD" w:rsidRPr="00530647" w:rsidRDefault="002075DD" w:rsidP="00231A99">
      <w:pPr>
        <w:pStyle w:val="HeadingLevel3NoNumber"/>
      </w:pPr>
      <w:r>
        <w:t xml:space="preserve">Understanding of expectations </w:t>
      </w:r>
      <w:r w:rsidR="00197D6C">
        <w:t xml:space="preserve">under the </w:t>
      </w:r>
      <w:r w:rsidR="00CD3D14">
        <w:t>l</w:t>
      </w:r>
      <w:r w:rsidR="00197D6C">
        <w:t>egislation</w:t>
      </w:r>
    </w:p>
    <w:p w14:paraId="01A0C237" w14:textId="3471B98E" w:rsidR="006A4FB5" w:rsidRPr="006A4FB5" w:rsidRDefault="002075DD" w:rsidP="005230A9">
      <w:pPr>
        <w:pStyle w:val="BodyText1"/>
      </w:pPr>
      <w:r>
        <w:t xml:space="preserve">A large proportion of providers consulted </w:t>
      </w:r>
      <w:r w:rsidRPr="00530647">
        <w:t>highlighted challenges in understanding the expectations of the Commission against the Standards</w:t>
      </w:r>
      <w:r w:rsidR="00FA4465">
        <w:t xml:space="preserve"> as set out under the Legislation</w:t>
      </w:r>
      <w:r>
        <w:t>.</w:t>
      </w:r>
      <w:r w:rsidR="009F0F97">
        <w:t xml:space="preserve"> </w:t>
      </w:r>
      <w:r w:rsidR="00F20D41">
        <w:t xml:space="preserve">Providers and peaks raised that the experience of assessment and the accompanying </w:t>
      </w:r>
      <w:r w:rsidR="008430F3">
        <w:t xml:space="preserve">guidance material did not </w:t>
      </w:r>
      <w:r w:rsidR="00262D5F">
        <w:t xml:space="preserve">consistently </w:t>
      </w:r>
      <w:r w:rsidR="00572C4C">
        <w:t>inform or clarify their</w:t>
      </w:r>
      <w:r w:rsidR="00E9076F">
        <w:t xml:space="preserve"> understanding of</w:t>
      </w:r>
      <w:r w:rsidR="0061353D">
        <w:t xml:space="preserve"> the requirements of the Standards</w:t>
      </w:r>
      <w:r w:rsidR="008E3D67">
        <w:t>,</w:t>
      </w:r>
      <w:r w:rsidR="0061353D">
        <w:t xml:space="preserve"> </w:t>
      </w:r>
      <w:r w:rsidR="00262D5F">
        <w:t>as set out under the Legislation.</w:t>
      </w:r>
      <w:r>
        <w:t xml:space="preserve"> </w:t>
      </w:r>
      <w:r w:rsidR="00DE6DBB">
        <w:t xml:space="preserve">Providers described how their confidence </w:t>
      </w:r>
      <w:r w:rsidR="001F2033">
        <w:t xml:space="preserve">and </w:t>
      </w:r>
      <w:r w:rsidR="009C3967">
        <w:t xml:space="preserve">understanding of the assessment </w:t>
      </w:r>
      <w:r w:rsidR="00A75B90">
        <w:t>was impacted</w:t>
      </w:r>
      <w:r w:rsidR="008A77C0">
        <w:t xml:space="preserve"> by a limited</w:t>
      </w:r>
      <w:r w:rsidRPr="00FB4A6F">
        <w:t xml:space="preserve"> understanding of the complex choices made by the Commission in relation to accreditation assessment, methodology and judgement</w:t>
      </w:r>
      <w:r>
        <w:t xml:space="preserve">. </w:t>
      </w:r>
      <w:r w:rsidRPr="00FB4A6F">
        <w:t xml:space="preserve">Whilst </w:t>
      </w:r>
      <w:r>
        <w:t>the assessment methodology was not in scope for this Evaluation</w:t>
      </w:r>
      <w:r w:rsidRPr="00FB4A6F">
        <w:t>, some providers perceive that the Commission’s assessors have access to more detailed</w:t>
      </w:r>
      <w:r w:rsidR="00A5705D">
        <w:t xml:space="preserve"> internal guidance</w:t>
      </w:r>
      <w:r w:rsidRPr="00FB4A6F">
        <w:t xml:space="preserve"> </w:t>
      </w:r>
      <w:r w:rsidR="00A5705D">
        <w:t>about</w:t>
      </w:r>
      <w:r w:rsidRPr="00FB4A6F">
        <w:t xml:space="preserve"> the </w:t>
      </w:r>
      <w:r w:rsidR="00190084">
        <w:t>S</w:t>
      </w:r>
      <w:r w:rsidRPr="00FB4A6F">
        <w:t xml:space="preserve">tandards </w:t>
      </w:r>
      <w:r w:rsidR="00190084">
        <w:t xml:space="preserve">against </w:t>
      </w:r>
      <w:r w:rsidRPr="00FB4A6F">
        <w:lastRenderedPageBreak/>
        <w:t>which they are assessed. The Lightning Review found other regulators avoid this risk by publishing the</w:t>
      </w:r>
      <w:r>
        <w:t>ir</w:t>
      </w:r>
      <w:r w:rsidRPr="00FB4A6F">
        <w:t xml:space="preserve"> full assessment frameworks, so providers and assessors are working from the same documentation</w:t>
      </w:r>
      <w:r>
        <w:t xml:space="preserve"> (as described in Section </w:t>
      </w:r>
      <w:r>
        <w:fldChar w:fldCharType="begin" w:fldLock="1"/>
      </w:r>
      <w:r>
        <w:instrText xml:space="preserve"> REF _Ref85223319 \w \h </w:instrText>
      </w:r>
      <w:r>
        <w:fldChar w:fldCharType="separate"/>
      </w:r>
      <w:r w:rsidR="00453533">
        <w:t>5</w:t>
      </w:r>
      <w:r>
        <w:fldChar w:fldCharType="end"/>
      </w:r>
      <w:r>
        <w:t>).</w:t>
      </w:r>
    </w:p>
    <w:p w14:paraId="622A6337" w14:textId="474B74D1" w:rsidR="00F8331B" w:rsidRDefault="00F8331B" w:rsidP="005230A9">
      <w:pPr>
        <w:pStyle w:val="BodyText1"/>
      </w:pPr>
      <w:r>
        <w:t xml:space="preserve">An </w:t>
      </w:r>
      <w:r w:rsidR="004C779D">
        <w:t>additional</w:t>
      </w:r>
      <w:r>
        <w:t xml:space="preserve"> perspective was offered by the</w:t>
      </w:r>
      <w:r w:rsidR="00874487" w:rsidRPr="00874487">
        <w:t xml:space="preserve"> </w:t>
      </w:r>
      <w:r w:rsidR="00874487">
        <w:t>Law Council of Australia</w:t>
      </w:r>
      <w:r w:rsidR="008304B4">
        <w:t xml:space="preserve"> who consider that </w:t>
      </w:r>
      <w:r w:rsidR="005609A9">
        <w:t>“</w:t>
      </w:r>
      <w:r w:rsidR="00351EDB">
        <w:t xml:space="preserve">legislation should be the primary </w:t>
      </w:r>
      <w:r w:rsidR="00B40EFD">
        <w:t xml:space="preserve">means to </w:t>
      </w:r>
      <w:r w:rsidR="00CD3402">
        <w:t xml:space="preserve">set out and clarify </w:t>
      </w:r>
      <w:r w:rsidR="0053578F">
        <w:t xml:space="preserve">the parameters for future aged care governance and </w:t>
      </w:r>
      <w:r w:rsidR="003A3E2B">
        <w:t>accountability requirements</w:t>
      </w:r>
      <w:r w:rsidR="00BD528A">
        <w:t>.</w:t>
      </w:r>
      <w:r w:rsidR="003A3E2B">
        <w:t>”</w:t>
      </w:r>
      <w:r w:rsidR="003A3E2B" w:rsidRPr="003A3E2B">
        <w:rPr>
          <w:rStyle w:val="FootnoteReference"/>
        </w:rPr>
        <w:t xml:space="preserve"> </w:t>
      </w:r>
      <w:r w:rsidR="0083123A">
        <w:rPr>
          <w:rFonts w:ascii="ZWAdobeF" w:hAnsi="ZWAdobeF" w:cs="ZWAdobeF"/>
          <w:sz w:val="2"/>
          <w:szCs w:val="2"/>
        </w:rPr>
        <w:t>37F</w:t>
      </w:r>
      <w:r w:rsidR="003A3E2B">
        <w:rPr>
          <w:rStyle w:val="FootnoteReference"/>
        </w:rPr>
        <w:footnoteReference w:id="39"/>
      </w:r>
      <w:r w:rsidR="00246675">
        <w:t xml:space="preserve"> </w:t>
      </w:r>
      <w:r w:rsidR="00E676B4">
        <w:t xml:space="preserve">Such an approach would strengthen the </w:t>
      </w:r>
      <w:r w:rsidR="002964CA">
        <w:t>role</w:t>
      </w:r>
      <w:r w:rsidR="005E68DD">
        <w:t xml:space="preserve"> of </w:t>
      </w:r>
      <w:r w:rsidR="002964CA">
        <w:t xml:space="preserve">legislation as the main reference point for </w:t>
      </w:r>
      <w:r w:rsidR="005E68DD">
        <w:t>providers</w:t>
      </w:r>
      <w:r w:rsidR="002964CA">
        <w:t>. However, as discussed in the Lightning Review, this may come at the cost of provider understanding</w:t>
      </w:r>
      <w:r w:rsidR="00BD528A">
        <w:t>.</w:t>
      </w:r>
    </w:p>
    <w:p w14:paraId="11420450" w14:textId="1D02A134" w:rsidR="00E079B2" w:rsidRDefault="00EC34A3" w:rsidP="00EC34A3">
      <w:pPr>
        <w:pStyle w:val="Heading2"/>
      </w:pPr>
      <w:bookmarkStart w:id="161" w:name="_Ref85223434"/>
      <w:bookmarkStart w:id="162" w:name="_Toc88804089"/>
      <w:bookmarkStart w:id="163" w:name="_Toc89930049"/>
      <w:bookmarkStart w:id="164" w:name="_Toc90453368"/>
      <w:bookmarkStart w:id="165" w:name="_Toc113448696"/>
      <w:r>
        <w:t xml:space="preserve">6.2 </w:t>
      </w:r>
      <w:r w:rsidR="00E079B2">
        <w:t xml:space="preserve">Are the </w:t>
      </w:r>
      <w:r w:rsidR="00EC3939">
        <w:t>S</w:t>
      </w:r>
      <w:r w:rsidR="00E079B2">
        <w:t>tandards valid and reliable?</w:t>
      </w:r>
      <w:bookmarkEnd w:id="161"/>
      <w:bookmarkEnd w:id="162"/>
      <w:bookmarkEnd w:id="163"/>
      <w:bookmarkEnd w:id="164"/>
      <w:bookmarkEnd w:id="165"/>
    </w:p>
    <w:p w14:paraId="550D8BFB" w14:textId="455699A7" w:rsidR="00C93F16" w:rsidRDefault="00C93F16" w:rsidP="005230A9">
      <w:pPr>
        <w:pStyle w:val="BodyText1"/>
      </w:pPr>
      <w:r>
        <w:t>To answer this question</w:t>
      </w:r>
      <w:r w:rsidRPr="00530647">
        <w:t xml:space="preserve"> the Evaluation asked two linked questions, “Do the Standards represent stakeholder’s expectations of quality aged care?</w:t>
      </w:r>
      <w:r>
        <w:t>”</w:t>
      </w:r>
      <w:r w:rsidRPr="00530647">
        <w:t xml:space="preserve"> and “Do they support consistent assessment of performance?</w:t>
      </w:r>
      <w:r>
        <w:t xml:space="preserve">”. There was </w:t>
      </w:r>
      <w:r w:rsidR="00440C47">
        <w:t xml:space="preserve">a high level of </w:t>
      </w:r>
      <w:r>
        <w:t>agreement from stakeholders that the Standards represent their expectations of quality aged care, however ‘gap areas’ were identified</w:t>
      </w:r>
      <w:r w:rsidR="00C6571C">
        <w:t xml:space="preserve">, which </w:t>
      </w:r>
      <w:r>
        <w:t xml:space="preserve">were often consistent with the Royal Commission findings (as presented in Section </w:t>
      </w:r>
      <w:r w:rsidR="005F4954">
        <w:fldChar w:fldCharType="begin" w:fldLock="1"/>
      </w:r>
      <w:r w:rsidR="005F4954">
        <w:instrText xml:space="preserve"> REF _Ref85383147 \r \h </w:instrText>
      </w:r>
      <w:r w:rsidR="005F4954">
        <w:fldChar w:fldCharType="separate"/>
      </w:r>
      <w:r w:rsidR="00453533">
        <w:t>3</w:t>
      </w:r>
      <w:r w:rsidR="005F4954">
        <w:fldChar w:fldCharType="end"/>
      </w:r>
      <w:r w:rsidR="002075DD">
        <w:t>).</w:t>
      </w:r>
    </w:p>
    <w:p w14:paraId="76B87110" w14:textId="7C3284DC" w:rsidR="00C93F16" w:rsidRDefault="00C93F16" w:rsidP="005230A9">
      <w:pPr>
        <w:pStyle w:val="BodyText1"/>
      </w:pPr>
      <w:r>
        <w:t xml:space="preserve">There are </w:t>
      </w:r>
      <w:r w:rsidR="00DA0DB7">
        <w:t xml:space="preserve">two </w:t>
      </w:r>
      <w:r>
        <w:t xml:space="preserve">parts to consistent assessment of performance: a providers’ ability to consistently assess their own performance against the Standards, and the ability of the Commission to use the Standards to </w:t>
      </w:r>
      <w:r w:rsidR="00604670">
        <w:t xml:space="preserve">consistently </w:t>
      </w:r>
      <w:r>
        <w:t xml:space="preserve">assess provider performance. </w:t>
      </w:r>
      <w:r w:rsidRPr="002046F2">
        <w:t>Overall</w:t>
      </w:r>
      <w:r w:rsidR="008E3D67">
        <w:t>,</w:t>
      </w:r>
      <w:r w:rsidRPr="002046F2">
        <w:t xml:space="preserve"> providers perceived that they can consistently assess their own performance against Standards. However, there </w:t>
      </w:r>
      <w:r w:rsidR="00F93849" w:rsidRPr="002046F2">
        <w:t>was</w:t>
      </w:r>
      <w:r w:rsidRPr="002046F2">
        <w:t xml:space="preserve"> a view by providers that there is a level of inconsistency in the Commission’s assessment of provider performance. </w:t>
      </w:r>
      <w:r>
        <w:t>These areas are discussed further below.</w:t>
      </w:r>
      <w:r w:rsidR="002C4A63">
        <w:t xml:space="preserve"> </w:t>
      </w:r>
      <w:bookmarkStart w:id="166" w:name="_Hlk86860303"/>
      <w:r w:rsidR="002C4A63" w:rsidRPr="005017B9">
        <w:t>Additional information provided by the Commission as part of this evaluation in relation to the assessment methodology is provided at Appendix D.</w:t>
      </w:r>
      <w:bookmarkEnd w:id="166"/>
    </w:p>
    <w:p w14:paraId="1CD6738B" w14:textId="77777777" w:rsidR="00C93F16" w:rsidRPr="004B308F" w:rsidRDefault="00C93F16" w:rsidP="00231A99">
      <w:pPr>
        <w:pStyle w:val="HeadingLevel3NoNumber"/>
      </w:pPr>
      <w:r w:rsidRPr="005230A9">
        <w:t>Expectations</w:t>
      </w:r>
      <w:r w:rsidRPr="004B308F">
        <w:t xml:space="preserve"> of quality aged care</w:t>
      </w:r>
    </w:p>
    <w:p w14:paraId="6A1B515E" w14:textId="33FBB023" w:rsidR="00C93F16" w:rsidRDefault="00C93F16" w:rsidP="005230A9">
      <w:pPr>
        <w:pStyle w:val="BodyText1"/>
      </w:pPr>
      <w:r w:rsidRPr="004847E3">
        <w:t xml:space="preserve">There was </w:t>
      </w:r>
      <w:r w:rsidR="00086DDE">
        <w:t>a high level of</w:t>
      </w:r>
      <w:r w:rsidRPr="004847E3">
        <w:t xml:space="preserve"> agreement across stakeholder groups in consultations that the Standards represent stakeholders’ expectations of quality aged care. Between </w:t>
      </w:r>
      <w:r w:rsidR="00DF4D29" w:rsidRPr="00DF4D29">
        <w:t>60</w:t>
      </w:r>
      <w:r w:rsidR="00AB5191">
        <w:t>%</w:t>
      </w:r>
      <w:r w:rsidR="00430B37">
        <w:t xml:space="preserve"> and </w:t>
      </w:r>
      <w:r w:rsidRPr="00DF4D29">
        <w:t>6</w:t>
      </w:r>
      <w:r w:rsidR="00DF4D29" w:rsidRPr="00DF4D29">
        <w:t>8</w:t>
      </w:r>
      <w:r w:rsidRPr="00DF4D29">
        <w:t>%</w:t>
      </w:r>
      <w:r w:rsidRPr="004847E3">
        <w:t xml:space="preserve"> of the respondents to the survey</w:t>
      </w:r>
      <w:r w:rsidR="00086DDE">
        <w:t xml:space="preserve"> also</w:t>
      </w:r>
      <w:r w:rsidRPr="004847E3">
        <w:t xml:space="preserve"> agreed that at least one of the </w:t>
      </w:r>
      <w:r w:rsidR="00EC3939">
        <w:t>S</w:t>
      </w:r>
      <w:r w:rsidRPr="004847E3">
        <w:t>tandards covered the areas they are most concerned about</w:t>
      </w:r>
      <w:r>
        <w:t xml:space="preserve"> (as presented in </w:t>
      </w:r>
      <w:r w:rsidR="00190084">
        <w:fldChar w:fldCharType="begin" w:fldLock="1"/>
      </w:r>
      <w:r w:rsidR="00190084">
        <w:instrText xml:space="preserve"> REF _Ref85280932 \h </w:instrText>
      </w:r>
      <w:r w:rsidR="00190084">
        <w:fldChar w:fldCharType="separate"/>
      </w:r>
      <w:r w:rsidR="00453533">
        <w:t xml:space="preserve">Figure </w:t>
      </w:r>
      <w:r w:rsidR="00453533">
        <w:rPr>
          <w:noProof/>
        </w:rPr>
        <w:t>9</w:t>
      </w:r>
      <w:r w:rsidR="00190084">
        <w:fldChar w:fldCharType="end"/>
      </w:r>
      <w:r>
        <w:t xml:space="preserve"> below)</w:t>
      </w:r>
      <w:r w:rsidRPr="004847E3">
        <w:t xml:space="preserve">. </w:t>
      </w:r>
    </w:p>
    <w:p w14:paraId="350D73FE" w14:textId="39EA3CC7" w:rsidR="00C93F16" w:rsidRDefault="00C93F16" w:rsidP="00231A99">
      <w:pPr>
        <w:pStyle w:val="Caption"/>
      </w:pPr>
      <w:bookmarkStart w:id="167" w:name="_Ref85280932"/>
      <w:bookmarkStart w:id="168" w:name="_Toc85369266"/>
      <w:r>
        <w:t xml:space="preserve">Figure </w:t>
      </w:r>
      <w:r>
        <w:fldChar w:fldCharType="begin"/>
      </w:r>
      <w:r>
        <w:instrText>SEQ Figure \* ARABIC</w:instrText>
      </w:r>
      <w:r>
        <w:fldChar w:fldCharType="separate"/>
      </w:r>
      <w:r w:rsidR="0083123A">
        <w:rPr>
          <w:noProof/>
        </w:rPr>
        <w:t>9</w:t>
      </w:r>
      <w:r>
        <w:fldChar w:fldCharType="end"/>
      </w:r>
      <w:bookmarkEnd w:id="167"/>
      <w:r w:rsidR="005F4954">
        <w:t>:</w:t>
      </w:r>
      <w:r>
        <w:t xml:space="preserve"> ‘</w:t>
      </w:r>
      <w:r w:rsidRPr="00092EFE">
        <w:t>The QS cover the areas I am most concerned about</w:t>
      </w:r>
      <w:r>
        <w:t xml:space="preserve">’, </w:t>
      </w:r>
      <w:r w:rsidR="002A2ACE">
        <w:t>all stakeholders,</w:t>
      </w:r>
      <w:r>
        <w:t xml:space="preserve"> </w:t>
      </w:r>
      <w:r w:rsidR="002075DD" w:rsidRPr="00092EFE">
        <w:t>percentage</w:t>
      </w:r>
      <w:bookmarkEnd w:id="168"/>
    </w:p>
    <w:p w14:paraId="60279FE1" w14:textId="77777777" w:rsidR="00C93F16" w:rsidRPr="009E4B2B" w:rsidRDefault="00C93F16" w:rsidP="00C93F16">
      <w:r>
        <w:rPr>
          <w:noProof/>
        </w:rPr>
        <w:drawing>
          <wp:inline distT="0" distB="0" distL="0" distR="0" wp14:anchorId="4843A9C8" wp14:editId="6C020067">
            <wp:extent cx="5759450" cy="2880000"/>
            <wp:effectExtent l="0" t="0" r="0" b="0"/>
            <wp:docPr id="9" name="Chart 9" descr="Stacked bar chart. Figure 9: ‘The QS cover the areas I am most concerned about’, all stakeholders, percentage. Source KPMG.">
              <a:extLst xmlns:a="http://schemas.openxmlformats.org/drawingml/2006/main">
                <a:ext uri="{FF2B5EF4-FFF2-40B4-BE49-F238E27FC236}">
                  <a16:creationId xmlns:a16="http://schemas.microsoft.com/office/drawing/2014/main" id="{3E31CEE6-4C2B-4B7B-B489-E3ADABDEF0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B2D54F3" w14:textId="445D3DB7" w:rsidR="00C93F16" w:rsidRDefault="00C93F16" w:rsidP="00231A99">
      <w:pPr>
        <w:pStyle w:val="Source0"/>
      </w:pPr>
      <w:r>
        <w:t xml:space="preserve">Source: </w:t>
      </w:r>
      <w:r w:rsidR="00631F9E">
        <w:t>KPMG</w:t>
      </w:r>
      <w:r w:rsidR="009B5097">
        <w:t>.</w:t>
      </w:r>
    </w:p>
    <w:p w14:paraId="4520E2CA" w14:textId="0B0C73D8" w:rsidR="00C93F16" w:rsidRDefault="00C93F16" w:rsidP="005230A9">
      <w:pPr>
        <w:pStyle w:val="BodyText1"/>
      </w:pPr>
      <w:r>
        <w:lastRenderedPageBreak/>
        <w:t>However</w:t>
      </w:r>
      <w:r w:rsidR="00190084">
        <w:t>,</w:t>
      </w:r>
      <w:r>
        <w:t xml:space="preserve"> there was higher level of agreement amongst providers compared to consumers, carers or family members of a consumer about whether the Standards cover the areas </w:t>
      </w:r>
      <w:r w:rsidR="00190084">
        <w:t xml:space="preserve">about which </w:t>
      </w:r>
      <w:r>
        <w:t xml:space="preserve">they are most concerned. </w:t>
      </w:r>
      <w:r w:rsidR="00086DDE">
        <w:t xml:space="preserve">There was also differentiation </w:t>
      </w:r>
      <w:r w:rsidR="00476760">
        <w:t xml:space="preserve">between </w:t>
      </w:r>
      <w:r w:rsidR="00805E40">
        <w:t xml:space="preserve">stakeholder groups </w:t>
      </w:r>
      <w:r w:rsidR="00476760">
        <w:t>about which Standards</w:t>
      </w:r>
      <w:r w:rsidR="00805E40">
        <w:t xml:space="preserve"> </w:t>
      </w:r>
      <w:r w:rsidR="00476760">
        <w:t xml:space="preserve">covered the </w:t>
      </w:r>
      <w:proofErr w:type="spellStart"/>
      <w:r w:rsidR="00476760">
        <w:t>areas</w:t>
      </w:r>
      <w:proofErr w:type="spellEnd"/>
      <w:r w:rsidR="00476760">
        <w:t xml:space="preserve"> most of concern to them</w:t>
      </w:r>
      <w:r w:rsidR="00086DDE">
        <w:t>. Consumers and carers were most focused on Standards 1</w:t>
      </w:r>
      <w:r w:rsidR="00430B37">
        <w:t xml:space="preserve"> – </w:t>
      </w:r>
      <w:r w:rsidR="00086DDE">
        <w:t>5. The highest positive response for this group was for Standard 3, with 64% agreeing it covered the areas about which they were most concerned.</w:t>
      </w:r>
    </w:p>
    <w:p w14:paraId="19A94A9C" w14:textId="334573D5" w:rsidR="00C93F16" w:rsidRDefault="00C93F16" w:rsidP="00231A99">
      <w:pPr>
        <w:pStyle w:val="Caption"/>
      </w:pPr>
      <w:bookmarkStart w:id="169" w:name="_Ref85281288"/>
      <w:bookmarkStart w:id="170" w:name="_Toc85369267"/>
      <w:r>
        <w:t xml:space="preserve">Figure </w:t>
      </w:r>
      <w:r>
        <w:fldChar w:fldCharType="begin"/>
      </w:r>
      <w:r>
        <w:instrText>SEQ Figure \* ARABIC</w:instrText>
      </w:r>
      <w:r>
        <w:fldChar w:fldCharType="separate"/>
      </w:r>
      <w:r w:rsidR="0083123A">
        <w:rPr>
          <w:noProof/>
        </w:rPr>
        <w:t>10</w:t>
      </w:r>
      <w:r>
        <w:fldChar w:fldCharType="end"/>
      </w:r>
      <w:bookmarkEnd w:id="169"/>
      <w:r w:rsidR="00430B37">
        <w:t>:</w:t>
      </w:r>
      <w:r w:rsidRPr="00EE63F4">
        <w:t xml:space="preserve"> ‘The QS cover the areas I am most concerned about’ </w:t>
      </w:r>
      <w:r>
        <w:t xml:space="preserve">by </w:t>
      </w:r>
      <w:r w:rsidRPr="00EE63F4">
        <w:t>consumers and carer, percentage</w:t>
      </w:r>
      <w:bookmarkEnd w:id="170"/>
    </w:p>
    <w:p w14:paraId="0E9FF361" w14:textId="77777777" w:rsidR="00C93F16" w:rsidRDefault="00C93F16" w:rsidP="009A0278">
      <w:pPr>
        <w:keepNext/>
      </w:pPr>
      <w:r>
        <w:rPr>
          <w:noProof/>
        </w:rPr>
        <w:drawing>
          <wp:inline distT="0" distB="0" distL="0" distR="0" wp14:anchorId="1E1AA52A" wp14:editId="01B7082C">
            <wp:extent cx="5759450" cy="2880000"/>
            <wp:effectExtent l="0" t="0" r="0" b="0"/>
            <wp:docPr id="38" name="Chart 38" descr="Stacked bar chart. Figure 10: ‘The QS cover the areas I am most concerned about’ by consumers and carer, percentage. Source KPMG.">
              <a:extLst xmlns:a="http://schemas.openxmlformats.org/drawingml/2006/main">
                <a:ext uri="{FF2B5EF4-FFF2-40B4-BE49-F238E27FC236}">
                  <a16:creationId xmlns:a16="http://schemas.microsoft.com/office/drawing/2014/main" id="{8E3B1667-8616-42D3-AB11-C61274A126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9488643" w14:textId="48156C79" w:rsidR="00C93F16" w:rsidRDefault="00C93F16" w:rsidP="00231A99">
      <w:pPr>
        <w:pStyle w:val="Source0"/>
      </w:pPr>
      <w:r>
        <w:t xml:space="preserve">Source: </w:t>
      </w:r>
      <w:r w:rsidR="00631F9E">
        <w:t>KPMG</w:t>
      </w:r>
      <w:r w:rsidR="009B5097">
        <w:t>.</w:t>
      </w:r>
    </w:p>
    <w:p w14:paraId="46E522D7" w14:textId="33DB3EF6" w:rsidR="00C93F16" w:rsidRDefault="00DB2C4D" w:rsidP="005230A9">
      <w:pPr>
        <w:pStyle w:val="BodyText1"/>
      </w:pPr>
      <w:r>
        <w:t>P</w:t>
      </w:r>
      <w:r w:rsidR="00C93F16">
        <w:t xml:space="preserve">roviders are more likely than consumers to agree one of the </w:t>
      </w:r>
      <w:r w:rsidR="00190084">
        <w:t>S</w:t>
      </w:r>
      <w:r w:rsidR="00C93F16">
        <w:t xml:space="preserve">tandards covers the areas </w:t>
      </w:r>
      <w:r w:rsidR="00190084">
        <w:t xml:space="preserve">about which </w:t>
      </w:r>
      <w:r w:rsidR="00C93F16">
        <w:t>they are most concerned. For providers, Standard 3 recorded the lowest level of agreement at 64%. Standards 4, 6 and 1 solicited the most agreement in the provider cohort (79%, 78% and 76% respectively)</w:t>
      </w:r>
      <w:r w:rsidR="00131CE1">
        <w:t xml:space="preserve"> as shown in </w:t>
      </w:r>
      <w:r w:rsidR="00430B37">
        <w:fldChar w:fldCharType="begin" w:fldLock="1"/>
      </w:r>
      <w:r w:rsidR="00430B37">
        <w:instrText xml:space="preserve"> REF _Ref85386070 \h </w:instrText>
      </w:r>
      <w:r w:rsidR="00430B37">
        <w:fldChar w:fldCharType="separate"/>
      </w:r>
      <w:r w:rsidR="00453533">
        <w:t xml:space="preserve">Figure </w:t>
      </w:r>
      <w:r w:rsidR="00453533">
        <w:rPr>
          <w:noProof/>
        </w:rPr>
        <w:t>11</w:t>
      </w:r>
      <w:r w:rsidR="00430B37">
        <w:fldChar w:fldCharType="end"/>
      </w:r>
      <w:r w:rsidR="00430B37">
        <w:t>.</w:t>
      </w:r>
    </w:p>
    <w:p w14:paraId="5D4312A5" w14:textId="33EE87A5" w:rsidR="00C93F16" w:rsidRDefault="00C93F16" w:rsidP="00231A99">
      <w:pPr>
        <w:pStyle w:val="Caption"/>
      </w:pPr>
      <w:bookmarkStart w:id="171" w:name="_Ref85386070"/>
      <w:bookmarkStart w:id="172" w:name="_Toc85369268"/>
      <w:r>
        <w:t xml:space="preserve">Figure </w:t>
      </w:r>
      <w:r>
        <w:fldChar w:fldCharType="begin"/>
      </w:r>
      <w:r>
        <w:instrText>SEQ Figure \* ARABIC</w:instrText>
      </w:r>
      <w:r>
        <w:fldChar w:fldCharType="separate"/>
      </w:r>
      <w:r w:rsidR="0083123A">
        <w:rPr>
          <w:noProof/>
        </w:rPr>
        <w:t>11</w:t>
      </w:r>
      <w:r>
        <w:fldChar w:fldCharType="end"/>
      </w:r>
      <w:bookmarkEnd w:id="171"/>
      <w:r w:rsidR="00430B37">
        <w:rPr>
          <w:noProof/>
        </w:rPr>
        <w:t>:</w:t>
      </w:r>
      <w:r>
        <w:t xml:space="preserve"> '</w:t>
      </w:r>
      <w:r w:rsidRPr="007B17D5">
        <w:t xml:space="preserve">The QS cover the areas I am most concerned about’ </w:t>
      </w:r>
      <w:r>
        <w:t xml:space="preserve">by </w:t>
      </w:r>
      <w:r w:rsidRPr="007B17D5">
        <w:t>aged care service provide</w:t>
      </w:r>
      <w:r>
        <w:t>r</w:t>
      </w:r>
      <w:r w:rsidR="009D2513">
        <w:t xml:space="preserve"> and staff</w:t>
      </w:r>
      <w:r w:rsidRPr="007B17D5">
        <w:t>, percentage</w:t>
      </w:r>
      <w:bookmarkEnd w:id="172"/>
    </w:p>
    <w:p w14:paraId="712F2C3D" w14:textId="77777777" w:rsidR="00C93F16" w:rsidRDefault="00C93F16" w:rsidP="00C93F16">
      <w:pPr>
        <w:keepNext/>
      </w:pPr>
      <w:r>
        <w:rPr>
          <w:noProof/>
        </w:rPr>
        <w:drawing>
          <wp:inline distT="0" distB="0" distL="0" distR="0" wp14:anchorId="2C71719E" wp14:editId="6BF5B786">
            <wp:extent cx="5759450" cy="2880000"/>
            <wp:effectExtent l="0" t="0" r="0" b="0"/>
            <wp:docPr id="40" name="Chart 40" descr="Stacked bar chart. Figure 11: 'The QS cover the areas I am most concerned about’ by aged care service provider and staff, percentage. Source KPMG.">
              <a:extLst xmlns:a="http://schemas.openxmlformats.org/drawingml/2006/main">
                <a:ext uri="{FF2B5EF4-FFF2-40B4-BE49-F238E27FC236}">
                  <a16:creationId xmlns:a16="http://schemas.microsoft.com/office/drawing/2014/main" id="{5867B8C1-A467-4050-AFA1-D6DD760F50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9C11A5E" w14:textId="78EF335F" w:rsidR="00C93F16" w:rsidRDefault="00C93F16" w:rsidP="00231A99">
      <w:pPr>
        <w:pStyle w:val="Source0"/>
      </w:pPr>
      <w:r>
        <w:t xml:space="preserve">Source: </w:t>
      </w:r>
      <w:r w:rsidR="00631F9E">
        <w:t>KPMG</w:t>
      </w:r>
      <w:r w:rsidR="009B5097">
        <w:t>.</w:t>
      </w:r>
    </w:p>
    <w:p w14:paraId="25AF16BE" w14:textId="32DA726B" w:rsidR="00086DDE" w:rsidRDefault="00086DDE" w:rsidP="005230A9">
      <w:pPr>
        <w:pStyle w:val="BodyText1"/>
      </w:pPr>
      <w:r>
        <w:t>These differing responses were explained during the stakeholder consultations, which indicated that consumers, carers and family members perceive Standards 1</w:t>
      </w:r>
      <w:r w:rsidR="00BD3F43">
        <w:t xml:space="preserve"> – </w:t>
      </w:r>
      <w:r>
        <w:t xml:space="preserve">5 as the </w:t>
      </w:r>
      <w:r w:rsidR="008E3D67">
        <w:t>most relevant</w:t>
      </w:r>
      <w:r>
        <w:t xml:space="preserve"> to how and where care is delivered and </w:t>
      </w:r>
      <w:r w:rsidR="00C51BAE">
        <w:t>consequently the group is most concerned</w:t>
      </w:r>
      <w:r>
        <w:t xml:space="preserve"> is done well. Providers’ concerns (from the </w:t>
      </w:r>
      <w:r>
        <w:lastRenderedPageBreak/>
        <w:t>stakeholder consultations) focused on assessment and therefore their ‘concern’ maps to where they are most focused on achieving compliance. The fourth most in agreement was directed at Standard 8, which is an ongoing point of tension for providers</w:t>
      </w:r>
      <w:r w:rsidR="00476760">
        <w:t xml:space="preserve"> in their understanding of requirement under this standard</w:t>
      </w:r>
      <w:r>
        <w:t>, as discussed above.</w:t>
      </w:r>
    </w:p>
    <w:p w14:paraId="43C06783" w14:textId="169307D7" w:rsidR="00C93F16" w:rsidRDefault="00C93F16" w:rsidP="005230A9">
      <w:pPr>
        <w:pStyle w:val="BodyText1"/>
      </w:pPr>
      <w:r>
        <w:t xml:space="preserve">However, ‘gap </w:t>
      </w:r>
      <w:r w:rsidR="002075DD">
        <w:t>areas’</w:t>
      </w:r>
      <w:r>
        <w:t xml:space="preserve"> were identified and were often consistent with the Royal Commission findings (as presented in </w:t>
      </w:r>
      <w:r w:rsidR="00430B37">
        <w:fldChar w:fldCharType="begin" w:fldLock="1"/>
      </w:r>
      <w:r w:rsidR="00430B37">
        <w:instrText xml:space="preserve"> REF _Ref85383147 \r \h </w:instrText>
      </w:r>
      <w:r w:rsidR="00430B37">
        <w:fldChar w:fldCharType="separate"/>
      </w:r>
      <w:r w:rsidR="00453533">
        <w:t>3</w:t>
      </w:r>
      <w:r w:rsidR="00430B37">
        <w:fldChar w:fldCharType="end"/>
      </w:r>
      <w:r w:rsidR="002075DD">
        <w:t>).</w:t>
      </w:r>
      <w:r>
        <w:t xml:space="preserve"> </w:t>
      </w:r>
      <w:r w:rsidR="002A510E">
        <w:t>N</w:t>
      </w:r>
      <w:r w:rsidR="002A510E" w:rsidRPr="002A510E">
        <w:t>ew issues or requirements</w:t>
      </w:r>
      <w:r w:rsidR="002A510E">
        <w:t xml:space="preserve"> were identified under each standard and stakeholders articulated the need for the Standards to address specific themes articulated in the Royal Commission</w:t>
      </w:r>
      <w:r w:rsidR="00637082">
        <w:t xml:space="preserve"> report</w:t>
      </w:r>
      <w:r w:rsidR="002A510E">
        <w:t>, including nutrition, diversity, palliative care, dementia, c</w:t>
      </w:r>
      <w:r w:rsidR="002A510E" w:rsidRPr="002A510E">
        <w:t>linical and infection control outcomes</w:t>
      </w:r>
      <w:r w:rsidR="002A510E">
        <w:t xml:space="preserve"> and provider governance.</w:t>
      </w:r>
    </w:p>
    <w:p w14:paraId="474FDF16" w14:textId="77777777" w:rsidR="00C93F16" w:rsidRPr="004B308F" w:rsidRDefault="00C93F16" w:rsidP="00231A99">
      <w:pPr>
        <w:pStyle w:val="HeadingLevel3NoNumber"/>
      </w:pPr>
      <w:r w:rsidRPr="004B308F">
        <w:t>Provider assessment against the Standards</w:t>
      </w:r>
    </w:p>
    <w:p w14:paraId="5E2E284E" w14:textId="7A561BAA" w:rsidR="00C93F16" w:rsidRDefault="00C93F16" w:rsidP="005230A9">
      <w:pPr>
        <w:pStyle w:val="BodyText1"/>
      </w:pPr>
      <w:r>
        <w:t xml:space="preserve">Overall, providers reported that at an organisation level, they are able to understand and assess their performance against the Standards, with the exception of Standard 8. </w:t>
      </w:r>
      <w:r w:rsidRPr="002E2AF1">
        <w:t>Across all providers, the level of agreement with this statement was lower than that of the previous question (I know what I need to do to implement the standard) by between 5% and 14% for Standards 1-7</w:t>
      </w:r>
      <w:r>
        <w:t xml:space="preserve"> as shown in </w:t>
      </w:r>
      <w:r w:rsidR="00190084">
        <w:fldChar w:fldCharType="begin" w:fldLock="1"/>
      </w:r>
      <w:r w:rsidR="00190084">
        <w:instrText xml:space="preserve"> REF _Ref85281435 \h </w:instrText>
      </w:r>
      <w:r w:rsidR="00190084">
        <w:fldChar w:fldCharType="separate"/>
      </w:r>
      <w:r w:rsidR="00453533">
        <w:t xml:space="preserve">Figure </w:t>
      </w:r>
      <w:r w:rsidR="00453533">
        <w:rPr>
          <w:noProof/>
        </w:rPr>
        <w:t>12</w:t>
      </w:r>
      <w:r w:rsidR="00190084">
        <w:fldChar w:fldCharType="end"/>
      </w:r>
      <w:r>
        <w:t xml:space="preserve"> below. </w:t>
      </w:r>
    </w:p>
    <w:p w14:paraId="2BCD25F5" w14:textId="52F2E054" w:rsidR="00C93F16" w:rsidRDefault="00C93F16" w:rsidP="00231A99">
      <w:pPr>
        <w:pStyle w:val="Caption"/>
      </w:pPr>
      <w:bookmarkStart w:id="173" w:name="_Ref85281435"/>
      <w:bookmarkStart w:id="174" w:name="_Toc85369269"/>
      <w:r>
        <w:t xml:space="preserve">Figure </w:t>
      </w:r>
      <w:r>
        <w:fldChar w:fldCharType="begin"/>
      </w:r>
      <w:r>
        <w:instrText>SEQ Figure \* ARABIC</w:instrText>
      </w:r>
      <w:r>
        <w:fldChar w:fldCharType="separate"/>
      </w:r>
      <w:r w:rsidR="0083123A">
        <w:rPr>
          <w:noProof/>
        </w:rPr>
        <w:t>12</w:t>
      </w:r>
      <w:r>
        <w:fldChar w:fldCharType="end"/>
      </w:r>
      <w:bookmarkEnd w:id="173"/>
      <w:r w:rsidR="002075DD">
        <w:t>:</w:t>
      </w:r>
      <w:r>
        <w:t xml:space="preserve"> 'My organisation is able to understand and assess against the QS', percentage</w:t>
      </w:r>
      <w:bookmarkEnd w:id="174"/>
      <w:r>
        <w:t xml:space="preserve"> </w:t>
      </w:r>
    </w:p>
    <w:p w14:paraId="7835F7E0" w14:textId="77777777" w:rsidR="00C93F16" w:rsidRDefault="00C93F16" w:rsidP="00C93F16">
      <w:pPr>
        <w:keepLines/>
      </w:pPr>
      <w:r>
        <w:rPr>
          <w:noProof/>
        </w:rPr>
        <w:drawing>
          <wp:inline distT="0" distB="0" distL="0" distR="0" wp14:anchorId="552C1921" wp14:editId="7247AE36">
            <wp:extent cx="5759450" cy="2880000"/>
            <wp:effectExtent l="0" t="0" r="0" b="0"/>
            <wp:docPr id="12" name="Chart 12" descr="Stacked bar chart. Figure 12: 'My organisation is able to understand and assess against the QS', percentage. Source KPMG.">
              <a:extLst xmlns:a="http://schemas.openxmlformats.org/drawingml/2006/main">
                <a:ext uri="{FF2B5EF4-FFF2-40B4-BE49-F238E27FC236}">
                  <a16:creationId xmlns:a16="http://schemas.microsoft.com/office/drawing/2014/main" id="{8953AEE8-782B-49B3-BEF1-A439D55D0E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9733E57" w14:textId="67CD14C0" w:rsidR="00C93F16" w:rsidRDefault="00C93F16" w:rsidP="00231A99">
      <w:pPr>
        <w:pStyle w:val="Source0"/>
      </w:pPr>
      <w:r>
        <w:t xml:space="preserve">Source: </w:t>
      </w:r>
      <w:r w:rsidR="00631F9E">
        <w:t>KPMG</w:t>
      </w:r>
      <w:r w:rsidR="005230A9">
        <w:t>.</w:t>
      </w:r>
    </w:p>
    <w:p w14:paraId="4F1139B9" w14:textId="53543444" w:rsidR="00C93F16" w:rsidRDefault="00293FA3" w:rsidP="005230A9">
      <w:pPr>
        <w:pStyle w:val="BodyText1"/>
      </w:pPr>
      <w:r>
        <w:t xml:space="preserve">Provider </w:t>
      </w:r>
      <w:r w:rsidR="00776C18">
        <w:t xml:space="preserve">feedback received during consultations conveyed that the difference in the results of this question </w:t>
      </w:r>
      <w:r w:rsidR="002544F6">
        <w:t xml:space="preserve">compared to whether </w:t>
      </w:r>
      <w:r w:rsidR="00A952F6">
        <w:t xml:space="preserve">an individual </w:t>
      </w:r>
      <w:r w:rsidR="002544F6">
        <w:t xml:space="preserve">personally </w:t>
      </w:r>
      <w:r w:rsidR="00A952F6">
        <w:t xml:space="preserve">understood </w:t>
      </w:r>
      <w:r w:rsidR="002544F6">
        <w:t xml:space="preserve">how to implement the Standards </w:t>
      </w:r>
      <w:r w:rsidR="00776C18">
        <w:t>were related</w:t>
      </w:r>
      <w:r w:rsidR="00C93F16">
        <w:t xml:space="preserve"> to </w:t>
      </w:r>
      <w:r w:rsidR="00A952F6">
        <w:t xml:space="preserve">differences in </w:t>
      </w:r>
      <w:r w:rsidR="00776C18">
        <w:t>p</w:t>
      </w:r>
      <w:r w:rsidR="00E02E71">
        <w:t>rovider</w:t>
      </w:r>
      <w:r w:rsidR="00C93F16">
        <w:t xml:space="preserve"> understand</w:t>
      </w:r>
      <w:r w:rsidR="00776C18">
        <w:t>ing</w:t>
      </w:r>
      <w:r w:rsidR="00C93F16">
        <w:t xml:space="preserve"> </w:t>
      </w:r>
      <w:r w:rsidR="002544F6">
        <w:t>of</w:t>
      </w:r>
      <w:r w:rsidR="00C93F16">
        <w:t xml:space="preserve"> their </w:t>
      </w:r>
      <w:r w:rsidR="00776C18">
        <w:t xml:space="preserve">own </w:t>
      </w:r>
      <w:r w:rsidR="00C93F16">
        <w:t xml:space="preserve">performance compared to </w:t>
      </w:r>
      <w:r w:rsidR="005027FC">
        <w:t>the</w:t>
      </w:r>
      <w:r w:rsidR="00C93F16">
        <w:t xml:space="preserve"> interpretation of by the Commission during assessment.</w:t>
      </w:r>
      <w:r w:rsidR="008D527C">
        <w:t xml:space="preserve"> </w:t>
      </w:r>
    </w:p>
    <w:p w14:paraId="5746BD09" w14:textId="7539A76F" w:rsidR="00DC3E95" w:rsidRDefault="00954E93" w:rsidP="00A67CAD">
      <w:pPr>
        <w:pStyle w:val="BodyText1"/>
      </w:pPr>
      <w:r>
        <w:t>Providers expressed mixed views</w:t>
      </w:r>
      <w:r w:rsidR="00865CB6">
        <w:t xml:space="preserve"> about</w:t>
      </w:r>
      <w:r>
        <w:t xml:space="preserve"> </w:t>
      </w:r>
      <w:r w:rsidR="00F152E6">
        <w:t>their</w:t>
      </w:r>
      <w:r w:rsidR="00492724">
        <w:t xml:space="preserve"> </w:t>
      </w:r>
      <w:r w:rsidR="00CA4149">
        <w:t>organisation</w:t>
      </w:r>
      <w:r w:rsidR="00F152E6">
        <w:t>’s</w:t>
      </w:r>
      <w:r w:rsidR="00CA4149">
        <w:t xml:space="preserve"> ability to understand and assess against the Standards.  Their comments in stakeholder consultations reflect</w:t>
      </w:r>
      <w:r>
        <w:t xml:space="preserve"> doubts about organisational capacity to deliver services in a way that meets the Standards. </w:t>
      </w:r>
      <w:r w:rsidR="00F360DB" w:rsidRPr="00F360DB">
        <w:t>Specifically, standards 2,</w:t>
      </w:r>
      <w:r w:rsidR="00F360DB">
        <w:t xml:space="preserve"> </w:t>
      </w:r>
      <w:r w:rsidR="00F360DB" w:rsidRPr="00F360DB">
        <w:t>3, and 6 see significant discrepancy between understanding and confidence in assessment, which may reflect provider awareness that their organisations have more to do in these areas. This finding/hypothesis is supported by</w:t>
      </w:r>
      <w:r w:rsidR="00A67CAD">
        <w:t xml:space="preserve"> the</w:t>
      </w:r>
      <w:r w:rsidR="007F6DF7">
        <w:t xml:space="preserve"> Commission’s </w:t>
      </w:r>
      <w:r w:rsidR="0046197E">
        <w:t xml:space="preserve">published </w:t>
      </w:r>
      <w:r w:rsidR="00D3639C">
        <w:t xml:space="preserve">sector </w:t>
      </w:r>
      <w:r w:rsidR="007F6DF7">
        <w:t>performance data</w:t>
      </w:r>
      <w:r w:rsidR="0083123A">
        <w:rPr>
          <w:rFonts w:ascii="ZWAdobeF" w:hAnsi="ZWAdobeF" w:cs="ZWAdobeF"/>
          <w:sz w:val="2"/>
          <w:szCs w:val="2"/>
        </w:rPr>
        <w:t>38F</w:t>
      </w:r>
      <w:r w:rsidR="0036579C">
        <w:rPr>
          <w:rStyle w:val="FootnoteReference"/>
        </w:rPr>
        <w:footnoteReference w:id="40"/>
      </w:r>
      <w:r w:rsidR="007F6DF7">
        <w:t xml:space="preserve"> </w:t>
      </w:r>
      <w:r w:rsidR="00A67CAD">
        <w:t>which</w:t>
      </w:r>
      <w:r w:rsidR="007F6DF7">
        <w:t xml:space="preserve"> shows</w:t>
      </w:r>
      <w:r w:rsidR="008B29C7">
        <w:t xml:space="preserve"> that </w:t>
      </w:r>
      <w:r w:rsidR="00A15BC1">
        <w:t xml:space="preserve">the </w:t>
      </w:r>
      <w:r w:rsidR="008B29C7">
        <w:t>highest rate</w:t>
      </w:r>
      <w:r w:rsidR="00A15BC1">
        <w:t>s of</w:t>
      </w:r>
      <w:r w:rsidR="008B29C7">
        <w:t xml:space="preserve"> non-compliance </w:t>
      </w:r>
      <w:r w:rsidR="00D70294">
        <w:t>between</w:t>
      </w:r>
      <w:r w:rsidR="008B29C7">
        <w:t xml:space="preserve"> 1 July 2019</w:t>
      </w:r>
      <w:r w:rsidR="00115F2B">
        <w:t xml:space="preserve"> – 31 March 2021</w:t>
      </w:r>
      <w:r w:rsidR="00D70294">
        <w:t xml:space="preserve"> continue to include </w:t>
      </w:r>
      <w:r w:rsidR="007F6DF7">
        <w:t>Standard 2(a), (c) and (e)</w:t>
      </w:r>
      <w:r w:rsidR="00AF027B">
        <w:t xml:space="preserve"> and Standard 3(a)-(b)</w:t>
      </w:r>
      <w:r w:rsidR="00D83763">
        <w:t>.</w:t>
      </w:r>
    </w:p>
    <w:p w14:paraId="1D96639F" w14:textId="72095D64" w:rsidR="00954E93" w:rsidRDefault="008F4D1D" w:rsidP="005230A9">
      <w:pPr>
        <w:pStyle w:val="BodyText1"/>
      </w:pPr>
      <w:r>
        <w:t>Providers also noted that the idea of ‘under</w:t>
      </w:r>
      <w:r w:rsidR="0034263A">
        <w:t>standing’ may be limited across organisations when collectively all staff may have a lower skill level or where English was not their first language.</w:t>
      </w:r>
    </w:p>
    <w:p w14:paraId="7EE8D2B3" w14:textId="15180E0A" w:rsidR="00C93F16" w:rsidRDefault="0034263A" w:rsidP="005230A9">
      <w:pPr>
        <w:pStyle w:val="BodyText1"/>
      </w:pPr>
      <w:r>
        <w:t xml:space="preserve">Standard 8 (Governance) is a notably low outlier in </w:t>
      </w:r>
      <w:r w:rsidR="007F6DF7">
        <w:t xml:space="preserve">Figure 12 above.  </w:t>
      </w:r>
      <w:r w:rsidR="008848CE">
        <w:t>The challenge faced by providers in understanding and assessing this Standard was also identified by</w:t>
      </w:r>
      <w:r w:rsidR="00C93F16">
        <w:t xml:space="preserve"> the Royal Commission, which concluded </w:t>
      </w:r>
      <w:r w:rsidR="00C93F16">
        <w:lastRenderedPageBreak/>
        <w:t>“Deficiencies in the governance and leadership of some approved providers have resulted in shortfalls in the quality and safety of care.”</w:t>
      </w:r>
      <w:r w:rsidR="0083123A">
        <w:rPr>
          <w:rFonts w:ascii="ZWAdobeF" w:hAnsi="ZWAdobeF" w:cs="ZWAdobeF"/>
          <w:sz w:val="2"/>
          <w:szCs w:val="2"/>
        </w:rPr>
        <w:t>39F</w:t>
      </w:r>
      <w:r w:rsidR="00C93F16" w:rsidRPr="00C47B67">
        <w:rPr>
          <w:vertAlign w:val="superscript"/>
        </w:rPr>
        <w:footnoteReference w:id="41"/>
      </w:r>
      <w:r w:rsidR="00F509D5">
        <w:t xml:space="preserve"> The Commission’s published performance data supports this finding</w:t>
      </w:r>
      <w:r w:rsidR="00900BBE">
        <w:t xml:space="preserve"> as it shows Standard </w:t>
      </w:r>
      <w:r w:rsidR="004A24CB">
        <w:t xml:space="preserve">8 (c), (d) and (e) </w:t>
      </w:r>
      <w:r w:rsidR="003D058A">
        <w:t xml:space="preserve">are repeatedly included in highest non-compliance rates </w:t>
      </w:r>
      <w:r w:rsidR="00173FF7">
        <w:t>for the same period.</w:t>
      </w:r>
      <w:r w:rsidR="0083123A">
        <w:rPr>
          <w:rFonts w:ascii="ZWAdobeF" w:hAnsi="ZWAdobeF" w:cs="ZWAdobeF"/>
          <w:sz w:val="2"/>
          <w:szCs w:val="2"/>
        </w:rPr>
        <w:t>40F</w:t>
      </w:r>
      <w:r w:rsidR="00B70939">
        <w:rPr>
          <w:rStyle w:val="FootnoteReference"/>
        </w:rPr>
        <w:footnoteReference w:id="42"/>
      </w:r>
    </w:p>
    <w:p w14:paraId="2979BC6A" w14:textId="3459573A" w:rsidR="00C93F16" w:rsidRPr="00DB13BB" w:rsidRDefault="00C93F16" w:rsidP="00231A99">
      <w:pPr>
        <w:pStyle w:val="HeadingLevel3NoNumber"/>
      </w:pPr>
      <w:r w:rsidRPr="00DB13BB">
        <w:t>Ability of the Commission to use the Standards to consistently assess provider performance</w:t>
      </w:r>
    </w:p>
    <w:p w14:paraId="0B3BEF6F" w14:textId="77777777" w:rsidR="003D62F3" w:rsidRDefault="00C93F16" w:rsidP="003D62F3">
      <w:pPr>
        <w:pStyle w:val="BodyText0"/>
        <w:rPr>
          <w:rFonts w:eastAsia="Calibri" w:cs="Arial"/>
        </w:rPr>
      </w:pPr>
      <w:r w:rsidRPr="0040724C">
        <w:rPr>
          <w:spacing w:val="-4"/>
        </w:rPr>
        <w:t xml:space="preserve">There was a view by providers that there is a level of inconsistency in the Commission’s assessment of provider performance. </w:t>
      </w:r>
      <w:r w:rsidR="003D62F3">
        <w:rPr>
          <w:rFonts w:eastAsia="Calibri" w:cs="Arial"/>
        </w:rPr>
        <w:t>These views were expressed by providers in relation to a number of the Key Evaluation Questions, including:</w:t>
      </w:r>
    </w:p>
    <w:p w14:paraId="155D1BD7" w14:textId="77777777" w:rsidR="003D62F3" w:rsidRPr="00415614" w:rsidRDefault="003D62F3" w:rsidP="003D62F3">
      <w:pPr>
        <w:pStyle w:val="BodyText0"/>
        <w:numPr>
          <w:ilvl w:val="0"/>
          <w:numId w:val="32"/>
        </w:numPr>
        <w:rPr>
          <w:rFonts w:eastAsia="Calibri" w:cs="Arial"/>
        </w:rPr>
      </w:pPr>
      <w:r w:rsidRPr="00415614">
        <w:rPr>
          <w:rFonts w:eastAsia="Calibri" w:cs="Arial"/>
        </w:rPr>
        <w:t>How effective have guidance materials, tools resources and activities supported the implementation of the Standards by Providers?</w:t>
      </w:r>
    </w:p>
    <w:p w14:paraId="3001C885" w14:textId="77777777" w:rsidR="003D62F3" w:rsidRPr="00415614" w:rsidRDefault="003D62F3" w:rsidP="003D62F3">
      <w:pPr>
        <w:pStyle w:val="BodyText0"/>
        <w:numPr>
          <w:ilvl w:val="0"/>
          <w:numId w:val="32"/>
        </w:numPr>
        <w:rPr>
          <w:rFonts w:eastAsia="Calibri" w:cs="Arial"/>
        </w:rPr>
      </w:pPr>
      <w:r w:rsidRPr="00415614">
        <w:rPr>
          <w:rFonts w:eastAsia="Calibri" w:cs="Arial"/>
        </w:rPr>
        <w:t>What can be learnt from the implementation of the Standards to inform future review and changes to the Standards?</w:t>
      </w:r>
    </w:p>
    <w:p w14:paraId="4F765FBF" w14:textId="77777777" w:rsidR="003D62F3" w:rsidRPr="00415614" w:rsidRDefault="003D62F3" w:rsidP="003D62F3">
      <w:pPr>
        <w:pStyle w:val="BodyText0"/>
        <w:numPr>
          <w:ilvl w:val="0"/>
          <w:numId w:val="32"/>
        </w:numPr>
        <w:rPr>
          <w:rFonts w:eastAsia="Calibri" w:cs="Arial"/>
        </w:rPr>
      </w:pPr>
      <w:r w:rsidRPr="00415614">
        <w:rPr>
          <w:rFonts w:eastAsia="Calibri" w:cs="Arial"/>
        </w:rPr>
        <w:t>Are the Standards clear and easy to understand?</w:t>
      </w:r>
    </w:p>
    <w:p w14:paraId="0B43FC87" w14:textId="1B4AD21E" w:rsidR="003D62F3" w:rsidRDefault="003D62F3" w:rsidP="003D62F3">
      <w:pPr>
        <w:pStyle w:val="BodyText0"/>
        <w:numPr>
          <w:ilvl w:val="0"/>
          <w:numId w:val="32"/>
        </w:numPr>
        <w:rPr>
          <w:rFonts w:eastAsia="Calibri" w:cs="Arial"/>
        </w:rPr>
      </w:pPr>
      <w:r w:rsidRPr="00415614">
        <w:rPr>
          <w:rFonts w:eastAsia="Calibri" w:cs="Arial"/>
        </w:rPr>
        <w:t xml:space="preserve">Are the Standards valid and </w:t>
      </w:r>
      <w:r w:rsidR="00274736">
        <w:rPr>
          <w:rFonts w:eastAsia="Calibri" w:cs="Arial"/>
        </w:rPr>
        <w:t>r</w:t>
      </w:r>
      <w:r w:rsidRPr="00415614">
        <w:rPr>
          <w:rFonts w:eastAsia="Calibri" w:cs="Arial"/>
        </w:rPr>
        <w:t>eliable? (sub) Do they support consistent assessment of performance?</w:t>
      </w:r>
    </w:p>
    <w:p w14:paraId="0EE8A4DB" w14:textId="5256E24B" w:rsidR="006544C2" w:rsidRPr="006544C2" w:rsidRDefault="006544C2" w:rsidP="006544C2">
      <w:pPr>
        <w:pStyle w:val="BodyText1"/>
        <w:rPr>
          <w:spacing w:val="-4"/>
        </w:rPr>
      </w:pPr>
      <w:r w:rsidRPr="006544C2">
        <w:rPr>
          <w:spacing w:val="-4"/>
        </w:rPr>
        <w:t xml:space="preserve">The assessment methodology used by the Commission was out of scope for this Evaluation and any references made to the assessment process relate specifically to stakeholder views. The Commission continuously refines and improves its assessment methodology to </w:t>
      </w:r>
      <w:proofErr w:type="gramStart"/>
      <w:r w:rsidRPr="006544C2">
        <w:rPr>
          <w:spacing w:val="-4"/>
        </w:rPr>
        <w:t>more accurately assess performance</w:t>
      </w:r>
      <w:proofErr w:type="gramEnd"/>
      <w:r w:rsidRPr="006544C2">
        <w:rPr>
          <w:spacing w:val="-4"/>
        </w:rPr>
        <w:t xml:space="preserve">, which may explain some of the concerns raised by providers as they become familiar with the new Standards and the Commission’s regulatory approach. There are certain design aspects of the assessment methodology that may have also influenced these views. For example, in undertaking performance assessments against the Standards, the Commission may choose to focus on assessing performance against specific Standards during assessment contacts. </w:t>
      </w:r>
    </w:p>
    <w:p w14:paraId="2C3867E9" w14:textId="77777777" w:rsidR="006544C2" w:rsidRDefault="006544C2" w:rsidP="006544C2">
      <w:pPr>
        <w:pStyle w:val="BodyText1"/>
        <w:rPr>
          <w:spacing w:val="-4"/>
        </w:rPr>
      </w:pPr>
      <w:r w:rsidRPr="006544C2">
        <w:rPr>
          <w:spacing w:val="-4"/>
        </w:rPr>
        <w:t>The level of consistency in rates of non-compliance across specific requirements (published on the Commission’s published sector performance reports) may both reflect the ability of the Commission to consistently assess performance as well as key performance challenge areas of the sector. The repeated high rates of non-compliance of outcomes across Standards 2, 3, Standard 7(d) and Standard 8 (c)-(e) are also consistent with key gap areas identified by the Royal Commission.  Additional information provided by the Commission as part of this evaluation in relation to the assessment methodology and how it supports consistent assessment of performance against the Standards is provided at Appendix D.</w:t>
      </w:r>
    </w:p>
    <w:p w14:paraId="7BE0DA96" w14:textId="0DDE8246" w:rsidR="00444248" w:rsidRDefault="00444248" w:rsidP="006544C2">
      <w:pPr>
        <w:pStyle w:val="BodyText1"/>
      </w:pPr>
      <w:r>
        <w:t>P</w:t>
      </w:r>
      <w:r w:rsidR="00C93F16">
        <w:t>roviders</w:t>
      </w:r>
      <w:r w:rsidR="00F90796">
        <w:t xml:space="preserve"> views</w:t>
      </w:r>
      <w:r w:rsidR="00B578DB">
        <w:t xml:space="preserve"> in relation to th</w:t>
      </w:r>
      <w:r w:rsidR="00190EAA">
        <w:t>is area</w:t>
      </w:r>
      <w:r w:rsidR="00C93F16">
        <w:t xml:space="preserve"> </w:t>
      </w:r>
      <w:r>
        <w:t xml:space="preserve">are set out in </w:t>
      </w:r>
      <w:r w:rsidR="00DC7DBE">
        <w:t>the</w:t>
      </w:r>
      <w:r>
        <w:t xml:space="preserve"> </w:t>
      </w:r>
      <w:r w:rsidR="00190EAA">
        <w:t xml:space="preserve">table </w:t>
      </w:r>
      <w:r>
        <w:t>below.</w:t>
      </w:r>
    </w:p>
    <w:p w14:paraId="68B41F77" w14:textId="3F9E9581" w:rsidR="00C93F16" w:rsidRDefault="002651BE" w:rsidP="00231A99">
      <w:pPr>
        <w:pStyle w:val="Caption"/>
        <w:rPr>
          <w:rFonts w:eastAsia="Calibri" w:cs="Arial"/>
        </w:rPr>
      </w:pPr>
      <w:r>
        <w:t xml:space="preserve">Table </w:t>
      </w:r>
      <w:r>
        <w:fldChar w:fldCharType="begin"/>
      </w:r>
      <w:r>
        <w:instrText>SEQ Table \* ARABIC</w:instrText>
      </w:r>
      <w:r>
        <w:fldChar w:fldCharType="separate"/>
      </w:r>
      <w:r w:rsidR="0083123A">
        <w:rPr>
          <w:noProof/>
        </w:rPr>
        <w:t>9</w:t>
      </w:r>
      <w:r>
        <w:fldChar w:fldCharType="end"/>
      </w:r>
      <w:r>
        <w:t>: C</w:t>
      </w:r>
      <w:r w:rsidRPr="00E117FD">
        <w:t xml:space="preserve">ollated feedback from </w:t>
      </w:r>
      <w:r w:rsidR="002558F5">
        <w:t>p</w:t>
      </w:r>
      <w:r w:rsidR="00A424F7">
        <w:t xml:space="preserve">roviders </w:t>
      </w:r>
      <w:r w:rsidR="002558F5">
        <w:t xml:space="preserve">regarding their challenges during the assessment process. </w:t>
      </w:r>
    </w:p>
    <w:tbl>
      <w:tblPr>
        <w:tblStyle w:val="TableGridLight"/>
        <w:tblW w:w="5000" w:type="pct"/>
        <w:tblLook w:val="0620" w:firstRow="1" w:lastRow="0" w:firstColumn="0" w:lastColumn="0" w:noHBand="1" w:noVBand="1"/>
      </w:tblPr>
      <w:tblGrid>
        <w:gridCol w:w="1837"/>
        <w:gridCol w:w="7223"/>
      </w:tblGrid>
      <w:tr w:rsidR="00AB2FCC" w:rsidRPr="005230A9" w14:paraId="3CE59B13" w14:textId="77777777" w:rsidTr="00CD3D14">
        <w:trPr>
          <w:cnfStyle w:val="100000000000" w:firstRow="1" w:lastRow="0" w:firstColumn="0" w:lastColumn="0" w:oddVBand="0" w:evenVBand="0" w:oddHBand="0" w:evenHBand="0" w:firstRowFirstColumn="0" w:firstRowLastColumn="0" w:lastRowFirstColumn="0" w:lastRowLastColumn="0"/>
        </w:trPr>
        <w:tc>
          <w:tcPr>
            <w:tcW w:w="1014" w:type="pct"/>
          </w:tcPr>
          <w:p w14:paraId="721CC8C0" w14:textId="77777777" w:rsidR="00AB2FCC" w:rsidRPr="005230A9" w:rsidRDefault="00AB2FCC" w:rsidP="00575CC4">
            <w:pPr>
              <w:pStyle w:val="Tableheading"/>
            </w:pPr>
            <w:r w:rsidRPr="005230A9">
              <w:t xml:space="preserve">Evidence Management </w:t>
            </w:r>
          </w:p>
        </w:tc>
        <w:tc>
          <w:tcPr>
            <w:tcW w:w="3986" w:type="pct"/>
          </w:tcPr>
          <w:p w14:paraId="554E6E2D" w14:textId="77777777" w:rsidR="00AB2FCC" w:rsidRPr="005230A9" w:rsidRDefault="00AB2FCC" w:rsidP="00575CC4">
            <w:pPr>
              <w:pStyle w:val="Tableheading"/>
            </w:pPr>
            <w:r w:rsidRPr="005230A9">
              <w:t>Stakeholder reported challenges</w:t>
            </w:r>
          </w:p>
        </w:tc>
      </w:tr>
      <w:tr w:rsidR="00AB2FCC" w:rsidRPr="005230A9" w14:paraId="0603675B" w14:textId="77777777" w:rsidTr="00CD3D14">
        <w:tc>
          <w:tcPr>
            <w:tcW w:w="1014" w:type="pct"/>
          </w:tcPr>
          <w:p w14:paraId="4F7B02DD" w14:textId="77777777" w:rsidR="00AB2FCC" w:rsidRPr="009B5097" w:rsidRDefault="00AB2FCC" w:rsidP="00CD3D14">
            <w:pPr>
              <w:pStyle w:val="Tabletextbold0"/>
            </w:pPr>
            <w:r w:rsidRPr="009B5097">
              <w:t>Who evidence is collected from</w:t>
            </w:r>
          </w:p>
        </w:tc>
        <w:tc>
          <w:tcPr>
            <w:tcW w:w="3986" w:type="pct"/>
          </w:tcPr>
          <w:p w14:paraId="3D29C5C2" w14:textId="0106F650" w:rsidR="00AB2FCC" w:rsidRPr="005230A9" w:rsidRDefault="00AB2FCC" w:rsidP="00F626EE">
            <w:pPr>
              <w:pStyle w:val="TableBullet1"/>
            </w:pPr>
            <w:r w:rsidRPr="005230A9">
              <w:t>Providers suggested that questions are asked of staff members who may not know the answers where the topics are beyond their area of responsibility</w:t>
            </w:r>
            <w:r w:rsidR="006A60C6" w:rsidRPr="005230A9">
              <w:t>. For example,</w:t>
            </w:r>
            <w:r w:rsidRPr="005230A9">
              <w:t xml:space="preserve"> a care worker’s knowledge of the organisation’s governance frameworks. They suggested that management-level staff may be able to produce the relevant evidence more quickly and completely. </w:t>
            </w:r>
          </w:p>
          <w:p w14:paraId="7B9C234E" w14:textId="77777777" w:rsidR="00E327F2" w:rsidRPr="0040724C" w:rsidRDefault="00AB2FCC" w:rsidP="00F626EE">
            <w:pPr>
              <w:pStyle w:val="TableBullet1"/>
              <w:rPr>
                <w:spacing w:val="-4"/>
              </w:rPr>
            </w:pPr>
            <w:r w:rsidRPr="0040724C">
              <w:rPr>
                <w:spacing w:val="-4"/>
              </w:rPr>
              <w:t xml:space="preserve">Providers perceive that </w:t>
            </w:r>
            <w:r w:rsidR="00E83E53" w:rsidRPr="0040724C">
              <w:rPr>
                <w:spacing w:val="-4"/>
              </w:rPr>
              <w:t>evidence collected</w:t>
            </w:r>
            <w:r w:rsidRPr="0040724C">
              <w:rPr>
                <w:spacing w:val="-4"/>
              </w:rPr>
              <w:t xml:space="preserve"> from consumers is prioritised but is sometimes not tested or set in context</w:t>
            </w:r>
            <w:r w:rsidR="00D34A11" w:rsidRPr="0040724C">
              <w:rPr>
                <w:spacing w:val="-4"/>
              </w:rPr>
              <w:t>. F</w:t>
            </w:r>
            <w:r w:rsidRPr="0040724C">
              <w:rPr>
                <w:spacing w:val="-4"/>
              </w:rPr>
              <w:t>or example</w:t>
            </w:r>
            <w:r w:rsidR="00D34A11" w:rsidRPr="0040724C">
              <w:rPr>
                <w:spacing w:val="-4"/>
              </w:rPr>
              <w:t>,</w:t>
            </w:r>
            <w:r w:rsidRPr="0040724C">
              <w:rPr>
                <w:spacing w:val="-4"/>
              </w:rPr>
              <w:t xml:space="preserve"> suggesting consumer choices are not being reflected consistently when only one or two examples are provided and explained by other constraints, such as staff shortages on a single day. </w:t>
            </w:r>
          </w:p>
          <w:p w14:paraId="0694656B" w14:textId="5610E8BA" w:rsidR="00AB2FCC" w:rsidRPr="005230A9" w:rsidRDefault="00E327F2" w:rsidP="00F626EE">
            <w:pPr>
              <w:pStyle w:val="TableBullet1"/>
            </w:pPr>
            <w:r w:rsidRPr="005230A9">
              <w:t>It is of note however that p</w:t>
            </w:r>
            <w:r w:rsidR="00E118FF" w:rsidRPr="005230A9">
              <w:t>roviders</w:t>
            </w:r>
            <w:r w:rsidR="00B82CCC" w:rsidRPr="005230A9">
              <w:t xml:space="preserve"> do </w:t>
            </w:r>
            <w:r w:rsidR="00E118FF" w:rsidRPr="005230A9">
              <w:t xml:space="preserve">however </w:t>
            </w:r>
            <w:r w:rsidR="00B82CCC" w:rsidRPr="005230A9">
              <w:t xml:space="preserve">have </w:t>
            </w:r>
            <w:r w:rsidR="00E62DAD" w:rsidRPr="005230A9">
              <w:t xml:space="preserve">an </w:t>
            </w:r>
            <w:r w:rsidR="00B82CCC" w:rsidRPr="005230A9">
              <w:t xml:space="preserve">opportunity to respond to </w:t>
            </w:r>
            <w:r w:rsidR="00A20865" w:rsidRPr="005230A9">
              <w:t xml:space="preserve">evidence in the report before </w:t>
            </w:r>
            <w:r w:rsidR="00E118FF" w:rsidRPr="005230A9">
              <w:t>a performance report is prepared by a delegate of the Commissioner.</w:t>
            </w:r>
            <w:r w:rsidR="00B82CCC" w:rsidRPr="005230A9">
              <w:t xml:space="preserve"> </w:t>
            </w:r>
          </w:p>
        </w:tc>
      </w:tr>
      <w:tr w:rsidR="00AB2FCC" w:rsidRPr="005230A9" w14:paraId="662DD61D" w14:textId="77777777" w:rsidTr="00CD3D14">
        <w:tc>
          <w:tcPr>
            <w:tcW w:w="1014" w:type="pct"/>
          </w:tcPr>
          <w:p w14:paraId="4BA0CB59" w14:textId="77777777" w:rsidR="00AB2FCC" w:rsidRPr="009B5097" w:rsidRDefault="00AB2FCC" w:rsidP="00CD3D14">
            <w:pPr>
              <w:pStyle w:val="Tabletextbold0"/>
            </w:pPr>
            <w:r w:rsidRPr="009B5097">
              <w:lastRenderedPageBreak/>
              <w:t>How evidence is collected</w:t>
            </w:r>
          </w:p>
        </w:tc>
        <w:tc>
          <w:tcPr>
            <w:tcW w:w="3986" w:type="pct"/>
          </w:tcPr>
          <w:p w14:paraId="72A6057F" w14:textId="0407F0BF" w:rsidR="00AB2FCC" w:rsidRPr="005230A9" w:rsidRDefault="00AB2FCC" w:rsidP="00F626EE">
            <w:pPr>
              <w:pStyle w:val="TableBullet1"/>
            </w:pPr>
            <w:r w:rsidRPr="005230A9">
              <w:t xml:space="preserve">There is a perception that while two </w:t>
            </w:r>
            <w:r w:rsidR="002C4A63">
              <w:t>services</w:t>
            </w:r>
            <w:r w:rsidRPr="005230A9">
              <w:t xml:space="preserve"> might have similar systems, policies and practices, the assessment outcome differs due to assessment questions being different across the two </w:t>
            </w:r>
            <w:r w:rsidR="002C4A63">
              <w:t>services</w:t>
            </w:r>
            <w:r w:rsidRPr="005230A9">
              <w:t xml:space="preserve">. </w:t>
            </w:r>
            <w:r w:rsidR="005F7738" w:rsidRPr="005230A9">
              <w:t>P</w:t>
            </w:r>
            <w:r w:rsidRPr="005230A9">
              <w:t xml:space="preserve">roviders infer there was a variation in the assessment approach which caused the different outcome.   </w:t>
            </w:r>
          </w:p>
        </w:tc>
      </w:tr>
      <w:tr w:rsidR="00AB2FCC" w:rsidRPr="005230A9" w14:paraId="789AAB19" w14:textId="77777777" w:rsidTr="00CD3D14">
        <w:tc>
          <w:tcPr>
            <w:tcW w:w="1014" w:type="pct"/>
          </w:tcPr>
          <w:p w14:paraId="077C15D8" w14:textId="77777777" w:rsidR="00AB2FCC" w:rsidRPr="009B5097" w:rsidRDefault="00AB2FCC" w:rsidP="00CD3D14">
            <w:pPr>
              <w:pStyle w:val="Tabletextbold0"/>
            </w:pPr>
            <w:r w:rsidRPr="009B5097">
              <w:t>How evidence is evaluated</w:t>
            </w:r>
          </w:p>
        </w:tc>
        <w:tc>
          <w:tcPr>
            <w:tcW w:w="3986" w:type="pct"/>
          </w:tcPr>
          <w:p w14:paraId="3E5EA3E2" w14:textId="0C2753EF" w:rsidR="00AB2FCC" w:rsidRPr="005230A9" w:rsidRDefault="00AB2FCC" w:rsidP="00F626EE">
            <w:pPr>
              <w:pStyle w:val="TableBullet1"/>
            </w:pPr>
            <w:r w:rsidRPr="005230A9">
              <w:t xml:space="preserve">Providers considered there were examples of contradictory evidence not being balanced appropriately, for example where feedback from consumers and systems and policies </w:t>
            </w:r>
            <w:r w:rsidR="00AB02E2" w:rsidRPr="005230A9">
              <w:t>d</w:t>
            </w:r>
            <w:r w:rsidRPr="005230A9">
              <w:t xml:space="preserve">o not align. </w:t>
            </w:r>
          </w:p>
          <w:p w14:paraId="4FC1F994" w14:textId="4A6E00E7" w:rsidR="00AB2FCC" w:rsidRPr="005230A9" w:rsidRDefault="00AB2FCC" w:rsidP="00F626EE">
            <w:pPr>
              <w:pStyle w:val="TableBullet1"/>
            </w:pPr>
            <w:r w:rsidRPr="005230A9">
              <w:t xml:space="preserve">Without an understanding of the assessment framework, some providers perceive that assessors’ personal ideas or beliefs </w:t>
            </w:r>
            <w:r w:rsidR="007E1FAF" w:rsidRPr="005230A9">
              <w:t>may</w:t>
            </w:r>
            <w:r w:rsidRPr="005230A9">
              <w:t xml:space="preserve"> frame their evaluations. </w:t>
            </w:r>
          </w:p>
          <w:p w14:paraId="5F9092DB" w14:textId="3263871A" w:rsidR="00AB2FCC" w:rsidRPr="005230A9" w:rsidRDefault="00AB2FCC" w:rsidP="00F626EE">
            <w:pPr>
              <w:pStyle w:val="TableBullet1"/>
            </w:pPr>
            <w:r w:rsidRPr="005230A9">
              <w:t>Providers expressed frustration that non-compliance with a requirement under one Standard can be used to support findings of non-compliance across other Standards. This was another reason that providers raised in stakeholder consultations for the view that the Standards can be repetitive. However, this may also relate to provider maturity</w:t>
            </w:r>
            <w:r w:rsidR="00504A07" w:rsidRPr="005230A9">
              <w:t xml:space="preserve"> for some providers</w:t>
            </w:r>
            <w:r w:rsidRPr="005230A9">
              <w:t>. For example, it is conceivable that an ineffective approach to care planning will impact compliance with Standards 2, 3 and 8 if the root cause is based in</w:t>
            </w:r>
            <w:r w:rsidR="009D532B" w:rsidRPr="005230A9">
              <w:t xml:space="preserve"> other factors</w:t>
            </w:r>
            <w:r w:rsidR="008D68E1" w:rsidRPr="005230A9">
              <w:t>, for example workforce performance</w:t>
            </w:r>
            <w:r w:rsidR="006168B9" w:rsidRPr="005230A9">
              <w:t>.</w:t>
            </w:r>
            <w:r w:rsidRPr="005230A9">
              <w:t xml:space="preserve"> </w:t>
            </w:r>
          </w:p>
          <w:p w14:paraId="2B98630F" w14:textId="4570B0C0" w:rsidR="00AB2FCC" w:rsidRPr="005230A9" w:rsidRDefault="00AB2FCC" w:rsidP="00F626EE">
            <w:pPr>
              <w:pStyle w:val="TableBullet1"/>
            </w:pPr>
            <w:r w:rsidRPr="005230A9">
              <w:t>Providers feel the</w:t>
            </w:r>
            <w:r w:rsidR="006C63CA" w:rsidRPr="005230A9">
              <w:t>re</w:t>
            </w:r>
            <w:r w:rsidRPr="005230A9">
              <w:t xml:space="preserve"> could be more acknowledgement that the provider has limited control over some matters that they are held accountable for, such as a GP’s judgement about medication supporting negative findings </w:t>
            </w:r>
            <w:r w:rsidR="007C71FE">
              <w:t xml:space="preserve">regarding </w:t>
            </w:r>
            <w:r w:rsidRPr="005230A9">
              <w:t xml:space="preserve">the provider’s restraint or anti-microbial stewardship practices. </w:t>
            </w:r>
          </w:p>
          <w:p w14:paraId="485ED192" w14:textId="258FE74E" w:rsidR="00E62DAD" w:rsidRPr="005230A9" w:rsidRDefault="005F5B67" w:rsidP="00F626EE">
            <w:pPr>
              <w:pStyle w:val="TableBullet1"/>
            </w:pPr>
            <w:r w:rsidRPr="005230A9">
              <w:t>The Commission advised that the assessment method considers the totality of evidence</w:t>
            </w:r>
            <w:r w:rsidR="00DC5F16">
              <w:t>. W</w:t>
            </w:r>
            <w:r w:rsidRPr="005230A9">
              <w:t xml:space="preserve">here </w:t>
            </w:r>
            <w:r w:rsidR="007C71FE">
              <w:t>findings</w:t>
            </w:r>
            <w:r w:rsidRPr="005230A9">
              <w:t xml:space="preserve"> may </w:t>
            </w:r>
            <w:r w:rsidR="002D39E1" w:rsidRPr="005230A9">
              <w:t xml:space="preserve">be </w:t>
            </w:r>
            <w:r w:rsidRPr="005230A9">
              <w:t>contradict</w:t>
            </w:r>
            <w:r w:rsidR="002D39E1" w:rsidRPr="005230A9">
              <w:t>ory</w:t>
            </w:r>
            <w:r w:rsidR="00DC5F16">
              <w:t>,</w:t>
            </w:r>
            <w:r w:rsidRPr="005230A9">
              <w:t xml:space="preserve"> further </w:t>
            </w:r>
            <w:r w:rsidR="00DC5F16">
              <w:t>evidence is collected</w:t>
            </w:r>
            <w:r w:rsidR="00BE7E77" w:rsidRPr="005230A9">
              <w:t xml:space="preserve"> to form a sufficient view.</w:t>
            </w:r>
            <w:r w:rsidR="00920977" w:rsidRPr="005230A9">
              <w:t xml:space="preserve"> The Commission also </w:t>
            </w:r>
            <w:r w:rsidR="0022213C" w:rsidRPr="005230A9">
              <w:t xml:space="preserve">advised that </w:t>
            </w:r>
            <w:r w:rsidR="005F770C" w:rsidRPr="005230A9">
              <w:t xml:space="preserve">since </w:t>
            </w:r>
            <w:r w:rsidR="00E77BCB" w:rsidRPr="005230A9">
              <w:t xml:space="preserve">the Standards are designed around consumer outcomes with interconnection of requirements, evidence </w:t>
            </w:r>
            <w:r w:rsidR="00CB7799" w:rsidRPr="005230A9">
              <w:t>may be used as relevant across requirements</w:t>
            </w:r>
            <w:r w:rsidR="007C3179" w:rsidRPr="005230A9">
              <w:t xml:space="preserve"> but do not include the same capture of evidence overall.</w:t>
            </w:r>
          </w:p>
        </w:tc>
      </w:tr>
    </w:tbl>
    <w:p w14:paraId="16776D26" w14:textId="46D1982F" w:rsidR="00AB2FCC" w:rsidRDefault="00B15B41" w:rsidP="004E63ED">
      <w:pPr>
        <w:pStyle w:val="Source0"/>
        <w:rPr>
          <w:rFonts w:eastAsia="Calibri" w:cs="Arial"/>
        </w:rPr>
      </w:pPr>
      <w:r>
        <w:t xml:space="preserve">Source: </w:t>
      </w:r>
      <w:r w:rsidR="00190EAA">
        <w:t>KPMG</w:t>
      </w:r>
      <w:r w:rsidR="00F626EE">
        <w:t>.</w:t>
      </w:r>
    </w:p>
    <w:p w14:paraId="3175AF41" w14:textId="570FF424" w:rsidR="00221112" w:rsidRDefault="008B5EF0" w:rsidP="008B5EF0">
      <w:pPr>
        <w:pStyle w:val="Heading2"/>
      </w:pPr>
      <w:bookmarkStart w:id="175" w:name="_Toc88030235"/>
      <w:bookmarkStart w:id="176" w:name="_Toc88804090"/>
      <w:bookmarkStart w:id="177" w:name="_Toc89930050"/>
      <w:bookmarkStart w:id="178" w:name="_Toc90453369"/>
      <w:bookmarkStart w:id="179" w:name="_Toc113448697"/>
      <w:bookmarkEnd w:id="175"/>
      <w:r>
        <w:t xml:space="preserve">6.3 </w:t>
      </w:r>
      <w:r w:rsidR="00221112">
        <w:t>Are the Standards sufficiently flexible for application across all service types and settings?</w:t>
      </w:r>
      <w:bookmarkEnd w:id="176"/>
      <w:bookmarkEnd w:id="177"/>
      <w:bookmarkEnd w:id="178"/>
      <w:bookmarkEnd w:id="179"/>
    </w:p>
    <w:p w14:paraId="5B7B88B0" w14:textId="1350B065" w:rsidR="00737B11" w:rsidRPr="00737B11" w:rsidRDefault="00221112" w:rsidP="005230A9">
      <w:pPr>
        <w:pStyle w:val="BodyText1"/>
      </w:pPr>
      <w:r>
        <w:t xml:space="preserve">The Evaluation found that the Standards are sufficiently flexible across </w:t>
      </w:r>
      <w:r w:rsidR="00B27B49">
        <w:t>all service</w:t>
      </w:r>
      <w:r>
        <w:t xml:space="preserve"> types</w:t>
      </w:r>
      <w:r w:rsidR="005A508C">
        <w:t xml:space="preserve"> and settings</w:t>
      </w:r>
      <w:r>
        <w:t xml:space="preserve">. Home care providers reported a higher level of agreement that they understood the Standards than residential care providers. In stakeholder consultations, some providers suggested that there were elements of the </w:t>
      </w:r>
      <w:r w:rsidR="009D6C88">
        <w:t>S</w:t>
      </w:r>
      <w:r>
        <w:t>tandards which are less relevant to home care. Rural and remote providers did not agree that the Standards should be tailored to their setting, but rather suggested the accreditation process should allow for their unique challenges</w:t>
      </w:r>
      <w:r w:rsidR="005A508C">
        <w:t>, as described further below.</w:t>
      </w:r>
    </w:p>
    <w:p w14:paraId="2D37BDCD" w14:textId="77777777" w:rsidR="005A508C" w:rsidRPr="005A508C" w:rsidRDefault="00D430E4" w:rsidP="00231A99">
      <w:pPr>
        <w:pStyle w:val="HeadingLevel3NoNumber"/>
      </w:pPr>
      <w:r>
        <w:t>Application across s</w:t>
      </w:r>
      <w:r w:rsidR="005A508C" w:rsidRPr="005A508C">
        <w:t>ervice types</w:t>
      </w:r>
    </w:p>
    <w:p w14:paraId="2598CAC9" w14:textId="5C6BF341" w:rsidR="000A4DFD" w:rsidRDefault="005A508C" w:rsidP="005230A9">
      <w:pPr>
        <w:pStyle w:val="BodyText1"/>
      </w:pPr>
      <w:r>
        <w:t>While there was high agreement amongst home care providers that they understand the Standards, a</w:t>
      </w:r>
      <w:r w:rsidR="00221112">
        <w:t xml:space="preserve"> common theme raised by providers was a lack of certainty about the extent to which </w:t>
      </w:r>
      <w:r w:rsidR="00221112" w:rsidRPr="001B7C11">
        <w:t>all Standards are relevant to all providers</w:t>
      </w:r>
      <w:r w:rsidR="00221112">
        <w:t>. H</w:t>
      </w:r>
      <w:r w:rsidR="00221112" w:rsidRPr="001B7C11">
        <w:t xml:space="preserve">ome care providers </w:t>
      </w:r>
      <w:r w:rsidR="00221112">
        <w:t>in particular</w:t>
      </w:r>
      <w:r w:rsidR="00221112" w:rsidRPr="001B7C11">
        <w:t xml:space="preserve"> felt that certain </w:t>
      </w:r>
      <w:r w:rsidR="00190084">
        <w:t>S</w:t>
      </w:r>
      <w:r w:rsidR="002075DD" w:rsidRPr="001B7C11">
        <w:t>tandards</w:t>
      </w:r>
      <w:r w:rsidR="00221112" w:rsidRPr="001B7C11">
        <w:t xml:space="preserve"> were targeted at residential aged care rather</w:t>
      </w:r>
      <w:r w:rsidR="002075DD" w:rsidRPr="001B7C11">
        <w:t xml:space="preserve"> than home care</w:t>
      </w:r>
      <w:r w:rsidR="002075DD">
        <w:t>.</w:t>
      </w:r>
      <w:r w:rsidR="00E77104">
        <w:t xml:space="preserve"> Fo</w:t>
      </w:r>
      <w:r w:rsidR="009048F4">
        <w:t>r example, providers described themselves as less</w:t>
      </w:r>
      <w:r w:rsidR="000804FB">
        <w:t>-clinical</w:t>
      </w:r>
      <w:r w:rsidR="00586CD8">
        <w:t>ly focused</w:t>
      </w:r>
      <w:r w:rsidR="004763E2">
        <w:t xml:space="preserve"> and less likely to complete a full </w:t>
      </w:r>
      <w:r w:rsidR="005A30A4">
        <w:t xml:space="preserve">assessment of needs and preferences </w:t>
      </w:r>
      <w:r w:rsidR="00171AAA">
        <w:t>especially</w:t>
      </w:r>
      <w:r w:rsidR="005A30A4">
        <w:t xml:space="preserve"> for consumers of lower care needs</w:t>
      </w:r>
      <w:r w:rsidR="00025B7C">
        <w:t>,</w:t>
      </w:r>
      <w:r w:rsidR="00171AAA">
        <w:t xml:space="preserve"> as this was considered potentially invasive</w:t>
      </w:r>
      <w:r w:rsidR="00361BA8">
        <w:t>.</w:t>
      </w:r>
      <w:r w:rsidR="00586CD8">
        <w:t xml:space="preserve"> </w:t>
      </w:r>
    </w:p>
    <w:p w14:paraId="4E793099" w14:textId="2FD1FB0C" w:rsidR="00221112" w:rsidRDefault="00221112" w:rsidP="005230A9">
      <w:pPr>
        <w:pStyle w:val="BodyText1"/>
      </w:pPr>
      <w:r>
        <w:t xml:space="preserve">Where providers perceived certain </w:t>
      </w:r>
      <w:r w:rsidRPr="001B7C11">
        <w:t>requirements were not applicable to their service, they presumed they were required to demonstrate compliance.</w:t>
      </w:r>
      <w:r>
        <w:t xml:space="preserve"> Citing the example of infection control, some home care providers </w:t>
      </w:r>
      <w:r>
        <w:lastRenderedPageBreak/>
        <w:t>did not interpret this in the limited way of creating a sterile field when changing a wound dressing but rather as creating an obligation on them to apply infection control processes throughout the consumer’s home. In responding to the survey, other providers felt not enough emphasis was placed on the fact that</w:t>
      </w:r>
      <w:r w:rsidR="00DC2A08">
        <w:t>,</w:t>
      </w:r>
      <w:r>
        <w:t xml:space="preserve"> for home care</w:t>
      </w:r>
      <w:r w:rsidR="00DC2A08">
        <w:t>,</w:t>
      </w:r>
      <w:r>
        <w:t xml:space="preserve"> the service environment is the consumer’s home</w:t>
      </w:r>
      <w:r w:rsidR="00F1481A">
        <w:t>.</w:t>
      </w:r>
      <w:r w:rsidR="00261FA2">
        <w:t xml:space="preserve"> </w:t>
      </w:r>
      <w:r w:rsidR="00F1481A">
        <w:t>T</w:t>
      </w:r>
      <w:r w:rsidR="00261FA2">
        <w:t>his</w:t>
      </w:r>
      <w:r>
        <w:t xml:space="preserve"> different environment justified a different approach to the </w:t>
      </w:r>
      <w:r w:rsidR="000E50FA">
        <w:t>S</w:t>
      </w:r>
      <w:r w:rsidR="00261FA2">
        <w:t>tandards</w:t>
      </w:r>
      <w:r>
        <w:t>.</w:t>
      </w:r>
      <w:r w:rsidRPr="00467BA1">
        <w:t xml:space="preserve"> </w:t>
      </w:r>
    </w:p>
    <w:p w14:paraId="1A4A303B" w14:textId="77777777" w:rsidR="00737B11" w:rsidRPr="00737B11" w:rsidRDefault="00221112" w:rsidP="005230A9">
      <w:pPr>
        <w:pStyle w:val="BodyText1"/>
      </w:pPr>
      <w:r>
        <w:t>The differing views between residential aged care providers and home care providers is discussed in more detail under the question of harmonisation.</w:t>
      </w:r>
    </w:p>
    <w:p w14:paraId="2B290853" w14:textId="77777777" w:rsidR="005A508C" w:rsidRDefault="00D430E4" w:rsidP="00231A99">
      <w:pPr>
        <w:pStyle w:val="HeadingLevel3NoNumber"/>
      </w:pPr>
      <w:r>
        <w:t>Application across s</w:t>
      </w:r>
      <w:r w:rsidR="000A49EF">
        <w:t>ettings</w:t>
      </w:r>
    </w:p>
    <w:p w14:paraId="6031172A" w14:textId="514AA728" w:rsidR="00221112" w:rsidRDefault="00221112" w:rsidP="005230A9">
      <w:pPr>
        <w:pStyle w:val="BodyText1"/>
      </w:pPr>
      <w:r>
        <w:t>In stakeholder consultations, providers in rural and remote areas considered they faced particular challenges around delivering services and therefore meeting requirements under the Standards</w:t>
      </w:r>
      <w:r w:rsidR="00190084">
        <w:t>,</w:t>
      </w:r>
      <w:r w:rsidR="002075DD">
        <w:t xml:space="preserve"> including managing the clinical aspects of risk, maintaining staffing levels and accessing allied health specialists. There was also a view that the meaning of </w:t>
      </w:r>
      <w:r w:rsidR="00190084">
        <w:t>S</w:t>
      </w:r>
      <w:r w:rsidR="002075DD">
        <w:t>tandards can vary with the environment</w:t>
      </w:r>
      <w:r w:rsidR="000A4DFD">
        <w:t>. For example,</w:t>
      </w:r>
      <w:r w:rsidR="002075DD">
        <w:t xml:space="preserve"> what is culturally safe in a metro</w:t>
      </w:r>
      <w:r w:rsidR="00190084">
        <w:t>politan</w:t>
      </w:r>
      <w:r>
        <w:t xml:space="preserve"> area may be different to that experienced on country.</w:t>
      </w:r>
    </w:p>
    <w:p w14:paraId="2E5B8A86" w14:textId="77777777" w:rsidR="002075DD" w:rsidRDefault="002075DD" w:rsidP="005230A9">
      <w:pPr>
        <w:pStyle w:val="BodyText1"/>
      </w:pPr>
      <w:r>
        <w:t>Overall, providers reported that the Standards were drafted appropriately in the context of rural and remote services but suggested that</w:t>
      </w:r>
      <w:r w:rsidR="00190084">
        <w:t>,</w:t>
      </w:r>
      <w:r>
        <w:t xml:space="preserve"> rather than differentiation of the text of the Standards, the assessment process should consider these unique contextual challenges.</w:t>
      </w:r>
    </w:p>
    <w:p w14:paraId="331B0832" w14:textId="0934FE13" w:rsidR="00221112" w:rsidRDefault="007349E6" w:rsidP="007349E6">
      <w:pPr>
        <w:pStyle w:val="Heading2"/>
      </w:pPr>
      <w:bookmarkStart w:id="180" w:name="_Toc88804091"/>
      <w:bookmarkStart w:id="181" w:name="_Toc89930051"/>
      <w:bookmarkStart w:id="182" w:name="_Toc90453370"/>
      <w:bookmarkStart w:id="183" w:name="_Toc113448698"/>
      <w:r>
        <w:t xml:space="preserve">6.4 </w:t>
      </w:r>
      <w:r w:rsidR="00221112" w:rsidRPr="004A1D41">
        <w:t xml:space="preserve">Are </w:t>
      </w:r>
      <w:proofErr w:type="gramStart"/>
      <w:r w:rsidR="00221112" w:rsidRPr="004A1D41">
        <w:t>there</w:t>
      </w:r>
      <w:proofErr w:type="gramEnd"/>
      <w:r w:rsidR="00221112" w:rsidRPr="004A1D41">
        <w:t xml:space="preserve"> aspects of the Standards that could be harmonised? What benefit would this provide?</w:t>
      </w:r>
      <w:bookmarkEnd w:id="180"/>
      <w:bookmarkEnd w:id="181"/>
      <w:bookmarkEnd w:id="182"/>
      <w:bookmarkEnd w:id="183"/>
    </w:p>
    <w:p w14:paraId="0BB4C7B2" w14:textId="26C11E5C" w:rsidR="00B71119" w:rsidRPr="00B71119" w:rsidRDefault="007D604B" w:rsidP="005230A9">
      <w:pPr>
        <w:pStyle w:val="BodyText1"/>
      </w:pPr>
      <w:r w:rsidRPr="007D604B">
        <w:t xml:space="preserve">There are aspects of the Standards that could be harmonised. </w:t>
      </w:r>
      <w:r w:rsidR="006A392D">
        <w:t xml:space="preserve">The majority of stakeholders that responded to this question supported further harmonisation of the Standards. Such an approach would be consistent with Royal Commission recommendations and the direction of broader reform occurring in the sector. </w:t>
      </w:r>
      <w:r w:rsidR="009E493E">
        <w:t>A</w:t>
      </w:r>
      <w:r w:rsidR="00F518D2">
        <w:t xml:space="preserve"> small sample of</w:t>
      </w:r>
      <w:r w:rsidR="004D4B7C">
        <w:t xml:space="preserve"> h</w:t>
      </w:r>
      <w:r w:rsidR="003A6610" w:rsidRPr="003A6610">
        <w:t xml:space="preserve">ome care providers </w:t>
      </w:r>
      <w:r w:rsidR="00345E09">
        <w:t>observed</w:t>
      </w:r>
      <w:r w:rsidR="003A6610" w:rsidRPr="003A6610">
        <w:t xml:space="preserve"> that certain </w:t>
      </w:r>
      <w:r w:rsidR="009F059D">
        <w:t>aspects of the S</w:t>
      </w:r>
      <w:r w:rsidR="003A6610" w:rsidRPr="003A6610">
        <w:t>tandards were targeted at residential aged care rather than home care</w:t>
      </w:r>
      <w:r w:rsidR="004D4B7C">
        <w:t xml:space="preserve"> and felt </w:t>
      </w:r>
      <w:r w:rsidR="00B32185">
        <w:t>further</w:t>
      </w:r>
      <w:r w:rsidR="00BF0D18">
        <w:t xml:space="preserve"> harmonisation may not address</w:t>
      </w:r>
      <w:r w:rsidR="004D4B7C">
        <w:t xml:space="preserve"> this issue</w:t>
      </w:r>
      <w:r w:rsidR="006A392D">
        <w:t>.</w:t>
      </w:r>
      <w:r w:rsidR="004D4B7C">
        <w:t xml:space="preserve"> </w:t>
      </w:r>
      <w:r w:rsidR="00345E09">
        <w:t xml:space="preserve">Stakeholder perceptions on the issue of harmonisation and analysis on the relative benefits </w:t>
      </w:r>
      <w:r w:rsidR="00F518D2">
        <w:t>and approaches to</w:t>
      </w:r>
      <w:r w:rsidR="00345E09">
        <w:t xml:space="preserve"> harmonisation are presented below.</w:t>
      </w:r>
    </w:p>
    <w:p w14:paraId="2D7640E3" w14:textId="6E239187" w:rsidR="009F059D" w:rsidRDefault="009F059D" w:rsidP="00231A99">
      <w:pPr>
        <w:pStyle w:val="HeadingLevel3NoNumber"/>
      </w:pPr>
      <w:r>
        <w:t>Stakeholder perceptions on harmonisation</w:t>
      </w:r>
    </w:p>
    <w:p w14:paraId="201DAD88" w14:textId="4098C191" w:rsidR="005E5ABB" w:rsidRDefault="00345E09" w:rsidP="005230A9">
      <w:pPr>
        <w:pStyle w:val="BodyText1"/>
      </w:pPr>
      <w:r>
        <w:t>Overall, stakeholders</w:t>
      </w:r>
      <w:r w:rsidR="00540574">
        <w:t xml:space="preserve"> across</w:t>
      </w:r>
      <w:r w:rsidR="00091BE8">
        <w:t xml:space="preserve"> government, provider and peak representative</w:t>
      </w:r>
      <w:r w:rsidR="00540574">
        <w:t xml:space="preserve"> groups</w:t>
      </w:r>
      <w:r w:rsidR="00221112">
        <w:t xml:space="preserve"> were positive about the harmonisation of </w:t>
      </w:r>
      <w:r w:rsidR="005E5ABB">
        <w:t xml:space="preserve">the </w:t>
      </w:r>
      <w:r w:rsidR="00221112">
        <w:t>residential and home care standards</w:t>
      </w:r>
      <w:r w:rsidR="005E5ABB">
        <w:t xml:space="preserve"> that occurred to create the current Standards</w:t>
      </w:r>
      <w:r w:rsidR="00221112">
        <w:t xml:space="preserve">. </w:t>
      </w:r>
      <w:r w:rsidR="005E5ABB">
        <w:t xml:space="preserve">As noted, a small segment of home care providers </w:t>
      </w:r>
      <w:r w:rsidR="005E5ABB" w:rsidRPr="005E5ABB">
        <w:t>observed that certain aspects of the Standards were targeted at residential aged care rather than home care and felt the harmonisation of the current Standards could be reversed to address this issue</w:t>
      </w:r>
      <w:r w:rsidR="008767D2">
        <w:t>.</w:t>
      </w:r>
    </w:p>
    <w:p w14:paraId="778BDC1F" w14:textId="6B9EE8EE" w:rsidR="00D26E70" w:rsidRPr="00D26E70" w:rsidRDefault="00221112" w:rsidP="005230A9">
      <w:pPr>
        <w:pStyle w:val="BodyText1"/>
      </w:pPr>
      <w:r>
        <w:t xml:space="preserve">Some providers suggested that further </w:t>
      </w:r>
      <w:r w:rsidR="008F4156">
        <w:t>alignment with NDIS and human service standards</w:t>
      </w:r>
      <w:r>
        <w:t xml:space="preserve"> was desirable, </w:t>
      </w:r>
      <w:r w:rsidR="00237422" w:rsidRPr="00237422">
        <w:t xml:space="preserve">particularly by </w:t>
      </w:r>
      <w:r w:rsidR="008767D2">
        <w:t xml:space="preserve">providers </w:t>
      </w:r>
      <w:r w:rsidR="00237422" w:rsidRPr="00237422">
        <w:t>who work within other human service sector</w:t>
      </w:r>
      <w:r w:rsidR="008F4156">
        <w:t>s</w:t>
      </w:r>
      <w:r w:rsidR="00477C9D">
        <w:t>.</w:t>
      </w:r>
      <w:r w:rsidR="00237422" w:rsidRPr="00237422">
        <w:t xml:space="preserve"> Providers and staff reported it was common to work where both the Standards and the NDIS standards</w:t>
      </w:r>
      <w:r w:rsidR="00266BA9">
        <w:t>,</w:t>
      </w:r>
      <w:r w:rsidR="00237422" w:rsidRPr="00237422">
        <w:t xml:space="preserve"> and </w:t>
      </w:r>
      <w:r w:rsidR="008767D2">
        <w:t xml:space="preserve">that </w:t>
      </w:r>
      <w:r w:rsidR="00237422" w:rsidRPr="00237422">
        <w:t>ensuring compliance with both increased the administrative burden, required additional training and was potentially confusing for staff.</w:t>
      </w:r>
      <w:r w:rsidR="008F4156">
        <w:t xml:space="preserve"> For example, one</w:t>
      </w:r>
      <w:r>
        <w:t xml:space="preserve"> provider explained their service operated in a way that meant seven different standards or requirements applied to their service delivery.</w:t>
      </w:r>
      <w:r w:rsidR="008F4156">
        <w:t xml:space="preserve"> </w:t>
      </w:r>
      <w:r>
        <w:t>For these providers, they perceived that greater harmonisation would lower their regulatory and administrative burden, improve staff understanding and reduce the training needs of staff</w:t>
      </w:r>
      <w:r w:rsidR="008F4156">
        <w:t>.</w:t>
      </w:r>
    </w:p>
    <w:p w14:paraId="5FA1D8D7" w14:textId="017AFD4C" w:rsidR="008F4156" w:rsidRDefault="008F4156" w:rsidP="00231A99">
      <w:pPr>
        <w:pStyle w:val="HeadingLevel3NoNumber"/>
      </w:pPr>
      <w:r>
        <w:t>Opportunities for further harmonisation</w:t>
      </w:r>
      <w:bookmarkStart w:id="184" w:name="check"/>
      <w:bookmarkEnd w:id="184"/>
    </w:p>
    <w:p w14:paraId="61E3A347" w14:textId="39821B4A" w:rsidR="00ED70C4" w:rsidRDefault="00ED70C4" w:rsidP="005230A9">
      <w:pPr>
        <w:pStyle w:val="BodyText1"/>
      </w:pPr>
      <w:r w:rsidRPr="007D604B">
        <w:t xml:space="preserve">The Royal Commission made specific recommendations to harmonise </w:t>
      </w:r>
      <w:r w:rsidR="00E60658">
        <w:t xml:space="preserve">the Aged Care Quality Standards with the </w:t>
      </w:r>
      <w:r w:rsidR="00254091" w:rsidRPr="00254091">
        <w:t>National Safety and Quality Health Service Standards</w:t>
      </w:r>
      <w:r w:rsidR="00254091">
        <w:t xml:space="preserve"> (</w:t>
      </w:r>
      <w:r w:rsidR="00F64E25">
        <w:t>NSQHS</w:t>
      </w:r>
      <w:r w:rsidR="00254091">
        <w:t>)</w:t>
      </w:r>
      <w:r w:rsidRPr="007D604B">
        <w:t xml:space="preserve">. </w:t>
      </w:r>
      <w:r w:rsidR="00702B03" w:rsidRPr="00702B03">
        <w:t>As part of the 2021-22 Budget</w:t>
      </w:r>
      <w:r w:rsidR="005A0749">
        <w:t>,</w:t>
      </w:r>
      <w:r w:rsidR="00702B03" w:rsidRPr="00702B03">
        <w:t xml:space="preserve"> the Australian Government announced its intention to progress better regulatory alignment across the aged care, disability </w:t>
      </w:r>
      <w:r w:rsidR="00702B03" w:rsidRPr="00702B03">
        <w:lastRenderedPageBreak/>
        <w:t>and veterans’ care sectors.</w:t>
      </w:r>
      <w:r w:rsidR="00702B03">
        <w:t xml:space="preserve"> </w:t>
      </w:r>
      <w:r w:rsidR="00E60658" w:rsidRPr="00E60658">
        <w:t xml:space="preserve">The </w:t>
      </w:r>
      <w:r w:rsidR="00E60658">
        <w:t xml:space="preserve">Australian </w:t>
      </w:r>
      <w:r w:rsidR="00E60658" w:rsidRPr="00E60658">
        <w:t>Government stated that the formulation of the clinical care standards for aged care will be transferred to the ACSQHC from July 2021, with the intention of the ACSQHC being able to leverage its established clinical and standards expertise.</w:t>
      </w:r>
      <w:r w:rsidR="00E60658">
        <w:t xml:space="preserve"> </w:t>
      </w:r>
      <w:r>
        <w:t>Previous and future ch</w:t>
      </w:r>
      <w:r w:rsidRPr="007D604B">
        <w:t xml:space="preserve">anges to other parts of the regulatory system have </w:t>
      </w:r>
      <w:r w:rsidR="00E60658">
        <w:t xml:space="preserve">had </w:t>
      </w:r>
      <w:r w:rsidRPr="007D604B">
        <w:t>a focus on harmonisation</w:t>
      </w:r>
      <w:r>
        <w:t xml:space="preserve"> which would complement future harmonisation </w:t>
      </w:r>
      <w:r w:rsidR="00702B03">
        <w:t>of</w:t>
      </w:r>
      <w:r>
        <w:t xml:space="preserve"> the Standards</w:t>
      </w:r>
      <w:r w:rsidRPr="007D604B">
        <w:t xml:space="preserve">, </w:t>
      </w:r>
      <w:r w:rsidR="00A36DFF">
        <w:t>for example the</w:t>
      </w:r>
      <w:r w:rsidRPr="007D604B">
        <w:t xml:space="preserve"> </w:t>
      </w:r>
      <w:r w:rsidR="00E60658">
        <w:t xml:space="preserve">alignment of restrictive practice definitions between the aged care sector and the </w:t>
      </w:r>
      <w:r w:rsidR="007660B3">
        <w:t xml:space="preserve">recognition of </w:t>
      </w:r>
      <w:r w:rsidR="007660B3" w:rsidRPr="007660B3">
        <w:t xml:space="preserve">NDIS </w:t>
      </w:r>
      <w:r w:rsidR="007660B3" w:rsidRPr="008F5918">
        <w:t>worker screening clearances</w:t>
      </w:r>
      <w:r w:rsidR="008F5918" w:rsidRPr="008F5918">
        <w:t xml:space="preserve"> within the aged care sector</w:t>
      </w:r>
      <w:r w:rsidRPr="008F5918">
        <w:t>.</w:t>
      </w:r>
    </w:p>
    <w:p w14:paraId="6E0426D1" w14:textId="46E4AAEF" w:rsidR="00E62B6B" w:rsidRPr="00E62B6B" w:rsidRDefault="003E38C8" w:rsidP="005230A9">
      <w:pPr>
        <w:pStyle w:val="BodyText1"/>
      </w:pPr>
      <w:r w:rsidRPr="003E38C8">
        <w:t>The key advantage of harmonisation of requirements is that it reduces the compliance burden on providers who operate across multiple sub-sectors as they only need to be familiar with one regulatory approach across all their business areas. Harmonised standards can also support a seamless experience for clients moving across service types to understand quality requirements.</w:t>
      </w:r>
    </w:p>
    <w:p w14:paraId="4C885F1A" w14:textId="7A025DEC" w:rsidR="00D10F64" w:rsidRDefault="00D83A27" w:rsidP="00656AF4">
      <w:pPr>
        <w:pStyle w:val="BodyText1"/>
        <w:keepNext/>
      </w:pPr>
      <w:r>
        <w:t xml:space="preserve">A disadvantage of harmonisation is reduced tailoring to </w:t>
      </w:r>
      <w:r w:rsidR="009205FD">
        <w:t>each</w:t>
      </w:r>
      <w:r>
        <w:t xml:space="preserve"> service</w:t>
      </w:r>
      <w:r w:rsidR="009205FD">
        <w:t xml:space="preserve"> type </w:t>
      </w:r>
      <w:r>
        <w:t xml:space="preserve">delivered </w:t>
      </w:r>
      <w:r w:rsidR="009205FD">
        <w:t xml:space="preserve">within the </w:t>
      </w:r>
      <w:r>
        <w:t>aged care sector</w:t>
      </w:r>
      <w:r w:rsidR="00D10F64">
        <w:t>. For example, in the introduction to the New Zealand Standards</w:t>
      </w:r>
      <w:r w:rsidR="00BD2284">
        <w:t xml:space="preserve"> which covers multiple sub-sectors</w:t>
      </w:r>
      <w:r w:rsidR="00D10F64">
        <w:t>, the authors note:</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338D" w:themeFill="text2"/>
        <w:tblLook w:val="04A0" w:firstRow="1" w:lastRow="0" w:firstColumn="1" w:lastColumn="0" w:noHBand="0" w:noVBand="1"/>
      </w:tblPr>
      <w:tblGrid>
        <w:gridCol w:w="993"/>
        <w:gridCol w:w="7229"/>
        <w:gridCol w:w="843"/>
      </w:tblGrid>
      <w:tr w:rsidR="00656AF4" w:rsidRPr="00E947EA" w14:paraId="35CAB577" w14:textId="77777777" w:rsidTr="003D62F3">
        <w:tc>
          <w:tcPr>
            <w:tcW w:w="993" w:type="dxa"/>
            <w:shd w:val="clear" w:color="auto" w:fill="00338D" w:themeFill="text2"/>
          </w:tcPr>
          <w:p w14:paraId="1B1530D1" w14:textId="77777777" w:rsidR="00656AF4" w:rsidRPr="00E947EA" w:rsidRDefault="00656AF4" w:rsidP="00E710DB">
            <w:pPr>
              <w:pStyle w:val="Tableheading"/>
              <w:rPr>
                <w:noProof/>
              </w:rPr>
            </w:pPr>
            <w:r w:rsidRPr="00E947EA">
              <w:rPr>
                <w:noProof/>
              </w:rPr>
              <mc:AlternateContent>
                <mc:Choice Requires="wpg">
                  <w:drawing>
                    <wp:inline distT="0" distB="0" distL="0" distR="0" wp14:anchorId="3CA057B8" wp14:editId="5103C351">
                      <wp:extent cx="365760" cy="295710"/>
                      <wp:effectExtent l="0" t="0" r="15240" b="28575"/>
                      <wp:docPr id="784" name="Group 7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5760" cy="295710"/>
                                <a:chOff x="0" y="0"/>
                                <a:chExt cx="464481" cy="375528"/>
                              </a:xfrm>
                            </wpg:grpSpPr>
                            <wps:wsp>
                              <wps:cNvPr id="785" name="Freeform 5"/>
                              <wps:cNvSpPr>
                                <a:spLocks/>
                              </wps:cNvSpPr>
                              <wps:spPr bwMode="auto">
                                <a:xfrm>
                                  <a:off x="157277" y="7316"/>
                                  <a:ext cx="307204" cy="368212"/>
                                </a:xfrm>
                                <a:custGeom>
                                  <a:avLst/>
                                  <a:gdLst>
                                    <a:gd name="T0" fmla="*/ 127 w 157"/>
                                    <a:gd name="T1" fmla="*/ 0 h 187"/>
                                    <a:gd name="T2" fmla="*/ 131 w 157"/>
                                    <a:gd name="T3" fmla="*/ 2 h 187"/>
                                    <a:gd name="T4" fmla="*/ 94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7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7" y="0"/>
                                      </a:moveTo>
                                      <a:cubicBezTo>
                                        <a:pt x="131" y="2"/>
                                        <a:pt x="131" y="2"/>
                                        <a:pt x="131" y="2"/>
                                      </a:cubicBezTo>
                                      <a:cubicBezTo>
                                        <a:pt x="109" y="14"/>
                                        <a:pt x="97" y="31"/>
                                        <a:pt x="94" y="53"/>
                                      </a:cubicBezTo>
                                      <a:cubicBezTo>
                                        <a:pt x="136" y="64"/>
                                        <a:pt x="157" y="85"/>
                                        <a:pt x="157" y="117"/>
                                      </a:cubicBezTo>
                                      <a:cubicBezTo>
                                        <a:pt x="157" y="137"/>
                                        <a:pt x="149" y="154"/>
                                        <a:pt x="134" y="167"/>
                                      </a:cubicBezTo>
                                      <a:cubicBezTo>
                                        <a:pt x="119" y="181"/>
                                        <a:pt x="100" y="187"/>
                                        <a:pt x="78" y="187"/>
                                      </a:cubicBezTo>
                                      <a:cubicBezTo>
                                        <a:pt x="55" y="187"/>
                                        <a:pt x="36" y="181"/>
                                        <a:pt x="22" y="167"/>
                                      </a:cubicBezTo>
                                      <a:cubicBezTo>
                                        <a:pt x="7" y="153"/>
                                        <a:pt x="0" y="136"/>
                                        <a:pt x="0" y="115"/>
                                      </a:cubicBezTo>
                                      <a:cubicBezTo>
                                        <a:pt x="0" y="88"/>
                                        <a:pt x="12" y="64"/>
                                        <a:pt x="36" y="41"/>
                                      </a:cubicBezTo>
                                      <a:cubicBezTo>
                                        <a:pt x="60" y="19"/>
                                        <a:pt x="91" y="5"/>
                                        <a:pt x="127" y="0"/>
                                      </a:cubicBezTo>
                                    </a:path>
                                  </a:pathLst>
                                </a:custGeom>
                                <a:solidFill>
                                  <a:schemeClr val="bg1"/>
                                </a:solidFill>
                                <a:ln w="19050">
                                  <a:solidFill>
                                    <a:schemeClr val="bg1"/>
                                  </a:solidFill>
                                </a:ln>
                              </wps:spPr>
                              <wps:bodyPr vert="horz" wrap="square" lIns="91440" tIns="45720" rIns="91440" bIns="45720" numCol="1" anchor="t" anchorCtr="0" compatLnSpc="1">
                                <a:prstTxWarp prst="textNoShape">
                                  <a:avLst/>
                                </a:prstTxWarp>
                              </wps:bodyPr>
                            </wps:wsp>
                            <wps:wsp>
                              <wps:cNvPr id="786" name="Freeform 6"/>
                              <wps:cNvSpPr>
                                <a:spLocks/>
                              </wps:cNvSpPr>
                              <wps:spPr bwMode="auto">
                                <a:xfrm>
                                  <a:off x="0" y="0"/>
                                  <a:ext cx="306705" cy="367665"/>
                                </a:xfrm>
                                <a:custGeom>
                                  <a:avLst/>
                                  <a:gdLst>
                                    <a:gd name="T0" fmla="*/ 128 w 157"/>
                                    <a:gd name="T1" fmla="*/ 0 h 187"/>
                                    <a:gd name="T2" fmla="*/ 132 w 157"/>
                                    <a:gd name="T3" fmla="*/ 2 h 187"/>
                                    <a:gd name="T4" fmla="*/ 95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8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8" y="0"/>
                                      </a:moveTo>
                                      <a:cubicBezTo>
                                        <a:pt x="132" y="2"/>
                                        <a:pt x="132" y="2"/>
                                        <a:pt x="132" y="2"/>
                                      </a:cubicBezTo>
                                      <a:cubicBezTo>
                                        <a:pt x="110" y="14"/>
                                        <a:pt x="97" y="31"/>
                                        <a:pt x="95" y="53"/>
                                      </a:cubicBezTo>
                                      <a:cubicBezTo>
                                        <a:pt x="137" y="64"/>
                                        <a:pt x="157" y="85"/>
                                        <a:pt x="157" y="117"/>
                                      </a:cubicBezTo>
                                      <a:cubicBezTo>
                                        <a:pt x="157" y="137"/>
                                        <a:pt x="150" y="154"/>
                                        <a:pt x="134" y="167"/>
                                      </a:cubicBezTo>
                                      <a:cubicBezTo>
                                        <a:pt x="119" y="181"/>
                                        <a:pt x="100" y="187"/>
                                        <a:pt x="78" y="187"/>
                                      </a:cubicBezTo>
                                      <a:cubicBezTo>
                                        <a:pt x="55" y="187"/>
                                        <a:pt x="37" y="181"/>
                                        <a:pt x="22" y="167"/>
                                      </a:cubicBezTo>
                                      <a:cubicBezTo>
                                        <a:pt x="7" y="153"/>
                                        <a:pt x="0" y="136"/>
                                        <a:pt x="0" y="115"/>
                                      </a:cubicBezTo>
                                      <a:cubicBezTo>
                                        <a:pt x="0" y="88"/>
                                        <a:pt x="12" y="64"/>
                                        <a:pt x="36" y="41"/>
                                      </a:cubicBezTo>
                                      <a:cubicBezTo>
                                        <a:pt x="61" y="19"/>
                                        <a:pt x="91" y="5"/>
                                        <a:pt x="128" y="0"/>
                                      </a:cubicBezTo>
                                    </a:path>
                                  </a:pathLst>
                                </a:custGeom>
                                <a:solidFill>
                                  <a:schemeClr val="tx2"/>
                                </a:solidFill>
                                <a:ln w="19050">
                                  <a:solidFill>
                                    <a:schemeClr val="bg1"/>
                                  </a:solidFill>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5B698463" id="Group 784" o:spid="_x0000_s1026" alt="&quot;&quot;" style="width:28.8pt;height:23.3pt;mso-position-horizontal-relative:char;mso-position-vertical-relative:line" coordsize="464481,375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">
                      <v:shape id="Freeform 5" o:spid="_x0000_s1027" style="position:absolute;left:157277;top:7316;width:307204;height:368212;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" path="m127,v4,2,4,2,4,2c109,14,97,31,94,53v42,11,63,32,63,64c157,137,149,154,134,167v-15,14,-34,20,-56,20c55,187,36,181,22,167,7,153,,136,,115,,88,12,64,36,41,60,19,91,5,127,e" fillcolor="white [3212]" strokecolor="white [3212]" strokeweight="1.5pt">
                        <v:path arrowok="t" o:connecttype="custom" o:connectlocs="248503,0;256329,3938;183931,104360;307204,230379;262200,328831;152624,368212;43048,328831;0,226441;70442,80731;248503,0" o:connectangles="0,0,0,0,0,0,0,0,0,0"/>
                      </v:shape>
                      <v:shape id="Freeform 6" o:spid="_x0000_s1028" style="position:absolute;width:306705;height:367665;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" path="m128,v4,2,4,2,4,2c110,14,97,31,95,53v42,11,62,32,62,64c157,137,150,154,134,167v-15,14,-34,20,-56,20c55,187,37,181,22,167,7,153,,136,,115,,88,12,64,36,41,61,19,91,5,128,e" fillcolor="#00338d [3215]" strokecolor="white [3212]" strokeweight="1.5pt">
                        <v:path arrowok="t" o:connecttype="custom" o:connectlocs="250052,0;257867,3932;185586,104205;306705,230036;261774,328343;152376,367665;42978,328343;0,226104;70327,80611;250052,0" o:connectangles="0,0,0,0,0,0,0,0,0,0"/>
                      </v:shape>
                      <w10:anchorlock/>
                    </v:group>
                  </w:pict>
                </mc:Fallback>
              </mc:AlternateContent>
            </w:r>
          </w:p>
        </w:tc>
        <w:tc>
          <w:tcPr>
            <w:tcW w:w="7229" w:type="dxa"/>
            <w:shd w:val="clear" w:color="auto" w:fill="00338D" w:themeFill="text2"/>
          </w:tcPr>
          <w:p w14:paraId="16FE72DB" w14:textId="63623B5D" w:rsidR="00656AF4" w:rsidRPr="00656AF4" w:rsidRDefault="00656AF4" w:rsidP="00E710DB">
            <w:pPr>
              <w:pStyle w:val="Tableheading"/>
              <w:rPr>
                <w:noProof/>
              </w:rPr>
            </w:pPr>
            <w:r w:rsidRPr="00656AF4">
              <w:rPr>
                <w:noProof/>
              </w:rPr>
              <w:t>The broad diversity and uniqueness of the health and disability sector has necessitated the use of generic phases and terminology throughout the standard.</w:t>
            </w:r>
            <w:r w:rsidRPr="00CD3D14">
              <w:rPr>
                <w:noProof/>
                <w:vertAlign w:val="superscript"/>
              </w:rPr>
              <w:footnoteReference w:id="43"/>
            </w:r>
          </w:p>
        </w:tc>
        <w:tc>
          <w:tcPr>
            <w:tcW w:w="843" w:type="dxa"/>
            <w:shd w:val="clear" w:color="auto" w:fill="00338D" w:themeFill="text2"/>
          </w:tcPr>
          <w:p w14:paraId="3A89067D" w14:textId="77777777" w:rsidR="00656AF4" w:rsidRPr="00E947EA" w:rsidRDefault="00656AF4" w:rsidP="00E710DB">
            <w:pPr>
              <w:pStyle w:val="Tableheading"/>
              <w:rPr>
                <w:noProof/>
              </w:rPr>
            </w:pPr>
            <w:r w:rsidRPr="00E947EA">
              <w:rPr>
                <w:noProof/>
              </w:rPr>
              <mc:AlternateContent>
                <mc:Choice Requires="wpg">
                  <w:drawing>
                    <wp:inline distT="0" distB="0" distL="0" distR="0" wp14:anchorId="5A93668A" wp14:editId="1868DEE8">
                      <wp:extent cx="365760" cy="295710"/>
                      <wp:effectExtent l="0" t="0" r="15240" b="28575"/>
                      <wp:docPr id="787" name="Group 7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0800000">
                                <a:off x="0" y="0"/>
                                <a:ext cx="365760" cy="295710"/>
                                <a:chOff x="0" y="0"/>
                                <a:chExt cx="464481" cy="375528"/>
                              </a:xfrm>
                            </wpg:grpSpPr>
                            <wps:wsp>
                              <wps:cNvPr id="788" name="Freeform 5"/>
                              <wps:cNvSpPr>
                                <a:spLocks/>
                              </wps:cNvSpPr>
                              <wps:spPr bwMode="auto">
                                <a:xfrm>
                                  <a:off x="157277" y="7316"/>
                                  <a:ext cx="307204" cy="368212"/>
                                </a:xfrm>
                                <a:custGeom>
                                  <a:avLst/>
                                  <a:gdLst>
                                    <a:gd name="T0" fmla="*/ 127 w 157"/>
                                    <a:gd name="T1" fmla="*/ 0 h 187"/>
                                    <a:gd name="T2" fmla="*/ 131 w 157"/>
                                    <a:gd name="T3" fmla="*/ 2 h 187"/>
                                    <a:gd name="T4" fmla="*/ 94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7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7" y="0"/>
                                      </a:moveTo>
                                      <a:cubicBezTo>
                                        <a:pt x="131" y="2"/>
                                        <a:pt x="131" y="2"/>
                                        <a:pt x="131" y="2"/>
                                      </a:cubicBezTo>
                                      <a:cubicBezTo>
                                        <a:pt x="109" y="14"/>
                                        <a:pt x="97" y="31"/>
                                        <a:pt x="94" y="53"/>
                                      </a:cubicBezTo>
                                      <a:cubicBezTo>
                                        <a:pt x="136" y="64"/>
                                        <a:pt x="157" y="85"/>
                                        <a:pt x="157" y="117"/>
                                      </a:cubicBezTo>
                                      <a:cubicBezTo>
                                        <a:pt x="157" y="137"/>
                                        <a:pt x="149" y="154"/>
                                        <a:pt x="134" y="167"/>
                                      </a:cubicBezTo>
                                      <a:cubicBezTo>
                                        <a:pt x="119" y="181"/>
                                        <a:pt x="100" y="187"/>
                                        <a:pt x="78" y="187"/>
                                      </a:cubicBezTo>
                                      <a:cubicBezTo>
                                        <a:pt x="55" y="187"/>
                                        <a:pt x="36" y="181"/>
                                        <a:pt x="22" y="167"/>
                                      </a:cubicBezTo>
                                      <a:cubicBezTo>
                                        <a:pt x="7" y="153"/>
                                        <a:pt x="0" y="136"/>
                                        <a:pt x="0" y="115"/>
                                      </a:cubicBezTo>
                                      <a:cubicBezTo>
                                        <a:pt x="0" y="88"/>
                                        <a:pt x="12" y="64"/>
                                        <a:pt x="36" y="41"/>
                                      </a:cubicBezTo>
                                      <a:cubicBezTo>
                                        <a:pt x="60" y="19"/>
                                        <a:pt x="91" y="5"/>
                                        <a:pt x="127" y="0"/>
                                      </a:cubicBezTo>
                                    </a:path>
                                  </a:pathLst>
                                </a:custGeom>
                                <a:solidFill>
                                  <a:schemeClr val="bg1"/>
                                </a:solidFill>
                                <a:ln w="19050">
                                  <a:solidFill>
                                    <a:schemeClr val="bg1"/>
                                  </a:solidFill>
                                </a:ln>
                              </wps:spPr>
                              <wps:bodyPr vert="horz" wrap="square" lIns="91440" tIns="45720" rIns="91440" bIns="45720" numCol="1" anchor="t" anchorCtr="0" compatLnSpc="1">
                                <a:prstTxWarp prst="textNoShape">
                                  <a:avLst/>
                                </a:prstTxWarp>
                              </wps:bodyPr>
                            </wps:wsp>
                            <wps:wsp>
                              <wps:cNvPr id="789" name="Freeform 6"/>
                              <wps:cNvSpPr>
                                <a:spLocks/>
                              </wps:cNvSpPr>
                              <wps:spPr bwMode="auto">
                                <a:xfrm>
                                  <a:off x="0" y="0"/>
                                  <a:ext cx="306705" cy="367665"/>
                                </a:xfrm>
                                <a:custGeom>
                                  <a:avLst/>
                                  <a:gdLst>
                                    <a:gd name="T0" fmla="*/ 128 w 157"/>
                                    <a:gd name="T1" fmla="*/ 0 h 187"/>
                                    <a:gd name="T2" fmla="*/ 132 w 157"/>
                                    <a:gd name="T3" fmla="*/ 2 h 187"/>
                                    <a:gd name="T4" fmla="*/ 95 w 157"/>
                                    <a:gd name="T5" fmla="*/ 53 h 187"/>
                                    <a:gd name="T6" fmla="*/ 157 w 157"/>
                                    <a:gd name="T7" fmla="*/ 117 h 187"/>
                                    <a:gd name="T8" fmla="*/ 134 w 157"/>
                                    <a:gd name="T9" fmla="*/ 167 h 187"/>
                                    <a:gd name="T10" fmla="*/ 78 w 157"/>
                                    <a:gd name="T11" fmla="*/ 187 h 187"/>
                                    <a:gd name="T12" fmla="*/ 22 w 157"/>
                                    <a:gd name="T13" fmla="*/ 167 h 187"/>
                                    <a:gd name="T14" fmla="*/ 0 w 157"/>
                                    <a:gd name="T15" fmla="*/ 115 h 187"/>
                                    <a:gd name="T16" fmla="*/ 36 w 157"/>
                                    <a:gd name="T17" fmla="*/ 41 h 187"/>
                                    <a:gd name="T18" fmla="*/ 128 w 157"/>
                                    <a:gd name="T19" fmla="*/ 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7" h="187">
                                      <a:moveTo>
                                        <a:pt x="128" y="0"/>
                                      </a:moveTo>
                                      <a:cubicBezTo>
                                        <a:pt x="132" y="2"/>
                                        <a:pt x="132" y="2"/>
                                        <a:pt x="132" y="2"/>
                                      </a:cubicBezTo>
                                      <a:cubicBezTo>
                                        <a:pt x="110" y="14"/>
                                        <a:pt x="97" y="31"/>
                                        <a:pt x="95" y="53"/>
                                      </a:cubicBezTo>
                                      <a:cubicBezTo>
                                        <a:pt x="137" y="64"/>
                                        <a:pt x="157" y="85"/>
                                        <a:pt x="157" y="117"/>
                                      </a:cubicBezTo>
                                      <a:cubicBezTo>
                                        <a:pt x="157" y="137"/>
                                        <a:pt x="150" y="154"/>
                                        <a:pt x="134" y="167"/>
                                      </a:cubicBezTo>
                                      <a:cubicBezTo>
                                        <a:pt x="119" y="181"/>
                                        <a:pt x="100" y="187"/>
                                        <a:pt x="78" y="187"/>
                                      </a:cubicBezTo>
                                      <a:cubicBezTo>
                                        <a:pt x="55" y="187"/>
                                        <a:pt x="37" y="181"/>
                                        <a:pt x="22" y="167"/>
                                      </a:cubicBezTo>
                                      <a:cubicBezTo>
                                        <a:pt x="7" y="153"/>
                                        <a:pt x="0" y="136"/>
                                        <a:pt x="0" y="115"/>
                                      </a:cubicBezTo>
                                      <a:cubicBezTo>
                                        <a:pt x="0" y="88"/>
                                        <a:pt x="12" y="64"/>
                                        <a:pt x="36" y="41"/>
                                      </a:cubicBezTo>
                                      <a:cubicBezTo>
                                        <a:pt x="61" y="19"/>
                                        <a:pt x="91" y="5"/>
                                        <a:pt x="128" y="0"/>
                                      </a:cubicBezTo>
                                    </a:path>
                                  </a:pathLst>
                                </a:custGeom>
                                <a:solidFill>
                                  <a:schemeClr val="tx2"/>
                                </a:solidFill>
                                <a:ln w="19050">
                                  <a:solidFill>
                                    <a:schemeClr val="bg1"/>
                                  </a:solidFill>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1915993D" id="Group 787" o:spid="_x0000_s1026" alt="&quot;&quot;" style="width:28.8pt;height:23.3pt;rotation:180;mso-position-horizontal-relative:char;mso-position-vertical-relative:line" coordsize="464481,375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">
                      <v:shape id="Freeform 5" o:spid="_x0000_s1027" style="position:absolute;left:157277;top:7316;width:307204;height:368212;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" path="m127,v4,2,4,2,4,2c109,14,97,31,94,53v42,11,63,32,63,64c157,137,149,154,134,167v-15,14,-34,20,-56,20c55,187,36,181,22,167,7,153,,136,,115,,88,12,64,36,41,60,19,91,5,127,e" fillcolor="white [3212]" strokecolor="white [3212]" strokeweight="1.5pt">
                        <v:path arrowok="t" o:connecttype="custom" o:connectlocs="248503,0;256329,3938;183931,104360;307204,230379;262200,328831;152624,368212;43048,328831;0,226441;70442,80731;248503,0" o:connectangles="0,0,0,0,0,0,0,0,0,0"/>
                      </v:shape>
                      <v:shape id="Freeform 6" o:spid="_x0000_s1028" style="position:absolute;width:306705;height:367665;visibility:visible;mso-wrap-style:square;v-text-anchor:top" coordsize="1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" path="m128,v4,2,4,2,4,2c110,14,97,31,95,53v42,11,62,32,62,64c157,137,150,154,134,167v-15,14,-34,20,-56,20c55,187,37,181,22,167,7,153,,136,,115,,88,12,64,36,41,61,19,91,5,128,e" fillcolor="#00338d [3215]" strokecolor="white [3212]" strokeweight="1.5pt">
                        <v:path arrowok="t" o:connecttype="custom" o:connectlocs="250052,0;257867,3932;185586,104205;306705,230036;261774,328343;152376,367665;42978,328343;0,226104;70327,80611;250052,0" o:connectangles="0,0,0,0,0,0,0,0,0,0"/>
                      </v:shape>
                      <w10:anchorlock/>
                    </v:group>
                  </w:pict>
                </mc:Fallback>
              </mc:AlternateContent>
            </w:r>
          </w:p>
        </w:tc>
      </w:tr>
    </w:tbl>
    <w:p w14:paraId="2CE8B3BF" w14:textId="64619948" w:rsidR="00D10F64" w:rsidRDefault="0095761A" w:rsidP="005230A9">
      <w:pPr>
        <w:pStyle w:val="BodyText1"/>
      </w:pPr>
      <w:r>
        <w:t>Harmonisation that is accompanied by less s</w:t>
      </w:r>
      <w:r w:rsidR="00416B8B">
        <w:t>pecificity and relevance for specific service type</w:t>
      </w:r>
      <w:r w:rsidR="00C45C40">
        <w:t>s</w:t>
      </w:r>
      <w:r w:rsidR="007E69E8">
        <w:t xml:space="preserve"> may </w:t>
      </w:r>
      <w:r>
        <w:t>also</w:t>
      </w:r>
      <w:r w:rsidR="007E69E8">
        <w:t xml:space="preserve"> </w:t>
      </w:r>
      <w:r w:rsidR="00066B5C">
        <w:t xml:space="preserve">have a direct impact on provider understanding of the Standards and </w:t>
      </w:r>
      <w:r w:rsidR="00416B8B">
        <w:t xml:space="preserve">how to meet </w:t>
      </w:r>
      <w:r w:rsidR="00066B5C">
        <w:t>requirements underneath them</w:t>
      </w:r>
      <w:r w:rsidR="00416B8B">
        <w:t>.</w:t>
      </w:r>
    </w:p>
    <w:p w14:paraId="4B88997C" w14:textId="5ED96E8B" w:rsidR="00221112" w:rsidRDefault="00221112" w:rsidP="005230A9">
      <w:pPr>
        <w:pStyle w:val="BodyText1"/>
      </w:pPr>
      <w:r>
        <w:t xml:space="preserve">The Lightning Review considered the themes, topics or issues that overlap between the Standards and various national and international </w:t>
      </w:r>
      <w:r w:rsidR="00E60658">
        <w:t>quality</w:t>
      </w:r>
      <w:r>
        <w:t xml:space="preserve"> standards. Of all the standards considered, the NDIS standards included themes most like the </w:t>
      </w:r>
      <w:r w:rsidR="00F64E25">
        <w:t>S</w:t>
      </w:r>
      <w:r>
        <w:t>tandards, suggesting harmonisation of the two could be possible. However, there is a level of variation in standards across the human services sector as exemplified by the different human services standards in Queensland and Victoria. Therefore, it is unlikely that harmonisation of standards between the aged care and human service sectors is possible from a content perspective, in addition to the cross-government work which would be necessary for such alignment. However, there is scope for some improvement that may assist providers. For example, one provider suggested</w:t>
      </w:r>
      <w:r w:rsidR="002075DD">
        <w:t xml:space="preserve"> </w:t>
      </w:r>
      <w:r w:rsidR="00D71894">
        <w:t>that</w:t>
      </w:r>
      <w:r>
        <w:t xml:space="preserve"> aligning the definitions used between the Standards and the NDIS standards (described as a “shared dictionary”) would lessen the confusion for staff working across both standards.</w:t>
      </w:r>
    </w:p>
    <w:p w14:paraId="5C040E45" w14:textId="520F85CC" w:rsidR="002075DD" w:rsidRDefault="00221112" w:rsidP="005230A9">
      <w:pPr>
        <w:pStyle w:val="BodyText1"/>
      </w:pPr>
      <w:r>
        <w:t xml:space="preserve">One route that may support </w:t>
      </w:r>
      <w:r w:rsidR="002075DD">
        <w:t>providers</w:t>
      </w:r>
      <w:r w:rsidR="00D71894">
        <w:t>’</w:t>
      </w:r>
      <w:r>
        <w:t xml:space="preserve"> understanding of greater harmonisation is </w:t>
      </w:r>
      <w:r w:rsidRPr="001B7C11">
        <w:t xml:space="preserve">to use a structure which has modular components. All providers comply with a baseline set of standards, but additional modules can apply based on service type. </w:t>
      </w:r>
      <w:r w:rsidR="00ED70C4">
        <w:t>The</w:t>
      </w:r>
      <w:r w:rsidRPr="001B7C11">
        <w:t xml:space="preserve"> Lightning Review showed some standards like the NDIS and the New Zealand standards adopt a modular approach, which makes it clearer which requirements apply to which service types</w:t>
      </w:r>
      <w:r>
        <w:t xml:space="preserve">. </w:t>
      </w:r>
      <w:r w:rsidR="00190084">
        <w:fldChar w:fldCharType="begin" w:fldLock="1"/>
      </w:r>
      <w:r w:rsidR="00190084">
        <w:instrText xml:space="preserve"> REF _Ref85282283 \h </w:instrText>
      </w:r>
      <w:r w:rsidR="00190084">
        <w:fldChar w:fldCharType="separate"/>
      </w:r>
      <w:r w:rsidR="00453533">
        <w:t xml:space="preserve">Figure </w:t>
      </w:r>
      <w:r w:rsidR="00453533">
        <w:rPr>
          <w:noProof/>
        </w:rPr>
        <w:t>13</w:t>
      </w:r>
      <w:r w:rsidR="00190084">
        <w:fldChar w:fldCharType="end"/>
      </w:r>
      <w:r w:rsidR="002075DD">
        <w:t xml:space="preserve"> shows how the N</w:t>
      </w:r>
      <w:r w:rsidR="00F93B2E">
        <w:t xml:space="preserve">ew </w:t>
      </w:r>
      <w:r w:rsidR="002075DD">
        <w:t>Z</w:t>
      </w:r>
      <w:r w:rsidR="00F93B2E">
        <w:t>ealand</w:t>
      </w:r>
      <w:r w:rsidR="002075DD">
        <w:t xml:space="preserve"> standards present this information to providers in their standards document using a table format called the criteria application framework.</w:t>
      </w:r>
      <w:r w:rsidR="0083123A">
        <w:rPr>
          <w:rFonts w:ascii="ZWAdobeF" w:hAnsi="ZWAdobeF" w:cs="ZWAdobeF"/>
          <w:sz w:val="2"/>
          <w:szCs w:val="2"/>
        </w:rPr>
        <w:t>42F</w:t>
      </w:r>
      <w:r w:rsidR="002075DD" w:rsidRPr="00EC12ED">
        <w:rPr>
          <w:vertAlign w:val="superscript"/>
        </w:rPr>
        <w:footnoteReference w:id="44"/>
      </w:r>
    </w:p>
    <w:p w14:paraId="6D2038C6" w14:textId="1D98B73A" w:rsidR="00221112" w:rsidRDefault="00221112" w:rsidP="00231A99">
      <w:pPr>
        <w:pStyle w:val="Caption"/>
      </w:pPr>
      <w:bookmarkStart w:id="185" w:name="_Ref85282283"/>
      <w:bookmarkStart w:id="186" w:name="_Toc85369270"/>
      <w:r>
        <w:lastRenderedPageBreak/>
        <w:t xml:space="preserve">Figure </w:t>
      </w:r>
      <w:r>
        <w:fldChar w:fldCharType="begin"/>
      </w:r>
      <w:r>
        <w:instrText>SEQ Figure \* ARABIC</w:instrText>
      </w:r>
      <w:r>
        <w:fldChar w:fldCharType="separate"/>
      </w:r>
      <w:r w:rsidR="0083123A">
        <w:rPr>
          <w:noProof/>
        </w:rPr>
        <w:t>13</w:t>
      </w:r>
      <w:r>
        <w:fldChar w:fldCharType="end"/>
      </w:r>
      <w:bookmarkEnd w:id="185"/>
      <w:r w:rsidR="000430B3">
        <w:t>:</w:t>
      </w:r>
      <w:r>
        <w:t xml:space="preserve"> Extract from New Zealand Standards Criteria Application Framework Table</w:t>
      </w:r>
      <w:bookmarkEnd w:id="186"/>
      <w:r>
        <w:t xml:space="preserve"> </w:t>
      </w:r>
    </w:p>
    <w:p w14:paraId="082EF6F3" w14:textId="77777777" w:rsidR="00221112" w:rsidRDefault="00221112" w:rsidP="007F37F1">
      <w:pPr>
        <w:pStyle w:val="BodyTextkeepwithnext"/>
      </w:pPr>
      <w:r>
        <w:rPr>
          <w:noProof/>
        </w:rPr>
        <w:drawing>
          <wp:inline distT="0" distB="0" distL="0" distR="0" wp14:anchorId="73589BB6" wp14:editId="633F563D">
            <wp:extent cx="6120000" cy="5196265"/>
            <wp:effectExtent l="0" t="0" r="0" b="4445"/>
            <wp:docPr id="5" name="Picture 5" descr="Table. Figure 13: Extract from New Zealand Standards Criteria Application Framework Table. Source: NZ Health and Disability Service Standard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 Figure 13: Extract from New Zealand Standards Criteria Application Framework Table. Source: NZ Health and Disability Service Standards 2021."/>
                    <pic:cNvPicPr/>
                  </pic:nvPicPr>
                  <pic:blipFill>
                    <a:blip r:embed="rId47">
                      <a:extLst>
                        <a:ext uri="{BEBA8EAE-BF5A-486C-A8C5-ECC9F3942E4B}">
                          <a14:imgProps xmlns:a14="http://schemas.microsoft.com/office/drawing/2010/main">
                            <a14:imgLayer r:embed="rId48">
                              <a14:imgEffect>
                                <a14:saturation sat="0"/>
                              </a14:imgEffect>
                            </a14:imgLayer>
                          </a14:imgProps>
                        </a:ext>
                      </a:extLst>
                    </a:blip>
                    <a:stretch>
                      <a:fillRect/>
                    </a:stretch>
                  </pic:blipFill>
                  <pic:spPr>
                    <a:xfrm>
                      <a:off x="0" y="0"/>
                      <a:ext cx="6120000" cy="5196265"/>
                    </a:xfrm>
                    <a:prstGeom prst="rect">
                      <a:avLst/>
                    </a:prstGeom>
                  </pic:spPr>
                </pic:pic>
              </a:graphicData>
            </a:graphic>
          </wp:inline>
        </w:drawing>
      </w:r>
    </w:p>
    <w:p w14:paraId="0CC474DD" w14:textId="24E1D07E" w:rsidR="00221112" w:rsidRDefault="00221112" w:rsidP="00231A99">
      <w:pPr>
        <w:pStyle w:val="Source0"/>
      </w:pPr>
      <w:r>
        <w:t>Source: NZ Health and Disability Service Standards 2021</w:t>
      </w:r>
      <w:r w:rsidR="00F626EE">
        <w:t>.</w:t>
      </w:r>
    </w:p>
    <w:p w14:paraId="4E0FC1F2" w14:textId="12A1EFFA" w:rsidR="009C2D27" w:rsidRPr="00BA254F" w:rsidRDefault="00221112" w:rsidP="005230A9">
      <w:pPr>
        <w:pStyle w:val="BodyText1"/>
      </w:pPr>
      <w:r>
        <w:t xml:space="preserve">Therefore, it may be possible to increase harmonisation in a way that does not lower provider understanding and </w:t>
      </w:r>
      <w:r w:rsidR="00ED0846">
        <w:t xml:space="preserve">that </w:t>
      </w:r>
      <w:r>
        <w:t>meet</w:t>
      </w:r>
      <w:r w:rsidR="00ED0846">
        <w:t>s</w:t>
      </w:r>
      <w:r>
        <w:t xml:space="preserve"> some </w:t>
      </w:r>
      <w:r w:rsidR="002075DD">
        <w:t>providers</w:t>
      </w:r>
      <w:r w:rsidR="00315EFC">
        <w:t>’</w:t>
      </w:r>
      <w:r>
        <w:t xml:space="preserve"> requests for greater harmonisation. However, delivering this effectively requires that there is adequate guidance within the </w:t>
      </w:r>
      <w:r w:rsidR="00416B8B">
        <w:t>S</w:t>
      </w:r>
      <w:r>
        <w:t xml:space="preserve">tandards or in linked guidance material to assist </w:t>
      </w:r>
      <w:r w:rsidR="002075DD">
        <w:t>providers</w:t>
      </w:r>
      <w:r w:rsidR="00315EFC">
        <w:t>’</w:t>
      </w:r>
      <w:r>
        <w:t xml:space="preserve"> understanding</w:t>
      </w:r>
      <w:r w:rsidR="00416B8B">
        <w:t xml:space="preserve"> and adoption of the Standards</w:t>
      </w:r>
      <w:r>
        <w:t xml:space="preserve">. It is possible the views expressed by a small number of home care providers indicate this is something which could be improved in the current </w:t>
      </w:r>
      <w:r w:rsidR="00416B8B">
        <w:t>S</w:t>
      </w:r>
      <w:r>
        <w:t>tandards.</w:t>
      </w:r>
    </w:p>
    <w:p w14:paraId="3B2438F2" w14:textId="0DCDA96B" w:rsidR="007E085B" w:rsidRDefault="00B92005" w:rsidP="00B92005">
      <w:pPr>
        <w:pStyle w:val="Heading2"/>
      </w:pPr>
      <w:bookmarkStart w:id="187" w:name="_Toc88804092"/>
      <w:bookmarkStart w:id="188" w:name="_Toc89930052"/>
      <w:bookmarkStart w:id="189" w:name="_Toc90453371"/>
      <w:bookmarkStart w:id="190" w:name="_Toc113448699"/>
      <w:r>
        <w:t xml:space="preserve">6.5 </w:t>
      </w:r>
      <w:r w:rsidR="001043EF">
        <w:t xml:space="preserve">Are </w:t>
      </w:r>
      <w:proofErr w:type="gramStart"/>
      <w:r w:rsidR="001043EF">
        <w:t>there</w:t>
      </w:r>
      <w:proofErr w:type="gramEnd"/>
      <w:r w:rsidR="001043EF">
        <w:t xml:space="preserve"> gaps?</w:t>
      </w:r>
      <w:bookmarkEnd w:id="187"/>
      <w:bookmarkEnd w:id="188"/>
      <w:bookmarkEnd w:id="189"/>
      <w:bookmarkEnd w:id="190"/>
    </w:p>
    <w:p w14:paraId="6731881D" w14:textId="61949A71" w:rsidR="0080238E" w:rsidRDefault="00A76583" w:rsidP="005230A9">
      <w:pPr>
        <w:pStyle w:val="BodyText1"/>
      </w:pPr>
      <w:r>
        <w:t xml:space="preserve">Stakeholders agreed the current </w:t>
      </w:r>
      <w:r w:rsidR="002B795A">
        <w:t>S</w:t>
      </w:r>
      <w:r>
        <w:t>tandards contain gaps</w:t>
      </w:r>
      <w:r w:rsidR="001270E4">
        <w:t xml:space="preserve">. </w:t>
      </w:r>
      <w:r w:rsidR="009C2D27">
        <w:t>Forty-four percent</w:t>
      </w:r>
      <w:r w:rsidR="00265DA6">
        <w:t xml:space="preserve"> of survey respondents </w:t>
      </w:r>
      <w:r w:rsidR="00EF5D28">
        <w:t>agreed that there are gaps in the Standards</w:t>
      </w:r>
      <w:r w:rsidR="00B932DF">
        <w:t>.</w:t>
      </w:r>
      <w:r w:rsidR="00EF5D28">
        <w:t xml:space="preserve"> </w:t>
      </w:r>
      <w:r w:rsidR="001270E4">
        <w:t xml:space="preserve">Gaps were usually presented as issues which could fall within a current </w:t>
      </w:r>
      <w:r w:rsidR="0067678D">
        <w:t>S</w:t>
      </w:r>
      <w:r w:rsidR="001270E4">
        <w:t xml:space="preserve">tandard but could be addressed in more detail or the absence of a theme altogether. </w:t>
      </w:r>
    </w:p>
    <w:p w14:paraId="767016A0" w14:textId="7567E0CA" w:rsidR="001270E4" w:rsidRPr="00DC4632" w:rsidRDefault="005C7041" w:rsidP="00231A99">
      <w:pPr>
        <w:pStyle w:val="HeadingLevel3NoNumber"/>
      </w:pPr>
      <w:r>
        <w:t>New or more detailed requirements under existing Standards</w:t>
      </w:r>
    </w:p>
    <w:p w14:paraId="4520F39B" w14:textId="1CF5C263" w:rsidR="001270E4" w:rsidRDefault="001270E4" w:rsidP="005230A9">
      <w:pPr>
        <w:pStyle w:val="BodyText1"/>
      </w:pPr>
      <w:r>
        <w:t xml:space="preserve">The following table groups suggestions for new issues or requirements from stakeholders within the most suitable </w:t>
      </w:r>
      <w:r w:rsidR="009C2D27">
        <w:t>S</w:t>
      </w:r>
      <w:r>
        <w:t>tandard.</w:t>
      </w:r>
    </w:p>
    <w:p w14:paraId="1C2E6856" w14:textId="5AFC43C8" w:rsidR="001270E4" w:rsidRDefault="001270E4" w:rsidP="00231A99">
      <w:pPr>
        <w:pStyle w:val="Caption"/>
      </w:pPr>
      <w:bookmarkStart w:id="191" w:name="_Ref85282538"/>
      <w:bookmarkStart w:id="192" w:name="_Toc85369341"/>
      <w:r>
        <w:lastRenderedPageBreak/>
        <w:t xml:space="preserve">Table </w:t>
      </w:r>
      <w:r>
        <w:fldChar w:fldCharType="begin"/>
      </w:r>
      <w:r>
        <w:instrText>SEQ Table \* ARABIC</w:instrText>
      </w:r>
      <w:r>
        <w:fldChar w:fldCharType="separate"/>
      </w:r>
      <w:r w:rsidR="0083123A">
        <w:rPr>
          <w:noProof/>
        </w:rPr>
        <w:t>10</w:t>
      </w:r>
      <w:r>
        <w:fldChar w:fldCharType="end"/>
      </w:r>
      <w:bookmarkEnd w:id="191"/>
      <w:r w:rsidR="00DF5151">
        <w:t>:</w:t>
      </w:r>
      <w:r>
        <w:t xml:space="preserve"> C</w:t>
      </w:r>
      <w:r w:rsidRPr="00E117FD">
        <w:t xml:space="preserve">ollated feedback from stakeholders from surveys and focus group responses on their view of current gaps in the </w:t>
      </w:r>
      <w:bookmarkEnd w:id="192"/>
      <w:r w:rsidR="009C2D27">
        <w:t>S</w:t>
      </w:r>
      <w:r w:rsidRPr="00E117FD">
        <w:t>tandards</w:t>
      </w:r>
    </w:p>
    <w:tbl>
      <w:tblPr>
        <w:tblStyle w:val="TableGridLight"/>
        <w:tblW w:w="5000" w:type="pct"/>
        <w:tblLook w:val="04A0" w:firstRow="1" w:lastRow="0" w:firstColumn="1" w:lastColumn="0" w:noHBand="0" w:noVBand="1"/>
      </w:tblPr>
      <w:tblGrid>
        <w:gridCol w:w="1138"/>
        <w:gridCol w:w="1839"/>
        <w:gridCol w:w="6083"/>
      </w:tblGrid>
      <w:tr w:rsidR="00CD3D14" w:rsidRPr="00B56DC0" w14:paraId="68180D66" w14:textId="77777777" w:rsidTr="00CD3D14">
        <w:trPr>
          <w:cnfStyle w:val="100000000000" w:firstRow="1" w:lastRow="0" w:firstColumn="0" w:lastColumn="0" w:oddVBand="0" w:evenVBand="0" w:oddHBand="0" w:evenHBand="0" w:firstRowFirstColumn="0" w:firstRowLastColumn="0" w:lastRowFirstColumn="0" w:lastRowLastColumn="0"/>
        </w:trPr>
        <w:tc>
          <w:tcPr>
            <w:tcW w:w="1643" w:type="pct"/>
            <w:gridSpan w:val="2"/>
          </w:tcPr>
          <w:p w14:paraId="60D33B19" w14:textId="65BD3DB1" w:rsidR="00CD3D14" w:rsidRPr="00B56DC0" w:rsidRDefault="00CD3D14" w:rsidP="00575CC4">
            <w:pPr>
              <w:pStyle w:val="Tableheading"/>
            </w:pPr>
            <w:r w:rsidRPr="00B56DC0">
              <w:t>Standard</w:t>
            </w:r>
          </w:p>
        </w:tc>
        <w:tc>
          <w:tcPr>
            <w:tcW w:w="3357" w:type="pct"/>
          </w:tcPr>
          <w:p w14:paraId="228F2200" w14:textId="1992FC55" w:rsidR="00CD3D14" w:rsidRPr="00B56DC0" w:rsidRDefault="00CD3D14" w:rsidP="00575CC4">
            <w:pPr>
              <w:pStyle w:val="Tableheading"/>
            </w:pPr>
            <w:r w:rsidRPr="00B56DC0">
              <w:t>Stakeholder suggested additions</w:t>
            </w:r>
          </w:p>
        </w:tc>
      </w:tr>
      <w:tr w:rsidR="00F87215" w:rsidRPr="00F87215" w14:paraId="1F4E07A0" w14:textId="77777777" w:rsidTr="00CD3D14">
        <w:trPr>
          <w:trHeight w:val="867"/>
        </w:trPr>
        <w:tc>
          <w:tcPr>
            <w:tcW w:w="628" w:type="pct"/>
          </w:tcPr>
          <w:p w14:paraId="2ADA7B08" w14:textId="77777777" w:rsidR="00F87215" w:rsidRPr="00F87215" w:rsidRDefault="00F87215" w:rsidP="00F87215">
            <w:pPr>
              <w:spacing w:before="60" w:after="60" w:line="259" w:lineRule="auto"/>
              <w:rPr>
                <w:sz w:val="18"/>
                <w:szCs w:val="18"/>
              </w:rPr>
            </w:pPr>
            <w:r w:rsidRPr="00F87215">
              <w:rPr>
                <w:noProof/>
                <w:sz w:val="18"/>
                <w:szCs w:val="18"/>
              </w:rPr>
              <w:drawing>
                <wp:inline distT="0" distB="0" distL="0" distR="0" wp14:anchorId="0ABBD129" wp14:editId="53E40934">
                  <wp:extent cx="540000" cy="540000"/>
                  <wp:effectExtent l="0" t="0" r="0" b="0"/>
                  <wp:docPr id="790" name="Picture 790" descr="Icon representing Standard 1: &#10;Consumer dignity and choice&#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0" name="Picture 790" descr="Icon representing Standard 1: &#10;Consumer dignity and choice&#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0" cy="540000"/>
                          </a:xfrm>
                          <a:prstGeom prst="ellipse">
                            <a:avLst/>
                          </a:prstGeom>
                          <a:ln w="63500" cap="rnd">
                            <a:noFill/>
                          </a:ln>
                          <a:effectLst/>
                        </pic:spPr>
                      </pic:pic>
                    </a:graphicData>
                  </a:graphic>
                </wp:inline>
              </w:drawing>
            </w:r>
          </w:p>
        </w:tc>
        <w:tc>
          <w:tcPr>
            <w:tcW w:w="1015" w:type="pct"/>
          </w:tcPr>
          <w:p w14:paraId="73A050F3" w14:textId="77777777" w:rsidR="00CD3D14" w:rsidRDefault="00F87215" w:rsidP="00CD3D14">
            <w:pPr>
              <w:pStyle w:val="Tabletextbold0"/>
            </w:pPr>
            <w:r w:rsidRPr="00A06215">
              <w:t xml:space="preserve">Standard 1: </w:t>
            </w:r>
          </w:p>
          <w:p w14:paraId="1AAEB35B" w14:textId="04A972A8" w:rsidR="00F87215" w:rsidRPr="00A06215" w:rsidRDefault="00F87215" w:rsidP="00CD3D14">
            <w:pPr>
              <w:pStyle w:val="Tabletext"/>
            </w:pPr>
            <w:r w:rsidRPr="00A06215">
              <w:t>Consumer dignity and choice</w:t>
            </w:r>
          </w:p>
        </w:tc>
        <w:tc>
          <w:tcPr>
            <w:tcW w:w="3357" w:type="pct"/>
          </w:tcPr>
          <w:p w14:paraId="19562425" w14:textId="2D12BE65" w:rsidR="00F87215" w:rsidRPr="00F87215" w:rsidRDefault="00F87215" w:rsidP="00F87215">
            <w:pPr>
              <w:pStyle w:val="TableBullet1"/>
            </w:pPr>
            <w:r w:rsidRPr="00F87215">
              <w:t>Place greater emphasis on ‘lifestyle’, and on quality of life, both processes to support this to happen and measurable outcomes</w:t>
            </w:r>
            <w:r w:rsidR="007F5885">
              <w:t>.</w:t>
            </w:r>
          </w:p>
          <w:p w14:paraId="18B5686D" w14:textId="77777777" w:rsidR="00F87215" w:rsidRPr="00F87215" w:rsidRDefault="00F87215" w:rsidP="00F87215">
            <w:pPr>
              <w:pStyle w:val="TableBullet1"/>
            </w:pPr>
            <w:r w:rsidRPr="00F87215">
              <w:t>Recognise spiritual care and spiritual needs as part of consumer lifestyle.</w:t>
            </w:r>
          </w:p>
          <w:p w14:paraId="0273CDEE" w14:textId="77777777" w:rsidR="00F87215" w:rsidRPr="00F87215" w:rsidRDefault="00F87215" w:rsidP="00F87215">
            <w:pPr>
              <w:pStyle w:val="TableBullet1"/>
            </w:pPr>
            <w:r w:rsidRPr="00F87215">
              <w:t>Provide clearer instructions around how providers can support consumer’s choices.</w:t>
            </w:r>
          </w:p>
          <w:p w14:paraId="2FAFDD02" w14:textId="77777777" w:rsidR="00F87215" w:rsidRPr="00F87215" w:rsidRDefault="00F87215" w:rsidP="00F87215">
            <w:pPr>
              <w:pStyle w:val="TableBullet1"/>
            </w:pPr>
            <w:r w:rsidRPr="00F87215">
              <w:t>Increase the focus on supporting future consumers / consumers in the community from diverse backgrounds who aren’t engaged or encouraged to engage with aged care services.</w:t>
            </w:r>
          </w:p>
          <w:p w14:paraId="08BE5C64" w14:textId="77777777" w:rsidR="00F87215" w:rsidRPr="00F87215" w:rsidRDefault="00F87215" w:rsidP="00F87215">
            <w:pPr>
              <w:pStyle w:val="TableBullet1"/>
            </w:pPr>
            <w:r w:rsidRPr="00F87215">
              <w:t>Clarify the balancing of choice, duty and risk.</w:t>
            </w:r>
          </w:p>
          <w:p w14:paraId="09EB1776" w14:textId="77777777" w:rsidR="00F87215" w:rsidRPr="00F87215" w:rsidRDefault="00F87215" w:rsidP="00F87215">
            <w:pPr>
              <w:pStyle w:val="TableBullet1"/>
            </w:pPr>
            <w:r w:rsidRPr="00F87215">
              <w:t xml:space="preserve">Provide further guidance about how to support consumers with cognitive impairment exercise choice. </w:t>
            </w:r>
          </w:p>
          <w:p w14:paraId="5954A515" w14:textId="1AEFC703" w:rsidR="00F87215" w:rsidRPr="00F87215" w:rsidRDefault="00F87215" w:rsidP="00F87215">
            <w:pPr>
              <w:pStyle w:val="TableBullet1"/>
            </w:pPr>
            <w:r w:rsidRPr="00F87215">
              <w:t>Include themes of reablement and mobility for consumers.</w:t>
            </w:r>
          </w:p>
        </w:tc>
      </w:tr>
      <w:tr w:rsidR="00F87215" w:rsidRPr="00F87215" w14:paraId="621A7630" w14:textId="77777777" w:rsidTr="00CD3D14">
        <w:trPr>
          <w:trHeight w:val="866"/>
        </w:trPr>
        <w:tc>
          <w:tcPr>
            <w:tcW w:w="628" w:type="pct"/>
          </w:tcPr>
          <w:p w14:paraId="0F87354F" w14:textId="77777777" w:rsidR="00F87215" w:rsidRPr="00F87215" w:rsidRDefault="00F87215" w:rsidP="00F87215">
            <w:pPr>
              <w:spacing w:before="60" w:after="60" w:line="259" w:lineRule="auto"/>
              <w:rPr>
                <w:sz w:val="18"/>
                <w:szCs w:val="18"/>
              </w:rPr>
            </w:pPr>
            <w:r w:rsidRPr="00F87215">
              <w:rPr>
                <w:noProof/>
                <w:sz w:val="18"/>
                <w:szCs w:val="18"/>
              </w:rPr>
              <w:drawing>
                <wp:inline distT="0" distB="0" distL="0" distR="0" wp14:anchorId="7EC3B89C" wp14:editId="4FF02D4C">
                  <wp:extent cx="540000" cy="540000"/>
                  <wp:effectExtent l="0" t="0" r="0" b="0"/>
                  <wp:docPr id="792" name="Picture 14" descr="Icon representing Standard 2: Ongoing assessment and planning with consumers&#10;">
                    <a:extLst xmlns:a="http://schemas.openxmlformats.org/drawingml/2006/main">
                      <a:ext uri="{FF2B5EF4-FFF2-40B4-BE49-F238E27FC236}">
                        <a16:creationId xmlns:a16="http://schemas.microsoft.com/office/drawing/2014/main" id="{69540B4A-258A-4C44-8D92-D3C8F8401E0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2" name="Picture 14" descr="Icon representing Standard 2: Ongoing assessment and planning with consumers&#10;">
                            <a:extLst>
                              <a:ext uri="{FF2B5EF4-FFF2-40B4-BE49-F238E27FC236}">
                                <a16:creationId xmlns:a16="http://schemas.microsoft.com/office/drawing/2014/main" id="{69540B4A-258A-4C44-8D92-D3C8F8401E02}"/>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0000" cy="540000"/>
                          </a:xfrm>
                          <a:prstGeom prst="ellipse">
                            <a:avLst/>
                          </a:prstGeom>
                          <a:ln w="63500" cap="rnd">
                            <a:noFill/>
                          </a:ln>
                          <a:effectLst/>
                        </pic:spPr>
                      </pic:pic>
                    </a:graphicData>
                  </a:graphic>
                </wp:inline>
              </w:drawing>
            </w:r>
          </w:p>
        </w:tc>
        <w:tc>
          <w:tcPr>
            <w:tcW w:w="1015" w:type="pct"/>
          </w:tcPr>
          <w:p w14:paraId="3FE9B8B1" w14:textId="77777777" w:rsidR="00CD3D14" w:rsidRDefault="00F87215" w:rsidP="00CD3D14">
            <w:pPr>
              <w:pStyle w:val="Tabletextbold0"/>
            </w:pPr>
            <w:r w:rsidRPr="00A06215">
              <w:t xml:space="preserve">Standard 2: </w:t>
            </w:r>
          </w:p>
          <w:p w14:paraId="5114C34F" w14:textId="1044F14C" w:rsidR="00F87215" w:rsidRPr="00A06215" w:rsidRDefault="00F87215" w:rsidP="00CD3D14">
            <w:pPr>
              <w:pStyle w:val="Tabletext"/>
            </w:pPr>
            <w:r w:rsidRPr="00A06215">
              <w:t>Ongoing assessment and planning with consumers</w:t>
            </w:r>
          </w:p>
        </w:tc>
        <w:tc>
          <w:tcPr>
            <w:tcW w:w="3357" w:type="pct"/>
          </w:tcPr>
          <w:p w14:paraId="7BB279F4" w14:textId="77777777" w:rsidR="00F87215" w:rsidRPr="00F87215" w:rsidRDefault="00F87215" w:rsidP="00F87215">
            <w:pPr>
              <w:pStyle w:val="TableBullet1"/>
            </w:pPr>
            <w:r w:rsidRPr="00F87215">
              <w:t>Recognise the capacity of consumer to make choices when they have dementia.</w:t>
            </w:r>
          </w:p>
          <w:p w14:paraId="15D9DDB0" w14:textId="08FD8ADE" w:rsidR="00F87215" w:rsidRPr="00F87215" w:rsidRDefault="00F87215" w:rsidP="00F87215">
            <w:pPr>
              <w:pStyle w:val="TableBullet1"/>
            </w:pPr>
            <w:r w:rsidRPr="00F87215">
              <w:t>Provide more guidance for situations where family members appear to make unwise choices on behalf of consumers with cognitive impairment.</w:t>
            </w:r>
          </w:p>
        </w:tc>
      </w:tr>
      <w:tr w:rsidR="00F87215" w:rsidRPr="00F87215" w14:paraId="0F174308" w14:textId="77777777" w:rsidTr="00CD3D14">
        <w:trPr>
          <w:trHeight w:val="866"/>
        </w:trPr>
        <w:tc>
          <w:tcPr>
            <w:tcW w:w="628" w:type="pct"/>
          </w:tcPr>
          <w:p w14:paraId="2C34F3B1" w14:textId="77777777" w:rsidR="00F87215" w:rsidRPr="00F87215" w:rsidRDefault="00F87215" w:rsidP="00F87215">
            <w:pPr>
              <w:spacing w:before="60" w:after="60" w:line="259" w:lineRule="auto"/>
              <w:rPr>
                <w:sz w:val="18"/>
                <w:szCs w:val="18"/>
              </w:rPr>
            </w:pPr>
            <w:r w:rsidRPr="00F87215">
              <w:rPr>
                <w:noProof/>
                <w:sz w:val="18"/>
                <w:szCs w:val="18"/>
              </w:rPr>
              <w:drawing>
                <wp:inline distT="0" distB="0" distL="0" distR="0" wp14:anchorId="7E1DD247" wp14:editId="3C02A22E">
                  <wp:extent cx="540000" cy="540000"/>
                  <wp:effectExtent l="0" t="0" r="0" b="0"/>
                  <wp:docPr id="794" name="Picture 794" descr="Icon representing Standard 3: Personal care and clinical care&#10;">
                    <a:extLst xmlns:a="http://schemas.openxmlformats.org/drawingml/2006/main">
                      <a:ext uri="{FF2B5EF4-FFF2-40B4-BE49-F238E27FC236}">
                        <a16:creationId xmlns:a16="http://schemas.microsoft.com/office/drawing/2014/main" id="{A24D2948-7C9C-4C7D-9E45-5F71C9A4278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4" name="Picture 794" descr="Icon representing Standard 3: Personal care and clinical care&#10;">
                            <a:extLst>
                              <a:ext uri="{FF2B5EF4-FFF2-40B4-BE49-F238E27FC236}">
                                <a16:creationId xmlns:a16="http://schemas.microsoft.com/office/drawing/2014/main" id="{A24D2948-7C9C-4C7D-9E45-5F71C9A4278A}"/>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000" cy="540000"/>
                          </a:xfrm>
                          <a:prstGeom prst="ellipse">
                            <a:avLst/>
                          </a:prstGeom>
                          <a:ln w="63500" cap="rnd">
                            <a:noFill/>
                          </a:ln>
                          <a:effectLst/>
                        </pic:spPr>
                      </pic:pic>
                    </a:graphicData>
                  </a:graphic>
                </wp:inline>
              </w:drawing>
            </w:r>
          </w:p>
        </w:tc>
        <w:tc>
          <w:tcPr>
            <w:tcW w:w="1015" w:type="pct"/>
          </w:tcPr>
          <w:p w14:paraId="6F0AC7CA" w14:textId="77777777" w:rsidR="00CD3D14" w:rsidRDefault="00F87215" w:rsidP="00CD3D14">
            <w:pPr>
              <w:pStyle w:val="Tabletextbold0"/>
            </w:pPr>
            <w:r w:rsidRPr="00A06215">
              <w:t xml:space="preserve">Standard 3: </w:t>
            </w:r>
          </w:p>
          <w:p w14:paraId="0675A87E" w14:textId="52786014" w:rsidR="00F87215" w:rsidRPr="00A06215" w:rsidRDefault="00F87215" w:rsidP="00CD3D14">
            <w:pPr>
              <w:pStyle w:val="Tabletext"/>
            </w:pPr>
            <w:r w:rsidRPr="00A06215">
              <w:t>Personal care and clinical care</w:t>
            </w:r>
          </w:p>
        </w:tc>
        <w:tc>
          <w:tcPr>
            <w:tcW w:w="3357" w:type="pct"/>
          </w:tcPr>
          <w:p w14:paraId="01C518A1" w14:textId="77777777" w:rsidR="00F87215" w:rsidRPr="00F87215" w:rsidRDefault="00F87215" w:rsidP="00F87215">
            <w:pPr>
              <w:pStyle w:val="TableBullet1"/>
            </w:pPr>
            <w:r w:rsidRPr="00F87215">
              <w:t xml:space="preserve">Provide specific references to elements of personal and clinical care such </w:t>
            </w:r>
            <w:proofErr w:type="gramStart"/>
            <w:r w:rsidRPr="00F87215">
              <w:t>as;</w:t>
            </w:r>
            <w:proofErr w:type="gramEnd"/>
            <w:r w:rsidRPr="00F87215">
              <w:t xml:space="preserve"> medication management, clinical governance, palliative care, dementia care, mental health, medication management, wounds, falls oral health and blood management.</w:t>
            </w:r>
          </w:p>
          <w:p w14:paraId="014E91E3" w14:textId="77777777" w:rsidR="00F87215" w:rsidRPr="00F87215" w:rsidRDefault="00F87215" w:rsidP="00F87215">
            <w:pPr>
              <w:pStyle w:val="TableBullet1"/>
            </w:pPr>
            <w:r w:rsidRPr="00F87215">
              <w:t>Provide greater guidance about around the role of allied health professionals.</w:t>
            </w:r>
          </w:p>
          <w:p w14:paraId="3E3F6A30" w14:textId="77777777" w:rsidR="00F87215" w:rsidRPr="00F87215" w:rsidRDefault="00F87215" w:rsidP="00F87215">
            <w:pPr>
              <w:pStyle w:val="TableBullet1"/>
            </w:pPr>
            <w:r w:rsidRPr="00F87215">
              <w:t>Further develop infection protection and control standards.</w:t>
            </w:r>
          </w:p>
          <w:p w14:paraId="21D9912B" w14:textId="77777777" w:rsidR="00F87215" w:rsidRPr="00F87215" w:rsidRDefault="00F87215" w:rsidP="00F87215">
            <w:pPr>
              <w:pStyle w:val="TableBullet1"/>
            </w:pPr>
            <w:r w:rsidRPr="00F87215">
              <w:t xml:space="preserve">Recognise the impact of isolation and confusion of residents when hearing devices are not managed well.  </w:t>
            </w:r>
          </w:p>
          <w:p w14:paraId="6D69CE2B" w14:textId="32A2EE45" w:rsidR="00F87215" w:rsidRPr="00F87215" w:rsidRDefault="00F87215" w:rsidP="00F87215">
            <w:pPr>
              <w:pStyle w:val="TableBullet1"/>
            </w:pPr>
            <w:r w:rsidRPr="00F87215">
              <w:t>Include references to Enduring Power of Attorney and guardianship decision making.</w:t>
            </w:r>
          </w:p>
        </w:tc>
      </w:tr>
      <w:tr w:rsidR="00F87215" w:rsidRPr="00F87215" w14:paraId="40229BB2" w14:textId="77777777" w:rsidTr="00CD3D14">
        <w:trPr>
          <w:trHeight w:val="945"/>
        </w:trPr>
        <w:tc>
          <w:tcPr>
            <w:tcW w:w="628" w:type="pct"/>
          </w:tcPr>
          <w:p w14:paraId="0A7343AE" w14:textId="77777777" w:rsidR="00F87215" w:rsidRPr="00F87215" w:rsidRDefault="00F87215" w:rsidP="00F87215">
            <w:pPr>
              <w:spacing w:before="60" w:after="60" w:line="259" w:lineRule="auto"/>
              <w:rPr>
                <w:sz w:val="18"/>
                <w:szCs w:val="18"/>
              </w:rPr>
            </w:pPr>
            <w:r w:rsidRPr="00F87215">
              <w:rPr>
                <w:noProof/>
                <w:sz w:val="18"/>
                <w:szCs w:val="18"/>
              </w:rPr>
              <w:drawing>
                <wp:inline distT="0" distB="0" distL="0" distR="0" wp14:anchorId="129AB103" wp14:editId="0FE88C72">
                  <wp:extent cx="540000" cy="540000"/>
                  <wp:effectExtent l="0" t="0" r="0" b="0"/>
                  <wp:docPr id="796" name="Picture 26" descr="Icon representing Standard 4: &#10;Service and supports for daily living&#10;">
                    <a:extLst xmlns:a="http://schemas.openxmlformats.org/drawingml/2006/main">
                      <a:ext uri="{FF2B5EF4-FFF2-40B4-BE49-F238E27FC236}">
                        <a16:creationId xmlns:a16="http://schemas.microsoft.com/office/drawing/2014/main" id="{86C86700-44F1-4BBF-846E-9B9D68848B69}"/>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6" name="Picture 26" descr="Icon representing Standard 4: &#10;Service and supports for daily living&#10;">
                            <a:extLst>
                              <a:ext uri="{FF2B5EF4-FFF2-40B4-BE49-F238E27FC236}">
                                <a16:creationId xmlns:a16="http://schemas.microsoft.com/office/drawing/2014/main" id="{86C86700-44F1-4BBF-846E-9B9D68848B69}"/>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0000" cy="540000"/>
                          </a:xfrm>
                          <a:prstGeom prst="ellipse">
                            <a:avLst/>
                          </a:prstGeom>
                          <a:ln w="63500" cap="rnd">
                            <a:noFill/>
                          </a:ln>
                          <a:effectLst/>
                        </pic:spPr>
                      </pic:pic>
                    </a:graphicData>
                  </a:graphic>
                </wp:inline>
              </w:drawing>
            </w:r>
          </w:p>
        </w:tc>
        <w:tc>
          <w:tcPr>
            <w:tcW w:w="1015" w:type="pct"/>
          </w:tcPr>
          <w:p w14:paraId="240D61B0" w14:textId="77777777" w:rsidR="00CD3D14" w:rsidRDefault="00F87215" w:rsidP="00CD3D14">
            <w:pPr>
              <w:pStyle w:val="Tabletextbold0"/>
            </w:pPr>
            <w:r w:rsidRPr="00A06215">
              <w:t xml:space="preserve">Standard 4: </w:t>
            </w:r>
          </w:p>
          <w:p w14:paraId="02F81F6A" w14:textId="15C43AB8" w:rsidR="00F87215" w:rsidRPr="00A06215" w:rsidRDefault="00F87215" w:rsidP="00CD3D14">
            <w:pPr>
              <w:pStyle w:val="Tabletext"/>
            </w:pPr>
            <w:r w:rsidRPr="00A06215">
              <w:t>Service and supports for daily living</w:t>
            </w:r>
          </w:p>
        </w:tc>
        <w:tc>
          <w:tcPr>
            <w:tcW w:w="3357" w:type="pct"/>
          </w:tcPr>
          <w:p w14:paraId="57324F8C" w14:textId="2F9BAA21" w:rsidR="00F87215" w:rsidRPr="00F87215" w:rsidRDefault="00F87215" w:rsidP="00F87215">
            <w:pPr>
              <w:pStyle w:val="TableBullet1"/>
            </w:pPr>
            <w:r w:rsidRPr="00F87215">
              <w:t>Provide greater guidance on when to use interpreters.</w:t>
            </w:r>
          </w:p>
        </w:tc>
      </w:tr>
      <w:tr w:rsidR="00F87215" w:rsidRPr="00F87215" w14:paraId="1E6D7F2C" w14:textId="77777777" w:rsidTr="00CD3D14">
        <w:trPr>
          <w:trHeight w:val="945"/>
        </w:trPr>
        <w:tc>
          <w:tcPr>
            <w:tcW w:w="628" w:type="pct"/>
          </w:tcPr>
          <w:p w14:paraId="0AB3D6B1" w14:textId="4F9C8850" w:rsidR="00F87215" w:rsidRPr="00F87215" w:rsidRDefault="00F87215" w:rsidP="00F87215">
            <w:pPr>
              <w:spacing w:before="60" w:after="60" w:line="259" w:lineRule="auto"/>
              <w:rPr>
                <w:noProof/>
                <w:sz w:val="18"/>
                <w:szCs w:val="18"/>
              </w:rPr>
            </w:pPr>
            <w:r w:rsidRPr="00F87215">
              <w:rPr>
                <w:noProof/>
                <w:sz w:val="18"/>
                <w:szCs w:val="18"/>
              </w:rPr>
              <w:drawing>
                <wp:inline distT="0" distB="0" distL="0" distR="0" wp14:anchorId="43264CB0" wp14:editId="5915205F">
                  <wp:extent cx="540000" cy="540000"/>
                  <wp:effectExtent l="0" t="0" r="0" b="0"/>
                  <wp:docPr id="798" name="Picture 18" descr="Icon representing Standard 5: &#10;Organisation’s service environment&#10;">
                    <a:extLst xmlns:a="http://schemas.openxmlformats.org/drawingml/2006/main">
                      <a:ext uri="{FF2B5EF4-FFF2-40B4-BE49-F238E27FC236}">
                        <a16:creationId xmlns:a16="http://schemas.microsoft.com/office/drawing/2014/main" id="{8C643F3F-A5CC-4F31-AF92-CA841038216E}"/>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8" name="Picture 18" descr="Icon representing Standard 5: &#10;Organisation’s service environment&#10;">
                            <a:extLst>
                              <a:ext uri="{FF2B5EF4-FFF2-40B4-BE49-F238E27FC236}">
                                <a16:creationId xmlns:a16="http://schemas.microsoft.com/office/drawing/2014/main" id="{8C643F3F-A5CC-4F31-AF92-CA841038216E}"/>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0000" cy="540000"/>
                          </a:xfrm>
                          <a:prstGeom prst="ellipse">
                            <a:avLst/>
                          </a:prstGeom>
                          <a:ln w="63500" cap="rnd">
                            <a:noFill/>
                          </a:ln>
                          <a:effectLst/>
                        </pic:spPr>
                      </pic:pic>
                    </a:graphicData>
                  </a:graphic>
                </wp:inline>
              </w:drawing>
            </w:r>
          </w:p>
        </w:tc>
        <w:tc>
          <w:tcPr>
            <w:tcW w:w="1015" w:type="pct"/>
          </w:tcPr>
          <w:p w14:paraId="37492E8C" w14:textId="77777777" w:rsidR="00CD3D14" w:rsidRDefault="00F87215" w:rsidP="00CD3D14">
            <w:pPr>
              <w:pStyle w:val="Tabletextbold0"/>
            </w:pPr>
            <w:r w:rsidRPr="00A06215">
              <w:t xml:space="preserve">Standard 5: </w:t>
            </w:r>
          </w:p>
          <w:p w14:paraId="303FFF6C" w14:textId="56132397" w:rsidR="00F87215" w:rsidRPr="00A06215" w:rsidRDefault="00F87215" w:rsidP="00CD3D14">
            <w:pPr>
              <w:pStyle w:val="Tabletext"/>
            </w:pPr>
            <w:r w:rsidRPr="00A06215">
              <w:t>Organisation’s service environment</w:t>
            </w:r>
          </w:p>
        </w:tc>
        <w:tc>
          <w:tcPr>
            <w:tcW w:w="3357" w:type="pct"/>
          </w:tcPr>
          <w:p w14:paraId="01DA7E65" w14:textId="77777777" w:rsidR="00F87215" w:rsidRPr="00F87215" w:rsidRDefault="00F87215" w:rsidP="00F87215">
            <w:pPr>
              <w:pStyle w:val="TableBullet1"/>
            </w:pPr>
            <w:r w:rsidRPr="00F87215">
              <w:t xml:space="preserve">Increase the emphasis on the service environment being an older person’s home when it is home care delivery. </w:t>
            </w:r>
          </w:p>
          <w:p w14:paraId="362FAA54" w14:textId="77777777" w:rsidR="00F87215" w:rsidRPr="00F87215" w:rsidRDefault="00F87215" w:rsidP="00F87215">
            <w:pPr>
              <w:pStyle w:val="TableBullet1"/>
            </w:pPr>
            <w:r w:rsidRPr="00F87215">
              <w:t>Increase the focus on workplace health and safety for aged care staff.</w:t>
            </w:r>
          </w:p>
          <w:p w14:paraId="228333F8" w14:textId="5DA636DA" w:rsidR="00F87215" w:rsidRPr="00F87215" w:rsidRDefault="00F87215" w:rsidP="00F87215">
            <w:pPr>
              <w:pStyle w:val="TableBullet1"/>
            </w:pPr>
            <w:r w:rsidRPr="00F87215">
              <w:t>Include fire safety compliance requirements for providers.</w:t>
            </w:r>
          </w:p>
        </w:tc>
      </w:tr>
      <w:tr w:rsidR="00F87215" w:rsidRPr="00F87215" w14:paraId="2F0C77C6" w14:textId="77777777" w:rsidTr="00CD3D14">
        <w:trPr>
          <w:trHeight w:val="945"/>
        </w:trPr>
        <w:tc>
          <w:tcPr>
            <w:tcW w:w="628" w:type="pct"/>
          </w:tcPr>
          <w:p w14:paraId="3F8B1EAA" w14:textId="124F936D" w:rsidR="00F87215" w:rsidRPr="00F87215" w:rsidRDefault="00F87215" w:rsidP="00F87215">
            <w:pPr>
              <w:spacing w:before="60" w:after="60" w:line="259" w:lineRule="auto"/>
              <w:rPr>
                <w:noProof/>
                <w:sz w:val="18"/>
                <w:szCs w:val="18"/>
              </w:rPr>
            </w:pPr>
            <w:r w:rsidRPr="00F87215">
              <w:rPr>
                <w:noProof/>
                <w:sz w:val="18"/>
                <w:szCs w:val="18"/>
              </w:rPr>
              <w:drawing>
                <wp:inline distT="0" distB="0" distL="0" distR="0" wp14:anchorId="11D76630" wp14:editId="1DE4848F">
                  <wp:extent cx="540000" cy="540000"/>
                  <wp:effectExtent l="0" t="0" r="0" b="0"/>
                  <wp:docPr id="799" name="Picture 799" descr="Icon representing Standard 6: &#10;Feedback and complaints&#10;">
                    <a:extLst xmlns:a="http://schemas.openxmlformats.org/drawingml/2006/main">
                      <a:ext uri="{FF2B5EF4-FFF2-40B4-BE49-F238E27FC236}">
                        <a16:creationId xmlns:a16="http://schemas.microsoft.com/office/drawing/2014/main" id="{0297DA17-B818-49B9-BA5F-18662C8A729B}"/>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9" name="Picture 799" descr="Icon representing Standard 6: &#10;Feedback and complaints&#10;">
                            <a:extLst>
                              <a:ext uri="{FF2B5EF4-FFF2-40B4-BE49-F238E27FC236}">
                                <a16:creationId xmlns:a16="http://schemas.microsoft.com/office/drawing/2014/main" id="{0297DA17-B818-49B9-BA5F-18662C8A729B}"/>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0000" cy="540000"/>
                          </a:xfrm>
                          <a:prstGeom prst="ellipse">
                            <a:avLst/>
                          </a:prstGeom>
                          <a:ln w="63500" cap="rnd">
                            <a:noFill/>
                          </a:ln>
                          <a:effectLst/>
                        </pic:spPr>
                      </pic:pic>
                    </a:graphicData>
                  </a:graphic>
                </wp:inline>
              </w:drawing>
            </w:r>
          </w:p>
        </w:tc>
        <w:tc>
          <w:tcPr>
            <w:tcW w:w="1015" w:type="pct"/>
          </w:tcPr>
          <w:p w14:paraId="5C9F1B8F" w14:textId="77777777" w:rsidR="00CD3D14" w:rsidRDefault="00F87215" w:rsidP="00CD3D14">
            <w:pPr>
              <w:pStyle w:val="Tabletextbold0"/>
            </w:pPr>
            <w:r w:rsidRPr="00A06215">
              <w:t xml:space="preserve">Standard 6: </w:t>
            </w:r>
          </w:p>
          <w:p w14:paraId="5724237E" w14:textId="3E3D9C39" w:rsidR="00F87215" w:rsidRPr="00A06215" w:rsidRDefault="00F87215" w:rsidP="00CD3D14">
            <w:pPr>
              <w:pStyle w:val="Tabletext"/>
            </w:pPr>
            <w:r w:rsidRPr="00A06215">
              <w:t>Feedback and complaints</w:t>
            </w:r>
          </w:p>
        </w:tc>
        <w:tc>
          <w:tcPr>
            <w:tcW w:w="3357" w:type="pct"/>
          </w:tcPr>
          <w:p w14:paraId="62CEB541" w14:textId="4C932DF9" w:rsidR="00F87215" w:rsidRPr="00F87215" w:rsidRDefault="00F87215" w:rsidP="00F87215">
            <w:pPr>
              <w:pStyle w:val="TableBullet1"/>
            </w:pPr>
            <w:r w:rsidRPr="00F87215">
              <w:t>Include expectations on residents / consumers and their interactions with providers to address reports of verbal abuse, or unfounded threats of reporting the provider from consumers and consumer representatives.</w:t>
            </w:r>
          </w:p>
        </w:tc>
      </w:tr>
      <w:tr w:rsidR="00F87215" w:rsidRPr="00F87215" w14:paraId="135AAF00" w14:textId="77777777" w:rsidTr="00CD3D14">
        <w:trPr>
          <w:trHeight w:val="945"/>
        </w:trPr>
        <w:tc>
          <w:tcPr>
            <w:tcW w:w="628" w:type="pct"/>
          </w:tcPr>
          <w:p w14:paraId="706A20AE" w14:textId="0F40E936" w:rsidR="00F87215" w:rsidRPr="00F87215" w:rsidRDefault="00F87215" w:rsidP="00F87215">
            <w:pPr>
              <w:spacing w:before="60" w:after="60" w:line="259" w:lineRule="auto"/>
              <w:rPr>
                <w:noProof/>
                <w:sz w:val="18"/>
                <w:szCs w:val="18"/>
              </w:rPr>
            </w:pPr>
            <w:r w:rsidRPr="00F87215">
              <w:rPr>
                <w:noProof/>
                <w:sz w:val="18"/>
                <w:szCs w:val="18"/>
              </w:rPr>
              <w:drawing>
                <wp:inline distT="0" distB="0" distL="0" distR="0" wp14:anchorId="483F6680" wp14:editId="7163A1D8">
                  <wp:extent cx="540000" cy="540000"/>
                  <wp:effectExtent l="0" t="0" r="0" b="0"/>
                  <wp:docPr id="800" name="Picture 22" descr="Icon representing Standard 7: &#10;Human resources&#10;">
                    <a:extLst xmlns:a="http://schemas.openxmlformats.org/drawingml/2006/main">
                      <a:ext uri="{FF2B5EF4-FFF2-40B4-BE49-F238E27FC236}">
                        <a16:creationId xmlns:a16="http://schemas.microsoft.com/office/drawing/2014/main" id="{05B2EC7F-C5C4-4F9A-8E33-EB24BA22D19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0" name="Picture 22" descr="Icon representing Standard 7: &#10;Human resources&#10;">
                            <a:extLst>
                              <a:ext uri="{FF2B5EF4-FFF2-40B4-BE49-F238E27FC236}">
                                <a16:creationId xmlns:a16="http://schemas.microsoft.com/office/drawing/2014/main" id="{05B2EC7F-C5C4-4F9A-8E33-EB24BA22D191}"/>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00" cy="540000"/>
                          </a:xfrm>
                          <a:prstGeom prst="ellipse">
                            <a:avLst/>
                          </a:prstGeom>
                          <a:ln w="63500" cap="rnd">
                            <a:noFill/>
                          </a:ln>
                          <a:effectLst/>
                        </pic:spPr>
                      </pic:pic>
                    </a:graphicData>
                  </a:graphic>
                </wp:inline>
              </w:drawing>
            </w:r>
          </w:p>
        </w:tc>
        <w:tc>
          <w:tcPr>
            <w:tcW w:w="1015" w:type="pct"/>
          </w:tcPr>
          <w:p w14:paraId="026BFC25" w14:textId="77777777" w:rsidR="00CD3D14" w:rsidRDefault="00F87215" w:rsidP="00CD3D14">
            <w:pPr>
              <w:pStyle w:val="Tabletextbold0"/>
            </w:pPr>
            <w:r w:rsidRPr="00A06215">
              <w:t xml:space="preserve">Standard 7: </w:t>
            </w:r>
          </w:p>
          <w:p w14:paraId="3274A70D" w14:textId="64D2B4B9" w:rsidR="00F87215" w:rsidRPr="00A06215" w:rsidRDefault="00F87215" w:rsidP="00CD3D14">
            <w:pPr>
              <w:pStyle w:val="Tabletext"/>
            </w:pPr>
            <w:r w:rsidRPr="00A06215">
              <w:t>Human resources</w:t>
            </w:r>
          </w:p>
        </w:tc>
        <w:tc>
          <w:tcPr>
            <w:tcW w:w="3357" w:type="pct"/>
          </w:tcPr>
          <w:p w14:paraId="45578F0F" w14:textId="77777777" w:rsidR="00F87215" w:rsidRPr="00F87215" w:rsidRDefault="00F87215" w:rsidP="00F87215">
            <w:pPr>
              <w:pStyle w:val="TableBullet1"/>
            </w:pPr>
            <w:r w:rsidRPr="00F87215">
              <w:t>Clarify guidelines regarding the use of contractors.</w:t>
            </w:r>
          </w:p>
          <w:p w14:paraId="4B1817FA" w14:textId="77777777" w:rsidR="00F87215" w:rsidRPr="00F87215" w:rsidRDefault="00F87215" w:rsidP="00F87215">
            <w:pPr>
              <w:pStyle w:val="TableBullet1"/>
            </w:pPr>
            <w:r w:rsidRPr="00F87215">
              <w:t>Add a requirement for specified staffing levels and skills mix.</w:t>
            </w:r>
          </w:p>
          <w:p w14:paraId="76A42CE1" w14:textId="765CB060" w:rsidR="00F87215" w:rsidRPr="00F87215" w:rsidRDefault="00F87215" w:rsidP="00F87215">
            <w:pPr>
              <w:pStyle w:val="TableBullet1"/>
            </w:pPr>
            <w:r w:rsidRPr="00F87215">
              <w:t>Include requirements of minimum qualifications for aged care workers and training requirements (especially in regard to dementia and palliative care, mobility and reablement training).</w:t>
            </w:r>
          </w:p>
        </w:tc>
      </w:tr>
      <w:tr w:rsidR="00F87215" w:rsidRPr="00F87215" w14:paraId="50AA12B2" w14:textId="77777777" w:rsidTr="00CD3D14">
        <w:trPr>
          <w:trHeight w:val="945"/>
        </w:trPr>
        <w:tc>
          <w:tcPr>
            <w:tcW w:w="628" w:type="pct"/>
          </w:tcPr>
          <w:p w14:paraId="393AB735" w14:textId="2C9D121E" w:rsidR="00F87215" w:rsidRPr="00F87215" w:rsidRDefault="00F87215" w:rsidP="00F87215">
            <w:pPr>
              <w:spacing w:before="60" w:after="60" w:line="259" w:lineRule="auto"/>
              <w:rPr>
                <w:noProof/>
                <w:sz w:val="18"/>
                <w:szCs w:val="18"/>
              </w:rPr>
            </w:pPr>
            <w:r w:rsidRPr="00F87215">
              <w:rPr>
                <w:noProof/>
                <w:sz w:val="18"/>
                <w:szCs w:val="18"/>
              </w:rPr>
              <w:lastRenderedPageBreak/>
              <w:drawing>
                <wp:inline distT="0" distB="0" distL="0" distR="0" wp14:anchorId="20CCCB10" wp14:editId="62D1FA46">
                  <wp:extent cx="540000" cy="540000"/>
                  <wp:effectExtent l="0" t="0" r="0" b="0"/>
                  <wp:docPr id="801" name="Picture 24" descr="Icon representing Standard 8: &#10;Organisational governance&#10;">
                    <a:extLst xmlns:a="http://schemas.openxmlformats.org/drawingml/2006/main">
                      <a:ext uri="{FF2B5EF4-FFF2-40B4-BE49-F238E27FC236}">
                        <a16:creationId xmlns:a16="http://schemas.microsoft.com/office/drawing/2014/main" id="{80AFDF7B-2856-40BC-9D8B-FD828A02FDD3}"/>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1" name="Picture 24" descr="Icon representing Standard 8: &#10;Organisational governance&#10;">
                            <a:extLst>
                              <a:ext uri="{FF2B5EF4-FFF2-40B4-BE49-F238E27FC236}">
                                <a16:creationId xmlns:a16="http://schemas.microsoft.com/office/drawing/2014/main" id="{80AFDF7B-2856-40BC-9D8B-FD828A02FDD3}"/>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0000" cy="540000"/>
                          </a:xfrm>
                          <a:prstGeom prst="ellipse">
                            <a:avLst/>
                          </a:prstGeom>
                          <a:ln w="63500" cap="rnd">
                            <a:noFill/>
                          </a:ln>
                          <a:effectLst/>
                        </pic:spPr>
                      </pic:pic>
                    </a:graphicData>
                  </a:graphic>
                </wp:inline>
              </w:drawing>
            </w:r>
          </w:p>
        </w:tc>
        <w:tc>
          <w:tcPr>
            <w:tcW w:w="1015" w:type="pct"/>
          </w:tcPr>
          <w:p w14:paraId="4A73D39E" w14:textId="77777777" w:rsidR="00CD3D14" w:rsidRDefault="00F87215" w:rsidP="00CD3D14">
            <w:pPr>
              <w:pStyle w:val="Tabletextbold0"/>
            </w:pPr>
            <w:r w:rsidRPr="00A06215">
              <w:t xml:space="preserve">Standard 8: </w:t>
            </w:r>
          </w:p>
          <w:p w14:paraId="1C932BB8" w14:textId="4AA581DD" w:rsidR="00F87215" w:rsidRPr="00F87215" w:rsidRDefault="00F87215" w:rsidP="00CD3D14">
            <w:pPr>
              <w:pStyle w:val="Tabletext"/>
              <w:rPr>
                <w:color w:val="913393"/>
              </w:rPr>
            </w:pPr>
            <w:r w:rsidRPr="00A06215">
              <w:t>Organisational governance</w:t>
            </w:r>
          </w:p>
        </w:tc>
        <w:tc>
          <w:tcPr>
            <w:tcW w:w="3357" w:type="pct"/>
          </w:tcPr>
          <w:p w14:paraId="5CE75BEB" w14:textId="77777777" w:rsidR="00F87215" w:rsidRPr="00F87215" w:rsidRDefault="00F87215" w:rsidP="00F87215">
            <w:pPr>
              <w:pStyle w:val="TableBullet1"/>
            </w:pPr>
            <w:r w:rsidRPr="00F87215">
              <w:t xml:space="preserve">Add new requirements to include consumers or consumer representatives in the governance bodies of organisations. </w:t>
            </w:r>
          </w:p>
          <w:p w14:paraId="32BE28C1" w14:textId="77777777" w:rsidR="00F87215" w:rsidRPr="00F87215" w:rsidRDefault="00F87215" w:rsidP="00F87215">
            <w:pPr>
              <w:pStyle w:val="TableBullet1"/>
            </w:pPr>
            <w:r w:rsidRPr="00F87215">
              <w:t>Add a reference to the Aged Care Clinical Governance Framework.</w:t>
            </w:r>
          </w:p>
          <w:p w14:paraId="442E3A8C" w14:textId="77777777" w:rsidR="00F87215" w:rsidRPr="00F87215" w:rsidRDefault="00F87215" w:rsidP="00F87215">
            <w:pPr>
              <w:pStyle w:val="TableBullet1"/>
            </w:pPr>
            <w:r w:rsidRPr="00F87215">
              <w:t>Include requirements relating to IT system security and protection of client data.</w:t>
            </w:r>
          </w:p>
          <w:p w14:paraId="234CB435" w14:textId="3C88DCCF" w:rsidR="00F87215" w:rsidRPr="00F87215" w:rsidRDefault="00F87215" w:rsidP="00F87215">
            <w:pPr>
              <w:pStyle w:val="TableBullet1"/>
            </w:pPr>
            <w:r w:rsidRPr="00F87215">
              <w:t>Only require that governance measures are assessed at a corporate provider level and not the home care level for home care providers.</w:t>
            </w:r>
          </w:p>
        </w:tc>
      </w:tr>
    </w:tbl>
    <w:p w14:paraId="032AA8D2" w14:textId="1805A298" w:rsidR="00BA333F" w:rsidRPr="00BA333F" w:rsidRDefault="001270E4" w:rsidP="00231A99">
      <w:pPr>
        <w:pStyle w:val="Source0"/>
      </w:pPr>
      <w:r>
        <w:t xml:space="preserve">Source: </w:t>
      </w:r>
      <w:r w:rsidR="001873F2">
        <w:t>KPMG</w:t>
      </w:r>
      <w:r w:rsidR="00F626EE">
        <w:t>.</w:t>
      </w:r>
    </w:p>
    <w:p w14:paraId="46060BEB" w14:textId="2B93BD7E" w:rsidR="008F2C08" w:rsidRPr="00CE33F6" w:rsidRDefault="00EF1DEF" w:rsidP="00231A99">
      <w:pPr>
        <w:pStyle w:val="HeadingLevel3NoNumber"/>
      </w:pPr>
      <w:r>
        <w:t>Additional or strengthened</w:t>
      </w:r>
      <w:r w:rsidR="008F2C08" w:rsidRPr="00CE33F6">
        <w:t xml:space="preserve"> themes</w:t>
      </w:r>
    </w:p>
    <w:p w14:paraId="0FE1FCED" w14:textId="46DC52ED" w:rsidR="00861911" w:rsidRPr="00861911" w:rsidRDefault="008F2C08" w:rsidP="005230A9">
      <w:pPr>
        <w:pStyle w:val="BodyText1"/>
      </w:pPr>
      <w:r>
        <w:t xml:space="preserve">The stakeholder consultations identified larger themes that stakeholders felt were currently not well addressed by the existing Standards. These </w:t>
      </w:r>
      <w:r w:rsidR="005C1BE6">
        <w:t>themes</w:t>
      </w:r>
      <w:r>
        <w:t xml:space="preserve"> overlapped with </w:t>
      </w:r>
      <w:r w:rsidR="005C1BE6">
        <w:t>findings from the</w:t>
      </w:r>
      <w:r>
        <w:t xml:space="preserve"> Royal Commission findings and </w:t>
      </w:r>
      <w:r w:rsidR="005C1BE6">
        <w:t>are presented below</w:t>
      </w:r>
      <w:r w:rsidR="00454931">
        <w:t>.</w:t>
      </w:r>
    </w:p>
    <w:p w14:paraId="4478449B" w14:textId="77777777" w:rsidR="00994D84" w:rsidRPr="00F626EE" w:rsidRDefault="00994D84" w:rsidP="00F626EE">
      <w:pPr>
        <w:pStyle w:val="HeadingLevel4NoNumber"/>
      </w:pPr>
      <w:r w:rsidRPr="00F626EE">
        <w:t>Clinical and infection control outcomes</w:t>
      </w:r>
    </w:p>
    <w:p w14:paraId="54ECBF15" w14:textId="388CB83B" w:rsidR="00994D84" w:rsidRDefault="00994D84" w:rsidP="005230A9">
      <w:pPr>
        <w:pStyle w:val="BodyText1"/>
      </w:pPr>
      <w:r>
        <w:t xml:space="preserve">The Royal Commission recommended </w:t>
      </w:r>
      <w:r w:rsidR="00522947">
        <w:t xml:space="preserve">that </w:t>
      </w:r>
      <w:r>
        <w:t xml:space="preserve">the </w:t>
      </w:r>
      <w:r w:rsidR="005C7041">
        <w:t>S</w:t>
      </w:r>
      <w:r>
        <w:t xml:space="preserve">tandards </w:t>
      </w:r>
      <w:r w:rsidR="00522947">
        <w:t xml:space="preserve">should </w:t>
      </w:r>
      <w:r>
        <w:t xml:space="preserve">address best practice oral care, medication management, pressure injury prevention, wound management, continence care, falls prevention and mobility, and infection control, and </w:t>
      </w:r>
      <w:r w:rsidR="005C7041">
        <w:t>should provide</w:t>
      </w:r>
      <w:r>
        <w:t xml:space="preserve"> sufficient detail on what these requirements involve and how they are to be achieved.</w:t>
      </w:r>
      <w:r w:rsidR="0083123A">
        <w:rPr>
          <w:rFonts w:ascii="ZWAdobeF" w:hAnsi="ZWAdobeF" w:cs="ZWAdobeF"/>
          <w:sz w:val="2"/>
          <w:szCs w:val="2"/>
        </w:rPr>
        <w:t>43F</w:t>
      </w:r>
      <w:r w:rsidR="007446D3">
        <w:rPr>
          <w:rStyle w:val="FootnoteReference"/>
        </w:rPr>
        <w:footnoteReference w:id="45"/>
      </w:r>
    </w:p>
    <w:p w14:paraId="196B5B21" w14:textId="08982528" w:rsidR="00D04FDD" w:rsidRPr="00D04FDD" w:rsidRDefault="007B3953" w:rsidP="005230A9">
      <w:pPr>
        <w:pStyle w:val="BodyText1"/>
      </w:pPr>
      <w:r>
        <w:t>Providers, care experts and other s</w:t>
      </w:r>
      <w:r w:rsidR="00994D84">
        <w:t xml:space="preserve">takeholders also cited some of these areas as gaps as illustrated in </w:t>
      </w:r>
      <w:r w:rsidR="00190084">
        <w:fldChar w:fldCharType="begin" w:fldLock="1"/>
      </w:r>
      <w:r w:rsidR="00190084">
        <w:instrText xml:space="preserve"> REF _Ref85282538 \h </w:instrText>
      </w:r>
      <w:r w:rsidR="00190084">
        <w:fldChar w:fldCharType="separate"/>
      </w:r>
      <w:r w:rsidR="00DB740C">
        <w:t xml:space="preserve">Table </w:t>
      </w:r>
      <w:r w:rsidR="00DB740C">
        <w:rPr>
          <w:noProof/>
        </w:rPr>
        <w:t>10</w:t>
      </w:r>
      <w:r w:rsidR="00190084">
        <w:fldChar w:fldCharType="end"/>
      </w:r>
      <w:r w:rsidR="00994D84">
        <w:t xml:space="preserve"> above, including oral care, medication management and measures to increase mobility. However, infection control and anti-microbial stewardship was an area where providers felt there was already repetition within the </w:t>
      </w:r>
      <w:r w:rsidR="005C7041">
        <w:t>S</w:t>
      </w:r>
      <w:r w:rsidR="00994D84">
        <w:t>tandards.</w:t>
      </w:r>
    </w:p>
    <w:p w14:paraId="2BEBD35B" w14:textId="16A772F2" w:rsidR="00CD423D" w:rsidRDefault="00CD423D" w:rsidP="005230A9">
      <w:pPr>
        <w:pStyle w:val="BodyText1"/>
      </w:pPr>
      <w:r>
        <w:t>Providers stressed the importance of recognising that for residential care, environments are intended to be long-term homes for consumers and should not feel overly clinical</w:t>
      </w:r>
      <w:r w:rsidR="00137608">
        <w:t>.</w:t>
      </w:r>
    </w:p>
    <w:p w14:paraId="2B6AEBCF" w14:textId="77777777" w:rsidR="00994D84" w:rsidRDefault="00994D84" w:rsidP="00F626EE">
      <w:pPr>
        <w:pStyle w:val="HeadingLevel4NoNumber"/>
      </w:pPr>
      <w:r>
        <w:t xml:space="preserve">Dementia care </w:t>
      </w:r>
    </w:p>
    <w:p w14:paraId="3FE53413" w14:textId="0984701A" w:rsidR="00994D84" w:rsidRDefault="00994D84" w:rsidP="005230A9">
      <w:pPr>
        <w:pStyle w:val="BodyText1"/>
      </w:pPr>
      <w:r>
        <w:t xml:space="preserve">The Royal Commission found that care should sufficiently reflect the needs of people living with dementia and </w:t>
      </w:r>
      <w:r w:rsidR="004A165F">
        <w:t>allow them to receive</w:t>
      </w:r>
      <w:r>
        <w:t xml:space="preserve"> high quality dementia care.</w:t>
      </w:r>
      <w:r w:rsidR="0083123A">
        <w:rPr>
          <w:rFonts w:ascii="ZWAdobeF" w:hAnsi="ZWAdobeF" w:cs="ZWAdobeF"/>
          <w:sz w:val="2"/>
          <w:szCs w:val="2"/>
        </w:rPr>
        <w:t>44F</w:t>
      </w:r>
      <w:r w:rsidR="00F90C53">
        <w:rPr>
          <w:rStyle w:val="FootnoteReference"/>
        </w:rPr>
        <w:footnoteReference w:id="46"/>
      </w:r>
    </w:p>
    <w:p w14:paraId="570B8881" w14:textId="41B8CF4E" w:rsidR="00994D84" w:rsidRDefault="00994D84" w:rsidP="005230A9">
      <w:pPr>
        <w:pStyle w:val="BodyText1"/>
      </w:pPr>
      <w:r>
        <w:t xml:space="preserve">Stakeholders </w:t>
      </w:r>
      <w:r w:rsidR="007B3953">
        <w:t xml:space="preserve">including consumers, providers, </w:t>
      </w:r>
      <w:r w:rsidR="00F802BE">
        <w:t xml:space="preserve">care experts and peak representatives </w:t>
      </w:r>
      <w:r w:rsidR="00AB7C4D">
        <w:t xml:space="preserve">agreed with </w:t>
      </w:r>
      <w:r>
        <w:t xml:space="preserve">this </w:t>
      </w:r>
      <w:r w:rsidR="00AB7C4D">
        <w:t xml:space="preserve">finding, </w:t>
      </w:r>
      <w:r w:rsidR="00E90449">
        <w:t>explaining it is relevant to how</w:t>
      </w:r>
      <w:r>
        <w:t xml:space="preserve"> care is delivered and the importance of dedicated staff training on these topics. Within the dedicated stakeholder consultation on dementia, stakeholders resisted the idea that this was an issue within one </w:t>
      </w:r>
      <w:r w:rsidR="00AF6C28">
        <w:t>S</w:t>
      </w:r>
      <w:r w:rsidR="002075DD">
        <w:t>tandard.</w:t>
      </w:r>
      <w:r w:rsidR="001B7E37">
        <w:t xml:space="preserve"> They argued</w:t>
      </w:r>
      <w:r>
        <w:t xml:space="preserve"> good dementia care spanned all </w:t>
      </w:r>
      <w:r w:rsidR="00AF6C28">
        <w:t>S</w:t>
      </w:r>
      <w:r>
        <w:t xml:space="preserve">tandards, from facilitating a consumer with dementia’s participation in exercising choice, involving them to the extent they are able in care planning </w:t>
      </w:r>
      <w:r w:rsidR="00AF6C28">
        <w:t xml:space="preserve">through </w:t>
      </w:r>
      <w:r>
        <w:t xml:space="preserve">to adapting the service environment to be as dementia friendly as possible. </w:t>
      </w:r>
    </w:p>
    <w:p w14:paraId="4B2216DC" w14:textId="13BD976E" w:rsidR="00994D84" w:rsidRDefault="00994D84" w:rsidP="00F626EE">
      <w:pPr>
        <w:pStyle w:val="HeadingLevel4NoNumber"/>
      </w:pPr>
      <w:r>
        <w:t>Palliative care</w:t>
      </w:r>
    </w:p>
    <w:p w14:paraId="75D3D993" w14:textId="38CD3F8E" w:rsidR="00994D84" w:rsidRDefault="00994D84" w:rsidP="00A62F83">
      <w:pPr>
        <w:pStyle w:val="BodyText1"/>
      </w:pPr>
      <w:r>
        <w:t>The Royal Commission stressed the importance of high</w:t>
      </w:r>
      <w:r w:rsidR="001B7E37">
        <w:t>-</w:t>
      </w:r>
      <w:r>
        <w:t>quality palliative care in residential aged care, including staff capacity (number, skill and type), process and clinical governance, for recognising deterioration and dying.</w:t>
      </w:r>
      <w:r w:rsidR="0083123A">
        <w:rPr>
          <w:rFonts w:ascii="ZWAdobeF" w:hAnsi="ZWAdobeF" w:cs="ZWAdobeF"/>
          <w:sz w:val="2"/>
          <w:szCs w:val="2"/>
        </w:rPr>
        <w:t>45F</w:t>
      </w:r>
      <w:r w:rsidR="00F90C53">
        <w:rPr>
          <w:rStyle w:val="FootnoteReference"/>
        </w:rPr>
        <w:footnoteReference w:id="47"/>
      </w:r>
    </w:p>
    <w:p w14:paraId="5B4ECC92" w14:textId="2DB16966" w:rsidR="00994D84" w:rsidRDefault="00994D84" w:rsidP="00A62F83">
      <w:pPr>
        <w:pStyle w:val="BodyText1"/>
      </w:pPr>
      <w:r>
        <w:t xml:space="preserve">The stakeholder group focused on palliative care </w:t>
      </w:r>
      <w:r w:rsidR="0096054E">
        <w:t>agreed. They explained that</w:t>
      </w:r>
      <w:r>
        <w:t xml:space="preserve"> consumers in aged care are in the later stages of their life and should be supported in their choices to experience a comfortable and dignified death. Stakeholders considered this was not well articulated within the current Standards. Providers in this consultation group discussed the challenges of accessing appropriate allied health support for palliative care, especially in rural and remote settings. This may be addressed by the </w:t>
      </w:r>
      <w:r w:rsidR="0052291D">
        <w:t xml:space="preserve">Australian </w:t>
      </w:r>
      <w:r w:rsidR="00B87CC2">
        <w:t>G</w:t>
      </w:r>
      <w:r>
        <w:t xml:space="preserve">overnment’s acceptance of </w:t>
      </w:r>
      <w:r>
        <w:lastRenderedPageBreak/>
        <w:t xml:space="preserve">Recommendations 36-38 of the Royal Commission to increase the availability of allied health for residential and home care providers.    </w:t>
      </w:r>
    </w:p>
    <w:p w14:paraId="790AD3BA" w14:textId="1B2BD9EE" w:rsidR="00994D84" w:rsidRDefault="00994D84" w:rsidP="00A62F83">
      <w:pPr>
        <w:pStyle w:val="BodyText1"/>
      </w:pPr>
      <w:r>
        <w:t xml:space="preserve">Providers also felt that the medication elements to support palliative care, and in particular supporting consumers to die in their homes, was a very high-risk activity from a provider perspective which leads to them approaching it in the ‘risk management’ lens of Standard 8 rather than </w:t>
      </w:r>
      <w:r w:rsidR="00B942AE">
        <w:t>the</w:t>
      </w:r>
      <w:r w:rsidR="002075DD">
        <w:t xml:space="preserve"> </w:t>
      </w:r>
      <w:r>
        <w:t>‘risk enabling’ lens of Standard 1 which was discussed above.</w:t>
      </w:r>
      <w:r w:rsidRPr="00837FA3">
        <w:t xml:space="preserve"> </w:t>
      </w:r>
    </w:p>
    <w:p w14:paraId="7F4D011F" w14:textId="77777777" w:rsidR="00994D84" w:rsidRDefault="00994D84" w:rsidP="00F626EE">
      <w:pPr>
        <w:pStyle w:val="HeadingLevel4NoNumber"/>
      </w:pPr>
      <w:r>
        <w:t>Nutrition</w:t>
      </w:r>
    </w:p>
    <w:p w14:paraId="48310D7A" w14:textId="350C0793" w:rsidR="00994D84" w:rsidRDefault="00994D84" w:rsidP="00A62F83">
      <w:pPr>
        <w:pStyle w:val="BodyText1"/>
      </w:pPr>
      <w:r>
        <w:t>The Royal Commission considered the Standards lacked appropriate requirements to meet resident nutritional needs and ensure meals are desirable to eat, having regard for a person’s preferences and religious / cultural considerations.</w:t>
      </w:r>
      <w:r w:rsidR="0083123A">
        <w:rPr>
          <w:rFonts w:ascii="ZWAdobeF" w:hAnsi="ZWAdobeF" w:cs="ZWAdobeF"/>
          <w:sz w:val="2"/>
          <w:szCs w:val="2"/>
        </w:rPr>
        <w:t>46F</w:t>
      </w:r>
      <w:r w:rsidR="00F90C53">
        <w:rPr>
          <w:rStyle w:val="FootnoteReference"/>
        </w:rPr>
        <w:footnoteReference w:id="48"/>
      </w:r>
    </w:p>
    <w:p w14:paraId="1CDEEE0B" w14:textId="4FD62315" w:rsidR="00994D84" w:rsidRDefault="00994D84" w:rsidP="00A62F83">
      <w:pPr>
        <w:pStyle w:val="BodyText1"/>
      </w:pPr>
      <w:r>
        <w:t xml:space="preserve">Stakeholders agreed that nutrition was a gap in the </w:t>
      </w:r>
      <w:r w:rsidR="001E2B21">
        <w:t>S</w:t>
      </w:r>
      <w:r>
        <w:t xml:space="preserve">tandards, including details about hydration, dysphasia, diabetes and the dining environment. </w:t>
      </w:r>
      <w:r w:rsidR="001A65DE">
        <w:t xml:space="preserve">The stakeholder </w:t>
      </w:r>
      <w:r w:rsidR="00C84CB1">
        <w:t xml:space="preserve">focused </w:t>
      </w:r>
      <w:r w:rsidR="00876AC0">
        <w:t xml:space="preserve">on </w:t>
      </w:r>
      <w:r w:rsidR="001A65DE">
        <w:t>group on food and nutrition</w:t>
      </w:r>
      <w:r w:rsidR="00E854EF">
        <w:t xml:space="preserve"> felt</w:t>
      </w:r>
      <w:r>
        <w:t xml:space="preserve"> consumers </w:t>
      </w:r>
      <w:r w:rsidR="00E854EF">
        <w:t>should</w:t>
      </w:r>
      <w:r>
        <w:t xml:space="preserve"> </w:t>
      </w:r>
      <w:r w:rsidR="001E2B21">
        <w:t xml:space="preserve">be </w:t>
      </w:r>
      <w:r>
        <w:t>supported to prepare their own food even in residential care</w:t>
      </w:r>
      <w:r w:rsidR="00E854EF">
        <w:t xml:space="preserve"> if they wish. They also</w:t>
      </w:r>
      <w:r>
        <w:t xml:space="preserve"> </w:t>
      </w:r>
      <w:r w:rsidR="00944100">
        <w:t xml:space="preserve">stated </w:t>
      </w:r>
      <w:r>
        <w:t xml:space="preserve">the choice of menu available </w:t>
      </w:r>
      <w:r w:rsidR="00E854EF">
        <w:t xml:space="preserve">should </w:t>
      </w:r>
      <w:r>
        <w:t xml:space="preserve">reflect the cultural diversity and religious needs of consumers in residential care. </w:t>
      </w:r>
    </w:p>
    <w:p w14:paraId="4FA97E7F" w14:textId="6D79C9C1" w:rsidR="00994D84" w:rsidRDefault="00994D84" w:rsidP="00F626EE">
      <w:pPr>
        <w:pStyle w:val="HeadingLevel4NoNumber"/>
      </w:pPr>
      <w:r>
        <w:t xml:space="preserve">Diversity </w:t>
      </w:r>
    </w:p>
    <w:p w14:paraId="1B7B904C" w14:textId="650CB544" w:rsidR="001A2649" w:rsidRDefault="00353BA9" w:rsidP="00A62F83">
      <w:pPr>
        <w:pStyle w:val="BodyText1"/>
      </w:pPr>
      <w:r>
        <w:t xml:space="preserve">Challenges in this </w:t>
      </w:r>
      <w:r w:rsidR="00B37E95">
        <w:t xml:space="preserve">area reflect </w:t>
      </w:r>
      <w:r w:rsidR="005F1D79">
        <w:t xml:space="preserve">both evolving expectations of how this issue </w:t>
      </w:r>
      <w:r w:rsidR="006742D4">
        <w:t>may apply across the Standards</w:t>
      </w:r>
      <w:r w:rsidR="00847FE3">
        <w:t xml:space="preserve"> by consumers</w:t>
      </w:r>
      <w:r w:rsidR="006742D4">
        <w:t>, and provider</w:t>
      </w:r>
      <w:r w:rsidR="00A460C1">
        <w:t>s seeking greater guidance</w:t>
      </w:r>
      <w:r w:rsidR="00EE76B4">
        <w:t xml:space="preserve"> on its direct implementation in Standard</w:t>
      </w:r>
      <w:r w:rsidR="007B0737">
        <w:t xml:space="preserve"> 1. </w:t>
      </w:r>
      <w:r w:rsidR="00F04382">
        <w:t>Therefore,</w:t>
      </w:r>
      <w:r w:rsidR="00B64631">
        <w:t xml:space="preserve"> there</w:t>
      </w:r>
      <w:r w:rsidR="00803FA8">
        <w:t xml:space="preserve"> a</w:t>
      </w:r>
      <w:r w:rsidR="00E4736C">
        <w:t xml:space="preserve">re a number of ways of addressing this “gap” </w:t>
      </w:r>
      <w:r w:rsidR="00447ED8">
        <w:t xml:space="preserve">in terms of the Standards, linked guidance, or some other </w:t>
      </w:r>
      <w:r w:rsidR="00B371D5">
        <w:t xml:space="preserve">instrument such enhancing the existing Aged Care Diversity Framework. </w:t>
      </w:r>
      <w:r w:rsidR="007B0737">
        <w:t xml:space="preserve">  </w:t>
      </w:r>
      <w:r w:rsidR="00EE76B4">
        <w:t xml:space="preserve"> </w:t>
      </w:r>
    </w:p>
    <w:p w14:paraId="3466BB29" w14:textId="298B55D7" w:rsidR="00994D84" w:rsidRDefault="00994D84" w:rsidP="00A62F83">
      <w:pPr>
        <w:pStyle w:val="BodyText1"/>
      </w:pPr>
      <w:r>
        <w:t>The Royal Commission recommended that the review of the Standards should consider “reflecting the Aged Care Diversity Framework and underlying Action Plans, including considering making them mandatory”.</w:t>
      </w:r>
      <w:r w:rsidR="0083123A">
        <w:rPr>
          <w:rFonts w:ascii="ZWAdobeF" w:hAnsi="ZWAdobeF" w:cs="ZWAdobeF"/>
          <w:sz w:val="2"/>
          <w:szCs w:val="2"/>
        </w:rPr>
        <w:t>47F</w:t>
      </w:r>
      <w:r w:rsidR="00F90C53">
        <w:rPr>
          <w:rStyle w:val="FootnoteReference"/>
        </w:rPr>
        <w:footnoteReference w:id="49"/>
      </w:r>
      <w:r>
        <w:t xml:space="preserve"> </w:t>
      </w:r>
      <w:r w:rsidR="001816BD">
        <w:t>The Diversity</w:t>
      </w:r>
      <w:r w:rsidR="009A3A8D">
        <w:t>-</w:t>
      </w:r>
      <w:r w:rsidR="001816BD">
        <w:t xml:space="preserve">focused stakeholder </w:t>
      </w:r>
      <w:r>
        <w:t xml:space="preserve"> consultation</w:t>
      </w:r>
      <w:r w:rsidR="001816BD">
        <w:t xml:space="preserve"> group</w:t>
      </w:r>
      <w:r w:rsidR="00282E66">
        <w:t xml:space="preserve"> </w:t>
      </w:r>
      <w:r>
        <w:t>agreed. There was recognition that issues relating to diversity, equality and access are now expected to form a part of a person’s care and would be appropriate to address potential barriers to access and reference to diversity action plans. One group considered Standard 1 could be split into new headings of diversity and respect</w:t>
      </w:r>
      <w:r w:rsidR="00D90908">
        <w:t>.</w:t>
      </w:r>
      <w:r>
        <w:t xml:space="preserve"> </w:t>
      </w:r>
    </w:p>
    <w:p w14:paraId="6426D262" w14:textId="3CE41426" w:rsidR="00994D84" w:rsidRDefault="00994D84" w:rsidP="00A62F83">
      <w:pPr>
        <w:pStyle w:val="BodyText1"/>
      </w:pPr>
      <w:r>
        <w:t>However, themes relating diversity in Standard 1 were identified as a source of confusion for providers</w:t>
      </w:r>
      <w:r w:rsidR="00944100">
        <w:t>,</w:t>
      </w:r>
      <w:r>
        <w:t xml:space="preserve"> especially the concept of cultural safety. The Commission’s </w:t>
      </w:r>
      <w:r w:rsidR="00D31692">
        <w:t>assessment of performance data</w:t>
      </w:r>
      <w:r>
        <w:t xml:space="preserve"> supports this, noting for Standard </w:t>
      </w:r>
      <w:r w:rsidR="00C97096">
        <w:t>1</w:t>
      </w:r>
      <w:r w:rsidR="00DE65FB">
        <w:t>(</w:t>
      </w:r>
      <w:r>
        <w:t>3</w:t>
      </w:r>
      <w:r w:rsidR="00DE65FB">
        <w:t>)</w:t>
      </w:r>
      <w:r>
        <w:t>(b) “s</w:t>
      </w:r>
      <w:r w:rsidRPr="000028F3">
        <w:t>taff did not understand what cultural safety was, or how a consumer’s background and preferences may be reflected in their preferences for delivery and receipt of care and services</w:t>
      </w:r>
      <w:r>
        <w:t>”</w:t>
      </w:r>
      <w:r w:rsidR="00DF1985">
        <w:t>.</w:t>
      </w:r>
      <w:r>
        <w:t xml:space="preserve"> </w:t>
      </w:r>
    </w:p>
    <w:p w14:paraId="4061E62C" w14:textId="542ADA84" w:rsidR="00994D84" w:rsidRDefault="00994D84" w:rsidP="00A62F83">
      <w:pPr>
        <w:pStyle w:val="BodyText1"/>
      </w:pPr>
      <w:r>
        <w:t xml:space="preserve">Therefore, providers may need additional support to ensure any changes can be better implemented </w:t>
      </w:r>
      <w:r w:rsidR="00142967">
        <w:t>on this topic.</w:t>
      </w:r>
    </w:p>
    <w:p w14:paraId="42D06643" w14:textId="79B962DC" w:rsidR="00994D84" w:rsidRDefault="00994D84" w:rsidP="00F626EE">
      <w:pPr>
        <w:pStyle w:val="HeadingLevel4NoNumber"/>
      </w:pPr>
      <w:r>
        <w:t>Provider governance</w:t>
      </w:r>
    </w:p>
    <w:p w14:paraId="4FEFF780" w14:textId="2AD85A91" w:rsidR="00994D84" w:rsidRPr="00C50F18" w:rsidRDefault="00994D84" w:rsidP="00A62F83">
      <w:pPr>
        <w:pStyle w:val="BodyText1"/>
      </w:pPr>
      <w:r>
        <w:t xml:space="preserve">Provider governance is </w:t>
      </w:r>
      <w:r w:rsidR="00152B7C">
        <w:t>already included in Standard 8. It is a</w:t>
      </w:r>
      <w:r>
        <w:t xml:space="preserve"> theme where the Evaluation found providers experience difficulty in understand</w:t>
      </w:r>
      <w:r w:rsidR="00AE5FA2">
        <w:t>ing</w:t>
      </w:r>
      <w:r>
        <w:t xml:space="preserve"> and assess</w:t>
      </w:r>
      <w:r w:rsidR="00AE5FA2">
        <w:t>ing</w:t>
      </w:r>
      <w:r w:rsidR="00AA7EFB">
        <w:t xml:space="preserve"> their performance against</w:t>
      </w:r>
      <w:r>
        <w:t xml:space="preserve"> this Standard</w:t>
      </w:r>
      <w:r w:rsidR="00F51E90">
        <w:t xml:space="preserve">. This is supported by </w:t>
      </w:r>
      <w:r>
        <w:t xml:space="preserve">the Commission’s </w:t>
      </w:r>
      <w:r w:rsidR="00A968D9">
        <w:t>assessment of performance data which</w:t>
      </w:r>
      <w:r>
        <w:t xml:space="preserve"> confirms that provider understanding in this area is still maturing. </w:t>
      </w:r>
    </w:p>
    <w:p w14:paraId="43F6B733" w14:textId="1F0EC3F4" w:rsidR="00F35AEF" w:rsidRPr="00F35AEF" w:rsidRDefault="00994D84" w:rsidP="00A62F83">
      <w:pPr>
        <w:pStyle w:val="BodyText1"/>
      </w:pPr>
      <w:r>
        <w:t>The Royal Commission’s concerns about governance extended beyond the Standards and included issues relating to the independence of provider boards, the skill mix of senior leaders within provider organisations, board members not sufficiently able to interrogate care quality data in a similar way to that taken to financial data from within their organisations. To address this, Recommendation 90 propose</w:t>
      </w:r>
      <w:r w:rsidR="005C7041">
        <w:t>d</w:t>
      </w:r>
      <w:r>
        <w:t xml:space="preserve"> to a</w:t>
      </w:r>
      <w:r w:rsidRPr="00EB4568">
        <w:t xml:space="preserve">mend the governance </w:t>
      </w:r>
      <w:r w:rsidR="00944100">
        <w:t>S</w:t>
      </w:r>
      <w:r w:rsidRPr="00EB4568">
        <w:t xml:space="preserve">tandard </w:t>
      </w:r>
      <w:r>
        <w:t>so</w:t>
      </w:r>
      <w:r w:rsidRPr="00EB4568">
        <w:t xml:space="preserve"> that providers have governing bodies with an appropriate skill mix</w:t>
      </w:r>
      <w:r w:rsidR="00703222">
        <w:t xml:space="preserve"> and </w:t>
      </w:r>
      <w:r w:rsidRPr="00EB4568">
        <w:t xml:space="preserve">implement a care governance committee </w:t>
      </w:r>
      <w:r w:rsidR="00703222">
        <w:t>and</w:t>
      </w:r>
      <w:r w:rsidRPr="00EB4568">
        <w:t xml:space="preserve"> feedback </w:t>
      </w:r>
      <w:r w:rsidR="00703222">
        <w:t xml:space="preserve">mechanisms </w:t>
      </w:r>
      <w:r w:rsidRPr="00EB4568">
        <w:t>relating to quality and safety.</w:t>
      </w:r>
      <w:r>
        <w:t xml:space="preserve"> The requirements for Standard </w:t>
      </w:r>
      <w:r>
        <w:lastRenderedPageBreak/>
        <w:t>8 already contain elements of these behaviours</w:t>
      </w:r>
      <w:r w:rsidR="00CD47E1">
        <w:t xml:space="preserve">. A </w:t>
      </w:r>
      <w:r>
        <w:t>small change to enhance the language in these areas</w:t>
      </w:r>
      <w:r w:rsidR="00CD47E1">
        <w:t xml:space="preserve"> </w:t>
      </w:r>
      <w:r w:rsidR="00AA7EFB">
        <w:t>c</w:t>
      </w:r>
      <w:r w:rsidR="00CD47E1">
        <w:t>ould be considered</w:t>
      </w:r>
      <w:r>
        <w:t xml:space="preserve">. </w:t>
      </w:r>
    </w:p>
    <w:p w14:paraId="7A4FE6C4" w14:textId="495D242D" w:rsidR="005F38B4" w:rsidRDefault="005F38B4" w:rsidP="00A62F83">
      <w:pPr>
        <w:pStyle w:val="BodyText1"/>
      </w:pPr>
      <w:r>
        <w:t xml:space="preserve">A further challenge could be ensuring that </w:t>
      </w:r>
      <w:r w:rsidR="00D94B73">
        <w:t>additional</w:t>
      </w:r>
      <w:r>
        <w:t xml:space="preserve"> proposed changes to provider governance </w:t>
      </w:r>
      <w:r w:rsidR="00223C4A">
        <w:t>in other l</w:t>
      </w:r>
      <w:r w:rsidR="00096822">
        <w:t xml:space="preserve">egislation </w:t>
      </w:r>
      <w:r w:rsidR="0095468D">
        <w:t>are aligned</w:t>
      </w:r>
      <w:r w:rsidR="00142CAE">
        <w:t xml:space="preserve"> with </w:t>
      </w:r>
      <w:r w:rsidR="00D94B73">
        <w:t xml:space="preserve">the Standards </w:t>
      </w:r>
      <w:r w:rsidR="0095468D">
        <w:t>and guidance so as to not further increase</w:t>
      </w:r>
      <w:r w:rsidR="00887EA6">
        <w:t xml:space="preserve"> the broader</w:t>
      </w:r>
      <w:r w:rsidR="0095468D">
        <w:t xml:space="preserve"> provider </w:t>
      </w:r>
      <w:r w:rsidR="001D2655">
        <w:t>obligations</w:t>
      </w:r>
      <w:r w:rsidR="0095468D">
        <w:t xml:space="preserve"> on this theme.</w:t>
      </w:r>
    </w:p>
    <w:p w14:paraId="474CAB4D" w14:textId="4011CDE8" w:rsidR="00980680" w:rsidRDefault="00FE45C2" w:rsidP="00A62F83">
      <w:pPr>
        <w:pStyle w:val="BodyText1"/>
      </w:pPr>
      <w:r>
        <w:t>An area of analysis in the Lightning Review was h</w:t>
      </w:r>
      <w:r w:rsidR="007461EE">
        <w:t xml:space="preserve">ow different sets of standards address </w:t>
      </w:r>
      <w:r w:rsidR="002075DD">
        <w:t>th</w:t>
      </w:r>
      <w:r w:rsidR="00C30EDD">
        <w:t xml:space="preserve">ese themes. </w:t>
      </w:r>
      <w:r w:rsidR="000829E5">
        <w:t xml:space="preserve"> </w:t>
      </w:r>
      <w:r w:rsidR="00BA5F1D">
        <w:t xml:space="preserve">The findings </w:t>
      </w:r>
      <w:r w:rsidR="00204F12">
        <w:t xml:space="preserve">of this research </w:t>
      </w:r>
      <w:r w:rsidR="00BA5F1D">
        <w:t xml:space="preserve">are summarised in </w:t>
      </w:r>
      <w:r w:rsidR="00190084">
        <w:fldChar w:fldCharType="begin" w:fldLock="1"/>
      </w:r>
      <w:r w:rsidR="00190084">
        <w:instrText xml:space="preserve"> REF _Ref85282577 \h </w:instrText>
      </w:r>
      <w:r w:rsidR="00190084">
        <w:fldChar w:fldCharType="separate"/>
      </w:r>
      <w:r w:rsidR="00DB740C">
        <w:t xml:space="preserve">Table </w:t>
      </w:r>
      <w:r w:rsidR="00DB740C">
        <w:rPr>
          <w:noProof/>
        </w:rPr>
        <w:t>11</w:t>
      </w:r>
      <w:r w:rsidR="00190084">
        <w:fldChar w:fldCharType="end"/>
      </w:r>
      <w:r w:rsidR="00BA5F1D">
        <w:t xml:space="preserve"> below.</w:t>
      </w:r>
    </w:p>
    <w:p w14:paraId="43374441" w14:textId="2E671A99" w:rsidR="00F72332" w:rsidRDefault="00F72332" w:rsidP="00231A99">
      <w:pPr>
        <w:pStyle w:val="Caption"/>
      </w:pPr>
      <w:bookmarkStart w:id="193" w:name="_Ref85282577"/>
      <w:bookmarkStart w:id="194" w:name="_Toc85369342"/>
      <w:r>
        <w:t xml:space="preserve">Table </w:t>
      </w:r>
      <w:r>
        <w:fldChar w:fldCharType="begin"/>
      </w:r>
      <w:r>
        <w:instrText>SEQ Table \* ARABIC</w:instrText>
      </w:r>
      <w:r>
        <w:fldChar w:fldCharType="separate"/>
      </w:r>
      <w:r w:rsidR="0083123A">
        <w:rPr>
          <w:noProof/>
        </w:rPr>
        <w:t>11</w:t>
      </w:r>
      <w:r>
        <w:fldChar w:fldCharType="end"/>
      </w:r>
      <w:bookmarkEnd w:id="193"/>
      <w:r w:rsidR="006F1394">
        <w:t>:</w:t>
      </w:r>
      <w:r>
        <w:t xml:space="preserve"> Findings from L</w:t>
      </w:r>
      <w:r w:rsidR="00B90B7A">
        <w:t xml:space="preserve">ightning Review on </w:t>
      </w:r>
      <w:r w:rsidR="002D2AA5">
        <w:t xml:space="preserve">gap </w:t>
      </w:r>
      <w:r w:rsidR="00B90B7A">
        <w:t>themes</w:t>
      </w:r>
      <w:r w:rsidR="002D2AA5">
        <w:t xml:space="preserve"> identified by the Evaluation.</w:t>
      </w:r>
      <w:bookmarkEnd w:id="194"/>
    </w:p>
    <w:tbl>
      <w:tblPr>
        <w:tblStyle w:val="TableGridLight"/>
        <w:tblW w:w="5000" w:type="pct"/>
        <w:tblLook w:val="0620" w:firstRow="1" w:lastRow="0" w:firstColumn="0" w:lastColumn="0" w:noHBand="1" w:noVBand="1"/>
      </w:tblPr>
      <w:tblGrid>
        <w:gridCol w:w="1696"/>
        <w:gridCol w:w="7364"/>
      </w:tblGrid>
      <w:tr w:rsidR="00B60401" w:rsidRPr="000315CF" w14:paraId="49197252" w14:textId="77777777" w:rsidTr="00966102">
        <w:trPr>
          <w:cnfStyle w:val="100000000000" w:firstRow="1" w:lastRow="0" w:firstColumn="0" w:lastColumn="0" w:oddVBand="0" w:evenVBand="0" w:oddHBand="0" w:evenHBand="0" w:firstRowFirstColumn="0" w:firstRowLastColumn="0" w:lastRowFirstColumn="0" w:lastRowLastColumn="0"/>
        </w:trPr>
        <w:tc>
          <w:tcPr>
            <w:tcW w:w="936" w:type="pct"/>
          </w:tcPr>
          <w:p w14:paraId="1E9A2117" w14:textId="3D7D755A" w:rsidR="00B60401" w:rsidRPr="006F1394" w:rsidRDefault="00F72332" w:rsidP="00575CC4">
            <w:pPr>
              <w:pStyle w:val="Tableheading"/>
            </w:pPr>
            <w:r w:rsidRPr="006F1394">
              <w:t>Theme</w:t>
            </w:r>
          </w:p>
        </w:tc>
        <w:tc>
          <w:tcPr>
            <w:tcW w:w="4064" w:type="pct"/>
          </w:tcPr>
          <w:p w14:paraId="19F4381D" w14:textId="4D43FD6C" w:rsidR="00B60401" w:rsidRPr="006F1394" w:rsidRDefault="00F72332" w:rsidP="00575CC4">
            <w:pPr>
              <w:pStyle w:val="Tableheading"/>
            </w:pPr>
            <w:r w:rsidRPr="006F1394">
              <w:t>Lightning Review Finding</w:t>
            </w:r>
          </w:p>
        </w:tc>
      </w:tr>
      <w:tr w:rsidR="00F72332" w:rsidRPr="009754DE" w14:paraId="4FCE37F5" w14:textId="77777777" w:rsidTr="00966102">
        <w:tc>
          <w:tcPr>
            <w:tcW w:w="936" w:type="pct"/>
          </w:tcPr>
          <w:p w14:paraId="7C14F65A" w14:textId="24135ECA" w:rsidR="00F72332" w:rsidRPr="00966102" w:rsidRDefault="00F72332" w:rsidP="00966102">
            <w:pPr>
              <w:pStyle w:val="Tabletextbold0"/>
              <w:rPr>
                <w:sz w:val="19"/>
                <w:szCs w:val="19"/>
              </w:rPr>
            </w:pPr>
            <w:r w:rsidRPr="00966102">
              <w:rPr>
                <w:sz w:val="19"/>
                <w:szCs w:val="19"/>
              </w:rPr>
              <w:t>Clinical and infection control outcomes</w:t>
            </w:r>
          </w:p>
        </w:tc>
        <w:tc>
          <w:tcPr>
            <w:tcW w:w="4064" w:type="pct"/>
          </w:tcPr>
          <w:p w14:paraId="4B3BCA57" w14:textId="4437B08E" w:rsidR="00F72332" w:rsidRPr="006F1394" w:rsidRDefault="00F72332" w:rsidP="002E6415">
            <w:pPr>
              <w:pStyle w:val="Tabletext"/>
              <w:spacing w:before="20" w:after="20"/>
              <w:rPr>
                <w:sz w:val="19"/>
                <w:szCs w:val="19"/>
              </w:rPr>
            </w:pPr>
            <w:r w:rsidRPr="006F1394">
              <w:rPr>
                <w:sz w:val="19"/>
                <w:szCs w:val="19"/>
              </w:rPr>
              <w:t>The Lightning Review found that</w:t>
            </w:r>
            <w:r w:rsidR="00E17795" w:rsidRPr="006F1394">
              <w:rPr>
                <w:sz w:val="19"/>
                <w:szCs w:val="19"/>
              </w:rPr>
              <w:t>,</w:t>
            </w:r>
            <w:r w:rsidRPr="006F1394">
              <w:rPr>
                <w:sz w:val="19"/>
                <w:szCs w:val="19"/>
              </w:rPr>
              <w:t xml:space="preserve"> comparatively</w:t>
            </w:r>
            <w:r w:rsidR="00E17795" w:rsidRPr="006F1394">
              <w:rPr>
                <w:sz w:val="19"/>
                <w:szCs w:val="19"/>
              </w:rPr>
              <w:t>,</w:t>
            </w:r>
            <w:r w:rsidRPr="006F1394">
              <w:rPr>
                <w:sz w:val="19"/>
                <w:szCs w:val="19"/>
              </w:rPr>
              <w:t xml:space="preserve"> the Standards lacked detail on infection control. The NSQHS Standards includes a section ‘Preventing and Controlling Infections’, the CQC Code of Practice on the Prevention and Control of Infections and Related Guidance is 97 pages and the New Zealand Standard relating to infection control contains 30 criteria. However, all of those examples apply to acute hospital settings, so it is appropriate that those standards are more detailed. </w:t>
            </w:r>
          </w:p>
        </w:tc>
      </w:tr>
      <w:tr w:rsidR="00F72332" w:rsidRPr="009754DE" w14:paraId="7959E8D6" w14:textId="77777777" w:rsidTr="00966102">
        <w:tc>
          <w:tcPr>
            <w:tcW w:w="936" w:type="pct"/>
          </w:tcPr>
          <w:p w14:paraId="4581EC5C" w14:textId="1936ED96" w:rsidR="00F72332" w:rsidRPr="00966102" w:rsidRDefault="00F72332" w:rsidP="00966102">
            <w:pPr>
              <w:pStyle w:val="Tabletextbold0"/>
              <w:rPr>
                <w:sz w:val="19"/>
                <w:szCs w:val="19"/>
                <w:u w:val="single"/>
              </w:rPr>
            </w:pPr>
            <w:r w:rsidRPr="00966102">
              <w:rPr>
                <w:sz w:val="19"/>
                <w:szCs w:val="19"/>
              </w:rPr>
              <w:t xml:space="preserve">Dementia </w:t>
            </w:r>
          </w:p>
        </w:tc>
        <w:tc>
          <w:tcPr>
            <w:tcW w:w="4064" w:type="pct"/>
          </w:tcPr>
          <w:p w14:paraId="6B455D72" w14:textId="77777777" w:rsidR="00F72332" w:rsidRPr="006F1394" w:rsidRDefault="00F72332" w:rsidP="002E6415">
            <w:pPr>
              <w:pStyle w:val="Tabletext"/>
              <w:spacing w:before="20" w:after="20"/>
              <w:rPr>
                <w:sz w:val="19"/>
                <w:szCs w:val="19"/>
              </w:rPr>
            </w:pPr>
            <w:r w:rsidRPr="006F1394">
              <w:rPr>
                <w:sz w:val="19"/>
                <w:szCs w:val="19"/>
              </w:rPr>
              <w:t xml:space="preserve">The Lightning Review had little to contribute on this theme as only two of the international standards reviewed address this element of care and </w:t>
            </w:r>
            <w:proofErr w:type="gramStart"/>
            <w:r w:rsidRPr="006F1394">
              <w:rPr>
                <w:sz w:val="19"/>
                <w:szCs w:val="19"/>
              </w:rPr>
              <w:t>both of them</w:t>
            </w:r>
            <w:proofErr w:type="gramEnd"/>
            <w:r w:rsidRPr="006F1394">
              <w:rPr>
                <w:sz w:val="19"/>
                <w:szCs w:val="19"/>
              </w:rPr>
              <w:t xml:space="preserve"> are voluntary standards.</w:t>
            </w:r>
          </w:p>
          <w:p w14:paraId="24555992" w14:textId="084BADC5" w:rsidR="00F72332" w:rsidRPr="006F1394" w:rsidRDefault="00F72332" w:rsidP="002E6415">
            <w:pPr>
              <w:pStyle w:val="Tabletext"/>
              <w:spacing w:before="20" w:after="20"/>
              <w:rPr>
                <w:sz w:val="19"/>
                <w:szCs w:val="19"/>
              </w:rPr>
            </w:pPr>
            <w:r w:rsidRPr="006F1394">
              <w:rPr>
                <w:sz w:val="19"/>
                <w:szCs w:val="19"/>
              </w:rPr>
              <w:t xml:space="preserve">The Canadian </w:t>
            </w:r>
            <w:proofErr w:type="spellStart"/>
            <w:r w:rsidRPr="006F1394">
              <w:rPr>
                <w:sz w:val="19"/>
                <w:szCs w:val="19"/>
              </w:rPr>
              <w:t>Qmentum</w:t>
            </w:r>
            <w:proofErr w:type="spellEnd"/>
            <w:r w:rsidRPr="006F1394">
              <w:rPr>
                <w:sz w:val="19"/>
                <w:szCs w:val="19"/>
              </w:rPr>
              <w:t xml:space="preserve"> Standards include dementia on an early screening list where partners should be identified to assist with early detection and the US Joint Commission’s (CAMNCC) </w:t>
            </w:r>
            <w:r w:rsidR="00E17795" w:rsidRPr="006F1394">
              <w:rPr>
                <w:sz w:val="19"/>
                <w:szCs w:val="19"/>
              </w:rPr>
              <w:t>S</w:t>
            </w:r>
            <w:r w:rsidRPr="006F1394">
              <w:rPr>
                <w:sz w:val="19"/>
                <w:szCs w:val="19"/>
              </w:rPr>
              <w:t xml:space="preserve">tandards contains an optional Memory Care Certification set of standards which refers to particular </w:t>
            </w:r>
            <w:r w:rsidR="00966667" w:rsidRPr="006F1394">
              <w:rPr>
                <w:sz w:val="19"/>
                <w:szCs w:val="19"/>
              </w:rPr>
              <w:t>adaptations</w:t>
            </w:r>
            <w:r w:rsidRPr="006F1394">
              <w:rPr>
                <w:sz w:val="19"/>
                <w:szCs w:val="19"/>
              </w:rPr>
              <w:t xml:space="preserve"> needed to the environment, staff training, the dining experience and recreational activities to best engage residents with dementia. </w:t>
            </w:r>
          </w:p>
        </w:tc>
      </w:tr>
      <w:tr w:rsidR="00F72332" w:rsidRPr="009754DE" w14:paraId="41BCEF01" w14:textId="77777777" w:rsidTr="00966102">
        <w:tc>
          <w:tcPr>
            <w:tcW w:w="936" w:type="pct"/>
          </w:tcPr>
          <w:p w14:paraId="10A6BFEA" w14:textId="3A2A74F1" w:rsidR="00F72332" w:rsidRPr="00966102" w:rsidRDefault="00F72332" w:rsidP="00966102">
            <w:pPr>
              <w:pStyle w:val="Tabletextbold0"/>
              <w:rPr>
                <w:sz w:val="19"/>
                <w:szCs w:val="19"/>
                <w:u w:val="single"/>
              </w:rPr>
            </w:pPr>
            <w:r w:rsidRPr="00966102">
              <w:rPr>
                <w:sz w:val="19"/>
                <w:szCs w:val="19"/>
              </w:rPr>
              <w:t>Palliative care</w:t>
            </w:r>
          </w:p>
        </w:tc>
        <w:tc>
          <w:tcPr>
            <w:tcW w:w="4064" w:type="pct"/>
          </w:tcPr>
          <w:p w14:paraId="09D51B05" w14:textId="77777777" w:rsidR="00F72332" w:rsidRPr="006F1394" w:rsidRDefault="00F72332" w:rsidP="002E6415">
            <w:pPr>
              <w:pStyle w:val="Tabletext"/>
              <w:spacing w:before="20" w:after="20"/>
              <w:rPr>
                <w:sz w:val="19"/>
                <w:szCs w:val="19"/>
              </w:rPr>
            </w:pPr>
            <w:r w:rsidRPr="006F1394">
              <w:rPr>
                <w:sz w:val="19"/>
                <w:szCs w:val="19"/>
              </w:rPr>
              <w:t xml:space="preserve">The Canadian </w:t>
            </w:r>
            <w:proofErr w:type="spellStart"/>
            <w:r w:rsidRPr="006F1394">
              <w:rPr>
                <w:sz w:val="19"/>
                <w:szCs w:val="19"/>
              </w:rPr>
              <w:t>Qmentum</w:t>
            </w:r>
            <w:proofErr w:type="spellEnd"/>
            <w:r w:rsidRPr="006F1394">
              <w:rPr>
                <w:sz w:val="19"/>
                <w:szCs w:val="19"/>
              </w:rPr>
              <w:t xml:space="preserve"> Standards make specific reference to palliative care at Standard 17: “The team provides comprehensive, interdisciplinary, and individualised palliative and end-of-life care using a whole-person approach” and this concludes a longer section which describes best practice for </w:t>
            </w:r>
            <w:proofErr w:type="gramStart"/>
            <w:r w:rsidRPr="006F1394">
              <w:rPr>
                <w:sz w:val="19"/>
                <w:szCs w:val="19"/>
              </w:rPr>
              <w:t>end of life</w:t>
            </w:r>
            <w:proofErr w:type="gramEnd"/>
            <w:r w:rsidRPr="006F1394">
              <w:rPr>
                <w:sz w:val="19"/>
                <w:szCs w:val="19"/>
              </w:rPr>
              <w:t xml:space="preserve"> care, including how and when to communicate with families. </w:t>
            </w:r>
          </w:p>
          <w:p w14:paraId="681D290E" w14:textId="4F7A3DA5" w:rsidR="00F72332" w:rsidRPr="006F1394" w:rsidRDefault="00F72332" w:rsidP="002E6415">
            <w:pPr>
              <w:pStyle w:val="Tabletext"/>
              <w:spacing w:before="20" w:after="20"/>
              <w:rPr>
                <w:sz w:val="19"/>
                <w:szCs w:val="19"/>
              </w:rPr>
            </w:pPr>
            <w:r w:rsidRPr="006F1394">
              <w:rPr>
                <w:sz w:val="19"/>
                <w:szCs w:val="19"/>
              </w:rPr>
              <w:t>The CAMNCC Standards require “[the consumer’s] conform and dignity receive priority during end-of-life care” (Standard PC.02.02.13).</w:t>
            </w:r>
          </w:p>
        </w:tc>
      </w:tr>
      <w:tr w:rsidR="00F72332" w:rsidRPr="009754DE" w14:paraId="4F051295" w14:textId="77777777" w:rsidTr="00966102">
        <w:tc>
          <w:tcPr>
            <w:tcW w:w="936" w:type="pct"/>
          </w:tcPr>
          <w:p w14:paraId="39A84090" w14:textId="1F9BD0F0" w:rsidR="00F72332" w:rsidRPr="00966102" w:rsidRDefault="00F72332" w:rsidP="00966102">
            <w:pPr>
              <w:pStyle w:val="Tabletextbold0"/>
              <w:rPr>
                <w:sz w:val="19"/>
                <w:szCs w:val="19"/>
                <w:u w:val="single"/>
              </w:rPr>
            </w:pPr>
            <w:r w:rsidRPr="00966102">
              <w:rPr>
                <w:sz w:val="19"/>
                <w:szCs w:val="19"/>
              </w:rPr>
              <w:t>Nutrition</w:t>
            </w:r>
          </w:p>
        </w:tc>
        <w:tc>
          <w:tcPr>
            <w:tcW w:w="4064" w:type="pct"/>
          </w:tcPr>
          <w:p w14:paraId="06C1AC8B" w14:textId="58746875" w:rsidR="00F72332" w:rsidRPr="006F1394" w:rsidRDefault="00F72332" w:rsidP="002E6415">
            <w:pPr>
              <w:pStyle w:val="Tabletext"/>
              <w:spacing w:before="20" w:after="20"/>
              <w:rPr>
                <w:sz w:val="19"/>
                <w:szCs w:val="19"/>
              </w:rPr>
            </w:pPr>
            <w:r w:rsidRPr="006F1394">
              <w:rPr>
                <w:sz w:val="19"/>
                <w:szCs w:val="19"/>
              </w:rPr>
              <w:t>The Lightning Review found the Standards were unusual in their omission of details about nutrition, with the NSQHS Standards, C</w:t>
            </w:r>
            <w:r w:rsidR="00222DBA">
              <w:rPr>
                <w:sz w:val="19"/>
                <w:szCs w:val="19"/>
              </w:rPr>
              <w:t>are Quality Commission (C</w:t>
            </w:r>
            <w:r w:rsidRPr="006F1394">
              <w:rPr>
                <w:sz w:val="19"/>
                <w:szCs w:val="19"/>
              </w:rPr>
              <w:t>QC</w:t>
            </w:r>
            <w:r w:rsidR="00222DBA">
              <w:rPr>
                <w:sz w:val="19"/>
                <w:szCs w:val="19"/>
              </w:rPr>
              <w:t>)</w:t>
            </w:r>
            <w:r w:rsidRPr="006F1394">
              <w:rPr>
                <w:sz w:val="19"/>
                <w:szCs w:val="19"/>
              </w:rPr>
              <w:t xml:space="preserve"> Standards, New Zealand Standards and Ontario Regulations all </w:t>
            </w:r>
            <w:r w:rsidR="002075DD" w:rsidRPr="006F1394">
              <w:rPr>
                <w:sz w:val="19"/>
                <w:szCs w:val="19"/>
              </w:rPr>
              <w:t>contain</w:t>
            </w:r>
            <w:r w:rsidR="002200B7" w:rsidRPr="006F1394">
              <w:rPr>
                <w:sz w:val="19"/>
                <w:szCs w:val="19"/>
              </w:rPr>
              <w:t>ing</w:t>
            </w:r>
            <w:r w:rsidRPr="006F1394">
              <w:rPr>
                <w:sz w:val="19"/>
                <w:szCs w:val="19"/>
              </w:rPr>
              <w:t xml:space="preserve"> more requirements about how nutritional needs should be met. </w:t>
            </w:r>
          </w:p>
        </w:tc>
      </w:tr>
      <w:tr w:rsidR="00F72332" w:rsidRPr="009754DE" w14:paraId="29CBFE5F" w14:textId="77777777" w:rsidTr="00966102">
        <w:tc>
          <w:tcPr>
            <w:tcW w:w="936" w:type="pct"/>
          </w:tcPr>
          <w:p w14:paraId="19180282" w14:textId="42B0B27E" w:rsidR="00F72332" w:rsidRPr="00966102" w:rsidRDefault="00F72332" w:rsidP="00966102">
            <w:pPr>
              <w:pStyle w:val="Tabletextbold0"/>
              <w:rPr>
                <w:sz w:val="19"/>
                <w:szCs w:val="19"/>
                <w:u w:val="single"/>
              </w:rPr>
            </w:pPr>
            <w:r w:rsidRPr="00966102">
              <w:rPr>
                <w:sz w:val="19"/>
                <w:szCs w:val="19"/>
              </w:rPr>
              <w:t>Diversity</w:t>
            </w:r>
          </w:p>
        </w:tc>
        <w:tc>
          <w:tcPr>
            <w:tcW w:w="4064" w:type="pct"/>
          </w:tcPr>
          <w:p w14:paraId="4924F4B1" w14:textId="2B3AE52A" w:rsidR="00F72332" w:rsidRPr="006F1394" w:rsidRDefault="00966667" w:rsidP="002E6415">
            <w:pPr>
              <w:pStyle w:val="Tabletext"/>
              <w:spacing w:before="20" w:after="20"/>
              <w:rPr>
                <w:sz w:val="19"/>
                <w:szCs w:val="19"/>
              </w:rPr>
            </w:pPr>
            <w:r w:rsidRPr="006F1394">
              <w:rPr>
                <w:sz w:val="19"/>
                <w:szCs w:val="19"/>
              </w:rPr>
              <w:t>T</w:t>
            </w:r>
            <w:r w:rsidR="00F72332" w:rsidRPr="006F1394">
              <w:rPr>
                <w:sz w:val="19"/>
                <w:szCs w:val="19"/>
              </w:rPr>
              <w:t>he Lightning Review did not find many examples that contained more detail</w:t>
            </w:r>
            <w:r w:rsidRPr="006F1394">
              <w:rPr>
                <w:sz w:val="19"/>
                <w:szCs w:val="19"/>
              </w:rPr>
              <w:t xml:space="preserve"> on diversity</w:t>
            </w:r>
            <w:r w:rsidR="00F72332" w:rsidRPr="006F1394">
              <w:rPr>
                <w:sz w:val="19"/>
                <w:szCs w:val="19"/>
              </w:rPr>
              <w:t xml:space="preserve"> than the current Standards. Only the NSQHS Standards contain a fuller reference to diversity, with Action 1.15c requiring “The health service organisation… incorporate information on the diversity of its consumers and higher-risk groups into the planning and delivery of care”. This goes slightly further than the Standards in its link to care planning. </w:t>
            </w:r>
          </w:p>
        </w:tc>
      </w:tr>
      <w:tr w:rsidR="00F72332" w:rsidRPr="009754DE" w14:paraId="261D50B1" w14:textId="77777777" w:rsidTr="00966102">
        <w:tc>
          <w:tcPr>
            <w:tcW w:w="936" w:type="pct"/>
          </w:tcPr>
          <w:p w14:paraId="11EA54B6" w14:textId="4B70343D" w:rsidR="00F72332" w:rsidRPr="00966102" w:rsidRDefault="00F72332" w:rsidP="00966102">
            <w:pPr>
              <w:pStyle w:val="Tabletextbold0"/>
              <w:rPr>
                <w:sz w:val="19"/>
                <w:szCs w:val="19"/>
                <w:u w:val="single"/>
              </w:rPr>
            </w:pPr>
            <w:r w:rsidRPr="00966102">
              <w:rPr>
                <w:sz w:val="19"/>
                <w:szCs w:val="19"/>
              </w:rPr>
              <w:t xml:space="preserve">Governance </w:t>
            </w:r>
          </w:p>
        </w:tc>
        <w:tc>
          <w:tcPr>
            <w:tcW w:w="4064" w:type="pct"/>
          </w:tcPr>
          <w:p w14:paraId="65C0878E" w14:textId="0BD0557A" w:rsidR="00F72332" w:rsidRPr="006F1394" w:rsidRDefault="00F72332" w:rsidP="002E6415">
            <w:pPr>
              <w:pStyle w:val="Tabletext"/>
              <w:spacing w:before="20" w:after="20"/>
              <w:rPr>
                <w:sz w:val="19"/>
                <w:szCs w:val="19"/>
              </w:rPr>
            </w:pPr>
            <w:r w:rsidRPr="006F1394">
              <w:rPr>
                <w:sz w:val="19"/>
                <w:szCs w:val="19"/>
              </w:rPr>
              <w:t xml:space="preserve">The Lightning Review found governance was a very common theme in many of the standards considered. The NDIS Practice Standards include eight standards under the ‘Provider Governance and Operational Management’ section of the core module. These standards are considerably detailed with 38 specific quality indicators included under the following standards: governance and operational management, risk management, quality management, information management, feedback and complaints management, incident management, human resources management and continuity of supports. The NSQHS, New Zealand, CQC and US and Ontario Regulations all contain further details on governance. </w:t>
            </w:r>
          </w:p>
        </w:tc>
      </w:tr>
    </w:tbl>
    <w:p w14:paraId="68B85CEC" w14:textId="2B7588D6" w:rsidR="006215B9" w:rsidRDefault="002D2AA5" w:rsidP="00231A99">
      <w:pPr>
        <w:pStyle w:val="Source0"/>
      </w:pPr>
      <w:r>
        <w:t>Source: KPMG Lightning Review</w:t>
      </w:r>
      <w:r w:rsidR="00F626EE">
        <w:t>.</w:t>
      </w:r>
    </w:p>
    <w:p w14:paraId="0D806458" w14:textId="16EC7611" w:rsidR="00EC12ED" w:rsidRPr="00314894" w:rsidRDefault="002E6415" w:rsidP="002E6415">
      <w:pPr>
        <w:pStyle w:val="Heading2"/>
      </w:pPr>
      <w:bookmarkStart w:id="195" w:name="_Toc88804093"/>
      <w:bookmarkStart w:id="196" w:name="_Toc89930053"/>
      <w:bookmarkStart w:id="197" w:name="_Toc90453372"/>
      <w:bookmarkStart w:id="198" w:name="_Toc113448700"/>
      <w:r>
        <w:lastRenderedPageBreak/>
        <w:t xml:space="preserve">6.6 </w:t>
      </w:r>
      <w:r w:rsidR="006215B9" w:rsidRPr="00314894">
        <w:t xml:space="preserve">Are </w:t>
      </w:r>
      <w:proofErr w:type="gramStart"/>
      <w:r w:rsidR="006215B9" w:rsidRPr="00314894">
        <w:t>there</w:t>
      </w:r>
      <w:proofErr w:type="gramEnd"/>
      <w:r w:rsidR="006215B9" w:rsidRPr="00314894">
        <w:t xml:space="preserve"> suggestions for improving individual standards?</w:t>
      </w:r>
      <w:bookmarkEnd w:id="195"/>
      <w:bookmarkEnd w:id="196"/>
      <w:bookmarkEnd w:id="197"/>
      <w:bookmarkEnd w:id="198"/>
    </w:p>
    <w:p w14:paraId="33C2C16F" w14:textId="44FEE333" w:rsidR="00204AF2" w:rsidRDefault="00EC12ED" w:rsidP="00A62F83">
      <w:pPr>
        <w:pStyle w:val="BodyText1"/>
      </w:pPr>
      <w:r>
        <w:t xml:space="preserve">Overall, there are improvements that could be made to </w:t>
      </w:r>
      <w:r w:rsidR="00D5681D">
        <w:t>individual</w:t>
      </w:r>
      <w:r>
        <w:t xml:space="preserve"> </w:t>
      </w:r>
      <w:r w:rsidR="0045428C">
        <w:t>s</w:t>
      </w:r>
      <w:r>
        <w:t xml:space="preserve">tandards. The Royal Commission highlighted priority areas for improvement </w:t>
      </w:r>
      <w:r w:rsidR="009F7ED8">
        <w:t>of</w:t>
      </w:r>
      <w:r>
        <w:t xml:space="preserve"> the Standards, including the need to address gaps and improve the measurability of the Standards. </w:t>
      </w:r>
      <w:r w:rsidR="00A9779D">
        <w:t>F</w:t>
      </w:r>
      <w:r>
        <w:t xml:space="preserve">eedback on gaps was largely </w:t>
      </w:r>
      <w:r w:rsidR="00A9779D">
        <w:t xml:space="preserve">consistent across all stakeholder groups and was </w:t>
      </w:r>
      <w:r>
        <w:t>consistent with Royal Commission findings and could be addressed as part of the review of the Standards</w:t>
      </w:r>
      <w:r w:rsidR="00D5681D">
        <w:t xml:space="preserve"> (as detailed above)</w:t>
      </w:r>
      <w:r>
        <w:t>. Feedback received during consultations also highlighted the need to improve clarity of intent within the Standards through more prescriptive or detailed requirements</w:t>
      </w:r>
      <w:r w:rsidR="00204AF2">
        <w:t xml:space="preserve">, in line with the Royal Commission findings </w:t>
      </w:r>
      <w:r w:rsidR="00981A37">
        <w:t>related to</w:t>
      </w:r>
      <w:r w:rsidR="00204AF2">
        <w:t xml:space="preserve"> measurability</w:t>
      </w:r>
      <w:r w:rsidR="005C7041">
        <w:t xml:space="preserve">. </w:t>
      </w:r>
      <w:r w:rsidR="00D917C1">
        <w:t>S</w:t>
      </w:r>
      <w:r w:rsidR="00A94EE7">
        <w:t>ome s</w:t>
      </w:r>
      <w:r w:rsidR="00D917C1">
        <w:t>takeholders</w:t>
      </w:r>
      <w:r w:rsidR="00A9779D">
        <w:t xml:space="preserve"> from providers</w:t>
      </w:r>
      <w:r w:rsidR="0059447A">
        <w:t xml:space="preserve"> and specialist organisations</w:t>
      </w:r>
      <w:r w:rsidR="00D917C1">
        <w:t xml:space="preserve"> also provided feedback on the level of </w:t>
      </w:r>
      <w:r w:rsidR="00A94EE7">
        <w:t xml:space="preserve">repetition within the Standards and </w:t>
      </w:r>
      <w:r w:rsidR="00F00A4B">
        <w:t>on certain</w:t>
      </w:r>
      <w:r w:rsidR="00BE071A">
        <w:t xml:space="preserve"> </w:t>
      </w:r>
      <w:r w:rsidR="00D8055C">
        <w:t>Standards where there are</w:t>
      </w:r>
      <w:r w:rsidR="004304B2">
        <w:t xml:space="preserve"> multiple </w:t>
      </w:r>
      <w:r w:rsidR="00325179">
        <w:t xml:space="preserve">elements </w:t>
      </w:r>
      <w:r w:rsidR="00F00A4B">
        <w:t>c</w:t>
      </w:r>
      <w:r w:rsidR="00FB6E58">
        <w:t>ontained within a single requirement</w:t>
      </w:r>
      <w:r w:rsidR="0014095D">
        <w:t>. These areas are explored below.</w:t>
      </w:r>
    </w:p>
    <w:p w14:paraId="66A59BE2" w14:textId="77777777" w:rsidR="00DA7B4E" w:rsidRDefault="00DA7B4E" w:rsidP="00231A99">
      <w:pPr>
        <w:pStyle w:val="HeadingLevel3NoNumber"/>
      </w:pPr>
      <w:r>
        <w:t>Repetition within existing standards</w:t>
      </w:r>
    </w:p>
    <w:p w14:paraId="7A5A2090" w14:textId="291715FC" w:rsidR="00DA7B4E" w:rsidRDefault="00DA7B4E" w:rsidP="00A62F83">
      <w:pPr>
        <w:pStyle w:val="BodyText1"/>
      </w:pPr>
      <w:r>
        <w:t xml:space="preserve">There was a minority of stakeholder responses to the survey (37%) who considered the Standards are repetitious. There was limited commentary provided surrounding repetition in the survey responses. </w:t>
      </w:r>
      <w:r w:rsidR="007E51C7">
        <w:t xml:space="preserve">Providers </w:t>
      </w:r>
      <w:r w:rsidR="00FE6E15">
        <w:t>during consultations</w:t>
      </w:r>
      <w:r>
        <w:t xml:space="preserve"> observed that elements </w:t>
      </w:r>
      <w:r w:rsidR="002200B7">
        <w:t xml:space="preserve">of </w:t>
      </w:r>
      <w:r w:rsidRPr="008A5870">
        <w:t>infection control and anti-microbial stewardship</w:t>
      </w:r>
      <w:r>
        <w:t xml:space="preserve"> appear in Standards 3, 5 and 8. </w:t>
      </w:r>
      <w:r w:rsidR="00F90796" w:rsidRPr="00EE3799">
        <w:rPr>
          <w:rFonts w:eastAsia="Calibri" w:cs="Arial"/>
        </w:rPr>
        <w:t>It should be noted that, in such cases, the articulation of these requirements has different nuances under different Standards and does not, therefore, constitute a repetition of the same requirements across multiple Standards.</w:t>
      </w:r>
      <w:r w:rsidR="00F90796">
        <w:rPr>
          <w:rFonts w:eastAsia="Calibri" w:cs="Arial"/>
        </w:rPr>
        <w:t xml:space="preserve"> </w:t>
      </w:r>
      <w:r w:rsidR="00F90796">
        <w:t>B</w:t>
      </w:r>
      <w:r w:rsidR="00FE6E15">
        <w:t>roader concerns were raised</w:t>
      </w:r>
      <w:r w:rsidR="00F9386F">
        <w:t xml:space="preserve"> that</w:t>
      </w:r>
      <w:r w:rsidR="00FE6E15">
        <w:t xml:space="preserve"> </w:t>
      </w:r>
      <w:r w:rsidR="009B5AA2">
        <w:t xml:space="preserve">repetition across standards can mean </w:t>
      </w:r>
      <w:r w:rsidR="00F9386F">
        <w:t>o</w:t>
      </w:r>
      <w:r>
        <w:t xml:space="preserve">ne piece of evidence can be used to support a finding of non-compliance for multiple standards. </w:t>
      </w:r>
      <w:r w:rsidR="00344668">
        <w:t xml:space="preserve">This issue may be able to be addressed </w:t>
      </w:r>
      <w:r w:rsidR="00F90796">
        <w:t>through</w:t>
      </w:r>
      <w:r w:rsidR="002C7FFB">
        <w:t xml:space="preserve"> </w:t>
      </w:r>
      <w:r w:rsidR="00691AAB">
        <w:t>the inclusion of</w:t>
      </w:r>
      <w:r w:rsidR="002C7FFB">
        <w:t xml:space="preserve"> more detailed requirements under existing Standards</w:t>
      </w:r>
      <w:r w:rsidR="00936C55">
        <w:t xml:space="preserve"> to distinguish between requirements under different Standards where there </w:t>
      </w:r>
      <w:r w:rsidR="00F90796">
        <w:t xml:space="preserve">are common elements or perceived repetition </w:t>
      </w:r>
      <w:r w:rsidR="002C7FFB">
        <w:t>(discussed in more detail below).</w:t>
      </w:r>
      <w:r w:rsidR="00344668">
        <w:t xml:space="preserve"> </w:t>
      </w:r>
    </w:p>
    <w:p w14:paraId="4843A88A" w14:textId="0C1879F6" w:rsidR="00DA7B4E" w:rsidRDefault="004C5B0D" w:rsidP="00231A99">
      <w:pPr>
        <w:pStyle w:val="HeadingLevel3NoNumber"/>
      </w:pPr>
      <w:r>
        <w:t xml:space="preserve">Multiple </w:t>
      </w:r>
      <w:r w:rsidR="00325179">
        <w:t xml:space="preserve">elements </w:t>
      </w:r>
      <w:r>
        <w:t xml:space="preserve">within one </w:t>
      </w:r>
      <w:r w:rsidR="00325179">
        <w:t>requirement</w:t>
      </w:r>
    </w:p>
    <w:p w14:paraId="12FA8BA0" w14:textId="1750DF91" w:rsidR="002075DD" w:rsidRPr="00647800" w:rsidRDefault="002075DD" w:rsidP="00A62F83">
      <w:pPr>
        <w:pStyle w:val="BodyText1"/>
      </w:pPr>
      <w:r w:rsidRPr="00647800">
        <w:t>Some standards challenge provider understanding because they contain distinct but linked themes within a single requirement</w:t>
      </w:r>
      <w:r>
        <w:t xml:space="preserve">. </w:t>
      </w:r>
      <w:r w:rsidRPr="00647800">
        <w:t>This means there is more than one way for a provider to be found non</w:t>
      </w:r>
      <w:r w:rsidR="00D45889">
        <w:noBreakHyphen/>
      </w:r>
      <w:r w:rsidRPr="00647800">
        <w:t xml:space="preserve">compliant with one element when other elements may be performed correctly. </w:t>
      </w:r>
      <w:r w:rsidR="00325179">
        <w:t>For example, S</w:t>
      </w:r>
      <w:r w:rsidRPr="00647800">
        <w:t>tandard 1(3)(a) addresses both “dignity and respect” and “</w:t>
      </w:r>
      <w:r>
        <w:t xml:space="preserve">[valuing] </w:t>
      </w:r>
      <w:r w:rsidRPr="00647800">
        <w:t>culture and diversity”</w:t>
      </w:r>
      <w:r>
        <w:t xml:space="preserve">. </w:t>
      </w:r>
      <w:r w:rsidRPr="00647800">
        <w:t>These combinations may lessen provider confidence if, for example, they are confident they treat consumers with dignity and respect, but are less mature in their understanding of recognising cultural diversity</w:t>
      </w:r>
      <w:r>
        <w:t xml:space="preserve">, and can be found non-compliant with the full requirement as a result. </w:t>
      </w:r>
      <w:r w:rsidR="00B3624C">
        <w:t xml:space="preserve">This issue may be able to be addressed by expanding requirements statements with multiple </w:t>
      </w:r>
      <w:r w:rsidR="00325179">
        <w:t xml:space="preserve">elements </w:t>
      </w:r>
      <w:r w:rsidR="00B3624C">
        <w:t>into separate requirements statements.</w:t>
      </w:r>
      <w:r>
        <w:t xml:space="preserve"> </w:t>
      </w:r>
    </w:p>
    <w:p w14:paraId="5E70D99A" w14:textId="751CAE87" w:rsidR="00A61B7B" w:rsidRDefault="00A61B7B" w:rsidP="00231A99">
      <w:pPr>
        <w:pStyle w:val="HeadingLevel3NoNumber"/>
      </w:pPr>
      <w:r>
        <w:t>Measurability and understanding of the Standards</w:t>
      </w:r>
    </w:p>
    <w:p w14:paraId="437AE27A" w14:textId="533A10A2" w:rsidR="00051FC8" w:rsidRDefault="00ED2F41" w:rsidP="00A62F83">
      <w:pPr>
        <w:pStyle w:val="BodyText1"/>
      </w:pPr>
      <w:r>
        <w:t>As outlined in Section</w:t>
      </w:r>
      <w:r w:rsidR="00391E4F">
        <w:t xml:space="preserve"> </w:t>
      </w:r>
      <w:r w:rsidR="00391E4F">
        <w:fldChar w:fldCharType="begin" w:fldLock="1"/>
      </w:r>
      <w:r w:rsidR="00391E4F">
        <w:instrText xml:space="preserve"> REF _Ref85383147 \r \h </w:instrText>
      </w:r>
      <w:r w:rsidR="00391E4F">
        <w:fldChar w:fldCharType="separate"/>
      </w:r>
      <w:r w:rsidR="00453533">
        <w:t>3</w:t>
      </w:r>
      <w:r w:rsidR="00391E4F">
        <w:fldChar w:fldCharType="end"/>
      </w:r>
      <w:r>
        <w:t>, t</w:t>
      </w:r>
      <w:r w:rsidRPr="00B567B7">
        <w:t>he Royal Commission was critical of the measurability of the Standards.</w:t>
      </w:r>
      <w:r w:rsidR="00051FC8">
        <w:t xml:space="preserve"> The Royal Commission’s commentary on the measurability of the Standards related to two key issues:</w:t>
      </w:r>
    </w:p>
    <w:p w14:paraId="23BE0EAF" w14:textId="2DF5D6C5" w:rsidR="00051FC8" w:rsidRDefault="00051FC8" w:rsidP="002A4AE3">
      <w:pPr>
        <w:pStyle w:val="Bullet1stlevel"/>
      </w:pPr>
      <w:r>
        <w:t>the l</w:t>
      </w:r>
      <w:r w:rsidRPr="00051FC8">
        <w:t xml:space="preserve">evel of prescription and detail of requirements and their ability to present a clear view </w:t>
      </w:r>
      <w:r w:rsidR="00D57EAD">
        <w:t>on</w:t>
      </w:r>
      <w:r w:rsidRPr="00051FC8">
        <w:t xml:space="preserve"> what providers </w:t>
      </w:r>
      <w:r w:rsidR="00D57EAD">
        <w:t xml:space="preserve">need to </w:t>
      </w:r>
      <w:r w:rsidRPr="00051FC8">
        <w:t xml:space="preserve">do to demonstrate that they are meeting the </w:t>
      </w:r>
      <w:r w:rsidR="00D57EAD">
        <w:t>Standard</w:t>
      </w:r>
    </w:p>
    <w:p w14:paraId="5FBD060E" w14:textId="01DEEC14" w:rsidR="00051FC8" w:rsidRDefault="00051FC8" w:rsidP="002A4AE3">
      <w:pPr>
        <w:pStyle w:val="Bullet1stlevel"/>
      </w:pPr>
      <w:r>
        <w:t>i</w:t>
      </w:r>
      <w:r w:rsidRPr="00051FC8">
        <w:t>nclusion of requirements within the Standards that can support additional measurement and benchmarking of performance</w:t>
      </w:r>
      <w:r>
        <w:t>.</w:t>
      </w:r>
    </w:p>
    <w:p w14:paraId="59605232" w14:textId="7DC6E270" w:rsidR="00CF60D0" w:rsidRDefault="00CF60D0" w:rsidP="00A62F83">
      <w:pPr>
        <w:pStyle w:val="BodyText1"/>
      </w:pPr>
      <w:r>
        <w:t xml:space="preserve">Feedback from the Royal Commission was consistent with </w:t>
      </w:r>
      <w:r w:rsidR="00C72455">
        <w:t xml:space="preserve">the views of </w:t>
      </w:r>
      <w:r w:rsidR="00391E4F">
        <w:t>a number</w:t>
      </w:r>
      <w:r w:rsidR="007217B2">
        <w:t xml:space="preserve"> providers, who requested </w:t>
      </w:r>
      <w:r w:rsidRPr="00C34E90">
        <w:t xml:space="preserve">more detail or prescriptiveness within the </w:t>
      </w:r>
      <w:r>
        <w:t>S</w:t>
      </w:r>
      <w:r w:rsidRPr="00C34E90">
        <w:t xml:space="preserve">tandards, or enhanced guidance about compliance with the </w:t>
      </w:r>
      <w:r>
        <w:t>S</w:t>
      </w:r>
      <w:r w:rsidRPr="00900B20">
        <w:t>tandards</w:t>
      </w:r>
      <w:r w:rsidR="007217B2">
        <w:t xml:space="preserve"> to support understanding of the Standards and the expectations of the Commission.</w:t>
      </w:r>
    </w:p>
    <w:p w14:paraId="79A7DBD7" w14:textId="14D774D2" w:rsidR="004D154B" w:rsidRPr="004D154B" w:rsidRDefault="00CF60D0" w:rsidP="00A62F83">
      <w:pPr>
        <w:pStyle w:val="BodyText1"/>
      </w:pPr>
      <w:r>
        <w:t>For standards that are framed around outcomes, like the Standards, the requirements of a set of standards often define the systems, processes and practices a provider and a regulator would expect to see in order to know that the outcome has been achieved.</w:t>
      </w:r>
    </w:p>
    <w:p w14:paraId="376E25E9" w14:textId="6168DEDD" w:rsidR="00745C7A" w:rsidRDefault="00476DC8" w:rsidP="00A62F83">
      <w:pPr>
        <w:pStyle w:val="BodyText1"/>
      </w:pPr>
      <w:r>
        <w:lastRenderedPageBreak/>
        <w:t xml:space="preserve">The Law Council of Australia considered this issue </w:t>
      </w:r>
      <w:r w:rsidR="00F75BCC">
        <w:t xml:space="preserve">to relate to drafting clarity.  </w:t>
      </w:r>
      <w:r w:rsidR="003820E8">
        <w:t xml:space="preserve">Referring to </w:t>
      </w:r>
      <w:r w:rsidR="0022768E">
        <w:t xml:space="preserve">Standard 7 as an example, they suggest </w:t>
      </w:r>
      <w:r w:rsidR="00D20F9D">
        <w:t>the requirements are “</w:t>
      </w:r>
      <w:r w:rsidR="000F13DD" w:rsidRPr="000F13DD">
        <w:t>impressionistic and somewhat circular</w:t>
      </w:r>
      <w:r w:rsidR="0023204E">
        <w:t>”</w:t>
      </w:r>
      <w:r w:rsidR="0034729A">
        <w:t>.</w:t>
      </w:r>
      <w:r w:rsidR="00D95ED0">
        <w:t xml:space="preserve">  </w:t>
      </w:r>
      <w:r w:rsidR="006C6B55">
        <w:t xml:space="preserve">Whilst the </w:t>
      </w:r>
      <w:r w:rsidR="00D95ED0">
        <w:t>Council’s view is</w:t>
      </w:r>
      <w:r w:rsidR="006C6B55">
        <w:t xml:space="preserve"> objective</w:t>
      </w:r>
      <w:r w:rsidR="00856734">
        <w:t xml:space="preserve">, it is possible that the sector understanding of providers and the </w:t>
      </w:r>
      <w:r w:rsidR="00A60368">
        <w:t xml:space="preserve">Commission </w:t>
      </w:r>
      <w:r w:rsidR="005C7996">
        <w:t>lessen t</w:t>
      </w:r>
      <w:r w:rsidR="00136640">
        <w:t xml:space="preserve">hose impressionistic elements to make them more measurable, but it does suggest that some sector knowledge is required to support </w:t>
      </w:r>
      <w:r w:rsidR="005D0977">
        <w:t xml:space="preserve">correct interpretation.  </w:t>
      </w:r>
      <w:r w:rsidR="003B3F54">
        <w:t>To resolve this, the Council suggest “</w:t>
      </w:r>
      <w:r w:rsidR="00F72AE9">
        <w:t xml:space="preserve">it would be </w:t>
      </w:r>
      <w:r w:rsidR="00376F6F" w:rsidRPr="00376F6F">
        <w:t>preferrable to set a verifiable action or task or output in relation to each of those thing</w:t>
      </w:r>
      <w:r w:rsidR="00376F6F">
        <w:t>s…</w:t>
      </w:r>
      <w:r w:rsidR="00376F6F" w:rsidRPr="00376F6F">
        <w:t xml:space="preserve"> on which to assess performance</w:t>
      </w:r>
      <w:r w:rsidR="00F72AE9">
        <w:t>.</w:t>
      </w:r>
      <w:r w:rsidR="00136640">
        <w:t xml:space="preserve"> </w:t>
      </w:r>
      <w:r w:rsidR="00D95ED0">
        <w:t xml:space="preserve"> </w:t>
      </w:r>
      <w:r w:rsidR="0083123A">
        <w:rPr>
          <w:rFonts w:ascii="ZWAdobeF" w:hAnsi="ZWAdobeF" w:cs="ZWAdobeF"/>
          <w:sz w:val="2"/>
          <w:szCs w:val="2"/>
        </w:rPr>
        <w:t>48F</w:t>
      </w:r>
      <w:r w:rsidR="00745C7A">
        <w:rPr>
          <w:rStyle w:val="FootnoteReference"/>
        </w:rPr>
        <w:footnoteReference w:id="50"/>
      </w:r>
    </w:p>
    <w:p w14:paraId="3E074591" w14:textId="27F9EC3E" w:rsidR="005701A5" w:rsidRDefault="005701A5" w:rsidP="00A62F83">
      <w:pPr>
        <w:pStyle w:val="BodyText1"/>
      </w:pPr>
      <w:r>
        <w:t xml:space="preserve">In observing </w:t>
      </w:r>
      <w:r w:rsidR="00D03CE3">
        <w:t>s</w:t>
      </w:r>
      <w:r>
        <w:t xml:space="preserve">tandards in other sectors locally and internationally through the Lightning Review, a number of sets of standards contain similar themes and concepts to the Standards and use a similar structure to present their standards. However, some sets of standards that are greater in length appear to provide more detail within the requirements section of the Standard that </w:t>
      </w:r>
      <w:r w:rsidR="00030B90">
        <w:t>are</w:t>
      </w:r>
      <w:r>
        <w:t xml:space="preserve"> either:</w:t>
      </w:r>
    </w:p>
    <w:p w14:paraId="38049F5F" w14:textId="0F3AA240" w:rsidR="005701A5" w:rsidRPr="00524D97" w:rsidRDefault="005701A5" w:rsidP="002A4AE3">
      <w:pPr>
        <w:pStyle w:val="Bullet1stlevel"/>
      </w:pPr>
      <w:r w:rsidRPr="00966102">
        <w:rPr>
          <w:rStyle w:val="Strong"/>
        </w:rPr>
        <w:t>More prescriptive and</w:t>
      </w:r>
      <w:r w:rsidR="008542C4" w:rsidRPr="00966102">
        <w:rPr>
          <w:rStyle w:val="Strong"/>
        </w:rPr>
        <w:t xml:space="preserve"> include statements that</w:t>
      </w:r>
      <w:r w:rsidRPr="00966102">
        <w:rPr>
          <w:rStyle w:val="Strong"/>
        </w:rPr>
        <w:t xml:space="preserve"> describe how a provider should deliver care to meet the requirement.</w:t>
      </w:r>
      <w:r w:rsidRPr="00524D97">
        <w:t xml:space="preserve"> For example, </w:t>
      </w:r>
      <w:r>
        <w:t xml:space="preserve">the </w:t>
      </w:r>
      <w:r w:rsidRPr="006912B0">
        <w:t>Ontario Long-Term Care Homes Regulation</w:t>
      </w:r>
      <w:r>
        <w:t xml:space="preserve">s (the Ontario </w:t>
      </w:r>
      <w:r w:rsidRPr="00771C4E">
        <w:t>Regulations)</w:t>
      </w:r>
      <w:r w:rsidRPr="00792839">
        <w:t xml:space="preserve"> </w:t>
      </w:r>
      <w:r w:rsidRPr="00771C4E">
        <w:t>includes</w:t>
      </w:r>
      <w:r w:rsidRPr="00792839">
        <w:t xml:space="preserve"> many </w:t>
      </w:r>
      <w:r w:rsidRPr="00771C4E">
        <w:t xml:space="preserve">prescriptive </w:t>
      </w:r>
      <w:r w:rsidRPr="00792839">
        <w:t xml:space="preserve">requirements </w:t>
      </w:r>
      <w:r w:rsidRPr="00771C4E">
        <w:t>such as</w:t>
      </w:r>
      <w:r w:rsidRPr="00792839">
        <w:t xml:space="preserve"> “resident beds have a firm, comfortable mattress that is at least 10.6 centimetres thick”</w:t>
      </w:r>
      <w:r w:rsidR="0083123A">
        <w:rPr>
          <w:rFonts w:ascii="ZWAdobeF" w:hAnsi="ZWAdobeF" w:cs="ZWAdobeF"/>
          <w:sz w:val="2"/>
          <w:szCs w:val="2"/>
        </w:rPr>
        <w:t>49F</w:t>
      </w:r>
      <w:r w:rsidRPr="00771C4E">
        <w:rPr>
          <w:rStyle w:val="FootnoteReference"/>
        </w:rPr>
        <w:footnoteReference w:id="51"/>
      </w:r>
      <w:r w:rsidRPr="00792839">
        <w:t>.</w:t>
      </w:r>
      <w:r w:rsidRPr="00771C4E">
        <w:t xml:space="preserve"> The consequences</w:t>
      </w:r>
      <w:r w:rsidRPr="00304141">
        <w:t xml:space="preserve"> of this prescriptive approach </w:t>
      </w:r>
      <w:r w:rsidR="00771C4E">
        <w:t xml:space="preserve">for the Ontario Regulations </w:t>
      </w:r>
      <w:r w:rsidR="00A14E35">
        <w:t>are</w:t>
      </w:r>
      <w:r w:rsidR="00771C4E">
        <w:t xml:space="preserve"> quality standards that are a </w:t>
      </w:r>
      <w:r w:rsidRPr="00304141">
        <w:t>significant length, with 335</w:t>
      </w:r>
      <w:r w:rsidR="00771C4E">
        <w:t xml:space="preserve"> requirements</w:t>
      </w:r>
      <w:r w:rsidRPr="00304141">
        <w:t xml:space="preserve">, </w:t>
      </w:r>
      <w:r>
        <w:t xml:space="preserve">and </w:t>
      </w:r>
      <w:r w:rsidR="00771C4E">
        <w:t>more limited</w:t>
      </w:r>
      <w:r>
        <w:t xml:space="preserve"> flexibility offered to a provider to adapt their service delivery to the unique circumstances of the consumer, their organisation and the settings in which they deliver care.</w:t>
      </w:r>
    </w:p>
    <w:p w14:paraId="2462D53B" w14:textId="0F1D7E36" w:rsidR="005701A5" w:rsidRPr="00524D97" w:rsidRDefault="005701A5" w:rsidP="002A4AE3">
      <w:pPr>
        <w:pStyle w:val="Bullet1stlevel"/>
      </w:pPr>
      <w:r w:rsidRPr="00966102">
        <w:rPr>
          <w:rStyle w:val="Strong"/>
        </w:rPr>
        <w:t>More detailed and include statements that describe how a provider can demonstrate that they are delivering care in a way to meet the outcome of the Standard.</w:t>
      </w:r>
      <w:r w:rsidRPr="005B1E43">
        <w:rPr>
          <w:b/>
          <w:bCs/>
        </w:rPr>
        <w:t xml:space="preserve"> </w:t>
      </w:r>
      <w:r w:rsidRPr="00524D97">
        <w:t>For example</w:t>
      </w:r>
      <w:r w:rsidR="008759EC">
        <w:t>,</w:t>
      </w:r>
      <w:r>
        <w:t xml:space="preserve"> an indicator for meeting the Provider Governance and Operational Management area of the NDIS Practice Standards is ‘There is a documented system of delegated responsibility and authority to another suitable person in the absence of a usual position holder in place’</w:t>
      </w:r>
      <w:r w:rsidR="0083123A">
        <w:rPr>
          <w:rFonts w:ascii="ZWAdobeF" w:hAnsi="ZWAdobeF" w:cs="ZWAdobeF"/>
          <w:sz w:val="2"/>
          <w:szCs w:val="2"/>
        </w:rPr>
        <w:t>50F</w:t>
      </w:r>
      <w:r>
        <w:rPr>
          <w:rStyle w:val="FootnoteReference"/>
        </w:rPr>
        <w:footnoteReference w:id="52"/>
      </w:r>
      <w:r>
        <w:t>.</w:t>
      </w:r>
      <w:r w:rsidR="008D30C3">
        <w:t xml:space="preserve"> More detailed requirements similar to these were </w:t>
      </w:r>
      <w:r w:rsidR="00F87AA2">
        <w:t>proposed</w:t>
      </w:r>
      <w:r w:rsidR="008D30C3">
        <w:t xml:space="preserve"> as examples </w:t>
      </w:r>
      <w:r w:rsidR="00F87AA2">
        <w:t xml:space="preserve">for inclusion in a future set of Standards </w:t>
      </w:r>
      <w:r w:rsidR="008D30C3">
        <w:t>by the Royal Commission.</w:t>
      </w:r>
    </w:p>
    <w:p w14:paraId="20A2D904" w14:textId="5B953F2A" w:rsidR="009034A4" w:rsidRDefault="009034A4" w:rsidP="00A62F83">
      <w:pPr>
        <w:pStyle w:val="BodyText1"/>
      </w:pPr>
      <w:r>
        <w:t>For example, when comparing the Standards with the NDIS Standards, the NDIS standards both contain requirements related to the privacy of a consumer. The Standards’ requirement related to this domain is framed as an outcome statement and, as such, is similar to the outcome statement defined under the NDIS standards. However, the NDIS standards also provide more detail through use of indicators</w:t>
      </w:r>
      <w:r w:rsidR="009C1F7A">
        <w:t xml:space="preserve"> </w:t>
      </w:r>
      <w:r>
        <w:t>to support provider understanding on how they can demonstrate they have met the outcome statement</w:t>
      </w:r>
      <w:r w:rsidR="00E22E96" w:rsidRPr="00E22E96">
        <w:t xml:space="preserve"> </w:t>
      </w:r>
      <w:r w:rsidR="00E22E96">
        <w:t xml:space="preserve">(as presented in </w:t>
      </w:r>
      <w:r w:rsidR="00187D6D">
        <w:t>Figure 14</w:t>
      </w:r>
      <w:r w:rsidR="00E22E96">
        <w:t xml:space="preserve"> below).</w:t>
      </w:r>
      <w:r w:rsidR="0035766C">
        <w:t xml:space="preserve"> </w:t>
      </w:r>
      <w:r w:rsidR="003B2CD7">
        <w:t>However</w:t>
      </w:r>
      <w:r w:rsidR="00EC4110">
        <w:t>,</w:t>
      </w:r>
      <w:r w:rsidR="003B2CD7">
        <w:t xml:space="preserve"> it is important to note that while these indicators for</w:t>
      </w:r>
      <w:r w:rsidR="00EC4110">
        <w:t>m</w:t>
      </w:r>
      <w:r w:rsidR="003B2CD7">
        <w:t xml:space="preserve"> the basis for measuring achievement against the standards</w:t>
      </w:r>
      <w:r w:rsidR="00EC4110">
        <w:t>, not all indicators are enforceable, which allows for proportionate testing of an indicator, where relevant during an audit.</w:t>
      </w:r>
    </w:p>
    <w:p w14:paraId="226C218E" w14:textId="5614E81B" w:rsidR="009034A4" w:rsidRPr="00E80920" w:rsidRDefault="009034A4" w:rsidP="00231A99">
      <w:pPr>
        <w:pStyle w:val="Caption"/>
      </w:pPr>
      <w:bookmarkStart w:id="199" w:name="_Ref85372775"/>
      <w:r>
        <w:lastRenderedPageBreak/>
        <w:t xml:space="preserve">Figure </w:t>
      </w:r>
      <w:r>
        <w:fldChar w:fldCharType="begin"/>
      </w:r>
      <w:r>
        <w:instrText>SEQ Figure \* ARABIC</w:instrText>
      </w:r>
      <w:r>
        <w:fldChar w:fldCharType="separate"/>
      </w:r>
      <w:r w:rsidR="0083123A">
        <w:rPr>
          <w:noProof/>
        </w:rPr>
        <w:t>14</w:t>
      </w:r>
      <w:r>
        <w:fldChar w:fldCharType="end"/>
      </w:r>
      <w:bookmarkEnd w:id="199"/>
      <w:r w:rsidR="00F87AA2">
        <w:t xml:space="preserve">: Comparison of </w:t>
      </w:r>
      <w:r w:rsidR="00B50C2F">
        <w:t>privacy requirements under the Standards and the NDIS Practice Standards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2552"/>
        <w:gridCol w:w="6508"/>
      </w:tblGrid>
      <w:tr w:rsidR="00F87215" w:rsidRPr="00F87215" w14:paraId="224A7A31" w14:textId="77777777" w:rsidTr="00966102">
        <w:trPr>
          <w:tblHeader/>
        </w:trPr>
        <w:tc>
          <w:tcPr>
            <w:tcW w:w="2552" w:type="dxa"/>
            <w:shd w:val="clear" w:color="auto" w:fill="00338D" w:themeFill="text2"/>
          </w:tcPr>
          <w:p w14:paraId="3923CFB2" w14:textId="77777777" w:rsidR="00966102" w:rsidRDefault="009034A4" w:rsidP="00EB4969">
            <w:pPr>
              <w:pStyle w:val="BodyText0"/>
              <w:rPr>
                <w:b/>
                <w:color w:val="FFFFFF" w:themeColor="background1"/>
                <w:sz w:val="24"/>
                <w:szCs w:val="24"/>
              </w:rPr>
            </w:pPr>
            <w:r w:rsidRPr="0040724C">
              <w:rPr>
                <w:b/>
                <w:color w:val="FFFFFF" w:themeColor="background1"/>
                <w:sz w:val="24"/>
                <w:szCs w:val="24"/>
              </w:rPr>
              <w:t xml:space="preserve">Aged Care </w:t>
            </w:r>
          </w:p>
          <w:p w14:paraId="00F9D54B" w14:textId="3B7957A3" w:rsidR="009034A4" w:rsidRPr="0040724C" w:rsidRDefault="009034A4" w:rsidP="00EB4969">
            <w:pPr>
              <w:pStyle w:val="BodyText0"/>
              <w:rPr>
                <w:color w:val="FFFFFF" w:themeColor="background1"/>
                <w:sz w:val="24"/>
                <w:szCs w:val="24"/>
              </w:rPr>
            </w:pPr>
            <w:r w:rsidRPr="0040724C">
              <w:rPr>
                <w:b/>
                <w:color w:val="FFFFFF" w:themeColor="background1"/>
                <w:sz w:val="24"/>
                <w:szCs w:val="24"/>
              </w:rPr>
              <w:t xml:space="preserve">Quality Standards, </w:t>
            </w:r>
            <w:r w:rsidRPr="0040724C">
              <w:rPr>
                <w:b/>
                <w:bCs/>
                <w:color w:val="FFFFFF" w:themeColor="background1"/>
                <w:sz w:val="24"/>
                <w:szCs w:val="24"/>
              </w:rPr>
              <w:t>Standard 1</w:t>
            </w:r>
            <w:r w:rsidR="0083123A" w:rsidRPr="0040724C">
              <w:rPr>
                <w:rFonts w:ascii="ZWAdobeF" w:hAnsi="ZWAdobeF" w:cs="ZWAdobeF"/>
                <w:bCs/>
                <w:color w:val="FFFFFF" w:themeColor="background1"/>
                <w:sz w:val="24"/>
                <w:szCs w:val="24"/>
              </w:rPr>
              <w:t>51F</w:t>
            </w:r>
            <w:r w:rsidRPr="0040724C">
              <w:rPr>
                <w:rStyle w:val="FootnoteReference"/>
                <w:b/>
                <w:bCs/>
                <w:color w:val="FFFFFF" w:themeColor="background1"/>
                <w:sz w:val="24"/>
                <w:szCs w:val="24"/>
              </w:rPr>
              <w:footnoteReference w:id="53"/>
            </w:r>
          </w:p>
          <w:p w14:paraId="0B78443D" w14:textId="77777777" w:rsidR="009034A4" w:rsidRPr="00F87215" w:rsidRDefault="009034A4" w:rsidP="00EB4969">
            <w:pPr>
              <w:pStyle w:val="BodyText0"/>
              <w:rPr>
                <w:color w:val="FFFFFF" w:themeColor="background1"/>
                <w:szCs w:val="20"/>
              </w:rPr>
            </w:pPr>
            <w:r w:rsidRPr="00F87215">
              <w:rPr>
                <w:color w:val="FFFFFF" w:themeColor="background1"/>
                <w:szCs w:val="20"/>
              </w:rPr>
              <w:t>Requirement: 1(3) (f) Each consumer’s privacy is respected and personal information kept confidential.</w:t>
            </w:r>
          </w:p>
        </w:tc>
        <w:tc>
          <w:tcPr>
            <w:tcW w:w="6508" w:type="dxa"/>
            <w:shd w:val="clear" w:color="auto" w:fill="BDDEFF" w:themeFill="accent3" w:themeFillTint="33"/>
          </w:tcPr>
          <w:p w14:paraId="3826E350" w14:textId="77A08D60" w:rsidR="009034A4" w:rsidRPr="00A06945" w:rsidRDefault="009034A4" w:rsidP="00EB4969">
            <w:pPr>
              <w:pStyle w:val="BodyText0"/>
              <w:rPr>
                <w:b/>
                <w:sz w:val="24"/>
                <w:szCs w:val="24"/>
              </w:rPr>
            </w:pPr>
            <w:r w:rsidRPr="00A06945">
              <w:rPr>
                <w:b/>
                <w:sz w:val="24"/>
                <w:szCs w:val="24"/>
              </w:rPr>
              <w:t xml:space="preserve">NDIS Practice Standards, </w:t>
            </w:r>
            <w:r w:rsidRPr="00A06945">
              <w:rPr>
                <w:b/>
                <w:bCs/>
                <w:sz w:val="24"/>
                <w:szCs w:val="24"/>
              </w:rPr>
              <w:t>Core Module, Rights and Responsibilities – Privacy and Dignity</w:t>
            </w:r>
            <w:r w:rsidR="0083123A" w:rsidRPr="00A06945">
              <w:rPr>
                <w:rFonts w:ascii="ZWAdobeF" w:hAnsi="ZWAdobeF" w:cs="ZWAdobeF"/>
                <w:bCs/>
                <w:sz w:val="24"/>
                <w:szCs w:val="24"/>
              </w:rPr>
              <w:t>52F</w:t>
            </w:r>
            <w:r w:rsidRPr="00A06945">
              <w:rPr>
                <w:rStyle w:val="FootnoteReference"/>
                <w:b/>
                <w:bCs/>
                <w:sz w:val="24"/>
                <w:szCs w:val="24"/>
              </w:rPr>
              <w:footnoteReference w:id="54"/>
            </w:r>
          </w:p>
          <w:p w14:paraId="46EB33DD" w14:textId="77777777" w:rsidR="009034A4" w:rsidRPr="00A06945" w:rsidRDefault="009034A4" w:rsidP="00EB4969">
            <w:pPr>
              <w:pStyle w:val="BodyText0"/>
              <w:rPr>
                <w:szCs w:val="20"/>
              </w:rPr>
            </w:pPr>
            <w:r w:rsidRPr="00A06945">
              <w:rPr>
                <w:b/>
                <w:szCs w:val="20"/>
              </w:rPr>
              <w:t>Outcome:</w:t>
            </w:r>
            <w:r w:rsidRPr="00A06945">
              <w:rPr>
                <w:szCs w:val="20"/>
              </w:rPr>
              <w:t xml:space="preserve"> Each participant accesses supports that respect and protect their dignity and right to privacy.</w:t>
            </w:r>
          </w:p>
          <w:p w14:paraId="4831857E" w14:textId="77777777" w:rsidR="009034A4" w:rsidRPr="00A06945" w:rsidRDefault="009034A4" w:rsidP="00EB4969">
            <w:pPr>
              <w:pStyle w:val="BodyText0"/>
              <w:rPr>
                <w:b/>
                <w:szCs w:val="20"/>
              </w:rPr>
            </w:pPr>
            <w:r w:rsidRPr="00A06945">
              <w:rPr>
                <w:b/>
                <w:szCs w:val="20"/>
              </w:rPr>
              <w:t>Indicators:</w:t>
            </w:r>
          </w:p>
          <w:p w14:paraId="2EDB154E" w14:textId="77777777" w:rsidR="009034A4" w:rsidRPr="00A06945" w:rsidRDefault="009034A4" w:rsidP="00621B7B">
            <w:pPr>
              <w:pStyle w:val="Bullet1stlevel"/>
              <w:numPr>
                <w:ilvl w:val="0"/>
                <w:numId w:val="20"/>
              </w:numPr>
              <w:rPr>
                <w:szCs w:val="20"/>
              </w:rPr>
            </w:pPr>
            <w:r w:rsidRPr="00A06945">
              <w:rPr>
                <w:szCs w:val="20"/>
              </w:rPr>
              <w:t>Consistent processes and practices are in place that respect and protect the personal privacy and dignity of each participant.</w:t>
            </w:r>
          </w:p>
          <w:p w14:paraId="25CD25B5" w14:textId="77777777" w:rsidR="009034A4" w:rsidRPr="00A06945" w:rsidRDefault="009034A4" w:rsidP="00621B7B">
            <w:pPr>
              <w:pStyle w:val="Bullet1stlevel"/>
              <w:numPr>
                <w:ilvl w:val="0"/>
                <w:numId w:val="20"/>
              </w:numPr>
              <w:rPr>
                <w:szCs w:val="20"/>
              </w:rPr>
            </w:pPr>
            <w:r w:rsidRPr="00A06945">
              <w:rPr>
                <w:szCs w:val="20"/>
              </w:rPr>
              <w:t>Each participant is advised of confidentiality policies using the language, mode of communication and terms that the participant is most likely to understand.</w:t>
            </w:r>
          </w:p>
          <w:p w14:paraId="4A2C5876" w14:textId="77777777" w:rsidR="009034A4" w:rsidRPr="00A06945" w:rsidRDefault="009034A4" w:rsidP="00621B7B">
            <w:pPr>
              <w:pStyle w:val="Bullet1stlevel"/>
              <w:numPr>
                <w:ilvl w:val="0"/>
                <w:numId w:val="20"/>
              </w:numPr>
              <w:rPr>
                <w:szCs w:val="20"/>
              </w:rPr>
            </w:pPr>
            <w:r w:rsidRPr="00A06945">
              <w:rPr>
                <w:szCs w:val="20"/>
              </w:rPr>
              <w:t>Each participant understands and agrees to what personal information will be collected and why, including recorded material in audio and/or visual format.</w:t>
            </w:r>
          </w:p>
        </w:tc>
      </w:tr>
    </w:tbl>
    <w:p w14:paraId="56FD5090" w14:textId="19CAB504" w:rsidR="00B50C2F" w:rsidRDefault="00B50C2F" w:rsidP="00231A99">
      <w:pPr>
        <w:pStyle w:val="Source0"/>
      </w:pPr>
      <w:r>
        <w:t>Source: Aged Care Quality Standards and NDIS Practice Standards</w:t>
      </w:r>
      <w:r w:rsidR="00F87215">
        <w:t>.</w:t>
      </w:r>
    </w:p>
    <w:p w14:paraId="4B7A01E9" w14:textId="25AD492C" w:rsidR="00EB3065" w:rsidRDefault="005701A5" w:rsidP="00EB3065">
      <w:pPr>
        <w:pStyle w:val="BodyText1"/>
      </w:pPr>
      <w:r>
        <w:t>When comparing the Standards to sets of standards in other jurisdictions locally and internationally</w:t>
      </w:r>
      <w:r w:rsidR="00E95B52">
        <w:t xml:space="preserve"> explored as part of the Lightning Review</w:t>
      </w:r>
      <w:r>
        <w:t xml:space="preserve">, </w:t>
      </w:r>
      <w:r w:rsidR="00476DB0">
        <w:fldChar w:fldCharType="begin" w:fldLock="1"/>
      </w:r>
      <w:r w:rsidR="00476DB0">
        <w:instrText xml:space="preserve"> REF _Ref81235951 \h </w:instrText>
      </w:r>
      <w:r w:rsidR="00476DB0">
        <w:fldChar w:fldCharType="separate"/>
      </w:r>
      <w:r w:rsidR="00453533">
        <w:t xml:space="preserve">Figure </w:t>
      </w:r>
      <w:r w:rsidR="00453533">
        <w:rPr>
          <w:noProof/>
        </w:rPr>
        <w:t>15</w:t>
      </w:r>
      <w:r w:rsidR="00476DB0">
        <w:fldChar w:fldCharType="end"/>
      </w:r>
      <w:r w:rsidR="00476DB0">
        <w:t xml:space="preserve"> </w:t>
      </w:r>
      <w:r w:rsidR="00EB3065">
        <w:t xml:space="preserve">demonstrates that Standards sit in the middle </w:t>
      </w:r>
      <w:r w:rsidR="00A31C63">
        <w:t xml:space="preserve">in relation to the number of requirements </w:t>
      </w:r>
      <w:r w:rsidR="00AE4641">
        <w:t xml:space="preserve">that have been included. </w:t>
      </w:r>
    </w:p>
    <w:p w14:paraId="22A82A7A" w14:textId="63EE8A60" w:rsidR="00EB3065" w:rsidRDefault="00EB3065" w:rsidP="00231A99">
      <w:pPr>
        <w:pStyle w:val="Caption"/>
      </w:pPr>
      <w:bookmarkStart w:id="200" w:name="_Ref81235951"/>
      <w:bookmarkStart w:id="201" w:name="_Ref81235937"/>
      <w:r>
        <w:t xml:space="preserve">Figure </w:t>
      </w:r>
      <w:r>
        <w:fldChar w:fldCharType="begin"/>
      </w:r>
      <w:r>
        <w:instrText>SEQ Figure \* ARABIC</w:instrText>
      </w:r>
      <w:r>
        <w:fldChar w:fldCharType="separate"/>
      </w:r>
      <w:r w:rsidR="0083123A">
        <w:rPr>
          <w:noProof/>
        </w:rPr>
        <w:t>15</w:t>
      </w:r>
      <w:r>
        <w:fldChar w:fldCharType="end"/>
      </w:r>
      <w:bookmarkEnd w:id="200"/>
      <w:r>
        <w:t xml:space="preserve">: </w:t>
      </w:r>
      <w:r w:rsidRPr="00AE1073">
        <w:t>Chart to show comparative level of detail of each standard considered in th</w:t>
      </w:r>
      <w:r w:rsidR="004B2F36">
        <w:t>e Lightning R</w:t>
      </w:r>
      <w:r w:rsidRPr="00AE1073">
        <w:t>eview.</w:t>
      </w:r>
      <w:r>
        <w:rPr>
          <w:rFonts w:ascii="ZWAdobeF" w:hAnsi="ZWAdobeF" w:cs="ZWAdobeF"/>
          <w:color w:val="auto"/>
          <w:sz w:val="2"/>
          <w:szCs w:val="2"/>
        </w:rPr>
        <w:t>15F</w:t>
      </w:r>
      <w:r w:rsidR="0083123A">
        <w:rPr>
          <w:rFonts w:ascii="ZWAdobeF" w:hAnsi="ZWAdobeF" w:cs="ZWAdobeF"/>
          <w:color w:val="auto"/>
          <w:sz w:val="2"/>
          <w:szCs w:val="2"/>
        </w:rPr>
        <w:t>53F</w:t>
      </w:r>
      <w:r>
        <w:rPr>
          <w:rStyle w:val="FootnoteReference"/>
        </w:rPr>
        <w:footnoteReference w:id="55"/>
      </w:r>
      <w:r w:rsidRPr="00AE1073">
        <w:t xml:space="preserve"> </w:t>
      </w:r>
      <w:bookmarkEnd w:id="201"/>
    </w:p>
    <w:p w14:paraId="28725434" w14:textId="77777777" w:rsidR="00EB3065" w:rsidRDefault="00EB3065" w:rsidP="00AB59B8">
      <w:pPr>
        <w:pStyle w:val="BodyText2"/>
      </w:pPr>
      <w:r>
        <w:rPr>
          <w:noProof/>
        </w:rPr>
        <w:drawing>
          <wp:inline distT="0" distB="0" distL="0" distR="0" wp14:anchorId="52985B5A" wp14:editId="54D10EC4">
            <wp:extent cx="5486400" cy="2683934"/>
            <wp:effectExtent l="0" t="0" r="0" b="2540"/>
            <wp:docPr id="43" name="Chart 43" descr="Stacked bar chart. Figure 15: Chart to show comparative level of detail of each standard considered in the Lightning Review. Source: KPMG analysis of quality standards in other sectors and jurisdictions.">
              <a:extLst xmlns:a="http://schemas.openxmlformats.org/drawingml/2006/main">
                <a:ext uri="{FF2B5EF4-FFF2-40B4-BE49-F238E27FC236}">
                  <a16:creationId xmlns:a16="http://schemas.microsoft.com/office/drawing/2014/main" id="{D75B87A2-1B1D-4249-A62B-89D7BA7835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A4C76B9" w14:textId="570F438C" w:rsidR="005701A5" w:rsidRDefault="00B40980" w:rsidP="00231A99">
      <w:pPr>
        <w:pStyle w:val="Source0"/>
      </w:pPr>
      <w:r w:rsidRPr="00AE1073">
        <w:t xml:space="preserve">Source: </w:t>
      </w:r>
      <w:r w:rsidR="00631F9E">
        <w:t xml:space="preserve">KPMG </w:t>
      </w:r>
      <w:r>
        <w:t>analysis of quality standards in other sectors and jurisdictions</w:t>
      </w:r>
      <w:r w:rsidR="00F626EE">
        <w:t>.</w:t>
      </w:r>
    </w:p>
    <w:p w14:paraId="2B895AD7" w14:textId="3C480B59" w:rsidR="0090413F" w:rsidRDefault="00E3200A" w:rsidP="00A62F83">
      <w:pPr>
        <w:pStyle w:val="BodyText1"/>
      </w:pPr>
      <w:r>
        <w:t>W</w:t>
      </w:r>
      <w:r w:rsidR="00CF60D0">
        <w:t xml:space="preserve">here requirements lack </w:t>
      </w:r>
      <w:r>
        <w:t>a level of detail or prescription,</w:t>
      </w:r>
      <w:r w:rsidR="00CF60D0">
        <w:t xml:space="preserve"> the role of defining an appropriate measure for determining that a provider is meeting the requirement and therefore has achieved the outcome falls to the regulator as part of its assessment framework.</w:t>
      </w:r>
      <w:r w:rsidR="00612A5F">
        <w:t xml:space="preserve"> </w:t>
      </w:r>
      <w:r w:rsidR="0090413F" w:rsidRPr="0090413F">
        <w:t xml:space="preserve">For Standards that are a less prescriptive or detailed in nature, </w:t>
      </w:r>
      <w:r w:rsidR="0090413F" w:rsidRPr="0090413F">
        <w:lastRenderedPageBreak/>
        <w:t>regulators in other sectors often use guidance material or other supporting documents such as the publication of accreditation guidelines to support provider understanding of how to meet a Standard.</w:t>
      </w:r>
    </w:p>
    <w:p w14:paraId="489AB2A5" w14:textId="1EF2337B" w:rsidR="00CB601E" w:rsidRDefault="00612A5F" w:rsidP="00A62F83">
      <w:pPr>
        <w:pStyle w:val="BodyText1"/>
      </w:pPr>
      <w:r>
        <w:t>Therefore</w:t>
      </w:r>
      <w:r w:rsidR="00ED42B3">
        <w:t>,</w:t>
      </w:r>
      <w:r>
        <w:t xml:space="preserve"> introducing more detailed or prescriptive requirements could address the issues raised by the Royal Commission</w:t>
      </w:r>
      <w:r w:rsidR="0090413F">
        <w:t xml:space="preserve"> related to measurability</w:t>
      </w:r>
      <w:r w:rsidR="00EB13E1">
        <w:t xml:space="preserve"> and may meet provider demand for clarity of expectations of the </w:t>
      </w:r>
      <w:r w:rsidR="00C85485">
        <w:t xml:space="preserve">Aged Care Quality and Safety </w:t>
      </w:r>
      <w:r w:rsidR="00EB13E1">
        <w:t xml:space="preserve">Commission </w:t>
      </w:r>
      <w:r w:rsidR="00165EC4">
        <w:t>and the Law Co</w:t>
      </w:r>
      <w:r w:rsidR="00196136">
        <w:t>uncil of Australia’s concerns</w:t>
      </w:r>
      <w:r w:rsidR="00EB13E1">
        <w:t xml:space="preserve">. </w:t>
      </w:r>
      <w:r w:rsidR="00ED42B3">
        <w:t xml:space="preserve">However, the issue of measurability is also likely to </w:t>
      </w:r>
      <w:r w:rsidR="00CF60D0" w:rsidRPr="00C34E90">
        <w:t xml:space="preserve">be a choice </w:t>
      </w:r>
      <w:r w:rsidR="00ED42B3">
        <w:t>between the level of</w:t>
      </w:r>
      <w:r w:rsidR="00CF60D0" w:rsidRPr="00C34E90">
        <w:t xml:space="preserve"> prescriptiveness or detail </w:t>
      </w:r>
      <w:r w:rsidR="00ED42B3">
        <w:t>included</w:t>
      </w:r>
      <w:r w:rsidR="00CF60D0" w:rsidRPr="00C34E90">
        <w:t xml:space="preserve"> in each </w:t>
      </w:r>
      <w:r w:rsidR="00CF60D0">
        <w:t>S</w:t>
      </w:r>
      <w:r w:rsidR="00CF60D0" w:rsidRPr="00C34E90">
        <w:t xml:space="preserve">tandard when they </w:t>
      </w:r>
      <w:r w:rsidR="00CF60D0">
        <w:t>are</w:t>
      </w:r>
      <w:r w:rsidR="00CF60D0" w:rsidRPr="00C34E90">
        <w:t xml:space="preserve"> drafted</w:t>
      </w:r>
      <w:r w:rsidR="00CF60D0">
        <w:t xml:space="preserve"> compared to the guidance material </w:t>
      </w:r>
      <w:r w:rsidR="00ED42B3">
        <w:t xml:space="preserve">and other resources that support </w:t>
      </w:r>
      <w:r w:rsidR="00CF60D0">
        <w:t>the Standards</w:t>
      </w:r>
      <w:r w:rsidR="00CF60D0" w:rsidRPr="00C34E90">
        <w:t>.</w:t>
      </w:r>
      <w:r w:rsidR="004D0A75">
        <w:t xml:space="preserve"> </w:t>
      </w:r>
      <w:r w:rsidR="00544111">
        <w:t>For example</w:t>
      </w:r>
      <w:r w:rsidR="004D0A75">
        <w:t xml:space="preserve">, greater visibility </w:t>
      </w:r>
      <w:r w:rsidR="00C85485">
        <w:t>of</w:t>
      </w:r>
      <w:r w:rsidR="004D0A75">
        <w:t xml:space="preserve"> the evidence points used by the Commission to assess performance against the Standards</w:t>
      </w:r>
      <w:r w:rsidR="00C85485">
        <w:t xml:space="preserve"> may be provided through</w:t>
      </w:r>
      <w:r w:rsidR="00544111">
        <w:t xml:space="preserve"> guidance material</w:t>
      </w:r>
      <w:r w:rsidR="00F92BBE" w:rsidRPr="00F92BBE">
        <w:t xml:space="preserve"> in order to address demands for greater clarity regarding the expectations in relation to each standard</w:t>
      </w:r>
      <w:r w:rsidR="00544111">
        <w:t>.</w:t>
      </w:r>
    </w:p>
    <w:p w14:paraId="3DDA5203" w14:textId="2A70E163" w:rsidR="00302C5C" w:rsidRDefault="00302C5C" w:rsidP="00F626EE">
      <w:pPr>
        <w:pStyle w:val="HeadingLevel4NoNumber"/>
      </w:pPr>
      <w:r>
        <w:t>Other levers that can support understanding of the quality and safety of care delivered within the aged care system</w:t>
      </w:r>
    </w:p>
    <w:p w14:paraId="3B5489C6" w14:textId="7586D089" w:rsidR="007E4B28" w:rsidRDefault="00D13BBB" w:rsidP="00A62F83">
      <w:pPr>
        <w:pStyle w:val="BodyText1"/>
      </w:pPr>
      <w:r w:rsidRPr="000C51E7">
        <w:t>Standards are also one lever to measure the quality and safety of care in a system. T</w:t>
      </w:r>
      <w:r w:rsidR="007E4B28">
        <w:t xml:space="preserve">he Royal Commission highlighted broader issues related to </w:t>
      </w:r>
      <w:r w:rsidR="00BC5678">
        <w:t>availability of data on</w:t>
      </w:r>
      <w:r w:rsidR="007E4B28">
        <w:t xml:space="preserve"> </w:t>
      </w:r>
      <w:r w:rsidR="00BC5678">
        <w:t xml:space="preserve">the </w:t>
      </w:r>
      <w:r w:rsidR="007E4B28">
        <w:t>quality and safety of care</w:t>
      </w:r>
      <w:r>
        <w:t xml:space="preserve">. </w:t>
      </w:r>
      <w:r w:rsidR="008A1586" w:rsidRPr="008A1586">
        <w:t xml:space="preserve">There are a range of other levers available to measure the quality and safety of aged care, including that offer transparency of ‘outcomes’ achieved within a system. Certain levers already exist within the current aged care system, including </w:t>
      </w:r>
      <w:r w:rsidR="000C51E7">
        <w:t xml:space="preserve">the </w:t>
      </w:r>
      <w:r w:rsidR="008A1586" w:rsidRPr="008A1586">
        <w:t xml:space="preserve">QI Program and </w:t>
      </w:r>
      <w:r w:rsidR="000C51E7">
        <w:t>SIRS</w:t>
      </w:r>
      <w:r w:rsidR="008A1586" w:rsidRPr="008A1586">
        <w:t>.</w:t>
      </w:r>
      <w:r w:rsidR="008A1586">
        <w:t xml:space="preserve"> The Australian Government has also made commitments to </w:t>
      </w:r>
      <w:r w:rsidR="00682130">
        <w:t>introduce new measures to improve measurement of the quality and safety of care delivered in the system</w:t>
      </w:r>
      <w:r w:rsidR="001C25CC">
        <w:t>. This includes</w:t>
      </w:r>
      <w:r w:rsidR="00524335">
        <w:t xml:space="preserve"> incorporating greater use of quality indicators for continuous improvement through the expansion and development of the QI Program and publishing star ratings on My Aged Care by the end of 2022.</w:t>
      </w:r>
    </w:p>
    <w:p w14:paraId="7D80F855" w14:textId="4BF9AF01" w:rsidR="000C0952" w:rsidRDefault="00302C5C" w:rsidP="00A62F83">
      <w:pPr>
        <w:pStyle w:val="BodyText1"/>
      </w:pPr>
      <w:r w:rsidRPr="00BC57F5">
        <w:t xml:space="preserve">The Royal Commission also highlighted that while the Standards rating and Service Compliance </w:t>
      </w:r>
      <w:r w:rsidR="00A83FCB">
        <w:t>R</w:t>
      </w:r>
      <w:r w:rsidRPr="00BC57F5">
        <w:t>atings are published for all residential aged care services, ‘they do not differentiate between services that barely meet those minimum standards and those that have achieved excellence’. This issue has a direct relationship with the assessment framework for the Standards. The current assessment framework rates performance against the Standards in a binary way, as either met or not met</w:t>
      </w:r>
      <w:r w:rsidR="00A83FCB">
        <w:t xml:space="preserve">. This is </w:t>
      </w:r>
      <w:r w:rsidRPr="00BC57F5">
        <w:t xml:space="preserve">distinct from assessment approaches in some other sectors or jurisdictions which offer a graded assessment of performance with more than two assessment levels to support greater differentiation of performance of different providers. The Royal Commission specifically commented that ‘the regulator should adopt a more rigorous, graded assessment of service performance against the Aged Care Quality Standards’. Such an approach </w:t>
      </w:r>
      <w:r w:rsidR="00E71433" w:rsidRPr="00BC57F5">
        <w:t xml:space="preserve">may improve the ability of consumers, providers, the Commission and other key stakeholders to </w:t>
      </w:r>
      <w:r w:rsidR="00D35694" w:rsidRPr="00BC57F5">
        <w:t>differentiate between the performance of different providers.</w:t>
      </w:r>
    </w:p>
    <w:p w14:paraId="017077CD" w14:textId="77777777" w:rsidR="00636967" w:rsidRDefault="00636967" w:rsidP="00A62F83">
      <w:pPr>
        <w:pStyle w:val="BodyText1"/>
        <w:sectPr w:rsidR="00636967" w:rsidSect="00883902">
          <w:pgSz w:w="11906" w:h="16838"/>
          <w:pgMar w:top="1418" w:right="1418" w:bottom="1418" w:left="1418" w:header="709" w:footer="453" w:gutter="0"/>
          <w:cols w:space="708"/>
          <w:docGrid w:linePitch="360"/>
        </w:sectPr>
      </w:pPr>
    </w:p>
    <w:p w14:paraId="55C2027E" w14:textId="72D99CA5" w:rsidR="00636967" w:rsidRDefault="00875870" w:rsidP="00A62F83">
      <w:pPr>
        <w:pStyle w:val="BodyText1"/>
      </w:pPr>
      <w:r>
        <w:rPr>
          <w:noProof/>
        </w:rPr>
        <w:lastRenderedPageBreak/>
        <w:drawing>
          <wp:anchor distT="0" distB="0" distL="114300" distR="114300" simplePos="0" relativeHeight="251706368" behindDoc="1" locked="0" layoutInCell="1" allowOverlap="1" wp14:anchorId="215B5B82" wp14:editId="55FEED99">
            <wp:simplePos x="0" y="0"/>
            <wp:positionH relativeFrom="column">
              <wp:posOffset>-869950</wp:posOffset>
            </wp:positionH>
            <wp:positionV relativeFrom="paragraph">
              <wp:posOffset>-885190</wp:posOffset>
            </wp:positionV>
            <wp:extent cx="7560000" cy="10692000"/>
            <wp:effectExtent l="0" t="0" r="3175" b="0"/>
            <wp:wrapNone/>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12AAAF03" w14:textId="776560B8" w:rsidR="00B04E83" w:rsidRPr="00FA1A8D" w:rsidRDefault="00580A38" w:rsidP="00B04E83">
      <w:pPr>
        <w:pStyle w:val="Heading1Divider"/>
        <w:ind w:left="1120" w:hanging="978"/>
        <w:rPr>
          <w:sz w:val="66"/>
          <w:szCs w:val="48"/>
        </w:rPr>
      </w:pPr>
      <w:bookmarkStart w:id="202" w:name="_Toc88804094"/>
      <w:bookmarkStart w:id="203" w:name="_Toc89930054"/>
      <w:bookmarkStart w:id="204" w:name="_Toc90453373"/>
      <w:bookmarkStart w:id="205" w:name="_Toc113448701"/>
      <w:r w:rsidRPr="00FA1A8D">
        <w:rPr>
          <w:sz w:val="66"/>
          <w:szCs w:val="48"/>
        </w:rPr>
        <w:t xml:space="preserve">Findings: </w:t>
      </w:r>
      <w:r w:rsidR="004E2BA0" w:rsidRPr="00FA1A8D">
        <w:rPr>
          <w:sz w:val="66"/>
          <w:szCs w:val="48"/>
        </w:rPr>
        <w:t xml:space="preserve">Key </w:t>
      </w:r>
      <w:r w:rsidR="00966102">
        <w:rPr>
          <w:sz w:val="66"/>
          <w:szCs w:val="48"/>
        </w:rPr>
        <w:t>e</w:t>
      </w:r>
      <w:r w:rsidR="004E2BA0" w:rsidRPr="00FA1A8D">
        <w:rPr>
          <w:sz w:val="66"/>
          <w:szCs w:val="48"/>
        </w:rPr>
        <w:t xml:space="preserve">valuation </w:t>
      </w:r>
      <w:r w:rsidR="00966102">
        <w:rPr>
          <w:sz w:val="66"/>
          <w:szCs w:val="48"/>
        </w:rPr>
        <w:t>q</w:t>
      </w:r>
      <w:r w:rsidR="004E2BA0" w:rsidRPr="00FA1A8D">
        <w:rPr>
          <w:sz w:val="66"/>
          <w:szCs w:val="48"/>
        </w:rPr>
        <w:t>uestion</w:t>
      </w:r>
      <w:r w:rsidR="00E1396A" w:rsidRPr="00FA1A8D">
        <w:rPr>
          <w:sz w:val="66"/>
          <w:szCs w:val="48"/>
        </w:rPr>
        <w:t xml:space="preserve"> 3</w:t>
      </w:r>
      <w:bookmarkEnd w:id="202"/>
      <w:bookmarkEnd w:id="203"/>
      <w:bookmarkEnd w:id="204"/>
      <w:bookmarkEnd w:id="205"/>
    </w:p>
    <w:p w14:paraId="4BC9E780" w14:textId="6333F2C8" w:rsidR="00A62F83" w:rsidRPr="00A62F83" w:rsidRDefault="00A62F83" w:rsidP="00A62F83">
      <w:pPr>
        <w:pStyle w:val="HeadingLevel1NoNumber"/>
      </w:pPr>
      <w:bookmarkStart w:id="206" w:name="_Toc88804095"/>
      <w:r w:rsidRPr="00A62F83">
        <w:lastRenderedPageBreak/>
        <w:t>Findings: Key Evaluation Question 3</w:t>
      </w:r>
      <w:bookmarkEnd w:id="206"/>
    </w:p>
    <w:p w14:paraId="17E0A943" w14:textId="6E13C327" w:rsidR="00F626EE" w:rsidRDefault="004E2BA0" w:rsidP="00334396">
      <w:pPr>
        <w:pStyle w:val="IntroPara"/>
        <w:tabs>
          <w:tab w:val="clear" w:pos="720"/>
        </w:tabs>
      </w:pPr>
      <w:r>
        <w:t xml:space="preserve">This section explores findings related to </w:t>
      </w:r>
      <w:r w:rsidRPr="00A62F83">
        <w:t xml:space="preserve">Key Evaluation Question </w:t>
      </w:r>
      <w:r w:rsidR="00682130" w:rsidRPr="00A62F83">
        <w:t>3</w:t>
      </w:r>
      <w:r w:rsidRPr="00A62F83">
        <w:t xml:space="preserve">: </w:t>
      </w:r>
      <w:r w:rsidR="007C1700" w:rsidRPr="00A62F83">
        <w:t xml:space="preserve">What impact has the Standards had on consumers, </w:t>
      </w:r>
      <w:proofErr w:type="gramStart"/>
      <w:r w:rsidR="007C1700" w:rsidRPr="00A62F83">
        <w:t>providers</w:t>
      </w:r>
      <w:proofErr w:type="gramEnd"/>
      <w:r w:rsidR="007C1700" w:rsidRPr="00A62F83">
        <w:t xml:space="preserve"> and other key stakeholders?</w:t>
      </w:r>
    </w:p>
    <w:p w14:paraId="414BB202" w14:textId="7F9F2879" w:rsidR="007C1700" w:rsidRDefault="007C1700" w:rsidP="00A62F83">
      <w:pPr>
        <w:pStyle w:val="BodyText1"/>
      </w:pPr>
      <w:r w:rsidRPr="007C1700">
        <w:t>To what extent are the intended outcomes being achieved?</w:t>
      </w:r>
    </w:p>
    <w:p w14:paraId="206D9F63" w14:textId="0393F737" w:rsidR="0055675D" w:rsidRDefault="004E2BA0" w:rsidP="00A62F83">
      <w:pPr>
        <w:pStyle w:val="BodyText1"/>
      </w:pPr>
      <w:r w:rsidRPr="004649AA">
        <w:t>This question sought to understand the</w:t>
      </w:r>
      <w:r w:rsidR="006F53B3">
        <w:t xml:space="preserve"> impact of the Standards </w:t>
      </w:r>
      <w:r w:rsidR="0055675D">
        <w:t xml:space="preserve">overall and </w:t>
      </w:r>
      <w:r w:rsidR="00E320E2">
        <w:t xml:space="preserve">for different stakeholders, in particular the improvement of outcomes for care delivery for consumers. </w:t>
      </w:r>
      <w:r w:rsidR="00C11AFE">
        <w:t xml:space="preserve">The following areas were key domains when </w:t>
      </w:r>
      <w:r w:rsidR="00BE5E1E">
        <w:t>exploring this question:</w:t>
      </w:r>
    </w:p>
    <w:p w14:paraId="23EDC4DD" w14:textId="77777777" w:rsidR="00BF0DFC" w:rsidRDefault="00BE5E1E" w:rsidP="002A4AE3">
      <w:pPr>
        <w:pStyle w:val="Bullet1stlevel"/>
      </w:pPr>
      <w:r w:rsidRPr="008363FA">
        <w:t>To what extent are the intended outcomes being achieved? (Short-term outcomes)</w:t>
      </w:r>
    </w:p>
    <w:p w14:paraId="6FD7BF93" w14:textId="77777777" w:rsidR="00BF0DFC" w:rsidRDefault="00BE5E1E" w:rsidP="000C0952">
      <w:pPr>
        <w:pStyle w:val="Bullet2ndlevel"/>
      </w:pPr>
      <w:r w:rsidRPr="008363FA">
        <w:t>Is there evidence of providers making changes to meet the new Standards?</w:t>
      </w:r>
      <w:r>
        <w:t xml:space="preserve"> </w:t>
      </w:r>
    </w:p>
    <w:p w14:paraId="39539052" w14:textId="66E09FCF" w:rsidR="001809A0" w:rsidRDefault="00BE5E1E" w:rsidP="000C0952">
      <w:pPr>
        <w:pStyle w:val="Bullet2ndlevel"/>
      </w:pPr>
      <w:r w:rsidRPr="008363FA">
        <w:t xml:space="preserve">Do service providers have an increased focus on quality outcomes for consumers? I.e. are service providers achieving the consumer outcomes (defined under each </w:t>
      </w:r>
      <w:r w:rsidR="002B5948">
        <w:t>S</w:t>
      </w:r>
      <w:r w:rsidRPr="008363FA">
        <w:t>tandard)?</w:t>
      </w:r>
    </w:p>
    <w:p w14:paraId="554FA663" w14:textId="77777777" w:rsidR="001809A0" w:rsidRDefault="001809A0" w:rsidP="002A4AE3">
      <w:pPr>
        <w:pStyle w:val="Bullet1stlevel"/>
      </w:pPr>
      <w:r w:rsidRPr="006B7DBA">
        <w:t>Is there a difference in impacts based on service types, consumer diversity, location of service provider or diversity of service provider, and regulator?</w:t>
      </w:r>
      <w:r>
        <w:t xml:space="preserve"> </w:t>
      </w:r>
    </w:p>
    <w:p w14:paraId="6646D8FC" w14:textId="5A6D3EAA" w:rsidR="001809A0" w:rsidRDefault="001809A0" w:rsidP="002A4AE3">
      <w:pPr>
        <w:pStyle w:val="Bullet1stlevel"/>
      </w:pPr>
      <w:r w:rsidRPr="006B7DBA">
        <w:t>What other factors may have contributed to or hindered the achievement of the outcomes?</w:t>
      </w:r>
    </w:p>
    <w:p w14:paraId="7C20C703" w14:textId="07A1AB57" w:rsidR="000E4BC5" w:rsidRDefault="004E2BA0" w:rsidP="00966102">
      <w:pPr>
        <w:pStyle w:val="BodyText1"/>
      </w:pPr>
      <w:r>
        <w:t>The table below presents a summary of findings against this evaluation question.</w:t>
      </w:r>
    </w:p>
    <w:p w14:paraId="7B37D6F4" w14:textId="3CF274C0" w:rsidR="004E2BA0" w:rsidRDefault="004E2BA0" w:rsidP="00231A99">
      <w:pPr>
        <w:pStyle w:val="Caption"/>
      </w:pPr>
      <w:bookmarkStart w:id="207" w:name="_Toc85369343"/>
      <w:r>
        <w:t xml:space="preserve">Table </w:t>
      </w:r>
      <w:r>
        <w:fldChar w:fldCharType="begin"/>
      </w:r>
      <w:r>
        <w:instrText>SEQ Table \* ARABIC</w:instrText>
      </w:r>
      <w:r>
        <w:fldChar w:fldCharType="separate"/>
      </w:r>
      <w:r w:rsidR="0083123A">
        <w:rPr>
          <w:noProof/>
        </w:rPr>
        <w:t>12</w:t>
      </w:r>
      <w:r>
        <w:fldChar w:fldCharType="end"/>
      </w:r>
      <w:r>
        <w:t xml:space="preserve">: Summary of findings for Key Evaluation Question </w:t>
      </w:r>
      <w:r w:rsidR="00463F64">
        <w:t>3</w:t>
      </w:r>
      <w:bookmarkEnd w:id="207"/>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1418"/>
        <w:gridCol w:w="7642"/>
      </w:tblGrid>
      <w:tr w:rsidR="00B04E83" w14:paraId="1461A616" w14:textId="77777777" w:rsidTr="003D62F3">
        <w:trPr>
          <w:cnfStyle w:val="100000000000" w:firstRow="1" w:lastRow="0" w:firstColumn="0" w:lastColumn="0" w:oddVBand="0" w:evenVBand="0" w:oddHBand="0" w:evenHBand="0" w:firstRowFirstColumn="0" w:firstRowLastColumn="0" w:lastRowFirstColumn="0" w:lastRowLastColumn="0"/>
        </w:trPr>
        <w:tc>
          <w:tcPr>
            <w:tcW w:w="1418" w:type="dxa"/>
          </w:tcPr>
          <w:p w14:paraId="2BC61DFB" w14:textId="77777777" w:rsidR="00B04E83" w:rsidRPr="0056390A" w:rsidRDefault="00B04E83" w:rsidP="00575CC4">
            <w:pPr>
              <w:pStyle w:val="Tableheading"/>
            </w:pPr>
            <w:r w:rsidRPr="00DC5212">
              <w:rPr>
                <w:noProof/>
              </w:rPr>
              <w:drawing>
                <wp:inline distT="0" distB="0" distL="0" distR="0" wp14:anchorId="012D6932" wp14:editId="3E6C5926">
                  <wp:extent cx="497434" cy="497434"/>
                  <wp:effectExtent l="0" t="0" r="0" b="0"/>
                  <wp:docPr id="803" name="Picture 8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Picture 803">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5099" cy="505099"/>
                          </a:xfrm>
                          <a:prstGeom prst="rect">
                            <a:avLst/>
                          </a:prstGeom>
                          <a:noFill/>
                          <a:ln>
                            <a:noFill/>
                          </a:ln>
                        </pic:spPr>
                      </pic:pic>
                    </a:graphicData>
                  </a:graphic>
                </wp:inline>
              </w:drawing>
            </w:r>
          </w:p>
        </w:tc>
        <w:tc>
          <w:tcPr>
            <w:tcW w:w="7642" w:type="dxa"/>
          </w:tcPr>
          <w:p w14:paraId="6A78E186" w14:textId="4BA683B8" w:rsidR="00B04E83" w:rsidRPr="0000770C" w:rsidRDefault="00B04E83" w:rsidP="00575CC4">
            <w:pPr>
              <w:pStyle w:val="Tableheading"/>
            </w:pPr>
            <w:r w:rsidRPr="0000770C">
              <w:t xml:space="preserve">Key Evaluation Question </w:t>
            </w:r>
            <w:r>
              <w:t>3</w:t>
            </w:r>
          </w:p>
          <w:p w14:paraId="3A70CC7D" w14:textId="1E2C4951" w:rsidR="00B04E83" w:rsidRPr="0056390A" w:rsidRDefault="00B04E83" w:rsidP="00575CC4">
            <w:pPr>
              <w:pStyle w:val="Tableheading"/>
            </w:pPr>
            <w:r w:rsidRPr="00B04E83">
              <w:t>What impact has the Standards had on consumers, providers and other key stakeholders? To what extent are the intended outcomes being achieved?</w:t>
            </w:r>
          </w:p>
        </w:tc>
      </w:tr>
    </w:tbl>
    <w:p w14:paraId="689C6D1C" w14:textId="77777777" w:rsidR="00E914B7" w:rsidRPr="00E914B7" w:rsidRDefault="00E914B7" w:rsidP="00E914B7">
      <w:pPr>
        <w:spacing w:before="0" w:after="0"/>
        <w:rPr>
          <w:sz w:val="2"/>
          <w:szCs w:val="2"/>
        </w:rPr>
      </w:pP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9060"/>
      </w:tblGrid>
      <w:tr w:rsidR="00B04E83" w:rsidRPr="00B04E83" w14:paraId="6B426626" w14:textId="77777777" w:rsidTr="00B04E83">
        <w:trPr>
          <w:cnfStyle w:val="100000000000" w:firstRow="1" w:lastRow="0" w:firstColumn="0" w:lastColumn="0" w:oddVBand="0" w:evenVBand="0" w:oddHBand="0" w:evenHBand="0" w:firstRowFirstColumn="0" w:firstRowLastColumn="0" w:lastRowFirstColumn="0" w:lastRowLastColumn="0"/>
        </w:trPr>
        <w:tc>
          <w:tcPr>
            <w:tcW w:w="9060" w:type="dxa"/>
            <w:shd w:val="clear" w:color="auto" w:fill="00338D" w:themeFill="text2"/>
          </w:tcPr>
          <w:p w14:paraId="54A8D00D" w14:textId="77777777" w:rsidR="00AC0132" w:rsidRPr="00B04E83" w:rsidRDefault="00AC0132" w:rsidP="00575CC4">
            <w:pPr>
              <w:pStyle w:val="Tableheading"/>
            </w:pPr>
            <w:r w:rsidRPr="00B04E83">
              <w:t>Summary of findings</w:t>
            </w:r>
          </w:p>
        </w:tc>
      </w:tr>
      <w:tr w:rsidR="000F7255" w14:paraId="74C5BC35" w14:textId="77777777" w:rsidTr="00B04E83">
        <w:tc>
          <w:tcPr>
            <w:tcW w:w="9060" w:type="dxa"/>
            <w:tcBorders>
              <w:bottom w:val="single" w:sz="8" w:space="0" w:color="00338D" w:themeColor="text2"/>
            </w:tcBorders>
          </w:tcPr>
          <w:p w14:paraId="41EE118A" w14:textId="516F82AB" w:rsidR="00AC0132" w:rsidRDefault="00AC0132" w:rsidP="00F626EE">
            <w:pPr>
              <w:pStyle w:val="TableBullet1"/>
            </w:pPr>
            <w:r>
              <w:t>There is evidence of providers making changes to meet the new Standards.</w:t>
            </w:r>
            <w:r w:rsidR="00684DD8" w:rsidRPr="00150EF5">
              <w:t xml:space="preserve"> The most common activities undertaken were revisions to policies and procedures, workforce development and training, consultation with consumers, their families and carers, and revisions to governance arrangements.</w:t>
            </w:r>
          </w:p>
          <w:p w14:paraId="6523AA68" w14:textId="23F7CCCC" w:rsidR="00AC0132" w:rsidRDefault="00AC0132" w:rsidP="00F626EE">
            <w:pPr>
              <w:pStyle w:val="TableBullet1"/>
            </w:pPr>
            <w:r>
              <w:t xml:space="preserve">There is evidence that providers have an increased focus on quality </w:t>
            </w:r>
            <w:r w:rsidR="00AF317D">
              <w:t>for</w:t>
            </w:r>
            <w:r>
              <w:t xml:space="preserve"> consumers in some segments of the sector.</w:t>
            </w:r>
            <w:r w:rsidR="009F1669" w:rsidRPr="00150EF5">
              <w:t xml:space="preserve"> A majority of stakeholder</w:t>
            </w:r>
            <w:r w:rsidR="00851FB0">
              <w:t xml:space="preserve"> groups</w:t>
            </w:r>
            <w:r w:rsidR="009F1669" w:rsidRPr="00150EF5">
              <w:t xml:space="preserve"> surveyed reported the Standards have improved quality outcomes for consumers, and some data indicates potential improvements of consumer outcomes.</w:t>
            </w:r>
          </w:p>
          <w:p w14:paraId="244D385E" w14:textId="416C8756" w:rsidR="00AC0132" w:rsidRDefault="00AC0132" w:rsidP="00802A55">
            <w:pPr>
              <w:pStyle w:val="TableBullet1"/>
            </w:pPr>
            <w:r>
              <w:t xml:space="preserve">There are differences in impact based on service types, consumer diversity and location. </w:t>
            </w:r>
            <w:r w:rsidR="00334122" w:rsidRPr="00150EF5">
              <w:t xml:space="preserve">Ongoing impact for providers included some identified improvements in work practices in some segments. Providers raised significant concerns of the increased regulatory burden and impact on the workforce. </w:t>
            </w:r>
            <w:r w:rsidR="00802A55" w:rsidRPr="00802A55">
              <w:t>The impact on the Commission was significant, particularly to support ongoing education activities for the sector and increased regulatory activity.</w:t>
            </w:r>
          </w:p>
          <w:p w14:paraId="47D0CCD4" w14:textId="2914EDE8" w:rsidR="00802A55" w:rsidRDefault="00802A55" w:rsidP="00802A55">
            <w:pPr>
              <w:pStyle w:val="TableBullet1"/>
            </w:pPr>
            <w:r>
              <w:t>S</w:t>
            </w:r>
            <w:r w:rsidRPr="00802A55">
              <w:t>ome examples of unintended consequences were raised by some stakeholder groups</w:t>
            </w:r>
            <w:r>
              <w:t xml:space="preserve">, including in relation to </w:t>
            </w:r>
            <w:r w:rsidR="00F21ADD">
              <w:t>the use of restrictive practices by providers.</w:t>
            </w:r>
          </w:p>
          <w:p w14:paraId="0246E4D7" w14:textId="5077D1BB" w:rsidR="00B57C86" w:rsidRDefault="00AC0132" w:rsidP="00F626EE">
            <w:pPr>
              <w:pStyle w:val="TableBullet1"/>
            </w:pPr>
            <w:r>
              <w:t>Overall, stakeholders confirmed it was too early in the implementation phase and there are limits in the available data to determine the extent of the impact of the Standards.</w:t>
            </w:r>
          </w:p>
        </w:tc>
      </w:tr>
    </w:tbl>
    <w:p w14:paraId="3A23D7DF" w14:textId="61DA01F5" w:rsidR="007652BE" w:rsidRDefault="00897D2F" w:rsidP="00897D2F">
      <w:pPr>
        <w:pStyle w:val="Heading2"/>
      </w:pPr>
      <w:bookmarkStart w:id="208" w:name="_Toc88804096"/>
      <w:bookmarkStart w:id="209" w:name="_Toc89930055"/>
      <w:bookmarkStart w:id="210" w:name="_Toc90453374"/>
      <w:bookmarkStart w:id="211" w:name="_Toc113448702"/>
      <w:r>
        <w:lastRenderedPageBreak/>
        <w:t xml:space="preserve">7.1 </w:t>
      </w:r>
      <w:r w:rsidR="007652BE" w:rsidRPr="007C1700">
        <w:t>To what extent are the intended outcomes being achieved?</w:t>
      </w:r>
      <w:r w:rsidR="004D6842">
        <w:t xml:space="preserve"> (Short</w:t>
      </w:r>
      <w:r w:rsidR="002075DD">
        <w:noBreakHyphen/>
      </w:r>
      <w:r w:rsidR="004D6842">
        <w:t xml:space="preserve">term </w:t>
      </w:r>
      <w:r w:rsidR="00F11BFB">
        <w:t>outcomes)</w:t>
      </w:r>
      <w:bookmarkEnd w:id="208"/>
      <w:bookmarkEnd w:id="209"/>
      <w:bookmarkEnd w:id="210"/>
      <w:bookmarkEnd w:id="211"/>
    </w:p>
    <w:p w14:paraId="4A349D81" w14:textId="447A497B" w:rsidR="00895FA1" w:rsidRDefault="00606A07" w:rsidP="00A62F83">
      <w:pPr>
        <w:pStyle w:val="BodyText1"/>
      </w:pPr>
      <w:r>
        <w:t xml:space="preserve">This </w:t>
      </w:r>
      <w:r w:rsidR="000C4673">
        <w:t>question</w:t>
      </w:r>
      <w:r w:rsidR="00F265BA">
        <w:t xml:space="preserve"> </w:t>
      </w:r>
      <w:r>
        <w:t xml:space="preserve">focused on </w:t>
      </w:r>
      <w:r w:rsidR="00895FA1">
        <w:t>understanding the extent to which the short-term outcomes defined under the Program Logic (at Appendix A) have been achieved.</w:t>
      </w:r>
      <w:r w:rsidR="00BF0DFC">
        <w:t xml:space="preserve"> The short-term outcomes explored as part of this section are:</w:t>
      </w:r>
    </w:p>
    <w:p w14:paraId="1FC7A797" w14:textId="77777777" w:rsidR="00BF0DFC" w:rsidRDefault="00BF0DFC" w:rsidP="002A4AE3">
      <w:pPr>
        <w:pStyle w:val="Bullet1stlevel"/>
      </w:pPr>
      <w:r w:rsidRPr="00BF0DFC">
        <w:t xml:space="preserve">Is there evidence of providers making changes to meet the new Standards? </w:t>
      </w:r>
    </w:p>
    <w:p w14:paraId="27D3B4D4" w14:textId="281779D6" w:rsidR="00BF0DFC" w:rsidRDefault="00BF0DFC" w:rsidP="002A4AE3">
      <w:pPr>
        <w:pStyle w:val="Bullet1stlevel"/>
      </w:pPr>
      <w:r w:rsidRPr="00BF0DFC">
        <w:t>Do service providers have an increased focus on quality outcomes for consumers? I.e. are service providers achieving the consumer outcomes (defined under each standard)?</w:t>
      </w:r>
    </w:p>
    <w:p w14:paraId="5C238D45" w14:textId="6D066B6B" w:rsidR="00BF0DFC" w:rsidRDefault="00BF0DFC" w:rsidP="00A62F83">
      <w:pPr>
        <w:pStyle w:val="BodyText1"/>
      </w:pPr>
      <w:r>
        <w:t>The findings against these questions are provided below.</w:t>
      </w:r>
    </w:p>
    <w:p w14:paraId="2E8F3127" w14:textId="66083F3A" w:rsidR="0047395F" w:rsidRPr="0047395F" w:rsidRDefault="00BB71FA" w:rsidP="00231A99">
      <w:pPr>
        <w:pStyle w:val="HeadingLevel3NoNumber"/>
      </w:pPr>
      <w:bookmarkStart w:id="212" w:name="_Ref85100560"/>
      <w:r>
        <w:t>Is there e</w:t>
      </w:r>
      <w:r w:rsidR="00D87688">
        <w:t>vidence</w:t>
      </w:r>
      <w:r w:rsidR="002176A1" w:rsidRPr="00F11BFB">
        <w:t xml:space="preserve"> of providers making changes to meet the new Standard</w:t>
      </w:r>
      <w:bookmarkEnd w:id="212"/>
      <w:r>
        <w:t>?</w:t>
      </w:r>
    </w:p>
    <w:p w14:paraId="3ACD6F81" w14:textId="3C82715B" w:rsidR="002176A1" w:rsidRPr="00E975F0" w:rsidRDefault="002E2C26" w:rsidP="00A62F83">
      <w:pPr>
        <w:pStyle w:val="BodyText1"/>
      </w:pPr>
      <w:r>
        <w:t>P</w:t>
      </w:r>
      <w:r w:rsidR="002176A1" w:rsidRPr="00E975F0">
        <w:t>roviders have made changes to meet the Standards. The majority of providers in consultations and survey</w:t>
      </w:r>
      <w:r w:rsidR="00582DFE">
        <w:t xml:space="preserve"> responses</w:t>
      </w:r>
      <w:r w:rsidR="002176A1" w:rsidRPr="00E975F0">
        <w:t xml:space="preserve"> (97%) indicated </w:t>
      </w:r>
      <w:r w:rsidR="000E1546">
        <w:t>they</w:t>
      </w:r>
      <w:r w:rsidR="002176A1" w:rsidRPr="00E975F0">
        <w:t xml:space="preserve"> undertook activities to implement the Standards. </w:t>
      </w:r>
      <w:r w:rsidR="00BC5058">
        <w:t>The most common</w:t>
      </w:r>
      <w:r w:rsidR="002176A1" w:rsidRPr="00E975F0">
        <w:t xml:space="preserve"> activities undertaken </w:t>
      </w:r>
      <w:r w:rsidR="00BC5058">
        <w:t>were</w:t>
      </w:r>
      <w:r w:rsidR="002176A1" w:rsidRPr="00E975F0">
        <w:t xml:space="preserve"> revisions to policies and procedures (58%), workforce development and training (54%), consultation with consumers, their families and carers (47%), and revisions to governance arrangements (38%). </w:t>
      </w:r>
      <w:r w:rsidR="005044CD">
        <w:t xml:space="preserve">Further activities are shown in </w:t>
      </w:r>
      <w:r w:rsidR="00190084">
        <w:fldChar w:fldCharType="begin" w:fldLock="1"/>
      </w:r>
      <w:r w:rsidR="00190084">
        <w:instrText xml:space="preserve"> REF _Ref85282599 \h </w:instrText>
      </w:r>
      <w:r w:rsidR="00190084">
        <w:fldChar w:fldCharType="separate"/>
      </w:r>
      <w:r w:rsidR="00DB740C">
        <w:t xml:space="preserve">Table </w:t>
      </w:r>
      <w:r w:rsidR="00DB740C">
        <w:rPr>
          <w:noProof/>
        </w:rPr>
        <w:t>13</w:t>
      </w:r>
      <w:r w:rsidR="00190084">
        <w:fldChar w:fldCharType="end"/>
      </w:r>
      <w:r w:rsidR="005044CD">
        <w:t xml:space="preserve"> below. </w:t>
      </w:r>
    </w:p>
    <w:p w14:paraId="68845228" w14:textId="0BA7D74E" w:rsidR="00495E87" w:rsidRPr="00495E87" w:rsidRDefault="002176A1" w:rsidP="00EE686E">
      <w:pPr>
        <w:pStyle w:val="Caption"/>
      </w:pPr>
      <w:bookmarkStart w:id="213" w:name="_Ref85282599"/>
      <w:bookmarkStart w:id="214" w:name="_Toc85369345"/>
      <w:r>
        <w:t xml:space="preserve">Table </w:t>
      </w:r>
      <w:r>
        <w:fldChar w:fldCharType="begin"/>
      </w:r>
      <w:r>
        <w:instrText>SEQ Table \* ARABIC</w:instrText>
      </w:r>
      <w:r>
        <w:fldChar w:fldCharType="separate"/>
      </w:r>
      <w:r w:rsidR="0083123A">
        <w:rPr>
          <w:noProof/>
        </w:rPr>
        <w:t>13</w:t>
      </w:r>
      <w:r>
        <w:fldChar w:fldCharType="end"/>
      </w:r>
      <w:bookmarkEnd w:id="213"/>
      <w:r w:rsidR="00485479">
        <w:t>:</w:t>
      </w:r>
      <w:r w:rsidR="002B6CD8">
        <w:t xml:space="preserve"> </w:t>
      </w:r>
      <w:r w:rsidRPr="006D4FC7">
        <w:t>What activities did your organisations undertake to implement the Quality Standards?’</w:t>
      </w:r>
      <w:bookmarkEnd w:id="214"/>
    </w:p>
    <w:tbl>
      <w:tblPr>
        <w:tblStyle w:val="TableGridLight"/>
        <w:tblW w:w="4987" w:type="pct"/>
        <w:tblLook w:val="0620" w:firstRow="1" w:lastRow="0" w:firstColumn="0" w:lastColumn="0" w:noHBand="1" w:noVBand="1"/>
      </w:tblPr>
      <w:tblGrid>
        <w:gridCol w:w="6575"/>
        <w:gridCol w:w="1120"/>
        <w:gridCol w:w="1341"/>
      </w:tblGrid>
      <w:tr w:rsidR="002176A1" w:rsidRPr="000E4BC5" w14:paraId="13A928FE" w14:textId="77777777" w:rsidTr="00EE686E">
        <w:trPr>
          <w:cnfStyle w:val="100000000000" w:firstRow="1" w:lastRow="0" w:firstColumn="0" w:lastColumn="0" w:oddVBand="0" w:evenVBand="0" w:oddHBand="0" w:evenHBand="0" w:firstRowFirstColumn="0" w:firstRowLastColumn="0" w:lastRowFirstColumn="0" w:lastRowLastColumn="0"/>
        </w:trPr>
        <w:tc>
          <w:tcPr>
            <w:tcW w:w="3638" w:type="pct"/>
            <w:hideMark/>
          </w:tcPr>
          <w:p w14:paraId="7F8ACD5E" w14:textId="77777777" w:rsidR="002176A1" w:rsidRPr="000E4BC5" w:rsidRDefault="002176A1" w:rsidP="00EE686E">
            <w:pPr>
              <w:pStyle w:val="Tableheading"/>
            </w:pPr>
            <w:r w:rsidRPr="000E4BC5">
              <w:t>Response option</w:t>
            </w:r>
          </w:p>
        </w:tc>
        <w:tc>
          <w:tcPr>
            <w:tcW w:w="620" w:type="pct"/>
            <w:hideMark/>
          </w:tcPr>
          <w:p w14:paraId="0AF57907" w14:textId="77777777" w:rsidR="002176A1" w:rsidRPr="000E4BC5" w:rsidRDefault="002176A1" w:rsidP="00EE686E">
            <w:pPr>
              <w:pStyle w:val="Tableheading"/>
            </w:pPr>
            <w:r w:rsidRPr="000E4BC5">
              <w:t>Count of responses</w:t>
            </w:r>
          </w:p>
        </w:tc>
        <w:tc>
          <w:tcPr>
            <w:tcW w:w="742" w:type="pct"/>
            <w:hideMark/>
          </w:tcPr>
          <w:p w14:paraId="0630A7FC" w14:textId="77777777" w:rsidR="002176A1" w:rsidRPr="000E4BC5" w:rsidRDefault="002176A1" w:rsidP="00EE686E">
            <w:pPr>
              <w:pStyle w:val="Tableheading"/>
            </w:pPr>
            <w:r w:rsidRPr="000E4BC5">
              <w:t xml:space="preserve">% </w:t>
            </w:r>
            <w:proofErr w:type="gramStart"/>
            <w:r w:rsidRPr="000E4BC5">
              <w:t>of</w:t>
            </w:r>
            <w:proofErr w:type="gramEnd"/>
            <w:r w:rsidRPr="000E4BC5">
              <w:t xml:space="preserve"> total respondents</w:t>
            </w:r>
          </w:p>
        </w:tc>
      </w:tr>
      <w:tr w:rsidR="002176A1" w:rsidRPr="00EE686E" w14:paraId="7647BCE9" w14:textId="77777777" w:rsidTr="00EE686E">
        <w:tc>
          <w:tcPr>
            <w:tcW w:w="3638" w:type="pct"/>
            <w:hideMark/>
          </w:tcPr>
          <w:p w14:paraId="5B9665D3" w14:textId="77777777" w:rsidR="002176A1" w:rsidRPr="00EE686E" w:rsidRDefault="002176A1" w:rsidP="00EE686E">
            <w:pPr>
              <w:pStyle w:val="Tabletext"/>
              <w:rPr>
                <w:sz w:val="20"/>
                <w:szCs w:val="24"/>
              </w:rPr>
            </w:pPr>
            <w:r w:rsidRPr="00EE686E">
              <w:rPr>
                <w:sz w:val="20"/>
                <w:szCs w:val="24"/>
              </w:rPr>
              <w:t>Revised policies and procedures</w:t>
            </w:r>
          </w:p>
        </w:tc>
        <w:tc>
          <w:tcPr>
            <w:tcW w:w="620" w:type="pct"/>
            <w:hideMark/>
          </w:tcPr>
          <w:p w14:paraId="33CD296B" w14:textId="77777777" w:rsidR="002176A1" w:rsidRPr="00EE686E" w:rsidRDefault="002176A1" w:rsidP="00EE686E">
            <w:pPr>
              <w:pStyle w:val="Tabletext"/>
              <w:rPr>
                <w:sz w:val="20"/>
                <w:szCs w:val="24"/>
              </w:rPr>
            </w:pPr>
            <w:r w:rsidRPr="00EE686E">
              <w:rPr>
                <w:sz w:val="20"/>
                <w:szCs w:val="24"/>
              </w:rPr>
              <w:t>476</w:t>
            </w:r>
          </w:p>
        </w:tc>
        <w:tc>
          <w:tcPr>
            <w:tcW w:w="742" w:type="pct"/>
            <w:hideMark/>
          </w:tcPr>
          <w:p w14:paraId="60BAB893" w14:textId="77777777" w:rsidR="002176A1" w:rsidRPr="00EE686E" w:rsidRDefault="002176A1" w:rsidP="00EE686E">
            <w:pPr>
              <w:pStyle w:val="Tabletext"/>
              <w:rPr>
                <w:sz w:val="20"/>
                <w:szCs w:val="24"/>
              </w:rPr>
            </w:pPr>
            <w:r w:rsidRPr="00EE686E">
              <w:rPr>
                <w:sz w:val="20"/>
                <w:szCs w:val="24"/>
              </w:rPr>
              <w:t>58%</w:t>
            </w:r>
          </w:p>
        </w:tc>
      </w:tr>
      <w:tr w:rsidR="002176A1" w:rsidRPr="00EE686E" w14:paraId="563A1F49" w14:textId="77777777" w:rsidTr="00EE686E">
        <w:tc>
          <w:tcPr>
            <w:tcW w:w="3638" w:type="pct"/>
            <w:hideMark/>
          </w:tcPr>
          <w:p w14:paraId="39272ADC" w14:textId="77777777" w:rsidR="002176A1" w:rsidRPr="00EE686E" w:rsidRDefault="002176A1" w:rsidP="00EE686E">
            <w:pPr>
              <w:pStyle w:val="Tabletext"/>
              <w:rPr>
                <w:sz w:val="20"/>
                <w:szCs w:val="24"/>
              </w:rPr>
            </w:pPr>
            <w:r w:rsidRPr="00EE686E">
              <w:rPr>
                <w:sz w:val="20"/>
                <w:szCs w:val="24"/>
              </w:rPr>
              <w:t>Undertook workforce development and training</w:t>
            </w:r>
          </w:p>
        </w:tc>
        <w:tc>
          <w:tcPr>
            <w:tcW w:w="620" w:type="pct"/>
            <w:hideMark/>
          </w:tcPr>
          <w:p w14:paraId="2EA40946" w14:textId="77777777" w:rsidR="002176A1" w:rsidRPr="00EE686E" w:rsidRDefault="002176A1" w:rsidP="00EE686E">
            <w:pPr>
              <w:pStyle w:val="Tabletext"/>
              <w:rPr>
                <w:sz w:val="20"/>
                <w:szCs w:val="24"/>
              </w:rPr>
            </w:pPr>
            <w:r w:rsidRPr="00EE686E">
              <w:rPr>
                <w:sz w:val="20"/>
                <w:szCs w:val="24"/>
              </w:rPr>
              <w:t>445</w:t>
            </w:r>
          </w:p>
        </w:tc>
        <w:tc>
          <w:tcPr>
            <w:tcW w:w="742" w:type="pct"/>
            <w:hideMark/>
          </w:tcPr>
          <w:p w14:paraId="6604839E" w14:textId="77777777" w:rsidR="002176A1" w:rsidRPr="00EE686E" w:rsidRDefault="002176A1" w:rsidP="00EE686E">
            <w:pPr>
              <w:pStyle w:val="Tabletext"/>
              <w:rPr>
                <w:sz w:val="20"/>
                <w:szCs w:val="24"/>
              </w:rPr>
            </w:pPr>
            <w:r w:rsidRPr="00EE686E">
              <w:rPr>
                <w:sz w:val="20"/>
                <w:szCs w:val="24"/>
              </w:rPr>
              <w:t>54%</w:t>
            </w:r>
          </w:p>
        </w:tc>
      </w:tr>
      <w:tr w:rsidR="002176A1" w:rsidRPr="00EE686E" w14:paraId="62DD50AA" w14:textId="77777777" w:rsidTr="00EE686E">
        <w:tc>
          <w:tcPr>
            <w:tcW w:w="3638" w:type="pct"/>
            <w:hideMark/>
          </w:tcPr>
          <w:p w14:paraId="0ECF1A06" w14:textId="77777777" w:rsidR="002176A1" w:rsidRPr="00EE686E" w:rsidRDefault="002176A1" w:rsidP="00EE686E">
            <w:pPr>
              <w:pStyle w:val="Tabletext"/>
              <w:rPr>
                <w:sz w:val="20"/>
                <w:szCs w:val="24"/>
              </w:rPr>
            </w:pPr>
            <w:r w:rsidRPr="00EE686E">
              <w:rPr>
                <w:sz w:val="20"/>
                <w:szCs w:val="24"/>
              </w:rPr>
              <w:t xml:space="preserve">Consulted with consumers, their </w:t>
            </w:r>
            <w:proofErr w:type="spellStart"/>
            <w:proofErr w:type="gramStart"/>
            <w:r w:rsidRPr="00EE686E">
              <w:rPr>
                <w:sz w:val="20"/>
                <w:szCs w:val="24"/>
              </w:rPr>
              <w:t>carers</w:t>
            </w:r>
            <w:proofErr w:type="spellEnd"/>
            <w:proofErr w:type="gramEnd"/>
            <w:r w:rsidRPr="00EE686E">
              <w:rPr>
                <w:sz w:val="20"/>
                <w:szCs w:val="24"/>
              </w:rPr>
              <w:t xml:space="preserve"> and families</w:t>
            </w:r>
          </w:p>
        </w:tc>
        <w:tc>
          <w:tcPr>
            <w:tcW w:w="620" w:type="pct"/>
            <w:hideMark/>
          </w:tcPr>
          <w:p w14:paraId="3A261E3D" w14:textId="77777777" w:rsidR="002176A1" w:rsidRPr="00EE686E" w:rsidRDefault="002176A1" w:rsidP="00EE686E">
            <w:pPr>
              <w:pStyle w:val="Tabletext"/>
              <w:rPr>
                <w:sz w:val="20"/>
                <w:szCs w:val="24"/>
              </w:rPr>
            </w:pPr>
            <w:r w:rsidRPr="00EE686E">
              <w:rPr>
                <w:sz w:val="20"/>
                <w:szCs w:val="24"/>
              </w:rPr>
              <w:t>389</w:t>
            </w:r>
          </w:p>
        </w:tc>
        <w:tc>
          <w:tcPr>
            <w:tcW w:w="742" w:type="pct"/>
            <w:hideMark/>
          </w:tcPr>
          <w:p w14:paraId="6362DDA1" w14:textId="77777777" w:rsidR="002176A1" w:rsidRPr="00EE686E" w:rsidRDefault="002176A1" w:rsidP="00EE686E">
            <w:pPr>
              <w:pStyle w:val="Tabletext"/>
              <w:rPr>
                <w:sz w:val="20"/>
                <w:szCs w:val="24"/>
              </w:rPr>
            </w:pPr>
            <w:r w:rsidRPr="00EE686E">
              <w:rPr>
                <w:sz w:val="20"/>
                <w:szCs w:val="24"/>
              </w:rPr>
              <w:t>47%</w:t>
            </w:r>
          </w:p>
        </w:tc>
      </w:tr>
      <w:tr w:rsidR="002176A1" w:rsidRPr="00EE686E" w14:paraId="6D64D1F4" w14:textId="77777777" w:rsidTr="00EE686E">
        <w:tc>
          <w:tcPr>
            <w:tcW w:w="3638" w:type="pct"/>
            <w:hideMark/>
          </w:tcPr>
          <w:p w14:paraId="5F6C682A" w14:textId="77777777" w:rsidR="002176A1" w:rsidRPr="00EE686E" w:rsidRDefault="002176A1" w:rsidP="00EE686E">
            <w:pPr>
              <w:pStyle w:val="Tabletext"/>
              <w:rPr>
                <w:sz w:val="20"/>
                <w:szCs w:val="24"/>
              </w:rPr>
            </w:pPr>
            <w:r w:rsidRPr="00EE686E">
              <w:rPr>
                <w:sz w:val="20"/>
                <w:szCs w:val="24"/>
              </w:rPr>
              <w:t>Revised governance arrangements</w:t>
            </w:r>
          </w:p>
        </w:tc>
        <w:tc>
          <w:tcPr>
            <w:tcW w:w="620" w:type="pct"/>
            <w:hideMark/>
          </w:tcPr>
          <w:p w14:paraId="5CE50E5D" w14:textId="77777777" w:rsidR="002176A1" w:rsidRPr="00EE686E" w:rsidRDefault="002176A1" w:rsidP="00EE686E">
            <w:pPr>
              <w:pStyle w:val="Tabletext"/>
              <w:rPr>
                <w:sz w:val="20"/>
                <w:szCs w:val="24"/>
              </w:rPr>
            </w:pPr>
            <w:r w:rsidRPr="00EE686E">
              <w:rPr>
                <w:sz w:val="20"/>
                <w:szCs w:val="24"/>
              </w:rPr>
              <w:t>314</w:t>
            </w:r>
          </w:p>
        </w:tc>
        <w:tc>
          <w:tcPr>
            <w:tcW w:w="742" w:type="pct"/>
            <w:hideMark/>
          </w:tcPr>
          <w:p w14:paraId="5A64F055" w14:textId="77777777" w:rsidR="002176A1" w:rsidRPr="00EE686E" w:rsidRDefault="002176A1" w:rsidP="00EE686E">
            <w:pPr>
              <w:pStyle w:val="Tabletext"/>
              <w:rPr>
                <w:sz w:val="20"/>
                <w:szCs w:val="24"/>
              </w:rPr>
            </w:pPr>
            <w:r w:rsidRPr="00EE686E">
              <w:rPr>
                <w:sz w:val="20"/>
                <w:szCs w:val="24"/>
              </w:rPr>
              <w:t>38%</w:t>
            </w:r>
          </w:p>
        </w:tc>
      </w:tr>
      <w:tr w:rsidR="002176A1" w:rsidRPr="00EE686E" w14:paraId="50CCC444" w14:textId="77777777" w:rsidTr="00EE686E">
        <w:tc>
          <w:tcPr>
            <w:tcW w:w="3638" w:type="pct"/>
            <w:hideMark/>
          </w:tcPr>
          <w:p w14:paraId="4FD77F1E" w14:textId="77777777" w:rsidR="002176A1" w:rsidRPr="00EE686E" w:rsidRDefault="002176A1" w:rsidP="00EE686E">
            <w:pPr>
              <w:pStyle w:val="Tabletext"/>
              <w:rPr>
                <w:sz w:val="20"/>
                <w:szCs w:val="24"/>
              </w:rPr>
            </w:pPr>
            <w:r w:rsidRPr="00EE686E">
              <w:rPr>
                <w:sz w:val="20"/>
                <w:szCs w:val="24"/>
              </w:rPr>
              <w:t>Accessed resources to support the workforce or consumers</w:t>
            </w:r>
          </w:p>
        </w:tc>
        <w:tc>
          <w:tcPr>
            <w:tcW w:w="620" w:type="pct"/>
            <w:hideMark/>
          </w:tcPr>
          <w:p w14:paraId="193476F2" w14:textId="77777777" w:rsidR="002176A1" w:rsidRPr="00EE686E" w:rsidRDefault="002176A1" w:rsidP="00EE686E">
            <w:pPr>
              <w:pStyle w:val="Tabletext"/>
              <w:rPr>
                <w:sz w:val="20"/>
                <w:szCs w:val="24"/>
              </w:rPr>
            </w:pPr>
            <w:r w:rsidRPr="00EE686E">
              <w:rPr>
                <w:sz w:val="20"/>
                <w:szCs w:val="24"/>
              </w:rPr>
              <w:t>305</w:t>
            </w:r>
          </w:p>
        </w:tc>
        <w:tc>
          <w:tcPr>
            <w:tcW w:w="742" w:type="pct"/>
            <w:hideMark/>
          </w:tcPr>
          <w:p w14:paraId="0CC3DB9D" w14:textId="77777777" w:rsidR="002176A1" w:rsidRPr="00EE686E" w:rsidRDefault="002176A1" w:rsidP="00EE686E">
            <w:pPr>
              <w:pStyle w:val="Tabletext"/>
              <w:rPr>
                <w:sz w:val="20"/>
                <w:szCs w:val="24"/>
              </w:rPr>
            </w:pPr>
            <w:r w:rsidRPr="00EE686E">
              <w:rPr>
                <w:sz w:val="20"/>
                <w:szCs w:val="24"/>
              </w:rPr>
              <w:t>37%</w:t>
            </w:r>
          </w:p>
        </w:tc>
      </w:tr>
      <w:tr w:rsidR="002176A1" w:rsidRPr="00EE686E" w14:paraId="667DA3D1" w14:textId="77777777" w:rsidTr="00EE686E">
        <w:tc>
          <w:tcPr>
            <w:tcW w:w="3638" w:type="pct"/>
            <w:hideMark/>
          </w:tcPr>
          <w:p w14:paraId="5A924150" w14:textId="77777777" w:rsidR="002176A1" w:rsidRPr="00EE686E" w:rsidRDefault="002176A1" w:rsidP="00EE686E">
            <w:pPr>
              <w:pStyle w:val="Tabletext"/>
              <w:rPr>
                <w:sz w:val="20"/>
                <w:szCs w:val="24"/>
              </w:rPr>
            </w:pPr>
            <w:r w:rsidRPr="00EE686E">
              <w:rPr>
                <w:sz w:val="20"/>
                <w:szCs w:val="24"/>
              </w:rPr>
              <w:t>Invested in equipment and/or updating the service environment</w:t>
            </w:r>
          </w:p>
        </w:tc>
        <w:tc>
          <w:tcPr>
            <w:tcW w:w="620" w:type="pct"/>
            <w:hideMark/>
          </w:tcPr>
          <w:p w14:paraId="37E08762" w14:textId="77777777" w:rsidR="002176A1" w:rsidRPr="00EE686E" w:rsidRDefault="002176A1" w:rsidP="00EE686E">
            <w:pPr>
              <w:pStyle w:val="Tabletext"/>
              <w:rPr>
                <w:sz w:val="20"/>
                <w:szCs w:val="24"/>
              </w:rPr>
            </w:pPr>
            <w:r w:rsidRPr="00EE686E">
              <w:rPr>
                <w:sz w:val="20"/>
                <w:szCs w:val="24"/>
              </w:rPr>
              <w:t>208</w:t>
            </w:r>
          </w:p>
        </w:tc>
        <w:tc>
          <w:tcPr>
            <w:tcW w:w="742" w:type="pct"/>
            <w:hideMark/>
          </w:tcPr>
          <w:p w14:paraId="3BB694F7" w14:textId="77777777" w:rsidR="002176A1" w:rsidRPr="00EE686E" w:rsidRDefault="002176A1" w:rsidP="00EE686E">
            <w:pPr>
              <w:pStyle w:val="Tabletext"/>
              <w:rPr>
                <w:sz w:val="20"/>
                <w:szCs w:val="24"/>
              </w:rPr>
            </w:pPr>
            <w:r w:rsidRPr="00EE686E">
              <w:rPr>
                <w:sz w:val="20"/>
                <w:szCs w:val="24"/>
              </w:rPr>
              <w:t>25%</w:t>
            </w:r>
          </w:p>
        </w:tc>
      </w:tr>
      <w:tr w:rsidR="002176A1" w:rsidRPr="00EE686E" w14:paraId="4B0311D5" w14:textId="77777777" w:rsidTr="00EE686E">
        <w:tc>
          <w:tcPr>
            <w:tcW w:w="3638" w:type="pct"/>
            <w:hideMark/>
          </w:tcPr>
          <w:p w14:paraId="7D026BD4" w14:textId="77777777" w:rsidR="002176A1" w:rsidRPr="00EE686E" w:rsidRDefault="002176A1" w:rsidP="00EE686E">
            <w:pPr>
              <w:pStyle w:val="Tabletext"/>
              <w:rPr>
                <w:sz w:val="20"/>
                <w:szCs w:val="24"/>
              </w:rPr>
            </w:pPr>
            <w:r w:rsidRPr="00EE686E">
              <w:rPr>
                <w:sz w:val="20"/>
                <w:szCs w:val="24"/>
              </w:rPr>
              <w:t>Redesigned services and or the care environment</w:t>
            </w:r>
          </w:p>
        </w:tc>
        <w:tc>
          <w:tcPr>
            <w:tcW w:w="620" w:type="pct"/>
            <w:hideMark/>
          </w:tcPr>
          <w:p w14:paraId="60EF9B3A" w14:textId="77777777" w:rsidR="002176A1" w:rsidRPr="00EE686E" w:rsidRDefault="002176A1" w:rsidP="00EE686E">
            <w:pPr>
              <w:pStyle w:val="Tabletext"/>
              <w:rPr>
                <w:sz w:val="20"/>
                <w:szCs w:val="24"/>
              </w:rPr>
            </w:pPr>
            <w:r w:rsidRPr="00EE686E">
              <w:rPr>
                <w:sz w:val="20"/>
                <w:szCs w:val="24"/>
              </w:rPr>
              <w:t>207</w:t>
            </w:r>
          </w:p>
        </w:tc>
        <w:tc>
          <w:tcPr>
            <w:tcW w:w="742" w:type="pct"/>
            <w:hideMark/>
          </w:tcPr>
          <w:p w14:paraId="6322D99C" w14:textId="77777777" w:rsidR="002176A1" w:rsidRPr="00EE686E" w:rsidRDefault="002176A1" w:rsidP="00EE686E">
            <w:pPr>
              <w:pStyle w:val="Tabletext"/>
              <w:rPr>
                <w:sz w:val="20"/>
                <w:szCs w:val="24"/>
              </w:rPr>
            </w:pPr>
            <w:r w:rsidRPr="00EE686E">
              <w:rPr>
                <w:sz w:val="20"/>
                <w:szCs w:val="24"/>
              </w:rPr>
              <w:t>25%</w:t>
            </w:r>
          </w:p>
        </w:tc>
      </w:tr>
      <w:tr w:rsidR="002176A1" w:rsidRPr="00EE686E" w14:paraId="606BC229" w14:textId="77777777" w:rsidTr="00EE686E">
        <w:tc>
          <w:tcPr>
            <w:tcW w:w="3638" w:type="pct"/>
            <w:hideMark/>
          </w:tcPr>
          <w:p w14:paraId="4FD00240" w14:textId="77777777" w:rsidR="002176A1" w:rsidRPr="00EE686E" w:rsidRDefault="002176A1" w:rsidP="00EE686E">
            <w:pPr>
              <w:pStyle w:val="Tabletext"/>
              <w:rPr>
                <w:sz w:val="20"/>
                <w:szCs w:val="24"/>
              </w:rPr>
            </w:pPr>
            <w:r w:rsidRPr="00EE686E">
              <w:rPr>
                <w:sz w:val="20"/>
                <w:szCs w:val="24"/>
              </w:rPr>
              <w:t>Established relationships with other providers to deliver care or services</w:t>
            </w:r>
          </w:p>
        </w:tc>
        <w:tc>
          <w:tcPr>
            <w:tcW w:w="620" w:type="pct"/>
            <w:hideMark/>
          </w:tcPr>
          <w:p w14:paraId="79F34456" w14:textId="77777777" w:rsidR="002176A1" w:rsidRPr="00EE686E" w:rsidRDefault="002176A1" w:rsidP="00EE686E">
            <w:pPr>
              <w:pStyle w:val="Tabletext"/>
              <w:rPr>
                <w:sz w:val="20"/>
                <w:szCs w:val="24"/>
              </w:rPr>
            </w:pPr>
            <w:r w:rsidRPr="00EE686E">
              <w:rPr>
                <w:sz w:val="20"/>
                <w:szCs w:val="24"/>
              </w:rPr>
              <w:t>175</w:t>
            </w:r>
          </w:p>
        </w:tc>
        <w:tc>
          <w:tcPr>
            <w:tcW w:w="742" w:type="pct"/>
            <w:hideMark/>
          </w:tcPr>
          <w:p w14:paraId="04919773" w14:textId="77777777" w:rsidR="002176A1" w:rsidRPr="00EE686E" w:rsidRDefault="002176A1" w:rsidP="00EE686E">
            <w:pPr>
              <w:pStyle w:val="Tabletext"/>
              <w:rPr>
                <w:sz w:val="20"/>
                <w:szCs w:val="24"/>
              </w:rPr>
            </w:pPr>
            <w:r w:rsidRPr="00EE686E">
              <w:rPr>
                <w:sz w:val="20"/>
                <w:szCs w:val="24"/>
              </w:rPr>
              <w:t>21%</w:t>
            </w:r>
          </w:p>
        </w:tc>
      </w:tr>
      <w:tr w:rsidR="002176A1" w:rsidRPr="00EE686E" w14:paraId="6B79B8E9" w14:textId="77777777" w:rsidTr="00EE686E">
        <w:tc>
          <w:tcPr>
            <w:tcW w:w="3638" w:type="pct"/>
            <w:hideMark/>
          </w:tcPr>
          <w:p w14:paraId="21047F41" w14:textId="77777777" w:rsidR="002176A1" w:rsidRPr="00EE686E" w:rsidRDefault="002176A1" w:rsidP="00EE686E">
            <w:pPr>
              <w:pStyle w:val="Tabletext"/>
              <w:rPr>
                <w:sz w:val="20"/>
                <w:szCs w:val="24"/>
              </w:rPr>
            </w:pPr>
            <w:r w:rsidRPr="00EE686E">
              <w:rPr>
                <w:sz w:val="20"/>
                <w:szCs w:val="24"/>
              </w:rPr>
              <w:t>Increased staff allocations</w:t>
            </w:r>
          </w:p>
        </w:tc>
        <w:tc>
          <w:tcPr>
            <w:tcW w:w="620" w:type="pct"/>
            <w:hideMark/>
          </w:tcPr>
          <w:p w14:paraId="4492AAB8" w14:textId="77777777" w:rsidR="002176A1" w:rsidRPr="00EE686E" w:rsidRDefault="002176A1" w:rsidP="00EE686E">
            <w:pPr>
              <w:pStyle w:val="Tabletext"/>
              <w:rPr>
                <w:sz w:val="20"/>
                <w:szCs w:val="24"/>
              </w:rPr>
            </w:pPr>
            <w:r w:rsidRPr="00EE686E">
              <w:rPr>
                <w:sz w:val="20"/>
                <w:szCs w:val="24"/>
              </w:rPr>
              <w:t>146</w:t>
            </w:r>
          </w:p>
        </w:tc>
        <w:tc>
          <w:tcPr>
            <w:tcW w:w="742" w:type="pct"/>
            <w:hideMark/>
          </w:tcPr>
          <w:p w14:paraId="49AC20F8" w14:textId="77777777" w:rsidR="002176A1" w:rsidRPr="00EE686E" w:rsidRDefault="002176A1" w:rsidP="00EE686E">
            <w:pPr>
              <w:pStyle w:val="Tabletext"/>
              <w:rPr>
                <w:sz w:val="20"/>
                <w:szCs w:val="24"/>
              </w:rPr>
            </w:pPr>
            <w:r w:rsidRPr="00EE686E">
              <w:rPr>
                <w:sz w:val="20"/>
                <w:szCs w:val="24"/>
              </w:rPr>
              <w:t>18%</w:t>
            </w:r>
          </w:p>
        </w:tc>
      </w:tr>
      <w:tr w:rsidR="002176A1" w:rsidRPr="00EE686E" w14:paraId="4970B0EB" w14:textId="77777777" w:rsidTr="00EE686E">
        <w:tc>
          <w:tcPr>
            <w:tcW w:w="3638" w:type="pct"/>
            <w:hideMark/>
          </w:tcPr>
          <w:p w14:paraId="37B7B549" w14:textId="77777777" w:rsidR="002176A1" w:rsidRPr="00EE686E" w:rsidRDefault="002176A1" w:rsidP="00EE686E">
            <w:pPr>
              <w:pStyle w:val="Tabletext"/>
              <w:rPr>
                <w:sz w:val="20"/>
                <w:szCs w:val="24"/>
              </w:rPr>
            </w:pPr>
            <w:r w:rsidRPr="00EE686E">
              <w:rPr>
                <w:sz w:val="20"/>
                <w:szCs w:val="24"/>
              </w:rPr>
              <w:t>No activities have been undertaken</w:t>
            </w:r>
          </w:p>
        </w:tc>
        <w:tc>
          <w:tcPr>
            <w:tcW w:w="620" w:type="pct"/>
            <w:hideMark/>
          </w:tcPr>
          <w:p w14:paraId="1DB28810" w14:textId="77777777" w:rsidR="002176A1" w:rsidRPr="00EE686E" w:rsidRDefault="002176A1" w:rsidP="00EE686E">
            <w:pPr>
              <w:pStyle w:val="Tabletext"/>
              <w:rPr>
                <w:sz w:val="20"/>
                <w:szCs w:val="24"/>
              </w:rPr>
            </w:pPr>
            <w:r w:rsidRPr="00EE686E">
              <w:rPr>
                <w:sz w:val="20"/>
                <w:szCs w:val="24"/>
              </w:rPr>
              <w:t>22</w:t>
            </w:r>
          </w:p>
        </w:tc>
        <w:tc>
          <w:tcPr>
            <w:tcW w:w="742" w:type="pct"/>
            <w:hideMark/>
          </w:tcPr>
          <w:p w14:paraId="651A9FC8" w14:textId="77777777" w:rsidR="002176A1" w:rsidRPr="00EE686E" w:rsidRDefault="002176A1" w:rsidP="00EE686E">
            <w:pPr>
              <w:pStyle w:val="Tabletext"/>
              <w:rPr>
                <w:sz w:val="20"/>
                <w:szCs w:val="24"/>
              </w:rPr>
            </w:pPr>
            <w:r w:rsidRPr="00EE686E">
              <w:rPr>
                <w:sz w:val="20"/>
                <w:szCs w:val="24"/>
              </w:rPr>
              <w:t>3%</w:t>
            </w:r>
          </w:p>
        </w:tc>
      </w:tr>
      <w:tr w:rsidR="002176A1" w:rsidRPr="00EE686E" w14:paraId="32B87470" w14:textId="77777777" w:rsidTr="00EE686E">
        <w:tc>
          <w:tcPr>
            <w:tcW w:w="3638" w:type="pct"/>
            <w:hideMark/>
          </w:tcPr>
          <w:p w14:paraId="03400B7B" w14:textId="77777777" w:rsidR="002176A1" w:rsidRPr="00EE686E" w:rsidRDefault="002176A1" w:rsidP="00EE686E">
            <w:pPr>
              <w:pStyle w:val="Tabletext"/>
              <w:rPr>
                <w:sz w:val="20"/>
                <w:szCs w:val="24"/>
              </w:rPr>
            </w:pPr>
            <w:r w:rsidRPr="00EE686E">
              <w:rPr>
                <w:sz w:val="20"/>
                <w:szCs w:val="24"/>
              </w:rPr>
              <w:t>Other (free text)</w:t>
            </w:r>
          </w:p>
        </w:tc>
        <w:tc>
          <w:tcPr>
            <w:tcW w:w="620" w:type="pct"/>
            <w:hideMark/>
          </w:tcPr>
          <w:p w14:paraId="4B051492" w14:textId="77777777" w:rsidR="002176A1" w:rsidRPr="00EE686E" w:rsidRDefault="002176A1" w:rsidP="00EE686E">
            <w:pPr>
              <w:pStyle w:val="Tabletext"/>
              <w:rPr>
                <w:sz w:val="20"/>
                <w:szCs w:val="24"/>
              </w:rPr>
            </w:pPr>
            <w:r w:rsidRPr="00EE686E">
              <w:rPr>
                <w:sz w:val="20"/>
                <w:szCs w:val="24"/>
              </w:rPr>
              <w:t>44</w:t>
            </w:r>
          </w:p>
        </w:tc>
        <w:tc>
          <w:tcPr>
            <w:tcW w:w="742" w:type="pct"/>
            <w:hideMark/>
          </w:tcPr>
          <w:p w14:paraId="1CF3094C" w14:textId="77777777" w:rsidR="002176A1" w:rsidRPr="00EE686E" w:rsidRDefault="002176A1" w:rsidP="00EE686E">
            <w:pPr>
              <w:pStyle w:val="Tabletext"/>
              <w:rPr>
                <w:sz w:val="20"/>
                <w:szCs w:val="24"/>
              </w:rPr>
            </w:pPr>
            <w:r w:rsidRPr="00EE686E">
              <w:rPr>
                <w:sz w:val="20"/>
                <w:szCs w:val="24"/>
              </w:rPr>
              <w:t>5%</w:t>
            </w:r>
          </w:p>
        </w:tc>
      </w:tr>
    </w:tbl>
    <w:p w14:paraId="14010787" w14:textId="76413F26" w:rsidR="002B6CD8" w:rsidRPr="00F626EE" w:rsidRDefault="002176A1" w:rsidP="004E63ED">
      <w:pPr>
        <w:pStyle w:val="Source0"/>
      </w:pPr>
      <w:r w:rsidRPr="00F626EE">
        <w:t xml:space="preserve">Source: </w:t>
      </w:r>
      <w:r w:rsidR="00631F9E" w:rsidRPr="00F626EE">
        <w:t>KPMG</w:t>
      </w:r>
      <w:r w:rsidR="00F626EE">
        <w:t>.</w:t>
      </w:r>
    </w:p>
    <w:p w14:paraId="665F869C" w14:textId="3D2BD883" w:rsidR="002176A1" w:rsidRPr="00E975F0" w:rsidRDefault="00EB7276" w:rsidP="00A62F83">
      <w:pPr>
        <w:pStyle w:val="BodyText1"/>
      </w:pPr>
      <w:r>
        <w:t>Most</w:t>
      </w:r>
      <w:r w:rsidR="002176A1" w:rsidRPr="00E975F0">
        <w:t xml:space="preserve"> providers who completed the survey </w:t>
      </w:r>
      <w:r w:rsidR="009D74EB">
        <w:t>(</w:t>
      </w:r>
      <w:r w:rsidR="00EB3111">
        <w:t xml:space="preserve">69 – 81% for each Standard) </w:t>
      </w:r>
      <w:r w:rsidR="002176A1" w:rsidRPr="00E975F0">
        <w:t>indicated that their organisation had implemented each Standard</w:t>
      </w:r>
      <w:r w:rsidR="00EB3111">
        <w:t xml:space="preserve">. </w:t>
      </w:r>
      <w:r w:rsidR="00A77253">
        <w:t>The s</w:t>
      </w:r>
      <w:r w:rsidR="002E25EE">
        <w:t xml:space="preserve">maller number of </w:t>
      </w:r>
      <w:r w:rsidR="002176A1" w:rsidRPr="00E975F0">
        <w:t>provider</w:t>
      </w:r>
      <w:r w:rsidR="009A740F">
        <w:t xml:space="preserve">s </w:t>
      </w:r>
      <w:r w:rsidR="002E25EE">
        <w:t>who responded they have</w:t>
      </w:r>
      <w:r w:rsidR="002176A1" w:rsidRPr="00E975F0">
        <w:t xml:space="preserve"> not implemented </w:t>
      </w:r>
      <w:r w:rsidR="002E25EE">
        <w:t xml:space="preserve">the </w:t>
      </w:r>
      <w:r w:rsidR="000D288C">
        <w:t>Standards show</w:t>
      </w:r>
      <w:r w:rsidR="002176A1" w:rsidRPr="00E975F0">
        <w:t xml:space="preserve"> the transition to the </w:t>
      </w:r>
      <w:r w:rsidR="000D288C">
        <w:t xml:space="preserve">new </w:t>
      </w:r>
      <w:r w:rsidR="002176A1" w:rsidRPr="00E975F0">
        <w:t>Standards</w:t>
      </w:r>
      <w:r w:rsidR="000D288C">
        <w:t xml:space="preserve"> is still in progress for some providers, as show</w:t>
      </w:r>
      <w:r w:rsidR="008335BD">
        <w:t xml:space="preserve">n in </w:t>
      </w:r>
      <w:r w:rsidR="00485479">
        <w:fldChar w:fldCharType="begin" w:fldLock="1"/>
      </w:r>
      <w:r w:rsidR="00485479">
        <w:instrText xml:space="preserve"> REF _Ref85282312 \h </w:instrText>
      </w:r>
      <w:r w:rsidR="00485479">
        <w:fldChar w:fldCharType="separate"/>
      </w:r>
      <w:r w:rsidR="00453533">
        <w:t xml:space="preserve">Figure </w:t>
      </w:r>
      <w:r w:rsidR="00453533">
        <w:rPr>
          <w:noProof/>
        </w:rPr>
        <w:t>16</w:t>
      </w:r>
      <w:r w:rsidR="00485479">
        <w:fldChar w:fldCharType="end"/>
      </w:r>
      <w:r w:rsidR="008335BD">
        <w:t xml:space="preserve"> below. </w:t>
      </w:r>
    </w:p>
    <w:p w14:paraId="1DF39A94" w14:textId="635A2B0E" w:rsidR="00C37FFB" w:rsidRDefault="007D48CE" w:rsidP="00A62F83">
      <w:pPr>
        <w:pStyle w:val="BodyText1"/>
      </w:pPr>
      <w:r>
        <w:rPr>
          <w:rFonts w:eastAsia="Calibri" w:cs="Arial"/>
        </w:rPr>
        <w:t>In addition to the activities listed above, in consultations providers described that they had developed</w:t>
      </w:r>
      <w:r>
        <w:t xml:space="preserve"> self-assessment tools, undertaken gap analysis</w:t>
      </w:r>
      <w:r w:rsidR="0009453E">
        <w:t xml:space="preserve"> exercises</w:t>
      </w:r>
      <w:r>
        <w:t>,</w:t>
      </w:r>
      <w:r w:rsidR="0009453E">
        <w:t xml:space="preserve"> </w:t>
      </w:r>
      <w:r>
        <w:t>advertis</w:t>
      </w:r>
      <w:r w:rsidR="004032D1">
        <w:t xml:space="preserve">ed the new Standards </w:t>
      </w:r>
      <w:r>
        <w:t xml:space="preserve">around </w:t>
      </w:r>
      <w:r w:rsidR="002C4A63">
        <w:t>services</w:t>
      </w:r>
      <w:r>
        <w:t>, engag</w:t>
      </w:r>
      <w:r w:rsidR="004032D1">
        <w:t>ed</w:t>
      </w:r>
      <w:r>
        <w:t xml:space="preserve"> external organisations to assist with implementation</w:t>
      </w:r>
      <w:r w:rsidR="004032D1">
        <w:t xml:space="preserve"> and </w:t>
      </w:r>
      <w:r>
        <w:t>connect</w:t>
      </w:r>
      <w:r w:rsidR="004032D1">
        <w:t>ed</w:t>
      </w:r>
      <w:r>
        <w:t xml:space="preserve"> with other aged care </w:t>
      </w:r>
      <w:r w:rsidR="002C4A63">
        <w:t>services</w:t>
      </w:r>
      <w:r>
        <w:t xml:space="preserve"> to </w:t>
      </w:r>
      <w:r w:rsidR="008E3506">
        <w:t xml:space="preserve">share information. </w:t>
      </w:r>
    </w:p>
    <w:p w14:paraId="3796BEC3" w14:textId="733045D3" w:rsidR="007D48CE" w:rsidRPr="00E975F0" w:rsidRDefault="008E3506" w:rsidP="00EE686E">
      <w:pPr>
        <w:pStyle w:val="BodyText1"/>
        <w:keepNext/>
        <w:rPr>
          <w:rFonts w:eastAsia="Calibri" w:cs="Arial"/>
        </w:rPr>
      </w:pPr>
      <w:r>
        <w:lastRenderedPageBreak/>
        <w:t>Overall a majority of provi</w:t>
      </w:r>
      <w:r w:rsidR="00E45C76">
        <w:t>ders and workers confirmed that their organisation had implemented each Standard:</w:t>
      </w:r>
    </w:p>
    <w:p w14:paraId="79BC09ED" w14:textId="6BDFE2B6" w:rsidR="002176A1" w:rsidRPr="00E975F0" w:rsidRDefault="002176A1" w:rsidP="00231A99">
      <w:pPr>
        <w:pStyle w:val="Caption"/>
      </w:pPr>
      <w:bookmarkStart w:id="215" w:name="_Ref85282312"/>
      <w:bookmarkStart w:id="216" w:name="_Toc85369271"/>
      <w:r>
        <w:t xml:space="preserve">Figure </w:t>
      </w:r>
      <w:r>
        <w:fldChar w:fldCharType="begin"/>
      </w:r>
      <w:r>
        <w:instrText>SEQ Figure \* ARABIC</w:instrText>
      </w:r>
      <w:r>
        <w:fldChar w:fldCharType="separate"/>
      </w:r>
      <w:r w:rsidR="0083123A">
        <w:rPr>
          <w:noProof/>
        </w:rPr>
        <w:t>16</w:t>
      </w:r>
      <w:r>
        <w:fldChar w:fldCharType="end"/>
      </w:r>
      <w:bookmarkEnd w:id="215"/>
      <w:r w:rsidR="00485479">
        <w:t>:</w:t>
      </w:r>
      <w:r w:rsidRPr="00E975F0">
        <w:t xml:space="preserve"> ‘My organisation has implemented the QS’</w:t>
      </w:r>
      <w:r w:rsidR="00431A8A">
        <w:t>, percentage</w:t>
      </w:r>
      <w:bookmarkEnd w:id="216"/>
      <w:r w:rsidR="00431A8A">
        <w:t xml:space="preserve"> </w:t>
      </w:r>
    </w:p>
    <w:p w14:paraId="3DD5C195" w14:textId="77777777" w:rsidR="002176A1" w:rsidRPr="00E975F0" w:rsidRDefault="002176A1" w:rsidP="002176A1">
      <w:pPr>
        <w:keepNext/>
        <w:rPr>
          <w:rFonts w:eastAsia="Calibri" w:cs="Arial"/>
        </w:rPr>
      </w:pPr>
      <w:r w:rsidRPr="00E975F0">
        <w:rPr>
          <w:rFonts w:eastAsia="Calibri" w:cs="Arial"/>
          <w:noProof/>
        </w:rPr>
        <w:drawing>
          <wp:inline distT="0" distB="0" distL="0" distR="0" wp14:anchorId="4538D3A6" wp14:editId="0FDE25BF">
            <wp:extent cx="5759450" cy="2880000"/>
            <wp:effectExtent l="0" t="0" r="0" b="0"/>
            <wp:docPr id="37" name="Chart 37" descr="Stacked bar chart. Figure 16: ‘My organisation has implemented the QS’, percentage. Source KPMG.">
              <a:extLst xmlns:a="http://schemas.openxmlformats.org/drawingml/2006/main">
                <a:ext uri="{FF2B5EF4-FFF2-40B4-BE49-F238E27FC236}">
                  <a16:creationId xmlns:a16="http://schemas.microsoft.com/office/drawing/2014/main" id="{A7776B09-30AD-4120-AD8E-F0013E14B5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B6BD899" w14:textId="08F03BE5" w:rsidR="002176A1" w:rsidRDefault="002176A1" w:rsidP="004E63ED">
      <w:pPr>
        <w:pStyle w:val="Source0"/>
        <w:rPr>
          <w:rFonts w:eastAsia="Calibri" w:cs="Arial"/>
          <w:color w:val="470A68"/>
        </w:rPr>
      </w:pPr>
      <w:r w:rsidRPr="00E975F0">
        <w:t xml:space="preserve">Source: </w:t>
      </w:r>
      <w:r w:rsidR="00631F9E">
        <w:t>KPMG</w:t>
      </w:r>
    </w:p>
    <w:p w14:paraId="57F49AB2" w14:textId="508BC297" w:rsidR="00140644" w:rsidRPr="00140644" w:rsidRDefault="003F525E" w:rsidP="00A62F83">
      <w:pPr>
        <w:pStyle w:val="BodyText1"/>
      </w:pPr>
      <w:r>
        <w:t xml:space="preserve">Standard 7 </w:t>
      </w:r>
      <w:r w:rsidR="00061C67">
        <w:t>(</w:t>
      </w:r>
      <w:r>
        <w:t>Human resources</w:t>
      </w:r>
      <w:r w:rsidR="00061C67">
        <w:t xml:space="preserve">) shows the lowest </w:t>
      </w:r>
      <w:r w:rsidR="0074200C">
        <w:t xml:space="preserve">level of reported implementation. </w:t>
      </w:r>
      <w:r w:rsidR="00EE2685">
        <w:t xml:space="preserve">Stakeholders in </w:t>
      </w:r>
      <w:r w:rsidR="00790A48">
        <w:t>consultations</w:t>
      </w:r>
      <w:r w:rsidR="00EE2685">
        <w:t xml:space="preserve"> explained this </w:t>
      </w:r>
      <w:r w:rsidR="00AC7E50">
        <w:t xml:space="preserve">was due to </w:t>
      </w:r>
      <w:r w:rsidR="006D251F">
        <w:t>the broad workforce challenges</w:t>
      </w:r>
      <w:r w:rsidR="00E6442C">
        <w:t xml:space="preserve">, </w:t>
      </w:r>
      <w:r w:rsidR="00AC7E50">
        <w:t>discussed further in</w:t>
      </w:r>
      <w:r w:rsidR="00E6442C">
        <w:t xml:space="preserve"> </w:t>
      </w:r>
      <w:r w:rsidR="00CC075E">
        <w:t>S</w:t>
      </w:r>
      <w:r w:rsidR="00E6442C">
        <w:t>ection</w:t>
      </w:r>
      <w:r w:rsidR="002075DD">
        <w:t> </w:t>
      </w:r>
      <w:r w:rsidR="002075DD">
        <w:fldChar w:fldCharType="begin" w:fldLock="1"/>
      </w:r>
      <w:r w:rsidR="002075DD">
        <w:instrText xml:space="preserve"> REF _Ref85223408 \w \h </w:instrText>
      </w:r>
      <w:r w:rsidR="002075DD">
        <w:fldChar w:fldCharType="separate"/>
      </w:r>
      <w:r w:rsidR="00453533">
        <w:t>5.2</w:t>
      </w:r>
      <w:r w:rsidR="002075DD">
        <w:fldChar w:fldCharType="end"/>
      </w:r>
      <w:r w:rsidR="002075DD">
        <w:t>.</w:t>
      </w:r>
    </w:p>
    <w:p w14:paraId="6D74DED3" w14:textId="779079DD" w:rsidR="00626C9B" w:rsidRDefault="00364DCD" w:rsidP="00A62F83">
      <w:pPr>
        <w:pStyle w:val="BodyText1"/>
      </w:pPr>
      <w:r>
        <w:t xml:space="preserve">The majority of </w:t>
      </w:r>
      <w:r w:rsidR="00BC6F35">
        <w:t xml:space="preserve">respondents to the survey agreed the Standards had improved work practices in aged care services. </w:t>
      </w:r>
      <w:r w:rsidR="006755C5">
        <w:t xml:space="preserve">Aged care providers </w:t>
      </w:r>
      <w:r w:rsidR="00C41C83">
        <w:t xml:space="preserve">agreed </w:t>
      </w:r>
      <w:r w:rsidR="00C12AF4">
        <w:t xml:space="preserve">most strongly </w:t>
      </w:r>
      <w:r w:rsidR="00224C7A">
        <w:t xml:space="preserve">that there had been </w:t>
      </w:r>
      <w:r w:rsidR="000E332D">
        <w:t>‘</w:t>
      </w:r>
      <w:r w:rsidR="00224C7A">
        <w:t>a great deal</w:t>
      </w:r>
      <w:r w:rsidR="000E332D">
        <w:t>’</w:t>
      </w:r>
      <w:r w:rsidR="00224C7A">
        <w:t xml:space="preserve"> or </w:t>
      </w:r>
      <w:r w:rsidR="000E332D">
        <w:t>‘</w:t>
      </w:r>
      <w:r w:rsidR="00224C7A">
        <w:t>a lot</w:t>
      </w:r>
      <w:r w:rsidR="000E332D">
        <w:t>’</w:t>
      </w:r>
      <w:r w:rsidR="00224C7A">
        <w:t xml:space="preserve"> of improvement (30%)</w:t>
      </w:r>
      <w:r w:rsidR="00736BC2">
        <w:t xml:space="preserve"> compared to other cohorts</w:t>
      </w:r>
      <w:r w:rsidR="00B545BE">
        <w:t xml:space="preserve">, whereas </w:t>
      </w:r>
      <w:r w:rsidR="00E319EA">
        <w:t>21% of consumers</w:t>
      </w:r>
      <w:r w:rsidR="001C4928">
        <w:t xml:space="preserve"> and ca</w:t>
      </w:r>
      <w:r w:rsidR="004270C9">
        <w:t xml:space="preserve">rers perceived no improvement. </w:t>
      </w:r>
      <w:r w:rsidR="00BE0AE9">
        <w:t xml:space="preserve">The full results are presented in </w:t>
      </w:r>
      <w:r w:rsidR="00190084">
        <w:fldChar w:fldCharType="begin" w:fldLock="1"/>
      </w:r>
      <w:r w:rsidR="00190084">
        <w:instrText xml:space="preserve"> REF _Ref85282338 \h </w:instrText>
      </w:r>
      <w:r w:rsidR="00190084">
        <w:fldChar w:fldCharType="separate"/>
      </w:r>
      <w:r w:rsidR="00453533">
        <w:t xml:space="preserve">Figure </w:t>
      </w:r>
      <w:r w:rsidR="00453533">
        <w:rPr>
          <w:noProof/>
        </w:rPr>
        <w:t>17</w:t>
      </w:r>
      <w:r w:rsidR="00190084">
        <w:fldChar w:fldCharType="end"/>
      </w:r>
      <w:r w:rsidR="00BE0AE9">
        <w:t xml:space="preserve"> below. </w:t>
      </w:r>
    </w:p>
    <w:p w14:paraId="1342E3CF" w14:textId="3819162D" w:rsidR="00647A90" w:rsidRDefault="00B44C48" w:rsidP="00231A99">
      <w:pPr>
        <w:pStyle w:val="Caption"/>
      </w:pPr>
      <w:bookmarkStart w:id="217" w:name="_Ref85282338"/>
      <w:bookmarkStart w:id="218" w:name="_Toc85369272"/>
      <w:r>
        <w:t xml:space="preserve">Figure </w:t>
      </w:r>
      <w:r>
        <w:fldChar w:fldCharType="begin"/>
      </w:r>
      <w:r>
        <w:instrText>SEQ Figure \* ARABIC</w:instrText>
      </w:r>
      <w:r>
        <w:fldChar w:fldCharType="separate"/>
      </w:r>
      <w:r w:rsidR="0083123A">
        <w:rPr>
          <w:noProof/>
        </w:rPr>
        <w:t>17</w:t>
      </w:r>
      <w:r>
        <w:fldChar w:fldCharType="end"/>
      </w:r>
      <w:bookmarkEnd w:id="217"/>
      <w:r w:rsidR="00485479">
        <w:t>:</w:t>
      </w:r>
      <w:r w:rsidR="00647A90">
        <w:t xml:space="preserve"> 'H</w:t>
      </w:r>
      <w:r w:rsidR="00647A90" w:rsidRPr="00966EDB">
        <w:t>ave the Quality Standards improved work practices in aged care services?</w:t>
      </w:r>
      <w:r w:rsidR="00647A90">
        <w:t>’, percentage</w:t>
      </w:r>
      <w:bookmarkEnd w:id="218"/>
      <w:r w:rsidR="00647A90">
        <w:t xml:space="preserve"> </w:t>
      </w:r>
    </w:p>
    <w:p w14:paraId="1CF15558" w14:textId="24359C3E" w:rsidR="007D4989" w:rsidRPr="007D4989" w:rsidRDefault="00647A90" w:rsidP="007D4989">
      <w:pPr>
        <w:rPr>
          <w:b/>
          <w:bCs/>
        </w:rPr>
      </w:pPr>
      <w:r>
        <w:rPr>
          <w:noProof/>
        </w:rPr>
        <w:drawing>
          <wp:inline distT="0" distB="0" distL="0" distR="0" wp14:anchorId="37B7BA09" wp14:editId="4CA88039">
            <wp:extent cx="5759450" cy="2880000"/>
            <wp:effectExtent l="0" t="0" r="0" b="0"/>
            <wp:docPr id="3" name="Chart 3" descr="Stacked bar chart. Figure 17 'Have the Quality Standards improved work practices in aged care services?’, percentage. source KPMG.">
              <a:extLst xmlns:a="http://schemas.openxmlformats.org/drawingml/2006/main">
                <a:ext uri="{FF2B5EF4-FFF2-40B4-BE49-F238E27FC236}">
                  <a16:creationId xmlns:a16="http://schemas.microsoft.com/office/drawing/2014/main" id="{62FF681D-1837-4529-AE94-75E4DFB1DC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58E858C" w14:textId="19062507" w:rsidR="00542EF0" w:rsidRPr="00542EF0" w:rsidRDefault="00C234E5" w:rsidP="00231A99">
      <w:pPr>
        <w:pStyle w:val="Source0"/>
      </w:pPr>
      <w:r w:rsidRPr="00725341">
        <w:t xml:space="preserve">Source: </w:t>
      </w:r>
      <w:r w:rsidR="00631F9E">
        <w:t>KPMG</w:t>
      </w:r>
    </w:p>
    <w:p w14:paraId="270AC410" w14:textId="714300C8" w:rsidR="008F6AD2" w:rsidRDefault="00400F24" w:rsidP="00A62F83">
      <w:pPr>
        <w:pStyle w:val="BodyText1"/>
      </w:pPr>
      <w:r>
        <w:t xml:space="preserve">Work practices would be most directly </w:t>
      </w:r>
      <w:r w:rsidR="00E51B5B">
        <w:t xml:space="preserve">observed by </w:t>
      </w:r>
      <w:r w:rsidR="00CF4148">
        <w:t>providers, their peak bodies and aged</w:t>
      </w:r>
      <w:r w:rsidR="00443A1D">
        <w:t xml:space="preserve"> care workers, whose responses are more positive.</w:t>
      </w:r>
      <w:r w:rsidR="005F0862">
        <w:t xml:space="preserve"> The lower </w:t>
      </w:r>
      <w:r w:rsidR="001869AC">
        <w:t xml:space="preserve">agreement from consumers carer or family members </w:t>
      </w:r>
      <w:r w:rsidR="00912E7A">
        <w:t xml:space="preserve">(who may be less able to assess working practices) </w:t>
      </w:r>
      <w:r w:rsidR="001869AC">
        <w:t xml:space="preserve">may show that these </w:t>
      </w:r>
      <w:r w:rsidR="00126D57">
        <w:t xml:space="preserve">improvements </w:t>
      </w:r>
      <w:r w:rsidR="001869AC">
        <w:t xml:space="preserve">do not </w:t>
      </w:r>
      <w:r w:rsidR="003071F6">
        <w:t xml:space="preserve">consistently </w:t>
      </w:r>
      <w:r w:rsidR="001869AC">
        <w:t xml:space="preserve">translate </w:t>
      </w:r>
      <w:r w:rsidR="00F5584B">
        <w:t xml:space="preserve">into </w:t>
      </w:r>
      <w:r w:rsidR="003071F6">
        <w:t>a better consumer experience.</w:t>
      </w:r>
    </w:p>
    <w:p w14:paraId="693F875C" w14:textId="78B9012B" w:rsidR="002176A1" w:rsidRPr="00A85886" w:rsidRDefault="00CB35D2" w:rsidP="00A62F83">
      <w:pPr>
        <w:pStyle w:val="BodyText1"/>
      </w:pPr>
      <w:r>
        <w:lastRenderedPageBreak/>
        <w:t xml:space="preserve">Improved record-keeping, consumer involvement and staff training were examples of the </w:t>
      </w:r>
      <w:r w:rsidR="00794F99">
        <w:t xml:space="preserve">types of </w:t>
      </w:r>
      <w:r w:rsidR="002E2D81">
        <w:t xml:space="preserve">positive </w:t>
      </w:r>
      <w:r w:rsidR="00794F99">
        <w:t xml:space="preserve">improvements </w:t>
      </w:r>
      <w:r w:rsidR="002E2D81">
        <w:t>the Standards had delivered. P</w:t>
      </w:r>
      <w:r w:rsidR="000D3EC5">
        <w:t>roviders</w:t>
      </w:r>
      <w:r w:rsidR="00BB473A">
        <w:t xml:space="preserve"> stressed the importance of effective</w:t>
      </w:r>
      <w:r w:rsidR="001D3118">
        <w:t xml:space="preserve"> management </w:t>
      </w:r>
      <w:r w:rsidR="00C246E6">
        <w:t xml:space="preserve">in </w:t>
      </w:r>
      <w:r w:rsidR="002E2D81">
        <w:t xml:space="preserve">driving such improvements. </w:t>
      </w:r>
      <w:r w:rsidR="00A93BC5">
        <w:t>Some respondents considered th</w:t>
      </w:r>
      <w:r w:rsidR="00937024">
        <w:t xml:space="preserve">ere had been a negative impact on work practices, </w:t>
      </w:r>
      <w:r w:rsidR="00601A46">
        <w:t>suggesting</w:t>
      </w:r>
      <w:r w:rsidR="00442ACD">
        <w:t xml:space="preserve"> the </w:t>
      </w:r>
      <w:r w:rsidR="00601A46">
        <w:t>increased requirements of</w:t>
      </w:r>
      <w:r w:rsidR="00442ACD">
        <w:t xml:space="preserve"> </w:t>
      </w:r>
      <w:r w:rsidR="00587DF5">
        <w:t xml:space="preserve">assessment and documentation </w:t>
      </w:r>
      <w:r w:rsidR="00601A46">
        <w:t>had limited direct</w:t>
      </w:r>
      <w:r w:rsidR="00587DF5">
        <w:t xml:space="preserve"> time with consumers</w:t>
      </w:r>
      <w:r w:rsidR="00601A46">
        <w:t>, especially by</w:t>
      </w:r>
      <w:r w:rsidR="00707E86">
        <w:t xml:space="preserve"> </w:t>
      </w:r>
      <w:r w:rsidR="00587DF5">
        <w:t xml:space="preserve">registered staff. </w:t>
      </w:r>
    </w:p>
    <w:p w14:paraId="05122810" w14:textId="525FB8E4" w:rsidR="00A85886" w:rsidRDefault="00A85886" w:rsidP="00231A99">
      <w:pPr>
        <w:pStyle w:val="HeadingLevel3NoNumber"/>
      </w:pPr>
      <w:r w:rsidRPr="00A85886">
        <w:t>Do service providers have an increased focus on quality outcomes for consumers? I.e. are service providers achieving the consumer outcomes (defined under each standard)?</w:t>
      </w:r>
    </w:p>
    <w:p w14:paraId="76192A8E" w14:textId="6CFF79F9" w:rsidR="00621FD5" w:rsidRDefault="0068799B" w:rsidP="00A62F83">
      <w:pPr>
        <w:pStyle w:val="BodyText1"/>
      </w:pPr>
      <w:bookmarkStart w:id="219" w:name="_Toc85369233"/>
      <w:bookmarkStart w:id="220" w:name="_Toc85372148"/>
      <w:bookmarkEnd w:id="219"/>
      <w:bookmarkEnd w:id="220"/>
      <w:r w:rsidRPr="00D13C6F">
        <w:t>As the Standards have only been in place for a short period of time</w:t>
      </w:r>
      <w:r w:rsidR="002B542C">
        <w:t>,</w:t>
      </w:r>
      <w:r w:rsidRPr="00D13C6F">
        <w:t xml:space="preserve"> it is too early to make a conclusive statement as to whether service providers are achieving consumer outcomes</w:t>
      </w:r>
      <w:r w:rsidR="00F24FD0">
        <w:t xml:space="preserve"> (as defined under each Standard</w:t>
      </w:r>
      <w:r w:rsidR="009D106B">
        <w:t>, see Appendix C</w:t>
      </w:r>
      <w:r w:rsidR="00F24FD0">
        <w:t xml:space="preserve">), or </w:t>
      </w:r>
      <w:r w:rsidR="00175AF1">
        <w:t>increased quality of outcomes for consumers more broadly</w:t>
      </w:r>
      <w:r w:rsidR="00F265BA" w:rsidRPr="00D13C6F">
        <w:t>.</w:t>
      </w:r>
      <w:r w:rsidR="00D13C6F">
        <w:t xml:space="preserve"> This was consistently raised </w:t>
      </w:r>
      <w:r w:rsidR="00C273A3">
        <w:t xml:space="preserve">by various stakeholders during </w:t>
      </w:r>
      <w:r w:rsidR="00C02FD3">
        <w:t>consultations</w:t>
      </w:r>
      <w:r w:rsidR="00D13C6F">
        <w:t>.</w:t>
      </w:r>
      <w:r w:rsidRPr="00D13C6F">
        <w:t xml:space="preserve"> </w:t>
      </w:r>
      <w:r w:rsidR="004461BA">
        <w:t>While there are higher rates of non</w:t>
      </w:r>
      <w:r w:rsidR="00B130F1">
        <w:noBreakHyphen/>
      </w:r>
      <w:r w:rsidR="004461BA">
        <w:t xml:space="preserve">compliance </w:t>
      </w:r>
      <w:r w:rsidR="004559F0">
        <w:t>under the new Standards, it is expected that this is a result of the overall higher-lifted expectat</w:t>
      </w:r>
      <w:r w:rsidR="00A84AB1">
        <w:t xml:space="preserve">ion of quality care and services and </w:t>
      </w:r>
      <w:r w:rsidR="00020D11">
        <w:t xml:space="preserve">does not </w:t>
      </w:r>
      <w:r w:rsidR="008D34AA">
        <w:t xml:space="preserve">necessarily </w:t>
      </w:r>
      <w:r w:rsidR="00020D11">
        <w:t xml:space="preserve">represent </w:t>
      </w:r>
      <w:r w:rsidR="008D34AA">
        <w:t xml:space="preserve">a </w:t>
      </w:r>
      <w:r w:rsidR="00020D11">
        <w:t xml:space="preserve">decline in outcomes </w:t>
      </w:r>
      <w:r w:rsidR="008477DE">
        <w:t>for consumers.</w:t>
      </w:r>
    </w:p>
    <w:p w14:paraId="7746EB07" w14:textId="45FEEBC5" w:rsidR="0068799B" w:rsidRDefault="0068799B" w:rsidP="00A62F83">
      <w:pPr>
        <w:pStyle w:val="BodyText1"/>
      </w:pPr>
      <w:r w:rsidRPr="00D13C6F">
        <w:t xml:space="preserve">There are a range of data points collected by </w:t>
      </w:r>
      <w:r w:rsidR="00E74971">
        <w:t xml:space="preserve">the </w:t>
      </w:r>
      <w:r w:rsidR="0052291D">
        <w:t>Department and the Commission</w:t>
      </w:r>
      <w:r w:rsidRPr="00D13C6F">
        <w:t xml:space="preserve"> in the aged care system that can provide a view on the quality and safety of aged care, noting the Royal Commission identified issues related to the measurability of the Standards and </w:t>
      </w:r>
      <w:r w:rsidR="00B2763D">
        <w:t xml:space="preserve">general data collection on </w:t>
      </w:r>
      <w:r w:rsidRPr="00D13C6F">
        <w:t>quality and safety of care</w:t>
      </w:r>
      <w:r w:rsidR="00B2763D">
        <w:t xml:space="preserve"> in the aged care system</w:t>
      </w:r>
      <w:r w:rsidRPr="00D13C6F">
        <w:t>.</w:t>
      </w:r>
      <w:r w:rsidR="00C273A3">
        <w:t xml:space="preserve"> </w:t>
      </w:r>
      <w:r w:rsidR="00621FD5">
        <w:t>A</w:t>
      </w:r>
      <w:r w:rsidR="00C273A3">
        <w:t xml:space="preserve">vailable </w:t>
      </w:r>
      <w:r w:rsidR="00621FD5">
        <w:t xml:space="preserve">data </w:t>
      </w:r>
      <w:r w:rsidR="00C273A3">
        <w:t>includes</w:t>
      </w:r>
      <w:r w:rsidRPr="00D13C6F">
        <w:t xml:space="preserve"> performance assessment data against the Standards, </w:t>
      </w:r>
      <w:r w:rsidR="003C344E">
        <w:t>QI Program</w:t>
      </w:r>
      <w:r w:rsidRPr="00D13C6F">
        <w:t xml:space="preserve"> data</w:t>
      </w:r>
      <w:r w:rsidR="00BF4E0C">
        <w:t xml:space="preserve">, </w:t>
      </w:r>
      <w:r w:rsidR="00F704D9">
        <w:t>CER</w:t>
      </w:r>
      <w:r w:rsidRPr="00D13C6F">
        <w:t xml:space="preserve"> and </w:t>
      </w:r>
      <w:r w:rsidR="002B542C">
        <w:t>SIRS</w:t>
      </w:r>
      <w:r w:rsidR="00D27F98">
        <w:t xml:space="preserve"> data</w:t>
      </w:r>
      <w:r w:rsidR="00C273A3">
        <w:t>.</w:t>
      </w:r>
    </w:p>
    <w:p w14:paraId="5F203A78" w14:textId="6121819B" w:rsidR="00AD55B6" w:rsidRPr="00D13C6F" w:rsidRDefault="002B542C" w:rsidP="00A62F83">
      <w:pPr>
        <w:pStyle w:val="BodyText1"/>
      </w:pPr>
      <w:r>
        <w:t>QI</w:t>
      </w:r>
      <w:r w:rsidR="00AD55B6">
        <w:t xml:space="preserve"> Program </w:t>
      </w:r>
      <w:r w:rsidR="006F76AC">
        <w:t xml:space="preserve">data </w:t>
      </w:r>
      <w:r w:rsidR="00AD55B6">
        <w:t>demonstrates improvements of consumer outcomes in residential aged care. The most recent quarter report</w:t>
      </w:r>
      <w:r w:rsidR="00904BB0">
        <w:t xml:space="preserve"> from April – June 2021</w:t>
      </w:r>
      <w:r w:rsidR="0083123A">
        <w:rPr>
          <w:rFonts w:ascii="ZWAdobeF" w:hAnsi="ZWAdobeF" w:cs="ZWAdobeF"/>
          <w:sz w:val="2"/>
          <w:szCs w:val="2"/>
        </w:rPr>
        <w:t>54F</w:t>
      </w:r>
      <w:r w:rsidR="00AD55B6" w:rsidRPr="00741018">
        <w:rPr>
          <w:vertAlign w:val="superscript"/>
        </w:rPr>
        <w:footnoteReference w:id="56"/>
      </w:r>
      <w:r w:rsidR="00AD55B6">
        <w:t xml:space="preserve"> demonstrates a downward trend</w:t>
      </w:r>
      <w:r w:rsidR="001F03E7">
        <w:t xml:space="preserve"> in </w:t>
      </w:r>
      <w:r w:rsidR="00AD55B6">
        <w:t>reported unplanned weight loss</w:t>
      </w:r>
      <w:r w:rsidR="008964D2">
        <w:t xml:space="preserve">, </w:t>
      </w:r>
      <w:r w:rsidR="001F03E7">
        <w:t>restrictive practice</w:t>
      </w:r>
      <w:r w:rsidR="008964D2">
        <w:t xml:space="preserve"> use and pressure injur</w:t>
      </w:r>
      <w:r w:rsidR="00904BB0">
        <w:t>i</w:t>
      </w:r>
      <w:r w:rsidR="008964D2">
        <w:t>es</w:t>
      </w:r>
      <w:r w:rsidR="00AD55B6">
        <w:t xml:space="preserve"> compared with the January – April 2021 quarter</w:t>
      </w:r>
      <w:r w:rsidR="00D03979">
        <w:t>.</w:t>
      </w:r>
      <w:r w:rsidR="0083123A">
        <w:rPr>
          <w:rFonts w:ascii="ZWAdobeF" w:hAnsi="ZWAdobeF" w:cs="ZWAdobeF"/>
          <w:sz w:val="2"/>
          <w:szCs w:val="2"/>
        </w:rPr>
        <w:t>55F</w:t>
      </w:r>
      <w:r w:rsidR="006E1EF0">
        <w:rPr>
          <w:rStyle w:val="FootnoteReference"/>
        </w:rPr>
        <w:footnoteReference w:id="57"/>
      </w:r>
    </w:p>
    <w:p w14:paraId="6F71BBC9" w14:textId="130135D7" w:rsidR="00815FC0" w:rsidRDefault="00B22AA3" w:rsidP="00A62F83">
      <w:pPr>
        <w:pStyle w:val="BodyText1"/>
      </w:pPr>
      <w:r>
        <w:t>The Commission’s published sector performance data</w:t>
      </w:r>
      <w:r w:rsidR="0083123A">
        <w:rPr>
          <w:rFonts w:ascii="ZWAdobeF" w:hAnsi="ZWAdobeF" w:cs="ZWAdobeF"/>
          <w:sz w:val="2"/>
          <w:szCs w:val="2"/>
        </w:rPr>
        <w:t>56F</w:t>
      </w:r>
      <w:r w:rsidR="000C6162">
        <w:rPr>
          <w:rStyle w:val="FootnoteReference"/>
        </w:rPr>
        <w:footnoteReference w:id="58"/>
      </w:r>
      <w:r w:rsidR="002E38F0">
        <w:rPr>
          <w:rStyle w:val="FootnoteReference"/>
        </w:rPr>
        <w:t xml:space="preserve"> </w:t>
      </w:r>
      <w:r w:rsidR="002E38F0">
        <w:t xml:space="preserve">demonstrates some </w:t>
      </w:r>
      <w:r w:rsidR="00F75756">
        <w:t>variability across the highest</w:t>
      </w:r>
      <w:r w:rsidR="008D40E1">
        <w:t xml:space="preserve"> reported non-compliance notices of requirements</w:t>
      </w:r>
      <w:r w:rsidR="00C273A3">
        <w:t>)</w:t>
      </w:r>
      <w:r w:rsidR="003F68B3">
        <w:t xml:space="preserve">, however there are limitations on the data to determine improvement trends </w:t>
      </w:r>
      <w:r w:rsidR="00522A2D">
        <w:t xml:space="preserve">for the period of time since implementation of </w:t>
      </w:r>
      <w:r w:rsidR="002B542C">
        <w:t xml:space="preserve">the </w:t>
      </w:r>
      <w:r w:rsidR="00522A2D">
        <w:t xml:space="preserve">Standards. Similarly, </w:t>
      </w:r>
      <w:r w:rsidR="002A14F4">
        <w:t xml:space="preserve">the </w:t>
      </w:r>
      <w:r w:rsidR="006F77C9">
        <w:t>sector implemented Serious Incidence Reports on 1 April 2021</w:t>
      </w:r>
      <w:r w:rsidR="002B542C">
        <w:t>,</w:t>
      </w:r>
      <w:r w:rsidR="006F77C9">
        <w:t xml:space="preserve"> and </w:t>
      </w:r>
      <w:r w:rsidR="00070897">
        <w:t>early reporting</w:t>
      </w:r>
      <w:r w:rsidR="0083123A">
        <w:rPr>
          <w:rFonts w:ascii="ZWAdobeF" w:hAnsi="ZWAdobeF" w:cs="ZWAdobeF"/>
          <w:sz w:val="2"/>
          <w:szCs w:val="2"/>
        </w:rPr>
        <w:t>57F</w:t>
      </w:r>
      <w:r w:rsidR="00814AC6" w:rsidRPr="000E75AA">
        <w:rPr>
          <w:vertAlign w:val="superscript"/>
        </w:rPr>
        <w:footnoteReference w:id="59"/>
      </w:r>
      <w:r w:rsidR="00070897">
        <w:t xml:space="preserve"> identifies </w:t>
      </w:r>
      <w:r w:rsidR="00621FD5">
        <w:t xml:space="preserve">the initial </w:t>
      </w:r>
      <w:r w:rsidR="00070897">
        <w:t xml:space="preserve">rates of </w:t>
      </w:r>
      <w:r w:rsidR="00621FD5">
        <w:t xml:space="preserve">varied </w:t>
      </w:r>
      <w:r w:rsidR="00070897">
        <w:t>reported incidences</w:t>
      </w:r>
      <w:r w:rsidR="002B542C">
        <w:t>;</w:t>
      </w:r>
      <w:r w:rsidR="00815FC0">
        <w:t xml:space="preserve"> however</w:t>
      </w:r>
      <w:r w:rsidR="002B542C">
        <w:t>,</w:t>
      </w:r>
      <w:r w:rsidR="00815FC0">
        <w:t xml:space="preserve"> the implementation timeframe does not </w:t>
      </w:r>
      <w:r w:rsidR="003613D8">
        <w:t xml:space="preserve">enable ongoing trends for consumer outcomes to be identified at </w:t>
      </w:r>
      <w:r w:rsidR="00F265BA">
        <w:t>th</w:t>
      </w:r>
      <w:r w:rsidR="007D5DF5">
        <w:t>is</w:t>
      </w:r>
      <w:r w:rsidR="003613D8">
        <w:t xml:space="preserve"> time.</w:t>
      </w:r>
    </w:p>
    <w:p w14:paraId="3C245DCC" w14:textId="58C9D938" w:rsidR="00A96A7C" w:rsidRDefault="00C22818" w:rsidP="00A62F83">
      <w:pPr>
        <w:pStyle w:val="BodyText1"/>
      </w:pPr>
      <w:r>
        <w:t>CER,</w:t>
      </w:r>
      <w:r w:rsidR="00A96A7C">
        <w:t xml:space="preserve"> capturing the experience of aged care consumers</w:t>
      </w:r>
      <w:r w:rsidR="002B542C">
        <w:t>,</w:t>
      </w:r>
      <w:r w:rsidR="00A96A7C">
        <w:t xml:space="preserve"> ha</w:t>
      </w:r>
      <w:r>
        <w:t xml:space="preserve">s </w:t>
      </w:r>
      <w:r w:rsidR="00A96A7C">
        <w:t xml:space="preserve">been gathered in residential aged care </w:t>
      </w:r>
      <w:r>
        <w:t xml:space="preserve">between </w:t>
      </w:r>
      <w:r w:rsidR="00A96A7C">
        <w:t>2017</w:t>
      </w:r>
      <w:r>
        <w:t xml:space="preserve"> – Dec 2019</w:t>
      </w:r>
      <w:r w:rsidR="00A96A7C">
        <w:t xml:space="preserve">. </w:t>
      </w:r>
      <w:r w:rsidR="00F265BA">
        <w:t>A comparison of 2017-2018</w:t>
      </w:r>
      <w:r w:rsidR="0083123A">
        <w:rPr>
          <w:rFonts w:ascii="ZWAdobeF" w:hAnsi="ZWAdobeF" w:cs="ZWAdobeF"/>
          <w:sz w:val="2"/>
          <w:szCs w:val="2"/>
        </w:rPr>
        <w:t>58F</w:t>
      </w:r>
      <w:r w:rsidR="001F6B89">
        <w:rPr>
          <w:rStyle w:val="FootnoteReference"/>
        </w:rPr>
        <w:footnoteReference w:id="60"/>
      </w:r>
      <w:r w:rsidR="00F265BA">
        <w:t xml:space="preserve"> with 2018</w:t>
      </w:r>
      <w:r w:rsidR="002B542C">
        <w:noBreakHyphen/>
      </w:r>
      <w:r w:rsidR="00F265BA">
        <w:t xml:space="preserve"> 2019</w:t>
      </w:r>
      <w:r w:rsidR="0083123A">
        <w:rPr>
          <w:rFonts w:ascii="ZWAdobeF" w:hAnsi="ZWAdobeF" w:cs="ZWAdobeF"/>
          <w:sz w:val="2"/>
          <w:szCs w:val="2"/>
        </w:rPr>
        <w:t>59F</w:t>
      </w:r>
      <w:r w:rsidR="002D5BA4">
        <w:rPr>
          <w:rStyle w:val="FootnoteReference"/>
        </w:rPr>
        <w:footnoteReference w:id="61"/>
      </w:r>
      <w:r w:rsidR="00F265BA">
        <w:t xml:space="preserve"> data demonstrates that consumers </w:t>
      </w:r>
      <w:r w:rsidR="003B2110">
        <w:t>were slightly more likely to report</w:t>
      </w:r>
      <w:r w:rsidR="00C10C3A">
        <w:t xml:space="preserve"> in the </w:t>
      </w:r>
      <w:r w:rsidR="00ED62C4">
        <w:t>following year</w:t>
      </w:r>
      <w:r w:rsidR="003B2110">
        <w:t xml:space="preserve"> that</w:t>
      </w:r>
      <w:r w:rsidR="00ED7E4C">
        <w:t>:</w:t>
      </w:r>
      <w:r w:rsidR="003B2110">
        <w:t xml:space="preserve"> staff followed up when they </w:t>
      </w:r>
      <w:r w:rsidR="00C2562D">
        <w:t>raised</w:t>
      </w:r>
      <w:r w:rsidR="003B2110">
        <w:t xml:space="preserve"> things</w:t>
      </w:r>
      <w:r w:rsidR="00CF2E1A">
        <w:t xml:space="preserve"> (0.64</w:t>
      </w:r>
      <w:r w:rsidR="00021DC2">
        <w:t>%)</w:t>
      </w:r>
      <w:r w:rsidR="003B2110">
        <w:t xml:space="preserve">, </w:t>
      </w:r>
      <w:r w:rsidR="00ED7E4C">
        <w:t>were more likely to explain things</w:t>
      </w:r>
      <w:r w:rsidR="00021DC2">
        <w:t xml:space="preserve"> (0.84%)</w:t>
      </w:r>
      <w:r w:rsidR="00ED7E4C">
        <w:t xml:space="preserve"> and that the</w:t>
      </w:r>
      <w:r w:rsidR="000E39C3">
        <w:t>y liked the food</w:t>
      </w:r>
      <w:r w:rsidR="00C45BC2">
        <w:t xml:space="preserve"> (1.12%)</w:t>
      </w:r>
      <w:r w:rsidR="000E39C3">
        <w:t xml:space="preserve">, however they were less likely to </w:t>
      </w:r>
      <w:r w:rsidR="00B1622C">
        <w:t>report they had someone to speak to when they were sad or down</w:t>
      </w:r>
      <w:r w:rsidR="002B542C">
        <w:t> </w:t>
      </w:r>
      <w:r w:rsidR="00F92BA0">
        <w:t>(2.2%)</w:t>
      </w:r>
      <w:r w:rsidR="00F265BA">
        <w:t>.</w:t>
      </w:r>
      <w:r w:rsidR="0083123A">
        <w:rPr>
          <w:rFonts w:ascii="ZWAdobeF" w:hAnsi="ZWAdobeF" w:cs="ZWAdobeF"/>
          <w:sz w:val="2"/>
          <w:szCs w:val="2"/>
        </w:rPr>
        <w:t>60F</w:t>
      </w:r>
      <w:r w:rsidR="00B1622C">
        <w:rPr>
          <w:rStyle w:val="FootnoteReference"/>
        </w:rPr>
        <w:footnoteReference w:id="62"/>
      </w:r>
      <w:r w:rsidR="009B775A">
        <w:t xml:space="preserve"> </w:t>
      </w:r>
      <w:r w:rsidR="002F1EF5">
        <w:t>While the reported CER results end at the point in tim</w:t>
      </w:r>
      <w:r w:rsidR="001C6B45">
        <w:t>e of commencement of the new Standards, it is possible that these results are affected by the implementation period undertaken prior to the 1 July 2019 commencement period of the Standards.</w:t>
      </w:r>
      <w:r w:rsidR="00C12960">
        <w:t xml:space="preserve"> Since CER data is not available for the 2019-2020 yea</w:t>
      </w:r>
      <w:r w:rsidR="00D1454C">
        <w:t>r onward</w:t>
      </w:r>
      <w:r w:rsidR="008D256A">
        <w:t xml:space="preserve"> </w:t>
      </w:r>
      <w:r w:rsidR="00AD0348">
        <w:t xml:space="preserve">it </w:t>
      </w:r>
      <w:r w:rsidR="00B40F16">
        <w:t>cannot be determined</w:t>
      </w:r>
      <w:r w:rsidR="006A7267">
        <w:t xml:space="preserve"> whether the results </w:t>
      </w:r>
      <w:r w:rsidR="00073411">
        <w:t>relate to the new</w:t>
      </w:r>
      <w:r w:rsidR="00B40F16">
        <w:t xml:space="preserve"> Standards or other reforms</w:t>
      </w:r>
      <w:r w:rsidR="00107327">
        <w:t xml:space="preserve"> from this time</w:t>
      </w:r>
      <w:r w:rsidR="00B40F16">
        <w:t xml:space="preserve">, however </w:t>
      </w:r>
      <w:r w:rsidR="00F00602">
        <w:t xml:space="preserve">these provide insight that results for consumers </w:t>
      </w:r>
      <w:r w:rsidR="00C87972">
        <w:t>may be adjusting</w:t>
      </w:r>
      <w:r w:rsidR="00BA511B">
        <w:t xml:space="preserve"> over a similar period.</w:t>
      </w:r>
      <w:r w:rsidR="00F00602">
        <w:t xml:space="preserve"> </w:t>
      </w:r>
      <w:r w:rsidR="006A7267">
        <w:t xml:space="preserve"> </w:t>
      </w:r>
    </w:p>
    <w:p w14:paraId="3450A3BF" w14:textId="08DB1B24" w:rsidR="00C87B53" w:rsidRDefault="00C96C94" w:rsidP="00A62F83">
      <w:pPr>
        <w:pStyle w:val="BodyText1"/>
      </w:pPr>
      <w:r>
        <w:lastRenderedPageBreak/>
        <w:t xml:space="preserve">The majority of </w:t>
      </w:r>
      <w:r w:rsidR="00FE1599">
        <w:t>s</w:t>
      </w:r>
      <w:r w:rsidR="002D3F55">
        <w:t>ta</w:t>
      </w:r>
      <w:r w:rsidR="00F12259">
        <w:t xml:space="preserve">keholders </w:t>
      </w:r>
      <w:r w:rsidR="008B5BF3">
        <w:t xml:space="preserve">surveyed reported </w:t>
      </w:r>
      <w:r w:rsidR="003951CA">
        <w:t xml:space="preserve">the Standards have improved quality outcomes for </w:t>
      </w:r>
      <w:r w:rsidR="009D369A">
        <w:t>consumers</w:t>
      </w:r>
      <w:r w:rsidR="00A35333">
        <w:t xml:space="preserve"> (</w:t>
      </w:r>
      <w:r w:rsidR="00717C2D">
        <w:t>74-91%)</w:t>
      </w:r>
      <w:r w:rsidR="00F164DD">
        <w:t>. A min</w:t>
      </w:r>
      <w:r w:rsidR="007149B0">
        <w:t xml:space="preserve">ority of consumers, </w:t>
      </w:r>
      <w:r w:rsidR="002075DD">
        <w:t>carer</w:t>
      </w:r>
      <w:r w:rsidR="002B542C">
        <w:t>s</w:t>
      </w:r>
      <w:r w:rsidR="007149B0">
        <w:t xml:space="preserve"> or family members</w:t>
      </w:r>
      <w:r w:rsidR="00F1029B">
        <w:t xml:space="preserve"> </w:t>
      </w:r>
      <w:r w:rsidR="0095398B">
        <w:t>disagreed</w:t>
      </w:r>
      <w:r w:rsidR="00F1029B">
        <w:t xml:space="preserve">, with </w:t>
      </w:r>
      <w:r w:rsidR="00FE3E4B">
        <w:t>26% reporting no improvement</w:t>
      </w:r>
      <w:r w:rsidR="00C706DD">
        <w:t xml:space="preserve"> as shown in </w:t>
      </w:r>
      <w:r w:rsidR="00190084">
        <w:fldChar w:fldCharType="begin" w:fldLock="1"/>
      </w:r>
      <w:r w:rsidR="00190084">
        <w:instrText xml:space="preserve"> REF _Ref85282356 \h </w:instrText>
      </w:r>
      <w:r w:rsidR="00190084">
        <w:fldChar w:fldCharType="separate"/>
      </w:r>
      <w:r w:rsidR="00453533">
        <w:t xml:space="preserve">Figure </w:t>
      </w:r>
      <w:r w:rsidR="00453533">
        <w:rPr>
          <w:noProof/>
        </w:rPr>
        <w:t>18</w:t>
      </w:r>
      <w:r w:rsidR="00190084">
        <w:fldChar w:fldCharType="end"/>
      </w:r>
      <w:r w:rsidR="00C706DD">
        <w:t xml:space="preserve"> below</w:t>
      </w:r>
      <w:r w:rsidR="001F05B5">
        <w:t>.</w:t>
      </w:r>
      <w:r w:rsidR="00C87B53">
        <w:t xml:space="preserve"> Consumer peak</w:t>
      </w:r>
      <w:r w:rsidR="007C146D">
        <w:t xml:space="preserve"> bodies reported less disagreement </w:t>
      </w:r>
      <w:r w:rsidR="00F03429">
        <w:t>(</w:t>
      </w:r>
      <w:r w:rsidR="006875DC">
        <w:t xml:space="preserve">13%). </w:t>
      </w:r>
    </w:p>
    <w:p w14:paraId="3303DAC7" w14:textId="35B873E7" w:rsidR="002A5458" w:rsidRPr="00B00EB6" w:rsidRDefault="002A5458" w:rsidP="00231A99">
      <w:pPr>
        <w:pStyle w:val="Caption"/>
      </w:pPr>
      <w:bookmarkStart w:id="221" w:name="_Ref85282356"/>
      <w:bookmarkStart w:id="222" w:name="_Toc85369273"/>
      <w:r>
        <w:t xml:space="preserve">Figure </w:t>
      </w:r>
      <w:r>
        <w:fldChar w:fldCharType="begin"/>
      </w:r>
      <w:r>
        <w:instrText>SEQ Figure \* ARABIC</w:instrText>
      </w:r>
      <w:r>
        <w:fldChar w:fldCharType="separate"/>
      </w:r>
      <w:r w:rsidR="0083123A">
        <w:rPr>
          <w:noProof/>
        </w:rPr>
        <w:t>18</w:t>
      </w:r>
      <w:r>
        <w:fldChar w:fldCharType="end"/>
      </w:r>
      <w:bookmarkEnd w:id="221"/>
      <w:r w:rsidR="00485479">
        <w:t>:</w:t>
      </w:r>
      <w:r>
        <w:t xml:space="preserve"> </w:t>
      </w:r>
      <w:r w:rsidR="00914162">
        <w:t>‘</w:t>
      </w:r>
      <w:r w:rsidRPr="00492E0C">
        <w:t>Have the Quality Standards improved quality outcomes for consumers?</w:t>
      </w:r>
      <w:r w:rsidR="00914162">
        <w:t>’, percentage</w:t>
      </w:r>
      <w:bookmarkEnd w:id="222"/>
      <w:r w:rsidR="00914162">
        <w:t xml:space="preserve"> </w:t>
      </w:r>
    </w:p>
    <w:p w14:paraId="653C22B7" w14:textId="0ECE90A7" w:rsidR="0068799B" w:rsidRDefault="00724520" w:rsidP="002A5458">
      <w:pPr>
        <w:keepNext/>
      </w:pPr>
      <w:r>
        <w:rPr>
          <w:noProof/>
        </w:rPr>
        <w:drawing>
          <wp:inline distT="0" distB="0" distL="0" distR="0" wp14:anchorId="34217C39" wp14:editId="3EE55B0E">
            <wp:extent cx="5759450" cy="2880000"/>
            <wp:effectExtent l="0" t="0" r="0" b="0"/>
            <wp:docPr id="453" name="Chart 453" descr="Stacked bar chart. Figure 18: ‘Have the Quality Standards improved quality outcomes for consumers?’, percentage. Source KPMG.">
              <a:extLst xmlns:a="http://schemas.openxmlformats.org/drawingml/2006/main">
                <a:ext uri="{FF2B5EF4-FFF2-40B4-BE49-F238E27FC236}">
                  <a16:creationId xmlns:a16="http://schemas.microsoft.com/office/drawing/2014/main" id="{1D8E832F-E37A-4E41-9C83-01278A9155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320A43F" w14:textId="1BC74793" w:rsidR="00C234E5" w:rsidRDefault="00C234E5" w:rsidP="00231A99">
      <w:pPr>
        <w:pStyle w:val="Source0"/>
      </w:pPr>
      <w:r w:rsidRPr="00725341">
        <w:t xml:space="preserve">Source: </w:t>
      </w:r>
      <w:r w:rsidR="00631F9E">
        <w:t>KPMG</w:t>
      </w:r>
    </w:p>
    <w:p w14:paraId="573A5BC5" w14:textId="11C6D4A2" w:rsidR="005744E0" w:rsidRPr="005744E0" w:rsidRDefault="00F11F6F" w:rsidP="00A62F83">
      <w:pPr>
        <w:pStyle w:val="BodyText1"/>
      </w:pPr>
      <w:r>
        <w:t xml:space="preserve">Evaluation stakeholders reported that </w:t>
      </w:r>
      <w:r w:rsidR="00A41C8A">
        <w:t xml:space="preserve">consumer </w:t>
      </w:r>
      <w:r w:rsidR="00180654">
        <w:t xml:space="preserve">involvement in care had improved. </w:t>
      </w:r>
      <w:r w:rsidR="002B542C">
        <w:t xml:space="preserve">Of all stakeholder groups surveyed, </w:t>
      </w:r>
      <w:r w:rsidR="00180654">
        <w:t xml:space="preserve">79- 95% agreed that consumer involvement had improved </w:t>
      </w:r>
      <w:r w:rsidR="0019518E">
        <w:t>to</w:t>
      </w:r>
      <w:r w:rsidR="00180654">
        <w:t xml:space="preserve"> some degree</w:t>
      </w:r>
      <w:r w:rsidR="00D24386">
        <w:t xml:space="preserve">. </w:t>
      </w:r>
      <w:r w:rsidR="002B542C">
        <w:t>Similar to</w:t>
      </w:r>
      <w:r w:rsidR="00D24386">
        <w:t xml:space="preserve"> the question above, consumers, carers or family members were likely to </w:t>
      </w:r>
      <w:r w:rsidR="00C60FE8">
        <w:t xml:space="preserve">say there was no improvement (26% </w:t>
      </w:r>
      <w:r w:rsidR="002B542C">
        <w:t xml:space="preserve">indicated </w:t>
      </w:r>
      <w:r w:rsidR="00C60FE8">
        <w:t xml:space="preserve">there was no improvement at all), but again consumer peak bodies were more positive, with only 10% </w:t>
      </w:r>
      <w:r w:rsidR="009235E5">
        <w:t xml:space="preserve">reporting no improvement. </w:t>
      </w:r>
      <w:r w:rsidR="004F45F0">
        <w:t xml:space="preserve">More </w:t>
      </w:r>
      <w:r w:rsidR="002075DD">
        <w:t>result</w:t>
      </w:r>
      <w:r w:rsidR="002B542C">
        <w:t>s</w:t>
      </w:r>
      <w:r w:rsidR="004F45F0">
        <w:t xml:space="preserve"> are presented in </w:t>
      </w:r>
      <w:r w:rsidR="00190084">
        <w:fldChar w:fldCharType="begin" w:fldLock="1"/>
      </w:r>
      <w:r w:rsidR="00190084">
        <w:instrText xml:space="preserve"> REF _Ref85282380 \h </w:instrText>
      </w:r>
      <w:r w:rsidR="00190084">
        <w:fldChar w:fldCharType="separate"/>
      </w:r>
      <w:r w:rsidR="00453533">
        <w:t xml:space="preserve">Figure </w:t>
      </w:r>
      <w:r w:rsidR="00453533">
        <w:rPr>
          <w:noProof/>
        </w:rPr>
        <w:t>19</w:t>
      </w:r>
      <w:r w:rsidR="00190084">
        <w:fldChar w:fldCharType="end"/>
      </w:r>
      <w:r w:rsidR="004F45F0">
        <w:t xml:space="preserve"> below. </w:t>
      </w:r>
    </w:p>
    <w:p w14:paraId="3821DD60" w14:textId="5E1A2929" w:rsidR="002B6743" w:rsidRDefault="002B6743" w:rsidP="00231A99">
      <w:pPr>
        <w:pStyle w:val="Caption"/>
      </w:pPr>
      <w:bookmarkStart w:id="223" w:name="_Ref85282380"/>
      <w:bookmarkStart w:id="224" w:name="_Toc85369274"/>
      <w:r>
        <w:t xml:space="preserve">Figure </w:t>
      </w:r>
      <w:r>
        <w:fldChar w:fldCharType="begin"/>
      </w:r>
      <w:r>
        <w:instrText>SEQ Figure \* ARABIC</w:instrText>
      </w:r>
      <w:r>
        <w:fldChar w:fldCharType="separate"/>
      </w:r>
      <w:r w:rsidR="0083123A">
        <w:rPr>
          <w:noProof/>
        </w:rPr>
        <w:t>19</w:t>
      </w:r>
      <w:r>
        <w:fldChar w:fldCharType="end"/>
      </w:r>
      <w:bookmarkEnd w:id="223"/>
      <w:r w:rsidR="00485479">
        <w:t>:</w:t>
      </w:r>
      <w:r>
        <w:t xml:space="preserve"> </w:t>
      </w:r>
      <w:r w:rsidRPr="00880AFA">
        <w:t>‘Have the Quality Standards led to changes that support consumers being involved in their care and services?’, percentage</w:t>
      </w:r>
      <w:bookmarkEnd w:id="224"/>
    </w:p>
    <w:p w14:paraId="06367AAA" w14:textId="77777777" w:rsidR="002B6743" w:rsidRPr="007D4989" w:rsidRDefault="002B6743" w:rsidP="002B6743">
      <w:r>
        <w:rPr>
          <w:noProof/>
        </w:rPr>
        <w:drawing>
          <wp:inline distT="0" distB="0" distL="0" distR="0" wp14:anchorId="445131C0" wp14:editId="5DE490BB">
            <wp:extent cx="5759450" cy="2880000"/>
            <wp:effectExtent l="0" t="0" r="0" b="0"/>
            <wp:docPr id="7" name="Chart 7" descr="Stacked bar chart. Figure 19: ‘Have the Quality Standards led to changes that support consumers being involved in their care and services?’, percentage. Source KPMG.">
              <a:extLst xmlns:a="http://schemas.openxmlformats.org/drawingml/2006/main">
                <a:ext uri="{FF2B5EF4-FFF2-40B4-BE49-F238E27FC236}">
                  <a16:creationId xmlns:a16="http://schemas.microsoft.com/office/drawing/2014/main" id="{BB9E0A75-FC20-43B7-A399-C3EDBA16A7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30C9230" w14:textId="6109D7EA" w:rsidR="002B6743" w:rsidRPr="00725341" w:rsidRDefault="002B6743" w:rsidP="00231A99">
      <w:pPr>
        <w:pStyle w:val="Source0"/>
      </w:pPr>
      <w:r w:rsidRPr="00725341">
        <w:t xml:space="preserve">Source: </w:t>
      </w:r>
      <w:r w:rsidR="001873F2">
        <w:t>KPMG</w:t>
      </w:r>
      <w:r w:rsidR="008F2421">
        <w:t>.</w:t>
      </w:r>
    </w:p>
    <w:p w14:paraId="47C931D0" w14:textId="05911FE8" w:rsidR="001E5D73" w:rsidRDefault="00452ED2" w:rsidP="00A62F83">
      <w:pPr>
        <w:pStyle w:val="BodyText1"/>
      </w:pPr>
      <w:r>
        <w:t xml:space="preserve">Consumers seem to perceive less improvement than other stakeholders in their </w:t>
      </w:r>
      <w:r w:rsidR="00B20ECD">
        <w:t>responses</w:t>
      </w:r>
      <w:r>
        <w:t xml:space="preserve"> to the two questions above. </w:t>
      </w:r>
      <w:r w:rsidR="00A81ED8">
        <w:t xml:space="preserve">However, consumer peak bodies are more positive. This finding </w:t>
      </w:r>
      <w:r w:rsidR="001E5D73">
        <w:t>suggest</w:t>
      </w:r>
      <w:r w:rsidR="00A81ED8">
        <w:t>s</w:t>
      </w:r>
      <w:r w:rsidR="001E5D73">
        <w:t xml:space="preserve"> that </w:t>
      </w:r>
      <w:r w:rsidR="00950AA1">
        <w:t xml:space="preserve">the </w:t>
      </w:r>
      <w:r w:rsidR="001E5D73">
        <w:t>individual</w:t>
      </w:r>
      <w:r w:rsidR="00AB279E">
        <w:t xml:space="preserve"> </w:t>
      </w:r>
      <w:r w:rsidR="00950AA1">
        <w:t>consumers</w:t>
      </w:r>
      <w:r w:rsidR="00AB279E">
        <w:t xml:space="preserve"> </w:t>
      </w:r>
      <w:r w:rsidR="00950AA1">
        <w:lastRenderedPageBreak/>
        <w:t xml:space="preserve">surveyed may be </w:t>
      </w:r>
      <w:r w:rsidR="001E5D73">
        <w:t xml:space="preserve">experiencing </w:t>
      </w:r>
      <w:r w:rsidR="002B542C">
        <w:t xml:space="preserve">more </w:t>
      </w:r>
      <w:r w:rsidR="001E5D73">
        <w:t>limited improvement</w:t>
      </w:r>
      <w:r w:rsidR="00C43C89">
        <w:t xml:space="preserve"> on a one</w:t>
      </w:r>
      <w:r w:rsidR="002B542C">
        <w:noBreakHyphen/>
        <w:t>on</w:t>
      </w:r>
      <w:r w:rsidR="002B542C">
        <w:noBreakHyphen/>
        <w:t xml:space="preserve">one </w:t>
      </w:r>
      <w:r w:rsidR="00C43C89">
        <w:t>basis</w:t>
      </w:r>
      <w:r w:rsidR="001E5D73">
        <w:t>, but the broad oversi</w:t>
      </w:r>
      <w:r w:rsidR="00C43C89">
        <w:t>ght</w:t>
      </w:r>
      <w:r w:rsidR="001E5D73">
        <w:t xml:space="preserve"> of the </w:t>
      </w:r>
      <w:r w:rsidR="00C43C89">
        <w:t xml:space="preserve">consumer (and provider) </w:t>
      </w:r>
      <w:r w:rsidR="001E5D73">
        <w:t xml:space="preserve">peak bodies recognises the </w:t>
      </w:r>
      <w:r w:rsidR="00C43C89">
        <w:t>improvements</w:t>
      </w:r>
      <w:r w:rsidR="001E5D73">
        <w:t xml:space="preserve"> the Standards are delivering. </w:t>
      </w:r>
    </w:p>
    <w:p w14:paraId="48DD170A" w14:textId="6D58281E" w:rsidR="00210D17" w:rsidRPr="00477218" w:rsidRDefault="00855E80" w:rsidP="00A62F83">
      <w:pPr>
        <w:pStyle w:val="BodyText1"/>
      </w:pPr>
      <w:r>
        <w:t xml:space="preserve">Fewer than half </w:t>
      </w:r>
      <w:r w:rsidR="00C83D40">
        <w:t xml:space="preserve">of survey respondents </w:t>
      </w:r>
      <w:r w:rsidR="003C40C6">
        <w:t xml:space="preserve">agreed </w:t>
      </w:r>
      <w:r w:rsidR="00CF4223">
        <w:t xml:space="preserve">that </w:t>
      </w:r>
      <w:r w:rsidR="00E1226F">
        <w:t xml:space="preserve">each </w:t>
      </w:r>
      <w:r w:rsidR="002B542C">
        <w:t>S</w:t>
      </w:r>
      <w:r w:rsidR="00E1226F">
        <w:t xml:space="preserve">tandard had </w:t>
      </w:r>
      <w:r w:rsidR="00693E99">
        <w:t xml:space="preserve">led to its </w:t>
      </w:r>
      <w:r w:rsidR="00406173">
        <w:t>intended</w:t>
      </w:r>
      <w:r w:rsidR="00693E99">
        <w:t xml:space="preserve"> outcome</w:t>
      </w:r>
      <w:r w:rsidR="006439FA">
        <w:t xml:space="preserve"> (i.e</w:t>
      </w:r>
      <w:r w:rsidR="00693E99">
        <w:t xml:space="preserve">. </w:t>
      </w:r>
      <w:r w:rsidR="002C17E2">
        <w:t xml:space="preserve">44% of respondents agreed that Standard 1 has led to </w:t>
      </w:r>
      <w:r w:rsidR="00714D77">
        <w:t>consumers being treated with dignity and respect</w:t>
      </w:r>
      <w:r w:rsidR="002B542C">
        <w:t>)</w:t>
      </w:r>
      <w:r w:rsidR="002075DD">
        <w:t>.</w:t>
      </w:r>
      <w:r w:rsidR="00714D77">
        <w:t xml:space="preserve"> The responses for all Standards are presented in </w:t>
      </w:r>
      <w:r w:rsidR="00190084">
        <w:fldChar w:fldCharType="begin" w:fldLock="1"/>
      </w:r>
      <w:r w:rsidR="00190084">
        <w:instrText xml:space="preserve"> REF _Ref85282399 \h </w:instrText>
      </w:r>
      <w:r w:rsidR="00190084">
        <w:fldChar w:fldCharType="separate"/>
      </w:r>
      <w:r w:rsidR="00453533" w:rsidRPr="00477218">
        <w:t xml:space="preserve">Figure </w:t>
      </w:r>
      <w:r w:rsidR="00453533">
        <w:rPr>
          <w:noProof/>
        </w:rPr>
        <w:t>20</w:t>
      </w:r>
      <w:r w:rsidR="00190084">
        <w:fldChar w:fldCharType="end"/>
      </w:r>
      <w:r w:rsidR="002075DD">
        <w:t>.</w:t>
      </w:r>
      <w:r w:rsidR="002E6A65">
        <w:t xml:space="preserve"> Stakeholders </w:t>
      </w:r>
      <w:r w:rsidR="00D92905">
        <w:t>perceived</w:t>
      </w:r>
      <w:r w:rsidR="002E6A65">
        <w:t xml:space="preserve"> </w:t>
      </w:r>
      <w:r w:rsidR="0034773A">
        <w:t>that Standard 7</w:t>
      </w:r>
      <w:r w:rsidR="00C16083">
        <w:t xml:space="preserve"> was t</w:t>
      </w:r>
      <w:r w:rsidR="00D92905">
        <w:t xml:space="preserve">he least likely to </w:t>
      </w:r>
      <w:r w:rsidR="002075DD">
        <w:t>le</w:t>
      </w:r>
      <w:r w:rsidR="002B542C">
        <w:t>a</w:t>
      </w:r>
      <w:r w:rsidR="002075DD">
        <w:t>d</w:t>
      </w:r>
      <w:r w:rsidR="00D77E6B">
        <w:t xml:space="preserve"> to </w:t>
      </w:r>
      <w:r w:rsidR="00F17E78">
        <w:t xml:space="preserve">its desired outcome. </w:t>
      </w:r>
      <w:r w:rsidR="00FC2B8F">
        <w:t xml:space="preserve">This </w:t>
      </w:r>
      <w:r w:rsidR="008B1042">
        <w:t xml:space="preserve">is supported by </w:t>
      </w:r>
      <w:r w:rsidR="00385CE8">
        <w:t xml:space="preserve">many consultation </w:t>
      </w:r>
      <w:r w:rsidR="00385CE8" w:rsidRPr="00477218">
        <w:t xml:space="preserve">responses highlighting workforce challenges. </w:t>
      </w:r>
    </w:p>
    <w:p w14:paraId="18BA0178" w14:textId="57B7B336" w:rsidR="00723F60" w:rsidRPr="00477218" w:rsidRDefault="00723F60" w:rsidP="00231A99">
      <w:pPr>
        <w:pStyle w:val="Caption"/>
      </w:pPr>
      <w:bookmarkStart w:id="225" w:name="_Ref85282399"/>
      <w:bookmarkStart w:id="226" w:name="_Toc85369275"/>
      <w:r w:rsidRPr="00477218">
        <w:t xml:space="preserve">Figure </w:t>
      </w:r>
      <w:r w:rsidRPr="00477218">
        <w:fldChar w:fldCharType="begin"/>
      </w:r>
      <w:r w:rsidRPr="00477218">
        <w:instrText>SEQ Figure \* ARABIC</w:instrText>
      </w:r>
      <w:r w:rsidRPr="00477218">
        <w:fldChar w:fldCharType="separate"/>
      </w:r>
      <w:r w:rsidR="0083123A">
        <w:rPr>
          <w:noProof/>
        </w:rPr>
        <w:t>20</w:t>
      </w:r>
      <w:r w:rsidRPr="00477218">
        <w:fldChar w:fldCharType="end"/>
      </w:r>
      <w:bookmarkEnd w:id="225"/>
      <w:r w:rsidR="00485479" w:rsidRPr="00477218">
        <w:t>:</w:t>
      </w:r>
      <w:r w:rsidRPr="00477218">
        <w:t xml:space="preserve"> The Standard has led to… [example: consumers being more likely to be treated with dignity and respect], (all stakeholder respondents)</w:t>
      </w:r>
      <w:bookmarkEnd w:id="226"/>
    </w:p>
    <w:p w14:paraId="32D70E9E" w14:textId="77777777" w:rsidR="00723F60" w:rsidRPr="00477218" w:rsidRDefault="00723F60" w:rsidP="00723F60">
      <w:r w:rsidRPr="00477218">
        <w:rPr>
          <w:noProof/>
        </w:rPr>
        <w:drawing>
          <wp:inline distT="0" distB="0" distL="0" distR="0" wp14:anchorId="055E614B" wp14:editId="0768613B">
            <wp:extent cx="5759450" cy="2880000"/>
            <wp:effectExtent l="0" t="0" r="0" b="0"/>
            <wp:docPr id="31" name="Chart 31" descr="Stacked bar chart. Figure 20: The Standard has led to… [example: consumers being more likely to be treated with dignity and respect], (all stakeholder respondents). Source KPMG.">
              <a:extLst xmlns:a="http://schemas.openxmlformats.org/drawingml/2006/main">
                <a:ext uri="{FF2B5EF4-FFF2-40B4-BE49-F238E27FC236}">
                  <a16:creationId xmlns:a16="http://schemas.microsoft.com/office/drawing/2014/main" id="{AB5DD020-5EFB-494B-8BC8-7D80580E91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F589BCF" w14:textId="5D0C22DA" w:rsidR="00723F60" w:rsidRPr="00477218" w:rsidRDefault="00723F60" w:rsidP="00231A99">
      <w:pPr>
        <w:pStyle w:val="Source0"/>
      </w:pPr>
      <w:r w:rsidRPr="00477218">
        <w:t xml:space="preserve">Source: </w:t>
      </w:r>
      <w:r w:rsidR="00631F9E">
        <w:t>KPMG</w:t>
      </w:r>
      <w:r w:rsidR="00951398">
        <w:t>.</w:t>
      </w:r>
    </w:p>
    <w:p w14:paraId="1D45C7BB" w14:textId="0B7354C6" w:rsidR="00617568" w:rsidRDefault="002D7188" w:rsidP="00A62F83">
      <w:pPr>
        <w:pStyle w:val="BodyText1"/>
      </w:pPr>
      <w:r w:rsidRPr="00477218">
        <w:t>These find</w:t>
      </w:r>
      <w:r w:rsidR="00513F81" w:rsidRPr="00477218">
        <w:t>ings combine all stakeholder responses. Therefore, noting the lower level of consumer</w:t>
      </w:r>
      <w:r w:rsidR="00513F81">
        <w:t xml:space="preserve"> agreement </w:t>
      </w:r>
      <w:r w:rsidR="002B5CCD">
        <w:t xml:space="preserve">with the two questions above, it </w:t>
      </w:r>
      <w:r w:rsidR="00422020">
        <w:t>follows that the</w:t>
      </w:r>
      <w:r w:rsidR="002B5CCD">
        <w:t xml:space="preserve"> </w:t>
      </w:r>
      <w:r w:rsidR="001640BC">
        <w:t xml:space="preserve">average of the combined response is lower. </w:t>
      </w:r>
      <w:r w:rsidR="00C041D7">
        <w:t xml:space="preserve">It may also reflect the views expressed in consultations that </w:t>
      </w:r>
      <w:r w:rsidR="00077032">
        <w:t xml:space="preserve">providers </w:t>
      </w:r>
      <w:r w:rsidR="001C4EFB">
        <w:t xml:space="preserve">can find it challenging to quantify specific consumer impacts as they adapt their service delivery. </w:t>
      </w:r>
    </w:p>
    <w:p w14:paraId="0A77DB30" w14:textId="3C95F139" w:rsidR="00501D2A" w:rsidRDefault="003F120F" w:rsidP="00900B20">
      <w:pPr>
        <w:pStyle w:val="BodyText0"/>
      </w:pPr>
      <w:r>
        <w:t xml:space="preserve">The reasons that stakeholders gave for their disagreement </w:t>
      </w:r>
      <w:r w:rsidR="00106ACE">
        <w:t xml:space="preserve">related to </w:t>
      </w:r>
      <w:r w:rsidR="00501D2A">
        <w:t xml:space="preserve">gaps they </w:t>
      </w:r>
      <w:r w:rsidR="00106ACE">
        <w:t xml:space="preserve">perceived </w:t>
      </w:r>
      <w:r w:rsidR="00501D2A">
        <w:t xml:space="preserve">in the </w:t>
      </w:r>
      <w:r w:rsidR="002B542C">
        <w:t>S</w:t>
      </w:r>
      <w:r w:rsidR="00501D2A">
        <w:t xml:space="preserve">tandards which are discussed above. </w:t>
      </w:r>
    </w:p>
    <w:p w14:paraId="25E13444" w14:textId="0165EB77" w:rsidR="00864D9C" w:rsidRPr="00864D9C" w:rsidRDefault="002075DD" w:rsidP="005B1E43">
      <w:pPr>
        <w:pStyle w:val="HeadingLevel3NoNumber"/>
      </w:pPr>
      <w:r w:rsidRPr="005B1E43">
        <w:t>Examples</w:t>
      </w:r>
      <w:r>
        <w:t xml:space="preserve"> of </w:t>
      </w:r>
      <w:r w:rsidR="00EC57D2">
        <w:t>improvements in care delivery</w:t>
      </w:r>
    </w:p>
    <w:p w14:paraId="5FADE223" w14:textId="53B95C05" w:rsidR="002075DD" w:rsidRDefault="00E74971" w:rsidP="00A62F83">
      <w:pPr>
        <w:pStyle w:val="BodyText1"/>
      </w:pPr>
      <w:r>
        <w:t>Consumer</w:t>
      </w:r>
      <w:r w:rsidR="00D776AB">
        <w:t>s and their representatives, providers, peaks and other s</w:t>
      </w:r>
      <w:r w:rsidR="002075DD">
        <w:t xml:space="preserve">takeholders also provided many examples of how the Standards had improved care delivery in consultations and survey responses. These examples are grouped by </w:t>
      </w:r>
      <w:r w:rsidR="002B542C">
        <w:t>S</w:t>
      </w:r>
      <w:r w:rsidR="002075DD">
        <w:t>tandard and presented in</w:t>
      </w:r>
      <w:r w:rsidR="00190084">
        <w:t xml:space="preserve"> </w:t>
      </w:r>
      <w:r w:rsidR="00190084">
        <w:fldChar w:fldCharType="begin" w:fldLock="1"/>
      </w:r>
      <w:r w:rsidR="00190084">
        <w:instrText xml:space="preserve"> REF _Ref85282618 \h </w:instrText>
      </w:r>
      <w:r w:rsidR="00190084">
        <w:fldChar w:fldCharType="separate"/>
      </w:r>
      <w:r w:rsidR="00DB740C">
        <w:t xml:space="preserve">Table </w:t>
      </w:r>
      <w:r w:rsidR="00DB740C">
        <w:rPr>
          <w:noProof/>
        </w:rPr>
        <w:t>14</w:t>
      </w:r>
      <w:r w:rsidR="00190084">
        <w:fldChar w:fldCharType="end"/>
      </w:r>
      <w:r w:rsidR="00190084">
        <w:t xml:space="preserve"> </w:t>
      </w:r>
      <w:r w:rsidR="002075DD">
        <w:t>below.</w:t>
      </w:r>
    </w:p>
    <w:p w14:paraId="134B31D5" w14:textId="090C0FC7" w:rsidR="002075DD" w:rsidRDefault="00190084" w:rsidP="00231A99">
      <w:pPr>
        <w:pStyle w:val="Caption"/>
      </w:pPr>
      <w:bookmarkStart w:id="227" w:name="_Ref85282618"/>
      <w:bookmarkStart w:id="228" w:name="_Toc85369346"/>
      <w:r>
        <w:t xml:space="preserve">Table </w:t>
      </w:r>
      <w:r>
        <w:fldChar w:fldCharType="begin"/>
      </w:r>
      <w:r>
        <w:instrText>SEQ Table \* ARABIC</w:instrText>
      </w:r>
      <w:r>
        <w:fldChar w:fldCharType="separate"/>
      </w:r>
      <w:r w:rsidR="0083123A">
        <w:rPr>
          <w:noProof/>
        </w:rPr>
        <w:t>14</w:t>
      </w:r>
      <w:r>
        <w:fldChar w:fldCharType="end"/>
      </w:r>
      <w:bookmarkEnd w:id="227"/>
      <w:r w:rsidR="002075DD">
        <w:t xml:space="preserve">: Stakeholder examples of </w:t>
      </w:r>
      <w:r w:rsidR="00B2549E">
        <w:t>improvements in care delivery</w:t>
      </w:r>
      <w:r w:rsidR="002075DD">
        <w:t xml:space="preserve"> against each Standard</w:t>
      </w:r>
      <w:bookmarkStart w:id="229" w:name="start"/>
      <w:bookmarkEnd w:id="228"/>
      <w:bookmarkEnd w:id="229"/>
    </w:p>
    <w:tbl>
      <w:tblPr>
        <w:tblStyle w:val="TableGridLight"/>
        <w:tblW w:w="9057" w:type="dxa"/>
        <w:tblLook w:val="04A0" w:firstRow="1" w:lastRow="0" w:firstColumn="1" w:lastColumn="0" w:noHBand="0" w:noVBand="1"/>
      </w:tblPr>
      <w:tblGrid>
        <w:gridCol w:w="1138"/>
        <w:gridCol w:w="1697"/>
        <w:gridCol w:w="6222"/>
      </w:tblGrid>
      <w:tr w:rsidR="00EE686E" w:rsidRPr="00371D14" w14:paraId="2B11DF99" w14:textId="77777777" w:rsidTr="0033325C">
        <w:trPr>
          <w:cnfStyle w:val="100000000000" w:firstRow="1" w:lastRow="0" w:firstColumn="0" w:lastColumn="0" w:oddVBand="0" w:evenVBand="0" w:oddHBand="0" w:evenHBand="0" w:firstRowFirstColumn="0" w:firstRowLastColumn="0" w:lastRowFirstColumn="0" w:lastRowLastColumn="0"/>
        </w:trPr>
        <w:tc>
          <w:tcPr>
            <w:tcW w:w="2835" w:type="dxa"/>
            <w:gridSpan w:val="2"/>
          </w:tcPr>
          <w:p w14:paraId="0808A572" w14:textId="2EED8E97" w:rsidR="00EE686E" w:rsidRPr="00371D14" w:rsidRDefault="00EE686E" w:rsidP="00575CC4">
            <w:pPr>
              <w:pStyle w:val="Tableheading"/>
            </w:pPr>
            <w:r w:rsidRPr="00371D14">
              <w:t>Standard</w:t>
            </w:r>
          </w:p>
        </w:tc>
        <w:tc>
          <w:tcPr>
            <w:tcW w:w="6222" w:type="dxa"/>
          </w:tcPr>
          <w:p w14:paraId="4EBFB1B9" w14:textId="5BC418C0" w:rsidR="00EE686E" w:rsidRPr="00371D14" w:rsidRDefault="00EE686E" w:rsidP="00575CC4">
            <w:pPr>
              <w:pStyle w:val="Tableheading"/>
            </w:pPr>
            <w:r w:rsidRPr="00371D14">
              <w:t>Improvements noted by stakeholders</w:t>
            </w:r>
          </w:p>
        </w:tc>
      </w:tr>
      <w:tr w:rsidR="00951398" w:rsidRPr="00F87215" w14:paraId="1C95D3C9" w14:textId="77777777" w:rsidTr="00EE686E">
        <w:trPr>
          <w:trHeight w:val="867"/>
        </w:trPr>
        <w:tc>
          <w:tcPr>
            <w:tcW w:w="1138" w:type="dxa"/>
          </w:tcPr>
          <w:p w14:paraId="0FA7142E" w14:textId="77777777" w:rsidR="00951398" w:rsidRPr="00F87215" w:rsidRDefault="00951398" w:rsidP="00951398">
            <w:pPr>
              <w:spacing w:before="60" w:after="60" w:line="259" w:lineRule="auto"/>
              <w:rPr>
                <w:sz w:val="18"/>
                <w:szCs w:val="18"/>
              </w:rPr>
            </w:pPr>
            <w:r w:rsidRPr="00F87215">
              <w:rPr>
                <w:noProof/>
                <w:sz w:val="18"/>
                <w:szCs w:val="18"/>
              </w:rPr>
              <w:drawing>
                <wp:inline distT="0" distB="0" distL="0" distR="0" wp14:anchorId="500FCB67" wp14:editId="6E8723E5">
                  <wp:extent cx="540000" cy="540000"/>
                  <wp:effectExtent l="0" t="0" r="0" b="0"/>
                  <wp:docPr id="804" name="Picture 804" descr="Icon representing Standard 1: &#10;Consumer dignity and choice&#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4" name="Picture 804" descr="Icon representing Standard 1: &#10;Consumer dignity and choice&#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0" cy="540000"/>
                          </a:xfrm>
                          <a:prstGeom prst="ellipse">
                            <a:avLst/>
                          </a:prstGeom>
                          <a:ln w="63500" cap="rnd">
                            <a:noFill/>
                          </a:ln>
                          <a:effectLst/>
                        </pic:spPr>
                      </pic:pic>
                    </a:graphicData>
                  </a:graphic>
                </wp:inline>
              </w:drawing>
            </w:r>
          </w:p>
        </w:tc>
        <w:tc>
          <w:tcPr>
            <w:tcW w:w="1697" w:type="dxa"/>
          </w:tcPr>
          <w:p w14:paraId="50E17A2E" w14:textId="77777777" w:rsidR="00EE686E" w:rsidRDefault="00951398" w:rsidP="00EE686E">
            <w:pPr>
              <w:pStyle w:val="Tabletextbold0"/>
            </w:pPr>
            <w:r w:rsidRPr="00A06945">
              <w:t xml:space="preserve">Standard 1: </w:t>
            </w:r>
          </w:p>
          <w:p w14:paraId="17BDEE9F" w14:textId="682AE6B4" w:rsidR="00951398" w:rsidRPr="00A06945" w:rsidRDefault="00951398" w:rsidP="00EE686E">
            <w:pPr>
              <w:pStyle w:val="Tabletext"/>
            </w:pPr>
            <w:r w:rsidRPr="00A06945">
              <w:t>Consumer dignity and choice</w:t>
            </w:r>
          </w:p>
        </w:tc>
        <w:tc>
          <w:tcPr>
            <w:tcW w:w="6222" w:type="dxa"/>
          </w:tcPr>
          <w:p w14:paraId="2015B952" w14:textId="77777777" w:rsidR="00951398" w:rsidRPr="00951398" w:rsidRDefault="00951398" w:rsidP="00951398">
            <w:pPr>
              <w:pStyle w:val="TableBullet1"/>
            </w:pPr>
            <w:r w:rsidRPr="00951398">
              <w:t>Greater involvement of consumers and their families and representatives in the delivery of care and in engaging with providers on their needs and preferences.</w:t>
            </w:r>
          </w:p>
          <w:p w14:paraId="7C734D9C" w14:textId="77777777" w:rsidR="00951398" w:rsidRPr="00951398" w:rsidRDefault="00951398" w:rsidP="00951398">
            <w:pPr>
              <w:pStyle w:val="TableBullet1"/>
            </w:pPr>
            <w:r w:rsidRPr="00951398">
              <w:t>Improved interactions between workforce and consumers, for example staff increasingly using consumer names and communicating with consumers more often.</w:t>
            </w:r>
          </w:p>
          <w:p w14:paraId="6E755D2B" w14:textId="77777777" w:rsidR="00951398" w:rsidRPr="00951398" w:rsidRDefault="00951398" w:rsidP="00951398">
            <w:pPr>
              <w:pStyle w:val="TableBullet1"/>
            </w:pPr>
            <w:r w:rsidRPr="00951398">
              <w:t>Consumer and their family members feel more empowered to engage in conversations with a provider on the quality and safety of care delivered by an organisation.</w:t>
            </w:r>
          </w:p>
          <w:p w14:paraId="53270FCB" w14:textId="2784326F" w:rsidR="00951398" w:rsidRPr="00951398" w:rsidRDefault="00951398" w:rsidP="00951398">
            <w:pPr>
              <w:pStyle w:val="TableBullet1"/>
            </w:pPr>
            <w:r w:rsidRPr="00951398">
              <w:lastRenderedPageBreak/>
              <w:t>Increased understanding and support provided to consumers to make choices, including decisions that increase their exposure to risk.</w:t>
            </w:r>
          </w:p>
        </w:tc>
      </w:tr>
      <w:tr w:rsidR="00951398" w:rsidRPr="00F87215" w14:paraId="7C7ADEE8" w14:textId="77777777" w:rsidTr="00EE686E">
        <w:trPr>
          <w:trHeight w:val="866"/>
        </w:trPr>
        <w:tc>
          <w:tcPr>
            <w:tcW w:w="1138" w:type="dxa"/>
          </w:tcPr>
          <w:p w14:paraId="3AEA9538" w14:textId="77777777" w:rsidR="00951398" w:rsidRPr="00F87215" w:rsidRDefault="00951398" w:rsidP="00951398">
            <w:pPr>
              <w:spacing w:before="60" w:after="60" w:line="259" w:lineRule="auto"/>
              <w:rPr>
                <w:sz w:val="18"/>
                <w:szCs w:val="18"/>
              </w:rPr>
            </w:pPr>
            <w:r w:rsidRPr="00F87215">
              <w:rPr>
                <w:noProof/>
                <w:sz w:val="18"/>
                <w:szCs w:val="18"/>
              </w:rPr>
              <w:lastRenderedPageBreak/>
              <w:drawing>
                <wp:inline distT="0" distB="0" distL="0" distR="0" wp14:anchorId="2208572F" wp14:editId="4B60A9CE">
                  <wp:extent cx="540000" cy="540000"/>
                  <wp:effectExtent l="0" t="0" r="0" b="0"/>
                  <wp:docPr id="805" name="Picture 14" descr="Icon representing Standard 2: &#10;Ongoing assessment and planning with consumers&#10;">
                    <a:extLst xmlns:a="http://schemas.openxmlformats.org/drawingml/2006/main">
                      <a:ext uri="{FF2B5EF4-FFF2-40B4-BE49-F238E27FC236}">
                        <a16:creationId xmlns:a16="http://schemas.microsoft.com/office/drawing/2014/main" id="{69540B4A-258A-4C44-8D92-D3C8F8401E0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5" name="Picture 14" descr="Icon representing Standard 2: &#10;Ongoing assessment and planning with consumers&#10;">
                            <a:extLst>
                              <a:ext uri="{FF2B5EF4-FFF2-40B4-BE49-F238E27FC236}">
                                <a16:creationId xmlns:a16="http://schemas.microsoft.com/office/drawing/2014/main" id="{69540B4A-258A-4C44-8D92-D3C8F8401E02}"/>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0000" cy="540000"/>
                          </a:xfrm>
                          <a:prstGeom prst="ellipse">
                            <a:avLst/>
                          </a:prstGeom>
                          <a:ln w="63500" cap="rnd">
                            <a:noFill/>
                          </a:ln>
                          <a:effectLst/>
                        </pic:spPr>
                      </pic:pic>
                    </a:graphicData>
                  </a:graphic>
                </wp:inline>
              </w:drawing>
            </w:r>
          </w:p>
        </w:tc>
        <w:tc>
          <w:tcPr>
            <w:tcW w:w="1697" w:type="dxa"/>
          </w:tcPr>
          <w:p w14:paraId="306F8D6D" w14:textId="77777777" w:rsidR="00EE686E" w:rsidRDefault="00951398" w:rsidP="00EE686E">
            <w:pPr>
              <w:pStyle w:val="Tabletextbold0"/>
            </w:pPr>
            <w:r w:rsidRPr="00A06945">
              <w:t xml:space="preserve">Standard 2: </w:t>
            </w:r>
          </w:p>
          <w:p w14:paraId="546B5EF5" w14:textId="5F2F30CA" w:rsidR="00951398" w:rsidRPr="00A06945" w:rsidRDefault="00951398" w:rsidP="00EE686E">
            <w:pPr>
              <w:pStyle w:val="Tabletext"/>
            </w:pPr>
            <w:r w:rsidRPr="00A06945">
              <w:t>Ongoing assessment and planning with consumers</w:t>
            </w:r>
          </w:p>
        </w:tc>
        <w:tc>
          <w:tcPr>
            <w:tcW w:w="6222" w:type="dxa"/>
          </w:tcPr>
          <w:p w14:paraId="158F90E3" w14:textId="77777777" w:rsidR="00951398" w:rsidRPr="00951398" w:rsidRDefault="00951398" w:rsidP="00951398">
            <w:pPr>
              <w:pStyle w:val="TableBullet1"/>
            </w:pPr>
            <w:r w:rsidRPr="00951398">
              <w:t>More holistic approaches to delivery of care and services are being conducted.</w:t>
            </w:r>
          </w:p>
          <w:p w14:paraId="3FB60FA9" w14:textId="77777777" w:rsidR="00951398" w:rsidRPr="00951398" w:rsidRDefault="00951398" w:rsidP="00951398">
            <w:pPr>
              <w:pStyle w:val="TableBullet1"/>
            </w:pPr>
            <w:r w:rsidRPr="00951398">
              <w:t>Overall improvements in the assessment of care needs and preferences for consumers.</w:t>
            </w:r>
          </w:p>
          <w:p w14:paraId="07A5BE1C" w14:textId="46838CE7" w:rsidR="00951398" w:rsidRPr="00951398" w:rsidRDefault="00951398" w:rsidP="00951398">
            <w:pPr>
              <w:pStyle w:val="TableBullet1"/>
            </w:pPr>
            <w:r w:rsidRPr="00951398">
              <w:t>Greater involvement of consumers in the care planning process and improved documentation of practices for recording consumer preferences and needs.</w:t>
            </w:r>
          </w:p>
        </w:tc>
      </w:tr>
      <w:tr w:rsidR="00951398" w:rsidRPr="00F87215" w14:paraId="47326E31" w14:textId="77777777" w:rsidTr="00EE686E">
        <w:trPr>
          <w:trHeight w:val="866"/>
        </w:trPr>
        <w:tc>
          <w:tcPr>
            <w:tcW w:w="1138" w:type="dxa"/>
          </w:tcPr>
          <w:p w14:paraId="10C666F7" w14:textId="77777777" w:rsidR="00951398" w:rsidRPr="00F87215" w:rsidRDefault="00951398" w:rsidP="00951398">
            <w:pPr>
              <w:spacing w:before="60" w:after="60" w:line="259" w:lineRule="auto"/>
              <w:rPr>
                <w:sz w:val="18"/>
                <w:szCs w:val="18"/>
              </w:rPr>
            </w:pPr>
            <w:r w:rsidRPr="00F87215">
              <w:rPr>
                <w:noProof/>
                <w:sz w:val="18"/>
                <w:szCs w:val="18"/>
              </w:rPr>
              <w:drawing>
                <wp:inline distT="0" distB="0" distL="0" distR="0" wp14:anchorId="2CD59F07" wp14:editId="11C90D94">
                  <wp:extent cx="540000" cy="540000"/>
                  <wp:effectExtent l="0" t="0" r="0" b="0"/>
                  <wp:docPr id="806" name="Picture 806" descr="Icon representing Standard 3: &#10;Personal care and clinical care&#10;">
                    <a:extLst xmlns:a="http://schemas.openxmlformats.org/drawingml/2006/main">
                      <a:ext uri="{FF2B5EF4-FFF2-40B4-BE49-F238E27FC236}">
                        <a16:creationId xmlns:a16="http://schemas.microsoft.com/office/drawing/2014/main" id="{A24D2948-7C9C-4C7D-9E45-5F71C9A4278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6" name="Picture 806" descr="Icon representing Standard 3: &#10;Personal care and clinical care&#10;">
                            <a:extLst>
                              <a:ext uri="{FF2B5EF4-FFF2-40B4-BE49-F238E27FC236}">
                                <a16:creationId xmlns:a16="http://schemas.microsoft.com/office/drawing/2014/main" id="{A24D2948-7C9C-4C7D-9E45-5F71C9A4278A}"/>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000" cy="540000"/>
                          </a:xfrm>
                          <a:prstGeom prst="ellipse">
                            <a:avLst/>
                          </a:prstGeom>
                          <a:ln w="63500" cap="rnd">
                            <a:noFill/>
                          </a:ln>
                          <a:effectLst/>
                        </pic:spPr>
                      </pic:pic>
                    </a:graphicData>
                  </a:graphic>
                </wp:inline>
              </w:drawing>
            </w:r>
          </w:p>
        </w:tc>
        <w:tc>
          <w:tcPr>
            <w:tcW w:w="1697" w:type="dxa"/>
          </w:tcPr>
          <w:p w14:paraId="59130AD9" w14:textId="77777777" w:rsidR="00EE686E" w:rsidRDefault="00951398" w:rsidP="00EE686E">
            <w:pPr>
              <w:pStyle w:val="Tabletextbold0"/>
            </w:pPr>
            <w:r w:rsidRPr="00A06945">
              <w:t xml:space="preserve">Standard 3: </w:t>
            </w:r>
          </w:p>
          <w:p w14:paraId="2668CECD" w14:textId="5C162840" w:rsidR="00951398" w:rsidRPr="00A06945" w:rsidRDefault="00951398" w:rsidP="00EE686E">
            <w:pPr>
              <w:pStyle w:val="Tabletext"/>
            </w:pPr>
            <w:r w:rsidRPr="00A06945">
              <w:t>Personal care and clinical care</w:t>
            </w:r>
          </w:p>
        </w:tc>
        <w:tc>
          <w:tcPr>
            <w:tcW w:w="6222" w:type="dxa"/>
          </w:tcPr>
          <w:p w14:paraId="0F54E719" w14:textId="3FC150D6" w:rsidR="00951398" w:rsidRPr="00951398" w:rsidRDefault="00951398" w:rsidP="00951398">
            <w:pPr>
              <w:pStyle w:val="TableBullet1"/>
            </w:pPr>
            <w:r w:rsidRPr="00951398">
              <w:t>Greater engagement of consumers by the workforce in the delivery of care and services, including asking permission to complete certain care tasks.</w:t>
            </w:r>
          </w:p>
        </w:tc>
      </w:tr>
      <w:tr w:rsidR="00951398" w:rsidRPr="00F87215" w14:paraId="24F4DD3C" w14:textId="77777777" w:rsidTr="00EE686E">
        <w:trPr>
          <w:trHeight w:val="945"/>
        </w:trPr>
        <w:tc>
          <w:tcPr>
            <w:tcW w:w="1138" w:type="dxa"/>
          </w:tcPr>
          <w:p w14:paraId="74BA2BE8" w14:textId="77777777" w:rsidR="00951398" w:rsidRPr="00F87215" w:rsidRDefault="00951398" w:rsidP="00951398">
            <w:pPr>
              <w:spacing w:before="60" w:after="60" w:line="259" w:lineRule="auto"/>
              <w:rPr>
                <w:sz w:val="18"/>
                <w:szCs w:val="18"/>
              </w:rPr>
            </w:pPr>
            <w:r w:rsidRPr="00F87215">
              <w:rPr>
                <w:noProof/>
                <w:sz w:val="18"/>
                <w:szCs w:val="18"/>
              </w:rPr>
              <w:drawing>
                <wp:inline distT="0" distB="0" distL="0" distR="0" wp14:anchorId="0AA8236F" wp14:editId="53CE0FF0">
                  <wp:extent cx="540000" cy="540000"/>
                  <wp:effectExtent l="0" t="0" r="0" b="0"/>
                  <wp:docPr id="807" name="Picture 26" descr="Icon representing Standard 4: &#10;Service and supports for daily living&#10;">
                    <a:extLst xmlns:a="http://schemas.openxmlformats.org/drawingml/2006/main">
                      <a:ext uri="{FF2B5EF4-FFF2-40B4-BE49-F238E27FC236}">
                        <a16:creationId xmlns:a16="http://schemas.microsoft.com/office/drawing/2014/main" id="{86C86700-44F1-4BBF-846E-9B9D68848B69}"/>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7" name="Picture 26" descr="Icon representing Standard 4: &#10;Service and supports for daily living&#10;">
                            <a:extLst>
                              <a:ext uri="{FF2B5EF4-FFF2-40B4-BE49-F238E27FC236}">
                                <a16:creationId xmlns:a16="http://schemas.microsoft.com/office/drawing/2014/main" id="{86C86700-44F1-4BBF-846E-9B9D68848B69}"/>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0000" cy="540000"/>
                          </a:xfrm>
                          <a:prstGeom prst="ellipse">
                            <a:avLst/>
                          </a:prstGeom>
                          <a:ln w="63500" cap="rnd">
                            <a:noFill/>
                          </a:ln>
                          <a:effectLst/>
                        </pic:spPr>
                      </pic:pic>
                    </a:graphicData>
                  </a:graphic>
                </wp:inline>
              </w:drawing>
            </w:r>
          </w:p>
        </w:tc>
        <w:tc>
          <w:tcPr>
            <w:tcW w:w="1697" w:type="dxa"/>
          </w:tcPr>
          <w:p w14:paraId="55C1511B" w14:textId="77777777" w:rsidR="00EE686E" w:rsidRDefault="00951398" w:rsidP="00EE686E">
            <w:pPr>
              <w:pStyle w:val="Tabletextbold0"/>
            </w:pPr>
            <w:r w:rsidRPr="00A06945">
              <w:t xml:space="preserve">Standard 4: </w:t>
            </w:r>
          </w:p>
          <w:p w14:paraId="253368E1" w14:textId="29F92305" w:rsidR="00951398" w:rsidRPr="00A06945" w:rsidRDefault="00951398" w:rsidP="00EE686E">
            <w:pPr>
              <w:pStyle w:val="Tabletext"/>
            </w:pPr>
            <w:r w:rsidRPr="00A06945">
              <w:t>Service and supports for daily living</w:t>
            </w:r>
          </w:p>
        </w:tc>
        <w:tc>
          <w:tcPr>
            <w:tcW w:w="6222" w:type="dxa"/>
          </w:tcPr>
          <w:p w14:paraId="404B547C" w14:textId="7646F030" w:rsidR="00951398" w:rsidRPr="00951398" w:rsidRDefault="00951398" w:rsidP="00951398">
            <w:pPr>
              <w:pStyle w:val="TableBullet1"/>
            </w:pPr>
            <w:r w:rsidRPr="00951398">
              <w:t>Limited examples of improvements were provided by stakeholders for this Standard.</w:t>
            </w:r>
          </w:p>
        </w:tc>
      </w:tr>
      <w:tr w:rsidR="00951398" w:rsidRPr="00F87215" w14:paraId="6E9943D9" w14:textId="77777777" w:rsidTr="00EE686E">
        <w:trPr>
          <w:trHeight w:val="945"/>
        </w:trPr>
        <w:tc>
          <w:tcPr>
            <w:tcW w:w="1138" w:type="dxa"/>
          </w:tcPr>
          <w:p w14:paraId="60D80583" w14:textId="77777777" w:rsidR="00951398" w:rsidRPr="00F87215" w:rsidRDefault="00951398" w:rsidP="00951398">
            <w:pPr>
              <w:spacing w:before="60" w:after="60" w:line="259" w:lineRule="auto"/>
              <w:rPr>
                <w:noProof/>
                <w:sz w:val="18"/>
                <w:szCs w:val="18"/>
              </w:rPr>
            </w:pPr>
            <w:r w:rsidRPr="00F87215">
              <w:rPr>
                <w:noProof/>
                <w:sz w:val="18"/>
                <w:szCs w:val="18"/>
              </w:rPr>
              <w:drawing>
                <wp:inline distT="0" distB="0" distL="0" distR="0" wp14:anchorId="6A23FEF9" wp14:editId="4834BEA6">
                  <wp:extent cx="540000" cy="540000"/>
                  <wp:effectExtent l="0" t="0" r="0" b="0"/>
                  <wp:docPr id="808" name="Picture 18" descr="Icon representing Standard 5: &#10;Organisation’s service environment&#10;">
                    <a:extLst xmlns:a="http://schemas.openxmlformats.org/drawingml/2006/main">
                      <a:ext uri="{FF2B5EF4-FFF2-40B4-BE49-F238E27FC236}">
                        <a16:creationId xmlns:a16="http://schemas.microsoft.com/office/drawing/2014/main" id="{8C643F3F-A5CC-4F31-AF92-CA841038216E}"/>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8" name="Picture 18" descr="Icon representing Standard 5: &#10;Organisation’s service environment&#10;">
                            <a:extLst>
                              <a:ext uri="{FF2B5EF4-FFF2-40B4-BE49-F238E27FC236}">
                                <a16:creationId xmlns:a16="http://schemas.microsoft.com/office/drawing/2014/main" id="{8C643F3F-A5CC-4F31-AF92-CA841038216E}"/>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0000" cy="540000"/>
                          </a:xfrm>
                          <a:prstGeom prst="ellipse">
                            <a:avLst/>
                          </a:prstGeom>
                          <a:ln w="63500" cap="rnd">
                            <a:noFill/>
                          </a:ln>
                          <a:effectLst/>
                        </pic:spPr>
                      </pic:pic>
                    </a:graphicData>
                  </a:graphic>
                </wp:inline>
              </w:drawing>
            </w:r>
          </w:p>
        </w:tc>
        <w:tc>
          <w:tcPr>
            <w:tcW w:w="1697" w:type="dxa"/>
          </w:tcPr>
          <w:p w14:paraId="44800DDA" w14:textId="77777777" w:rsidR="00EE686E" w:rsidRDefault="00951398" w:rsidP="00EE686E">
            <w:pPr>
              <w:pStyle w:val="Tabletextbold0"/>
            </w:pPr>
            <w:r w:rsidRPr="00A06945">
              <w:t>Standard 5:</w:t>
            </w:r>
          </w:p>
          <w:p w14:paraId="5A584DB4" w14:textId="1BFC98D6" w:rsidR="00951398" w:rsidRPr="00A06945" w:rsidRDefault="00951398" w:rsidP="00EE686E">
            <w:pPr>
              <w:pStyle w:val="Tabletext"/>
            </w:pPr>
            <w:r w:rsidRPr="00A06945">
              <w:t>Organisation’s service environment</w:t>
            </w:r>
          </w:p>
        </w:tc>
        <w:tc>
          <w:tcPr>
            <w:tcW w:w="6222" w:type="dxa"/>
          </w:tcPr>
          <w:p w14:paraId="1A796876" w14:textId="77777777" w:rsidR="00951398" w:rsidRPr="00951398" w:rsidRDefault="00951398" w:rsidP="00951398">
            <w:pPr>
              <w:pStyle w:val="TableBullet1"/>
            </w:pPr>
            <w:r w:rsidRPr="00951398">
              <w:t>Improvements to the home environment of residential aged care services to be more ‘home-like’</w:t>
            </w:r>
          </w:p>
          <w:p w14:paraId="7457FD31" w14:textId="3EA936A2" w:rsidR="00951398" w:rsidRPr="00951398" w:rsidRDefault="00951398" w:rsidP="00951398">
            <w:pPr>
              <w:pStyle w:val="TableBullet1"/>
            </w:pPr>
            <w:r w:rsidRPr="00951398">
              <w:t>Adoption of architectural styles into service designs that are reflective of consumer’s needs and preferences.</w:t>
            </w:r>
          </w:p>
        </w:tc>
      </w:tr>
      <w:tr w:rsidR="00951398" w:rsidRPr="00F87215" w14:paraId="3AAC79A1" w14:textId="77777777" w:rsidTr="00EE686E">
        <w:trPr>
          <w:trHeight w:val="945"/>
        </w:trPr>
        <w:tc>
          <w:tcPr>
            <w:tcW w:w="1138" w:type="dxa"/>
          </w:tcPr>
          <w:p w14:paraId="08CCD033" w14:textId="77777777" w:rsidR="00951398" w:rsidRPr="00F87215" w:rsidRDefault="00951398" w:rsidP="00951398">
            <w:pPr>
              <w:spacing w:before="60" w:after="60" w:line="259" w:lineRule="auto"/>
              <w:rPr>
                <w:noProof/>
                <w:sz w:val="18"/>
                <w:szCs w:val="18"/>
              </w:rPr>
            </w:pPr>
            <w:r w:rsidRPr="00F87215">
              <w:rPr>
                <w:noProof/>
                <w:sz w:val="18"/>
                <w:szCs w:val="18"/>
              </w:rPr>
              <w:drawing>
                <wp:inline distT="0" distB="0" distL="0" distR="0" wp14:anchorId="5CE23C6A" wp14:editId="2DF4B675">
                  <wp:extent cx="540000" cy="540000"/>
                  <wp:effectExtent l="0" t="0" r="0" b="0"/>
                  <wp:docPr id="809" name="Picture 809" descr="Icon representing Standard 6: &#10;Feedback and complaints&#10;">
                    <a:extLst xmlns:a="http://schemas.openxmlformats.org/drawingml/2006/main">
                      <a:ext uri="{FF2B5EF4-FFF2-40B4-BE49-F238E27FC236}">
                        <a16:creationId xmlns:a16="http://schemas.microsoft.com/office/drawing/2014/main" id="{0297DA17-B818-49B9-BA5F-18662C8A729B}"/>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9" name="Picture 809" descr="Icon representing Standard 6: &#10;Feedback and complaints&#10;">
                            <a:extLst>
                              <a:ext uri="{FF2B5EF4-FFF2-40B4-BE49-F238E27FC236}">
                                <a16:creationId xmlns:a16="http://schemas.microsoft.com/office/drawing/2014/main" id="{0297DA17-B818-49B9-BA5F-18662C8A729B}"/>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0000" cy="540000"/>
                          </a:xfrm>
                          <a:prstGeom prst="ellipse">
                            <a:avLst/>
                          </a:prstGeom>
                          <a:ln w="63500" cap="rnd">
                            <a:noFill/>
                          </a:ln>
                          <a:effectLst/>
                        </pic:spPr>
                      </pic:pic>
                    </a:graphicData>
                  </a:graphic>
                </wp:inline>
              </w:drawing>
            </w:r>
          </w:p>
        </w:tc>
        <w:tc>
          <w:tcPr>
            <w:tcW w:w="1697" w:type="dxa"/>
          </w:tcPr>
          <w:p w14:paraId="3896838B" w14:textId="77777777" w:rsidR="00EE686E" w:rsidRDefault="00951398" w:rsidP="00EE686E">
            <w:pPr>
              <w:pStyle w:val="Tabletextbold0"/>
            </w:pPr>
            <w:r w:rsidRPr="00A06945">
              <w:t xml:space="preserve">Standard 6: </w:t>
            </w:r>
          </w:p>
          <w:p w14:paraId="345BEB73" w14:textId="536DDBCF" w:rsidR="00951398" w:rsidRPr="00A06945" w:rsidRDefault="00951398" w:rsidP="00EE686E">
            <w:pPr>
              <w:pStyle w:val="Tabletext"/>
            </w:pPr>
            <w:r w:rsidRPr="00A06945">
              <w:t>Feedback and complaints</w:t>
            </w:r>
          </w:p>
        </w:tc>
        <w:tc>
          <w:tcPr>
            <w:tcW w:w="6222" w:type="dxa"/>
          </w:tcPr>
          <w:p w14:paraId="7CA1AE6E" w14:textId="77777777" w:rsidR="00951398" w:rsidRPr="00951398" w:rsidRDefault="00951398" w:rsidP="00951398">
            <w:pPr>
              <w:pStyle w:val="TableBullet1"/>
            </w:pPr>
            <w:r w:rsidRPr="00951398">
              <w:t>Increased emphasis on using ‘feedback’ rather than complaints to drive improvement in care delivery.</w:t>
            </w:r>
          </w:p>
          <w:p w14:paraId="45647A16" w14:textId="61AD9A09" w:rsidR="00951398" w:rsidRPr="00951398" w:rsidRDefault="00951398" w:rsidP="00951398">
            <w:pPr>
              <w:pStyle w:val="TableBullet1"/>
            </w:pPr>
            <w:r w:rsidRPr="00951398">
              <w:t>Observed cultural shifts within some providers towards a ‘consumer first’ approach.</w:t>
            </w:r>
          </w:p>
        </w:tc>
      </w:tr>
      <w:tr w:rsidR="00951398" w:rsidRPr="00F87215" w14:paraId="0FA2CFC2" w14:textId="77777777" w:rsidTr="00EE686E">
        <w:trPr>
          <w:trHeight w:val="945"/>
        </w:trPr>
        <w:tc>
          <w:tcPr>
            <w:tcW w:w="1138" w:type="dxa"/>
          </w:tcPr>
          <w:p w14:paraId="05C2F4F3" w14:textId="77777777" w:rsidR="00951398" w:rsidRPr="00F87215" w:rsidRDefault="00951398" w:rsidP="00951398">
            <w:pPr>
              <w:spacing w:before="60" w:after="60" w:line="259" w:lineRule="auto"/>
              <w:rPr>
                <w:noProof/>
                <w:sz w:val="18"/>
                <w:szCs w:val="18"/>
              </w:rPr>
            </w:pPr>
            <w:r w:rsidRPr="00F87215">
              <w:rPr>
                <w:noProof/>
                <w:sz w:val="18"/>
                <w:szCs w:val="18"/>
              </w:rPr>
              <w:drawing>
                <wp:inline distT="0" distB="0" distL="0" distR="0" wp14:anchorId="709EE429" wp14:editId="3A484212">
                  <wp:extent cx="540000" cy="540000"/>
                  <wp:effectExtent l="0" t="0" r="0" b="0"/>
                  <wp:docPr id="810" name="Picture 22" descr="Icon representing Standard 7: &#10;Human resources&#10;">
                    <a:extLst xmlns:a="http://schemas.openxmlformats.org/drawingml/2006/main">
                      <a:ext uri="{FF2B5EF4-FFF2-40B4-BE49-F238E27FC236}">
                        <a16:creationId xmlns:a16="http://schemas.microsoft.com/office/drawing/2014/main" id="{05B2EC7F-C5C4-4F9A-8E33-EB24BA22D19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0" name="Picture 22" descr="Icon representing Standard 7: &#10;Human resources&#10;">
                            <a:extLst>
                              <a:ext uri="{FF2B5EF4-FFF2-40B4-BE49-F238E27FC236}">
                                <a16:creationId xmlns:a16="http://schemas.microsoft.com/office/drawing/2014/main" id="{05B2EC7F-C5C4-4F9A-8E33-EB24BA22D191}"/>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00" cy="540000"/>
                          </a:xfrm>
                          <a:prstGeom prst="ellipse">
                            <a:avLst/>
                          </a:prstGeom>
                          <a:ln w="63500" cap="rnd">
                            <a:noFill/>
                          </a:ln>
                          <a:effectLst/>
                        </pic:spPr>
                      </pic:pic>
                    </a:graphicData>
                  </a:graphic>
                </wp:inline>
              </w:drawing>
            </w:r>
          </w:p>
        </w:tc>
        <w:tc>
          <w:tcPr>
            <w:tcW w:w="1697" w:type="dxa"/>
          </w:tcPr>
          <w:p w14:paraId="53E11BFD" w14:textId="77777777" w:rsidR="00EE686E" w:rsidRDefault="00951398" w:rsidP="00EE686E">
            <w:pPr>
              <w:pStyle w:val="Tabletextbold0"/>
            </w:pPr>
            <w:r w:rsidRPr="00A06945">
              <w:t xml:space="preserve">Standard 7: </w:t>
            </w:r>
          </w:p>
          <w:p w14:paraId="233BD17D" w14:textId="3F950B59" w:rsidR="00951398" w:rsidRPr="00A06945" w:rsidRDefault="00951398" w:rsidP="00EE686E">
            <w:pPr>
              <w:pStyle w:val="Tabletext"/>
            </w:pPr>
            <w:r w:rsidRPr="00A06945">
              <w:t>Human resources</w:t>
            </w:r>
          </w:p>
        </w:tc>
        <w:tc>
          <w:tcPr>
            <w:tcW w:w="6222" w:type="dxa"/>
          </w:tcPr>
          <w:p w14:paraId="5BFB30A5" w14:textId="77777777" w:rsidR="00951398" w:rsidRPr="00951398" w:rsidRDefault="00951398" w:rsidP="00951398">
            <w:pPr>
              <w:pStyle w:val="TableBullet1"/>
            </w:pPr>
            <w:r w:rsidRPr="00951398">
              <w:t>More training and development opportunities for the workforce.</w:t>
            </w:r>
          </w:p>
          <w:p w14:paraId="286396F4" w14:textId="4E8620ED" w:rsidR="00951398" w:rsidRPr="00951398" w:rsidRDefault="00951398" w:rsidP="00951398">
            <w:pPr>
              <w:pStyle w:val="TableBullet1"/>
            </w:pPr>
            <w:r w:rsidRPr="00951398">
              <w:t>Organisations are more likely to engage staff on quality expectations and how to deliver quality care.</w:t>
            </w:r>
          </w:p>
        </w:tc>
      </w:tr>
      <w:tr w:rsidR="00951398" w:rsidRPr="00F87215" w14:paraId="1CF7233E" w14:textId="77777777" w:rsidTr="00EE686E">
        <w:trPr>
          <w:trHeight w:val="945"/>
        </w:trPr>
        <w:tc>
          <w:tcPr>
            <w:tcW w:w="1138" w:type="dxa"/>
          </w:tcPr>
          <w:p w14:paraId="7408F308" w14:textId="77777777" w:rsidR="00951398" w:rsidRPr="00F87215" w:rsidRDefault="00951398" w:rsidP="00951398">
            <w:pPr>
              <w:spacing w:before="60" w:after="60" w:line="259" w:lineRule="auto"/>
              <w:rPr>
                <w:noProof/>
                <w:sz w:val="18"/>
                <w:szCs w:val="18"/>
              </w:rPr>
            </w:pPr>
            <w:r w:rsidRPr="00F87215">
              <w:rPr>
                <w:noProof/>
                <w:sz w:val="18"/>
                <w:szCs w:val="18"/>
              </w:rPr>
              <w:drawing>
                <wp:inline distT="0" distB="0" distL="0" distR="0" wp14:anchorId="1C172E2E" wp14:editId="3F8FDD0C">
                  <wp:extent cx="540000" cy="540000"/>
                  <wp:effectExtent l="0" t="0" r="0" b="0"/>
                  <wp:docPr id="811" name="Picture 24" descr="Icon representing Standard 8: &#10;Organisational governance&#10;">
                    <a:extLst xmlns:a="http://schemas.openxmlformats.org/drawingml/2006/main">
                      <a:ext uri="{FF2B5EF4-FFF2-40B4-BE49-F238E27FC236}">
                        <a16:creationId xmlns:a16="http://schemas.microsoft.com/office/drawing/2014/main" id="{80AFDF7B-2856-40BC-9D8B-FD828A02FDD3}"/>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1" name="Picture 24" descr="Icon representing Standard 8: &#10;Organisational governance&#10;">
                            <a:extLst>
                              <a:ext uri="{FF2B5EF4-FFF2-40B4-BE49-F238E27FC236}">
                                <a16:creationId xmlns:a16="http://schemas.microsoft.com/office/drawing/2014/main" id="{80AFDF7B-2856-40BC-9D8B-FD828A02FDD3}"/>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0000" cy="540000"/>
                          </a:xfrm>
                          <a:prstGeom prst="ellipse">
                            <a:avLst/>
                          </a:prstGeom>
                          <a:ln w="63500" cap="rnd">
                            <a:noFill/>
                          </a:ln>
                          <a:effectLst/>
                        </pic:spPr>
                      </pic:pic>
                    </a:graphicData>
                  </a:graphic>
                </wp:inline>
              </w:drawing>
            </w:r>
          </w:p>
        </w:tc>
        <w:tc>
          <w:tcPr>
            <w:tcW w:w="1697" w:type="dxa"/>
          </w:tcPr>
          <w:p w14:paraId="73769CF8" w14:textId="77777777" w:rsidR="00EE686E" w:rsidRDefault="00951398" w:rsidP="00EE686E">
            <w:pPr>
              <w:pStyle w:val="Tabletextbold0"/>
            </w:pPr>
            <w:r w:rsidRPr="00A06945">
              <w:t xml:space="preserve">Standard 8: </w:t>
            </w:r>
          </w:p>
          <w:p w14:paraId="16606488" w14:textId="3A97FAA0" w:rsidR="00951398" w:rsidRPr="00F87215" w:rsidRDefault="00951398" w:rsidP="00EE686E">
            <w:pPr>
              <w:pStyle w:val="Tabletext"/>
              <w:rPr>
                <w:color w:val="913393"/>
              </w:rPr>
            </w:pPr>
            <w:r w:rsidRPr="00A06945">
              <w:t>Organisational governance</w:t>
            </w:r>
          </w:p>
        </w:tc>
        <w:tc>
          <w:tcPr>
            <w:tcW w:w="6222" w:type="dxa"/>
          </w:tcPr>
          <w:p w14:paraId="0AAA0F06" w14:textId="77777777" w:rsidR="00951398" w:rsidRPr="00951398" w:rsidRDefault="00951398" w:rsidP="00951398">
            <w:pPr>
              <w:pStyle w:val="TableBullet1"/>
            </w:pPr>
            <w:r w:rsidRPr="00951398">
              <w:t>Open disclosure requirements have driven improvements in the transparency, accountability and communication between providers and consumers.</w:t>
            </w:r>
          </w:p>
          <w:p w14:paraId="3613497D" w14:textId="32CA895C" w:rsidR="00951398" w:rsidRPr="00951398" w:rsidRDefault="00951398" w:rsidP="00951398">
            <w:pPr>
              <w:pStyle w:val="TableBullet1"/>
            </w:pPr>
            <w:r w:rsidRPr="00951398">
              <w:t>Enhanced systems to deliver safer and quality care, including governance arrangements</w:t>
            </w:r>
            <w:r w:rsidR="00734B3A">
              <w:t>.</w:t>
            </w:r>
          </w:p>
        </w:tc>
      </w:tr>
    </w:tbl>
    <w:p w14:paraId="4D786183" w14:textId="35A1E9E6" w:rsidR="002075DD" w:rsidRPr="00EC26B1" w:rsidRDefault="002075DD" w:rsidP="00231A99">
      <w:pPr>
        <w:pStyle w:val="Source0"/>
      </w:pPr>
      <w:r>
        <w:t xml:space="preserve">Source: </w:t>
      </w:r>
      <w:r w:rsidR="001873F2">
        <w:t>KPMG</w:t>
      </w:r>
      <w:r w:rsidR="00951398">
        <w:t>.</w:t>
      </w:r>
    </w:p>
    <w:p w14:paraId="10901004" w14:textId="15044836" w:rsidR="00DB3FF5" w:rsidRDefault="00B114F8" w:rsidP="00F626EE">
      <w:pPr>
        <w:pStyle w:val="HeadingLevel4NoNumber"/>
      </w:pPr>
      <w:r>
        <w:t>Unintended Consequences</w:t>
      </w:r>
    </w:p>
    <w:p w14:paraId="5CD9A846" w14:textId="3F63DC82" w:rsidR="002075DD" w:rsidRDefault="00DD7BEE" w:rsidP="00A62F83">
      <w:pPr>
        <w:pStyle w:val="BodyText1"/>
      </w:pPr>
      <w:r>
        <w:t xml:space="preserve">During </w:t>
      </w:r>
      <w:r w:rsidR="002075DD">
        <w:t>consultation</w:t>
      </w:r>
      <w:r w:rsidR="004B470E">
        <w:t>s,</w:t>
      </w:r>
      <w:r>
        <w:t xml:space="preserve"> examples of </w:t>
      </w:r>
      <w:r w:rsidR="00F87664">
        <w:t xml:space="preserve">unintended consequences were raised by </w:t>
      </w:r>
      <w:r w:rsidR="006D0A44">
        <w:t>some stakeholder groups</w:t>
      </w:r>
      <w:r>
        <w:t>. Aged care providers and palliative care specialists raised</w:t>
      </w:r>
      <w:r w:rsidR="002075DD">
        <w:t xml:space="preserve"> </w:t>
      </w:r>
      <w:r w:rsidR="004B470E">
        <w:t>the</w:t>
      </w:r>
      <w:r>
        <w:t xml:space="preserve"> concern that the perceived regulatory burden and scrutiny of restrictive practices</w:t>
      </w:r>
      <w:r w:rsidR="00576732">
        <w:t xml:space="preserve"> </w:t>
      </w:r>
      <w:r w:rsidR="001E4ADF">
        <w:t xml:space="preserve">obligations </w:t>
      </w:r>
      <w:r>
        <w:t>had caused providers to limit access to appropriate use of both palliative care and pain relief medications, as well as psychotropic medications, where the</w:t>
      </w:r>
      <w:r w:rsidR="00766978">
        <w:t>y</w:t>
      </w:r>
      <w:r>
        <w:t xml:space="preserve"> were perceived as restrictive practices. An example was provided of a consumer who enter</w:t>
      </w:r>
      <w:r w:rsidR="004718F1">
        <w:t>ed</w:t>
      </w:r>
      <w:r>
        <w:t xml:space="preserve"> into aged care with previous mental health management plans including ongoing prescription that b</w:t>
      </w:r>
      <w:r w:rsidR="004718F1">
        <w:t xml:space="preserve">ecame </w:t>
      </w:r>
      <w:r>
        <w:t>unavailable or limited once perceived as restrictive or behaviour-altering by the service provider.</w:t>
      </w:r>
      <w:r w:rsidR="00880826">
        <w:t xml:space="preserve"> </w:t>
      </w:r>
      <w:r w:rsidR="000A0C00">
        <w:t xml:space="preserve">A further example </w:t>
      </w:r>
      <w:r w:rsidR="00893B1F">
        <w:t xml:space="preserve">of interpreted </w:t>
      </w:r>
      <w:r w:rsidR="00B504A9">
        <w:t>restrictive</w:t>
      </w:r>
      <w:r w:rsidR="00893B1F">
        <w:t xml:space="preserve"> p</w:t>
      </w:r>
      <w:r w:rsidR="00B504A9">
        <w:t>ractice</w:t>
      </w:r>
      <w:r w:rsidR="007F13D6">
        <w:t xml:space="preserve"> is</w:t>
      </w:r>
      <w:r w:rsidR="000A0C00">
        <w:t xml:space="preserve"> where a consumer representative expressed that their family member wished to have a raised bed rail to offer support to </w:t>
      </w:r>
      <w:r w:rsidR="006B4178">
        <w:t>move in and out of bed but had not been able to use this as a perceived restriction by the provider.</w:t>
      </w:r>
      <w:r w:rsidR="00F321F6">
        <w:t xml:space="preserve"> These examples ma</w:t>
      </w:r>
      <w:r w:rsidR="00A04F2A">
        <w:t xml:space="preserve">y </w:t>
      </w:r>
      <w:r w:rsidR="008F497A">
        <w:t xml:space="preserve">be </w:t>
      </w:r>
      <w:r w:rsidR="00736FB9">
        <w:t xml:space="preserve">considered </w:t>
      </w:r>
      <w:r w:rsidR="00760AED">
        <w:t>more</w:t>
      </w:r>
      <w:r w:rsidR="00736FB9">
        <w:t xml:space="preserve"> </w:t>
      </w:r>
      <w:r w:rsidR="008F497A">
        <w:t>reflective</w:t>
      </w:r>
      <w:r w:rsidR="00736FB9">
        <w:t xml:space="preserve"> </w:t>
      </w:r>
      <w:r w:rsidR="00224C25">
        <w:t>of providers</w:t>
      </w:r>
      <w:r w:rsidR="009E7B39">
        <w:t>’</w:t>
      </w:r>
      <w:r w:rsidR="00224C25">
        <w:t xml:space="preserve"> understanding of </w:t>
      </w:r>
      <w:r w:rsidR="002A0D4B">
        <w:t>restrictive</w:t>
      </w:r>
      <w:r w:rsidR="00224C25">
        <w:t xml:space="preserve"> practices </w:t>
      </w:r>
      <w:r w:rsidR="007B1529">
        <w:t>and may</w:t>
      </w:r>
      <w:r w:rsidR="00736E60">
        <w:t xml:space="preserve"> reflect a need for further guidance to support </w:t>
      </w:r>
      <w:r w:rsidR="00FD057B">
        <w:t>application</w:t>
      </w:r>
      <w:r w:rsidR="00881847">
        <w:t xml:space="preserve"> of </w:t>
      </w:r>
      <w:r w:rsidR="00FD057B">
        <w:t xml:space="preserve">requirements under </w:t>
      </w:r>
      <w:r w:rsidR="00881847">
        <w:t>the Standards</w:t>
      </w:r>
      <w:r w:rsidR="00B407B2">
        <w:t xml:space="preserve"> and the</w:t>
      </w:r>
      <w:r w:rsidR="00B407B2" w:rsidRPr="00B407B2">
        <w:t xml:space="preserve"> </w:t>
      </w:r>
      <w:proofErr w:type="gramStart"/>
      <w:r w:rsidR="00B407B2" w:rsidRPr="00B407B2">
        <w:rPr>
          <w:i/>
          <w:iCs/>
        </w:rPr>
        <w:t>Quality of Care</w:t>
      </w:r>
      <w:proofErr w:type="gramEnd"/>
      <w:r w:rsidR="00B407B2" w:rsidRPr="00B407B2">
        <w:rPr>
          <w:i/>
          <w:iCs/>
        </w:rPr>
        <w:t xml:space="preserve"> Principles 2014</w:t>
      </w:r>
      <w:r w:rsidR="002A0D4B">
        <w:t>.</w:t>
      </w:r>
    </w:p>
    <w:p w14:paraId="0EBC9A9E" w14:textId="2F424FAA" w:rsidR="00430249" w:rsidRDefault="00835EBD" w:rsidP="00835EBD">
      <w:pPr>
        <w:pStyle w:val="Heading2"/>
      </w:pPr>
      <w:bookmarkStart w:id="230" w:name="_Toc88804097"/>
      <w:bookmarkStart w:id="231" w:name="_Toc89930056"/>
      <w:bookmarkStart w:id="232" w:name="_Toc90453375"/>
      <w:bookmarkStart w:id="233" w:name="_Toc113448703"/>
      <w:r>
        <w:lastRenderedPageBreak/>
        <w:t xml:space="preserve">7.2 </w:t>
      </w:r>
      <w:r w:rsidR="00430249" w:rsidRPr="006B7DBA">
        <w:t>Is there a difference in impacts based on service types, consumer diversity, location of service provider or diversity of service provider, and regulator?</w:t>
      </w:r>
      <w:bookmarkEnd w:id="230"/>
      <w:bookmarkEnd w:id="231"/>
      <w:bookmarkEnd w:id="232"/>
      <w:bookmarkEnd w:id="233"/>
      <w:r w:rsidR="00430249">
        <w:t xml:space="preserve"> </w:t>
      </w:r>
    </w:p>
    <w:p w14:paraId="62EBBCBB" w14:textId="1E22DE24" w:rsidR="00861B3D" w:rsidRPr="00861B3D" w:rsidRDefault="00B82CDE" w:rsidP="00A62F83">
      <w:pPr>
        <w:pStyle w:val="BodyText1"/>
      </w:pPr>
      <w:r>
        <w:t xml:space="preserve">In addition to the outcomes described above, stakeholders </w:t>
      </w:r>
      <w:r w:rsidR="002964FD">
        <w:t xml:space="preserve">provided observations on how the Standards had impacted consumers, providers and </w:t>
      </w:r>
      <w:r w:rsidR="005D6630">
        <w:t xml:space="preserve">other key stakeholders in the sector, including the Commission. </w:t>
      </w:r>
      <w:r w:rsidR="005D6630" w:rsidRPr="00664107">
        <w:t>The Evaluation found that there has been evidence of</w:t>
      </w:r>
      <w:r w:rsidR="005D6630">
        <w:t xml:space="preserve"> improvements to care delivery in some segments of the sector which has led to positive outcomes for consumers (as described in the previous section). However, evidence of a difference in impact by consumer diversity was not observed during this Evaluation.</w:t>
      </w:r>
      <w:r w:rsidR="006A0182">
        <w:t xml:space="preserve"> </w:t>
      </w:r>
    </w:p>
    <w:p w14:paraId="0111DB1E" w14:textId="3ACFD982" w:rsidR="005D6630" w:rsidRDefault="005D6630" w:rsidP="00A62F83">
      <w:pPr>
        <w:pStyle w:val="BodyText1"/>
        <w:rPr>
          <w:rFonts w:eastAsia="Calibri" w:cs="Arial"/>
          <w:szCs w:val="20"/>
        </w:rPr>
      </w:pPr>
      <w:r>
        <w:t xml:space="preserve">The impact on providers was varied and </w:t>
      </w:r>
      <w:r w:rsidR="00BB716B">
        <w:t>t</w:t>
      </w:r>
      <w:r w:rsidR="006A0182">
        <w:t>here was also some evidence of a difference in impact by provider type and service delivery setting.</w:t>
      </w:r>
      <w:r w:rsidR="00BB716B">
        <w:t xml:space="preserve"> </w:t>
      </w:r>
      <w:r w:rsidR="006A0182">
        <w:rPr>
          <w:rFonts w:eastAsia="Calibri" w:cs="Arial"/>
          <w:szCs w:val="20"/>
        </w:rPr>
        <w:t xml:space="preserve">The impact on the Commission was significant, </w:t>
      </w:r>
      <w:r w:rsidR="007E627A">
        <w:rPr>
          <w:rFonts w:eastAsia="Calibri" w:cs="Arial"/>
          <w:szCs w:val="20"/>
        </w:rPr>
        <w:t xml:space="preserve">particularly to support ongoing education activities for the sector and </w:t>
      </w:r>
      <w:r w:rsidR="000E566F">
        <w:rPr>
          <w:rFonts w:eastAsia="Calibri" w:cs="Arial"/>
          <w:szCs w:val="20"/>
        </w:rPr>
        <w:t xml:space="preserve">increased regulatory activity. These areas of impact </w:t>
      </w:r>
      <w:r w:rsidR="004A17EE">
        <w:rPr>
          <w:rFonts w:eastAsia="Calibri" w:cs="Arial"/>
          <w:szCs w:val="20"/>
        </w:rPr>
        <w:t xml:space="preserve">by stakeholder group </w:t>
      </w:r>
      <w:r w:rsidR="000E566F">
        <w:rPr>
          <w:rFonts w:eastAsia="Calibri" w:cs="Arial"/>
          <w:szCs w:val="20"/>
        </w:rPr>
        <w:t>are described below.</w:t>
      </w:r>
    </w:p>
    <w:p w14:paraId="0A5D1386" w14:textId="44A72E73" w:rsidR="00B82CDE" w:rsidRPr="00AF6515" w:rsidRDefault="00962109" w:rsidP="00231A99">
      <w:pPr>
        <w:pStyle w:val="HeadingLevel3NoNumber"/>
      </w:pPr>
      <w:r>
        <w:t>Impact on consumers</w:t>
      </w:r>
    </w:p>
    <w:p w14:paraId="2FC2B7B3" w14:textId="77777777" w:rsidR="00B82CDE" w:rsidRDefault="00B82CDE" w:rsidP="00A62F83">
      <w:pPr>
        <w:pStyle w:val="BodyText1"/>
      </w:pPr>
      <w:r w:rsidRPr="00664107">
        <w:t>The Evaluation found that there has been evidence of</w:t>
      </w:r>
      <w:r>
        <w:t xml:space="preserve"> improvements to care delivery in some segments of the sector which has led to positive outcomes for consumers (as described in the previous section).</w:t>
      </w:r>
      <w:r w:rsidRPr="00664107">
        <w:t xml:space="preserve"> The most common raised impact was that consumers and representatives were increasingly involved in care and decision-making since implementation of the Standards. </w:t>
      </w:r>
    </w:p>
    <w:p w14:paraId="5C0E1475" w14:textId="3FD15D98" w:rsidR="00B82CDE" w:rsidRDefault="00B82CDE" w:rsidP="00A62F83">
      <w:pPr>
        <w:pStyle w:val="BodyText1"/>
      </w:pPr>
      <w:r>
        <w:t>However, evidence of a difference in impact by consumer diversity was not observed during this Evaluation. Instead, specific examples were raised by some stakeholders in relation to the improvements in certain aspects of care delivery which relate to certain consumer cohorts. For example, s</w:t>
      </w:r>
      <w:r w:rsidRPr="00804028">
        <w:t xml:space="preserve">ome providers described adapting architectural styles associated with cultural backgrounds to accommodate </w:t>
      </w:r>
      <w:r w:rsidR="00925CF4">
        <w:t xml:space="preserve">the </w:t>
      </w:r>
      <w:r w:rsidRPr="00804028">
        <w:t>cultura</w:t>
      </w:r>
      <w:r w:rsidR="00925CF4">
        <w:t>l needs of their consumers</w:t>
      </w:r>
      <w:r w:rsidRPr="00804028">
        <w:t xml:space="preserve">. </w:t>
      </w:r>
      <w:r>
        <w:t>In comparison,</w:t>
      </w:r>
      <w:r w:rsidRPr="00804028">
        <w:t xml:space="preserve"> </w:t>
      </w:r>
      <w:r>
        <w:t xml:space="preserve">some </w:t>
      </w:r>
      <w:r w:rsidRPr="00804028">
        <w:t>stakeholders</w:t>
      </w:r>
      <w:r w:rsidR="002470F7">
        <w:t xml:space="preserve"> including both consumers and care experts</w:t>
      </w:r>
      <w:r w:rsidRPr="00804028">
        <w:t xml:space="preserve"> perceived </w:t>
      </w:r>
      <w:r>
        <w:t xml:space="preserve">that there had been limited improvements in the support provided to </w:t>
      </w:r>
      <w:r w:rsidRPr="00804028">
        <w:t>consumers with dementia or cognitive impairment to communicate their needs and preferences.</w:t>
      </w:r>
    </w:p>
    <w:p w14:paraId="2333C2D1" w14:textId="51A5D0BB" w:rsidR="00B82CDE" w:rsidRPr="00962109" w:rsidRDefault="00B82CDE" w:rsidP="00231A99">
      <w:pPr>
        <w:pStyle w:val="HeadingLevel3NoNumber"/>
      </w:pPr>
      <w:r w:rsidRPr="00962109">
        <w:t>Impact on providers</w:t>
      </w:r>
    </w:p>
    <w:p w14:paraId="13C59E80" w14:textId="575F9266" w:rsidR="00E27629" w:rsidRPr="00E27629" w:rsidRDefault="00B82CDE" w:rsidP="00A62F83">
      <w:pPr>
        <w:pStyle w:val="BodyText1"/>
      </w:pPr>
      <w:r>
        <w:t xml:space="preserve">The impact on providers </w:t>
      </w:r>
      <w:r w:rsidR="005D6630">
        <w:t>was</w:t>
      </w:r>
      <w:r>
        <w:t xml:space="preserve"> varied. Some providers indicated that the new Standards had posed minimal impact to their organisation, while other providers described a range of impact</w:t>
      </w:r>
      <w:r w:rsidR="000C7150">
        <w:t>ed areas</w:t>
      </w:r>
      <w:r>
        <w:t xml:space="preserve"> such as cost associated with regulatory burden, innovation, workload and retention of staff and training and development. These domains are presented below.</w:t>
      </w:r>
    </w:p>
    <w:p w14:paraId="39D6ACE3" w14:textId="6643681D" w:rsidR="000C7150" w:rsidRDefault="000C7150" w:rsidP="00231A99">
      <w:pPr>
        <w:pStyle w:val="Caption"/>
      </w:pPr>
      <w:r>
        <w:t xml:space="preserve">Table </w:t>
      </w:r>
      <w:r w:rsidR="003A1068">
        <w:rPr>
          <w:noProof/>
        </w:rPr>
        <w:fldChar w:fldCharType="begin"/>
      </w:r>
      <w:r w:rsidR="003A1068">
        <w:rPr>
          <w:noProof/>
        </w:rPr>
        <w:instrText xml:space="preserve"> SEQ Table \* ARABIC </w:instrText>
      </w:r>
      <w:r w:rsidR="003A1068">
        <w:rPr>
          <w:noProof/>
        </w:rPr>
        <w:fldChar w:fldCharType="separate"/>
      </w:r>
      <w:r w:rsidR="0083123A">
        <w:rPr>
          <w:noProof/>
        </w:rPr>
        <w:t>15</w:t>
      </w:r>
      <w:r w:rsidR="003A1068">
        <w:rPr>
          <w:noProof/>
        </w:rPr>
        <w:fldChar w:fldCharType="end"/>
      </w:r>
      <w:r>
        <w:t xml:space="preserve">: </w:t>
      </w:r>
      <w:r w:rsidR="00360DEE">
        <w:t>Areas of impact for providers</w:t>
      </w:r>
    </w:p>
    <w:tbl>
      <w:tblPr>
        <w:tblStyle w:val="TableGridLight"/>
        <w:tblW w:w="0" w:type="auto"/>
        <w:tblLook w:val="0620" w:firstRow="1" w:lastRow="0" w:firstColumn="0" w:lastColumn="0" w:noHBand="1" w:noVBand="1"/>
      </w:tblPr>
      <w:tblGrid>
        <w:gridCol w:w="2263"/>
        <w:gridCol w:w="6753"/>
      </w:tblGrid>
      <w:tr w:rsidR="00925CF4" w14:paraId="462701A4" w14:textId="77777777" w:rsidTr="00EE686E">
        <w:trPr>
          <w:cnfStyle w:val="100000000000" w:firstRow="1" w:lastRow="0" w:firstColumn="0" w:lastColumn="0" w:oddVBand="0" w:evenVBand="0" w:oddHBand="0" w:evenHBand="0" w:firstRowFirstColumn="0" w:firstRowLastColumn="0" w:lastRowFirstColumn="0" w:lastRowLastColumn="0"/>
        </w:trPr>
        <w:tc>
          <w:tcPr>
            <w:tcW w:w="2263" w:type="dxa"/>
          </w:tcPr>
          <w:p w14:paraId="41DA9ADC" w14:textId="0C76AABD" w:rsidR="00925CF4" w:rsidRPr="00B24EFA" w:rsidRDefault="000C7150" w:rsidP="00575CC4">
            <w:pPr>
              <w:pStyle w:val="Tableheading"/>
            </w:pPr>
            <w:r w:rsidRPr="00B24EFA">
              <w:t>Area of impact</w:t>
            </w:r>
          </w:p>
        </w:tc>
        <w:tc>
          <w:tcPr>
            <w:tcW w:w="6753" w:type="dxa"/>
          </w:tcPr>
          <w:p w14:paraId="7A73C3AF" w14:textId="58B351CD" w:rsidR="00925CF4" w:rsidRPr="00B24EFA" w:rsidRDefault="000C7150" w:rsidP="00575CC4">
            <w:pPr>
              <w:pStyle w:val="Tableheading"/>
            </w:pPr>
            <w:r w:rsidRPr="00B24EFA">
              <w:t>Description</w:t>
            </w:r>
          </w:p>
        </w:tc>
      </w:tr>
      <w:tr w:rsidR="00B82CDE" w14:paraId="332C34C3" w14:textId="77777777" w:rsidTr="00EE686E">
        <w:tc>
          <w:tcPr>
            <w:tcW w:w="2263" w:type="dxa"/>
          </w:tcPr>
          <w:p w14:paraId="1F5E4E6C" w14:textId="77777777" w:rsidR="00B82CDE" w:rsidRPr="00EE686E" w:rsidRDefault="00B82CDE" w:rsidP="00EE686E">
            <w:pPr>
              <w:pStyle w:val="Tabletextbold0"/>
              <w:rPr>
                <w:sz w:val="19"/>
                <w:szCs w:val="19"/>
              </w:rPr>
            </w:pPr>
            <w:r w:rsidRPr="00EE686E">
              <w:rPr>
                <w:sz w:val="19"/>
                <w:szCs w:val="19"/>
              </w:rPr>
              <w:t>Cost and regulatory burden</w:t>
            </w:r>
          </w:p>
        </w:tc>
        <w:tc>
          <w:tcPr>
            <w:tcW w:w="6753" w:type="dxa"/>
          </w:tcPr>
          <w:p w14:paraId="7FF3485E" w14:textId="77777777" w:rsidR="00B82CDE" w:rsidRPr="00B24EFA" w:rsidRDefault="00B82CDE" w:rsidP="00A62F83">
            <w:pPr>
              <w:pStyle w:val="Tabletext"/>
              <w:rPr>
                <w:sz w:val="19"/>
                <w:szCs w:val="19"/>
              </w:rPr>
            </w:pPr>
            <w:r w:rsidRPr="00B24EFA">
              <w:rPr>
                <w:sz w:val="19"/>
                <w:szCs w:val="19"/>
              </w:rPr>
              <w:t>Some providers and other stakeholders such as peak bodies reported that the Standards had introduced a significant regulatory burden on providers. Providers conveyed that the introduction of the Standards had required staff, particularly registered staff, to complete additional care documentation and assessment, and other ‘tick box’ regulatory requirements.</w:t>
            </w:r>
          </w:p>
        </w:tc>
      </w:tr>
      <w:tr w:rsidR="00B82CDE" w14:paraId="4B0D134B" w14:textId="77777777" w:rsidTr="00EE686E">
        <w:tc>
          <w:tcPr>
            <w:tcW w:w="2263" w:type="dxa"/>
          </w:tcPr>
          <w:p w14:paraId="41F0E4FF" w14:textId="77777777" w:rsidR="00B82CDE" w:rsidRPr="00EE686E" w:rsidRDefault="00B82CDE" w:rsidP="00EE686E">
            <w:pPr>
              <w:pStyle w:val="Tabletextbold0"/>
              <w:rPr>
                <w:sz w:val="19"/>
                <w:szCs w:val="19"/>
              </w:rPr>
            </w:pPr>
            <w:r w:rsidRPr="00EE686E">
              <w:rPr>
                <w:sz w:val="19"/>
                <w:szCs w:val="19"/>
              </w:rPr>
              <w:t>Innovation in service delivery</w:t>
            </w:r>
          </w:p>
        </w:tc>
        <w:tc>
          <w:tcPr>
            <w:tcW w:w="6753" w:type="dxa"/>
          </w:tcPr>
          <w:p w14:paraId="518DE167" w14:textId="77777777" w:rsidR="00B82CDE" w:rsidRPr="00B24EFA" w:rsidRDefault="00B82CDE" w:rsidP="00A62F83">
            <w:pPr>
              <w:pStyle w:val="Tabletext"/>
              <w:rPr>
                <w:sz w:val="19"/>
                <w:szCs w:val="19"/>
              </w:rPr>
            </w:pPr>
            <w:r w:rsidRPr="00B24EFA">
              <w:rPr>
                <w:sz w:val="19"/>
                <w:szCs w:val="19"/>
              </w:rPr>
              <w:t xml:space="preserve">Whilst there were varying views expressed in relation to innovation in the sector, some providers expressed the view that the Standards had impacted their ability to focus on innovation opportunities in service delivery. Other stakeholders raised that, for providers who were ‘high performing’ and were more advanced in their understanding and application of the Standards, the Standards had ‘empowered </w:t>
            </w:r>
            <w:r w:rsidRPr="00B24EFA">
              <w:rPr>
                <w:sz w:val="19"/>
                <w:szCs w:val="19"/>
              </w:rPr>
              <w:lastRenderedPageBreak/>
              <w:t>staff’ within a service to pursue initiatives to improve service delivery and drive innovation.</w:t>
            </w:r>
          </w:p>
        </w:tc>
      </w:tr>
      <w:tr w:rsidR="00B82CDE" w14:paraId="78966E2B" w14:textId="77777777" w:rsidTr="00EE686E">
        <w:tc>
          <w:tcPr>
            <w:tcW w:w="2263" w:type="dxa"/>
          </w:tcPr>
          <w:p w14:paraId="4FAA0D25" w14:textId="77777777" w:rsidR="00B82CDE" w:rsidRPr="00EE686E" w:rsidRDefault="00B82CDE" w:rsidP="00EE686E">
            <w:pPr>
              <w:pStyle w:val="Tabletextbold0"/>
              <w:rPr>
                <w:sz w:val="19"/>
                <w:szCs w:val="19"/>
              </w:rPr>
            </w:pPr>
            <w:r w:rsidRPr="00EE686E">
              <w:rPr>
                <w:sz w:val="19"/>
                <w:szCs w:val="19"/>
              </w:rPr>
              <w:lastRenderedPageBreak/>
              <w:t>Workforce attrition</w:t>
            </w:r>
          </w:p>
        </w:tc>
        <w:tc>
          <w:tcPr>
            <w:tcW w:w="6753" w:type="dxa"/>
          </w:tcPr>
          <w:p w14:paraId="49C729AB" w14:textId="4FE02E51" w:rsidR="00B82CDE" w:rsidRPr="00B24EFA" w:rsidRDefault="00B82CDE" w:rsidP="00A62F83">
            <w:pPr>
              <w:pStyle w:val="Tabletext"/>
              <w:rPr>
                <w:sz w:val="19"/>
                <w:szCs w:val="19"/>
              </w:rPr>
            </w:pPr>
            <w:r w:rsidRPr="00B24EFA">
              <w:rPr>
                <w:sz w:val="19"/>
                <w:szCs w:val="19"/>
              </w:rPr>
              <w:t>Stakeholders and particularly providers raised that they believe the regulatory burden placed on services had further increased attrition rates of the aged care workforce including in management levels. However</w:t>
            </w:r>
            <w:r w:rsidR="005A5D4B">
              <w:rPr>
                <w:sz w:val="19"/>
                <w:szCs w:val="19"/>
              </w:rPr>
              <w:t>,</w:t>
            </w:r>
            <w:r w:rsidRPr="00B24EFA">
              <w:rPr>
                <w:sz w:val="19"/>
                <w:szCs w:val="19"/>
              </w:rPr>
              <w:t xml:space="preserve"> stakeholders communicated that a range of factors external to the Standards had also contributed to workforce attrition rates in the sector, including the Royal Commission and broader workforce gaps.</w:t>
            </w:r>
          </w:p>
        </w:tc>
      </w:tr>
      <w:tr w:rsidR="00B82CDE" w14:paraId="1595BF71" w14:textId="77777777" w:rsidTr="00EE686E">
        <w:tc>
          <w:tcPr>
            <w:tcW w:w="2263" w:type="dxa"/>
          </w:tcPr>
          <w:p w14:paraId="3E0D5AC9" w14:textId="76D542A5" w:rsidR="00B82CDE" w:rsidRPr="00EE686E" w:rsidRDefault="00B82CDE" w:rsidP="00EE686E">
            <w:pPr>
              <w:pStyle w:val="Tabletextbold0"/>
              <w:rPr>
                <w:sz w:val="19"/>
                <w:szCs w:val="19"/>
              </w:rPr>
            </w:pPr>
            <w:r w:rsidRPr="00EE686E">
              <w:rPr>
                <w:sz w:val="19"/>
                <w:szCs w:val="19"/>
              </w:rPr>
              <w:t>Workforce learning and development</w:t>
            </w:r>
            <w:r w:rsidR="002355CB" w:rsidRPr="00EE686E">
              <w:rPr>
                <w:sz w:val="19"/>
                <w:szCs w:val="19"/>
              </w:rPr>
              <w:t xml:space="preserve"> opportunities</w:t>
            </w:r>
          </w:p>
        </w:tc>
        <w:tc>
          <w:tcPr>
            <w:tcW w:w="6753" w:type="dxa"/>
          </w:tcPr>
          <w:p w14:paraId="2160B1E7" w14:textId="77777777" w:rsidR="00B82CDE" w:rsidRPr="00B24EFA" w:rsidRDefault="00B82CDE" w:rsidP="00A62F83">
            <w:pPr>
              <w:pStyle w:val="Tabletext"/>
              <w:rPr>
                <w:sz w:val="19"/>
                <w:szCs w:val="19"/>
              </w:rPr>
            </w:pPr>
            <w:r w:rsidRPr="00B24EFA">
              <w:rPr>
                <w:sz w:val="19"/>
                <w:szCs w:val="19"/>
              </w:rPr>
              <w:t>Stakeholders consulted raised that training and development of the workforce had been an overall improvement since the Standards were implemented.</w:t>
            </w:r>
          </w:p>
        </w:tc>
      </w:tr>
    </w:tbl>
    <w:p w14:paraId="6A33C28B" w14:textId="2638CD5B" w:rsidR="00360DEE" w:rsidRDefault="00360DEE" w:rsidP="00231A99">
      <w:pPr>
        <w:pStyle w:val="Source0"/>
      </w:pPr>
      <w:r>
        <w:t xml:space="preserve">Source: </w:t>
      </w:r>
      <w:r w:rsidR="001873F2">
        <w:t>KPMG</w:t>
      </w:r>
      <w:r w:rsidR="00122A56">
        <w:t>.</w:t>
      </w:r>
    </w:p>
    <w:p w14:paraId="6AF2E1A5" w14:textId="41739CA5" w:rsidR="00B82CDE" w:rsidRDefault="00334092" w:rsidP="00A62F83">
      <w:pPr>
        <w:pStyle w:val="BodyText1"/>
      </w:pPr>
      <w:r>
        <w:t xml:space="preserve">Whilst a number of varying </w:t>
      </w:r>
      <w:r w:rsidR="00266F61">
        <w:t xml:space="preserve">challenges to implement Standards were identified </w:t>
      </w:r>
      <w:r w:rsidR="008A53CE">
        <w:t xml:space="preserve">across different service types and settings, no </w:t>
      </w:r>
      <w:r w:rsidR="003754E2">
        <w:t xml:space="preserve">significant </w:t>
      </w:r>
      <w:r w:rsidR="001136C1">
        <w:t xml:space="preserve">difference in ongoing impact was identifiable through the </w:t>
      </w:r>
      <w:r w:rsidR="0094444D">
        <w:t>E</w:t>
      </w:r>
      <w:r w:rsidR="001136C1">
        <w:t>valuation.</w:t>
      </w:r>
      <w:r w:rsidR="00BF6CD8">
        <w:t xml:space="preserve"> </w:t>
      </w:r>
      <w:r w:rsidR="00D1111F">
        <w:t>The</w:t>
      </w:r>
      <w:r w:rsidR="00BF6CD8">
        <w:t xml:space="preserve"> </w:t>
      </w:r>
      <w:r w:rsidR="009E3EDE">
        <w:t>challenges</w:t>
      </w:r>
      <w:r w:rsidR="00D1111F">
        <w:t xml:space="preserve"> to implementation based on service setting</w:t>
      </w:r>
      <w:r w:rsidR="009E3EDE">
        <w:t xml:space="preserve"> are highlighted in Section </w:t>
      </w:r>
      <w:r w:rsidR="00BF6CD8">
        <w:t>5.3</w:t>
      </w:r>
      <w:r w:rsidR="00B97157">
        <w:t xml:space="preserve">. </w:t>
      </w:r>
      <w:r w:rsidR="00684188">
        <w:t xml:space="preserve">Home care providers </w:t>
      </w:r>
      <w:r w:rsidR="00B365FD">
        <w:t>raised their own specific challenges which are addressed throughout this report.</w:t>
      </w:r>
    </w:p>
    <w:p w14:paraId="0AC94FDC" w14:textId="77777777" w:rsidR="00B82CDE" w:rsidRPr="00EB48E4" w:rsidRDefault="00B82CDE" w:rsidP="00231A99">
      <w:pPr>
        <w:pStyle w:val="HeadingLevel3NoNumber"/>
      </w:pPr>
      <w:r w:rsidRPr="00EB48E4">
        <w:t>Impact on the Commission</w:t>
      </w:r>
    </w:p>
    <w:p w14:paraId="6AB4AC51" w14:textId="7BBACBF6" w:rsidR="00EB48E4" w:rsidRPr="008F5373" w:rsidRDefault="00DE7DF7" w:rsidP="00D56A42">
      <w:pPr>
        <w:pStyle w:val="BodyText1"/>
      </w:pPr>
      <w:r>
        <w:t>Commission stakehold</w:t>
      </w:r>
      <w:r w:rsidR="00DE5144">
        <w:t>ers</w:t>
      </w:r>
      <w:r>
        <w:t xml:space="preserve"> </w:t>
      </w:r>
      <w:r w:rsidR="00B82CDE">
        <w:t>reported that t</w:t>
      </w:r>
      <w:r w:rsidR="00B82CDE" w:rsidRPr="008F5373">
        <w:t xml:space="preserve">he impact of </w:t>
      </w:r>
      <w:r w:rsidR="00B82CDE">
        <w:t xml:space="preserve">the </w:t>
      </w:r>
      <w:r w:rsidR="00B82CDE" w:rsidRPr="008F5373">
        <w:t xml:space="preserve">new Standards </w:t>
      </w:r>
      <w:r w:rsidR="00B82CDE">
        <w:t>on</w:t>
      </w:r>
      <w:r w:rsidR="00B82CDE" w:rsidRPr="008F5373">
        <w:t xml:space="preserve"> the Commission</w:t>
      </w:r>
      <w:r w:rsidR="00B82CDE">
        <w:t xml:space="preserve"> was significant</w:t>
      </w:r>
      <w:r w:rsidR="00B82CDE" w:rsidRPr="008F5373">
        <w:t xml:space="preserve">. </w:t>
      </w:r>
      <w:r w:rsidR="00B82CDE">
        <w:t xml:space="preserve">Activities related to sector education, conducting assessments and monitoring of home care services were specific areas </w:t>
      </w:r>
      <w:r w:rsidR="00EB48E4">
        <w:t>of impacts identified, as described below.</w:t>
      </w:r>
    </w:p>
    <w:p w14:paraId="39821129" w14:textId="211D038E" w:rsidR="00EB48E4" w:rsidRDefault="00B82CDE" w:rsidP="00F626EE">
      <w:pPr>
        <w:pStyle w:val="HeadingLevel4NoNumber"/>
      </w:pPr>
      <w:r w:rsidRPr="008F5373">
        <w:t>Sector education delivery</w:t>
      </w:r>
    </w:p>
    <w:p w14:paraId="4C574B21" w14:textId="724063F0" w:rsidR="00C53D15" w:rsidRDefault="00B82CDE" w:rsidP="00D56A42">
      <w:pPr>
        <w:pStyle w:val="BodyText1"/>
      </w:pPr>
      <w:r w:rsidRPr="008F5373">
        <w:t xml:space="preserve">The Commission </w:t>
      </w:r>
      <w:r w:rsidR="00FC62E6">
        <w:t>(</w:t>
      </w:r>
      <w:r w:rsidR="00D56A42">
        <w:t>formerly the</w:t>
      </w:r>
      <w:r w:rsidRPr="008F5373">
        <w:t xml:space="preserve"> AACQA</w:t>
      </w:r>
      <w:r w:rsidR="00FC62E6">
        <w:t>) was</w:t>
      </w:r>
      <w:r w:rsidRPr="008F5373">
        <w:t xml:space="preserve"> responsible for the development and delivery of training and resources to </w:t>
      </w:r>
      <w:r w:rsidR="00EB48E4">
        <w:t xml:space="preserve">support the implementation of the Standards. </w:t>
      </w:r>
      <w:r w:rsidR="00FC62E6">
        <w:t xml:space="preserve">The Commission undertook extensive activities to </w:t>
      </w:r>
      <w:r w:rsidR="00AD7B2F">
        <w:t>support implementation of the Standards in the aged care sector (as described in Section</w:t>
      </w:r>
      <w:r w:rsidR="00594D64">
        <w:t> </w:t>
      </w:r>
      <w:r w:rsidR="00AD7B2F">
        <w:fldChar w:fldCharType="begin" w:fldLock="1"/>
      </w:r>
      <w:r w:rsidR="00AD7B2F">
        <w:instrText xml:space="preserve"> REF _Ref85221500 \r \h </w:instrText>
      </w:r>
      <w:r w:rsidR="00D56A42">
        <w:instrText xml:space="preserve"> \* MERGEFORMAT </w:instrText>
      </w:r>
      <w:r w:rsidR="00AD7B2F">
        <w:fldChar w:fldCharType="separate"/>
      </w:r>
      <w:r w:rsidR="00453533">
        <w:t>5</w:t>
      </w:r>
      <w:r w:rsidR="00AD7B2F">
        <w:fldChar w:fldCharType="end"/>
      </w:r>
      <w:r w:rsidRPr="008F5373">
        <w:t xml:space="preserve">). </w:t>
      </w:r>
    </w:p>
    <w:p w14:paraId="271B4256" w14:textId="5EFC88A2" w:rsidR="00D56A42" w:rsidRDefault="005E608F" w:rsidP="006C0E85">
      <w:pPr>
        <w:pStyle w:val="BodyText1"/>
      </w:pPr>
      <w:r>
        <w:rPr>
          <w:szCs w:val="20"/>
        </w:rPr>
        <w:t>Demand for workshops on the Standards remained high post 1-July 2019</w:t>
      </w:r>
      <w:r w:rsidR="000D13D6">
        <w:rPr>
          <w:szCs w:val="20"/>
        </w:rPr>
        <w:t xml:space="preserve"> </w:t>
      </w:r>
      <w:r w:rsidR="00084035">
        <w:rPr>
          <w:szCs w:val="20"/>
        </w:rPr>
        <w:t>from</w:t>
      </w:r>
      <w:r w:rsidR="000D13D6">
        <w:rPr>
          <w:szCs w:val="20"/>
        </w:rPr>
        <w:t xml:space="preserve"> </w:t>
      </w:r>
      <w:r w:rsidR="000D13D6">
        <w:t>both</w:t>
      </w:r>
      <w:r w:rsidR="00B82CDE">
        <w:t xml:space="preserve"> new entrants </w:t>
      </w:r>
      <w:r w:rsidR="000D13D6">
        <w:t xml:space="preserve">into </w:t>
      </w:r>
      <w:r w:rsidR="00B82CDE">
        <w:t>the market (especially</w:t>
      </w:r>
      <w:r w:rsidR="000D13D6">
        <w:t xml:space="preserve"> in</w:t>
      </w:r>
      <w:r w:rsidR="00B82CDE">
        <w:t xml:space="preserve"> home care) and </w:t>
      </w:r>
      <w:r w:rsidR="00084035">
        <w:t xml:space="preserve">new staff </w:t>
      </w:r>
      <w:r w:rsidR="006C0E85">
        <w:t xml:space="preserve">at providers related to </w:t>
      </w:r>
      <w:r w:rsidR="00B82CDE">
        <w:t xml:space="preserve">ongoing </w:t>
      </w:r>
      <w:r w:rsidR="000D13D6">
        <w:t xml:space="preserve">attrition </w:t>
      </w:r>
      <w:r w:rsidR="00D56A42">
        <w:t xml:space="preserve">of the workforce. </w:t>
      </w:r>
      <w:r w:rsidR="00B82CDE">
        <w:t xml:space="preserve">In response to ongoing demand, </w:t>
      </w:r>
      <w:r w:rsidR="00D56A42">
        <w:t>the Commission continued to host workshops and webinar series and delivered specific training courses for providers in relation to accreditation, quality reviews and the management of accreditation performance.</w:t>
      </w:r>
    </w:p>
    <w:p w14:paraId="2854CF82" w14:textId="50C1F3FC" w:rsidR="00F507AD" w:rsidDel="00F507AD" w:rsidRDefault="0081719A" w:rsidP="006C0E85">
      <w:pPr>
        <w:pStyle w:val="BodyText1"/>
      </w:pPr>
      <w:r>
        <w:t>In relation to preparation for future education delivery, the</w:t>
      </w:r>
      <w:r w:rsidR="00B33123">
        <w:t xml:space="preserve"> Commission </w:t>
      </w:r>
      <w:r w:rsidR="00177AB6">
        <w:t>is responding</w:t>
      </w:r>
      <w:r w:rsidR="00B33123">
        <w:t xml:space="preserve"> to the</w:t>
      </w:r>
      <w:r w:rsidR="00D42A77">
        <w:t xml:space="preserve"> </w:t>
      </w:r>
      <w:r w:rsidR="00557405">
        <w:t>Australian Government announcement</w:t>
      </w:r>
      <w:r w:rsidR="00252239">
        <w:t xml:space="preserve"> to engage a</w:t>
      </w:r>
      <w:r w:rsidR="00F90CB4">
        <w:t>n Assistant Commissioner for Sector Capability and Education</w:t>
      </w:r>
      <w:r w:rsidR="005E02C5">
        <w:t xml:space="preserve"> from </w:t>
      </w:r>
      <w:r w:rsidR="000A6785">
        <w:t>December 2021.</w:t>
      </w:r>
      <w:r w:rsidR="0083123A">
        <w:rPr>
          <w:rFonts w:ascii="ZWAdobeF" w:hAnsi="ZWAdobeF" w:cs="ZWAdobeF"/>
          <w:sz w:val="2"/>
          <w:szCs w:val="2"/>
        </w:rPr>
        <w:t>61F</w:t>
      </w:r>
      <w:r w:rsidR="00F90CB4">
        <w:rPr>
          <w:rStyle w:val="FootnoteReference"/>
        </w:rPr>
        <w:footnoteReference w:id="63"/>
      </w:r>
      <w:r w:rsidR="000A6785">
        <w:t xml:space="preserve"> </w:t>
      </w:r>
      <w:r w:rsidR="004C0AEB">
        <w:t>T</w:t>
      </w:r>
      <w:r w:rsidR="000A6785">
        <w:t xml:space="preserve">he Assistant Commissioner </w:t>
      </w:r>
      <w:r w:rsidR="008F50EF">
        <w:t>will be res</w:t>
      </w:r>
      <w:r w:rsidR="00AD01ED">
        <w:t>ponsible for leading a transformational change program</w:t>
      </w:r>
      <w:r w:rsidR="007217F6">
        <w:t>, informed by regulatory intelligence, to build sector capability.</w:t>
      </w:r>
    </w:p>
    <w:p w14:paraId="70C6873A" w14:textId="1A19EAF6" w:rsidR="00D56A42" w:rsidRDefault="002051AE" w:rsidP="00F626EE">
      <w:pPr>
        <w:pStyle w:val="HeadingLevel4NoNumber"/>
      </w:pPr>
      <w:r>
        <w:t>Assessment Workforce</w:t>
      </w:r>
      <w:r w:rsidR="008F759A">
        <w:t xml:space="preserve"> and A</w:t>
      </w:r>
      <w:r w:rsidR="00355716">
        <w:t>ctivity</w:t>
      </w:r>
    </w:p>
    <w:p w14:paraId="3E5287B7" w14:textId="4D8A559E" w:rsidR="0072683C" w:rsidRDefault="0072683C" w:rsidP="00A62F83">
      <w:pPr>
        <w:pStyle w:val="BodyText1"/>
      </w:pPr>
      <w:r>
        <w:t>The i</w:t>
      </w:r>
      <w:r w:rsidR="00B82CDE">
        <w:t>ntroduction of the Standards</w:t>
      </w:r>
      <w:r w:rsidR="004F508A">
        <w:t xml:space="preserve"> was significant for the Commission. </w:t>
      </w:r>
      <w:r w:rsidR="003E1F6B">
        <w:t>In particular</w:t>
      </w:r>
      <w:r w:rsidR="00B86EE1">
        <w:t>,</w:t>
      </w:r>
      <w:r w:rsidR="000A6785">
        <w:t xml:space="preserve"> </w:t>
      </w:r>
      <w:r w:rsidR="003E1F6B">
        <w:t>it</w:t>
      </w:r>
      <w:r w:rsidR="00B82CDE">
        <w:t xml:space="preserve"> significantly extended the assessment activities</w:t>
      </w:r>
      <w:r w:rsidR="005D4412">
        <w:t xml:space="preserve"> and other implementation activities of the Commission. The key impacts to the Commission were found to be</w:t>
      </w:r>
      <w:r w:rsidR="00C61475">
        <w:t>:</w:t>
      </w:r>
      <w:r w:rsidR="00B82CDE">
        <w:t xml:space="preserve"> </w:t>
      </w:r>
    </w:p>
    <w:p w14:paraId="0F49F142" w14:textId="19339CAD" w:rsidR="004B5D6C" w:rsidRDefault="004B5D6C" w:rsidP="002A4AE3">
      <w:pPr>
        <w:pStyle w:val="Bullet1stlevel"/>
      </w:pPr>
      <w:r>
        <w:t xml:space="preserve">Increased assessment workload. The introduction of the Standards </w:t>
      </w:r>
      <w:r w:rsidR="009428A7">
        <w:t xml:space="preserve">increased time on site as well as increased preparation for assessment activities. </w:t>
      </w:r>
      <w:r w:rsidR="0084561D">
        <w:t xml:space="preserve">The introduction of Standards also significantly increased report writing time. </w:t>
      </w:r>
    </w:p>
    <w:p w14:paraId="7F6711B8" w14:textId="0FE77418" w:rsidR="0084561D" w:rsidRDefault="0084561D" w:rsidP="002A4AE3">
      <w:pPr>
        <w:pStyle w:val="Bullet1stlevel"/>
      </w:pPr>
      <w:r>
        <w:t xml:space="preserve">Demand for assessment activities. Due to increased non-compliance of the sector, </w:t>
      </w:r>
      <w:r w:rsidR="00321642">
        <w:t>increased scheduling of Review Audits and relevant risk assessment activities was required.</w:t>
      </w:r>
      <w:r w:rsidR="00FE3ACC">
        <w:t xml:space="preserve"> Similarly COVID-19 impacted </w:t>
      </w:r>
      <w:r w:rsidR="00590FAD">
        <w:t xml:space="preserve">the quality and assessment monitoring program </w:t>
      </w:r>
      <w:r w:rsidR="003D0990">
        <w:t xml:space="preserve">at this time. </w:t>
      </w:r>
    </w:p>
    <w:p w14:paraId="379026BB" w14:textId="4CFA97A2" w:rsidR="005D4412" w:rsidRDefault="005D4412" w:rsidP="002A4AE3">
      <w:pPr>
        <w:pStyle w:val="Bullet1stlevel"/>
      </w:pPr>
      <w:r>
        <w:t>Continued recruitment,</w:t>
      </w:r>
      <w:r w:rsidR="001E479D">
        <w:t xml:space="preserve"> development and training of </w:t>
      </w:r>
      <w:r w:rsidR="00D25285">
        <w:t xml:space="preserve">the </w:t>
      </w:r>
      <w:r w:rsidR="008B68E1">
        <w:t xml:space="preserve">existing and new </w:t>
      </w:r>
      <w:r w:rsidR="009B575F">
        <w:t>members of the q</w:t>
      </w:r>
      <w:r w:rsidR="008B68E1">
        <w:t xml:space="preserve">uality </w:t>
      </w:r>
      <w:r w:rsidR="009B575F">
        <w:t>a</w:t>
      </w:r>
      <w:r w:rsidR="008B68E1">
        <w:t xml:space="preserve">ssessment workforce </w:t>
      </w:r>
      <w:r w:rsidR="00792A1B">
        <w:t xml:space="preserve">was required. </w:t>
      </w:r>
      <w:r w:rsidR="00980526">
        <w:t>The w</w:t>
      </w:r>
      <w:r w:rsidR="00792A1B">
        <w:t xml:space="preserve">orkforce was impacted and needed to grow as a response to the </w:t>
      </w:r>
      <w:r w:rsidR="00792A1B">
        <w:lastRenderedPageBreak/>
        <w:t xml:space="preserve">increased workload demands for assessment activities, as well as continued attrition as a potential result of </w:t>
      </w:r>
      <w:r w:rsidR="001A0E41">
        <w:t xml:space="preserve">increased work demands. </w:t>
      </w:r>
      <w:r>
        <w:t xml:space="preserve">The </w:t>
      </w:r>
      <w:r w:rsidR="00072627">
        <w:t>education and training activities for the workforce were significant but also required continued cover of basic</w:t>
      </w:r>
      <w:r w:rsidR="00F9100C">
        <w:t xml:space="preserve"> development for new </w:t>
      </w:r>
      <w:r w:rsidR="001A0E41">
        <w:t>member of the assessment workforce.</w:t>
      </w:r>
    </w:p>
    <w:p w14:paraId="01398829" w14:textId="67358214" w:rsidR="004C5529" w:rsidRDefault="004C5529" w:rsidP="002A4AE3">
      <w:pPr>
        <w:pStyle w:val="Bullet1stlevel"/>
      </w:pPr>
      <w:r>
        <w:t>Ongoing review and development of assessment methodology to assess new Standards</w:t>
      </w:r>
      <w:r w:rsidR="00744358">
        <w:t>. This has increased prescriptiveness of sampling and continues to be revised and embedded</w:t>
      </w:r>
      <w:r w:rsidR="00700207">
        <w:t>.</w:t>
      </w:r>
    </w:p>
    <w:p w14:paraId="5964E6F5" w14:textId="1511AF4C" w:rsidR="00B82CDE" w:rsidRDefault="004C5529" w:rsidP="002A4AE3">
      <w:pPr>
        <w:pStyle w:val="Bullet1stlevel"/>
      </w:pPr>
      <w:r>
        <w:t>Impact to embed and upgrade existing IT and business systems</w:t>
      </w:r>
      <w:r w:rsidR="00DE1445">
        <w:t>, operational support</w:t>
      </w:r>
      <w:r>
        <w:t xml:space="preserve"> to support </w:t>
      </w:r>
      <w:r w:rsidR="00DE1445">
        <w:t xml:space="preserve">both </w:t>
      </w:r>
      <w:r>
        <w:t>transition</w:t>
      </w:r>
      <w:r w:rsidR="00DE1445">
        <w:t xml:space="preserve"> and increased scheduling requirements.</w:t>
      </w:r>
    </w:p>
    <w:p w14:paraId="0EFD39BF" w14:textId="77777777" w:rsidR="00B82CDE" w:rsidRDefault="00B82CDE" w:rsidP="00231A99">
      <w:pPr>
        <w:pStyle w:val="HeadingLevel3NoNumber"/>
      </w:pPr>
      <w:r w:rsidRPr="00C56828">
        <w:t>Impact on other stakeholders</w:t>
      </w:r>
    </w:p>
    <w:p w14:paraId="5A3DBB37" w14:textId="77777777" w:rsidR="00B82CDE" w:rsidRDefault="00B82CDE" w:rsidP="00A62F83">
      <w:pPr>
        <w:pStyle w:val="BodyText1"/>
      </w:pPr>
      <w:r w:rsidRPr="003F4D72">
        <w:t xml:space="preserve">Peak bodies and consultants confirmed they had engaged heavily with aged care providers to support training and implementation of the Standards. They also confirmed a sustained and ongoing demand for consulting services to support providers to understand quality </w:t>
      </w:r>
      <w:r>
        <w:t>implementation.</w:t>
      </w:r>
    </w:p>
    <w:p w14:paraId="1F974BC6" w14:textId="3FB41AE7" w:rsidR="00441E9E" w:rsidRPr="00441E9E" w:rsidRDefault="008514EE" w:rsidP="008514EE">
      <w:pPr>
        <w:pStyle w:val="Heading2"/>
      </w:pPr>
      <w:bookmarkStart w:id="234" w:name="_Toc88804098"/>
      <w:bookmarkStart w:id="235" w:name="_Toc89930057"/>
      <w:bookmarkStart w:id="236" w:name="_Toc90453376"/>
      <w:bookmarkStart w:id="237" w:name="_Toc113448704"/>
      <w:r>
        <w:t xml:space="preserve">7.3 </w:t>
      </w:r>
      <w:r w:rsidR="00430249" w:rsidRPr="006B7DBA">
        <w:t>What other factors may have contributed to or hindered the achievement of the outcomes?</w:t>
      </w:r>
      <w:bookmarkEnd w:id="234"/>
      <w:bookmarkEnd w:id="235"/>
      <w:bookmarkEnd w:id="236"/>
      <w:bookmarkEnd w:id="237"/>
    </w:p>
    <w:p w14:paraId="1FEA04A7" w14:textId="579C6D75" w:rsidR="008278D5" w:rsidRDefault="008278D5" w:rsidP="00A62F83">
      <w:pPr>
        <w:pStyle w:val="BodyText1"/>
      </w:pPr>
      <w:r>
        <w:t xml:space="preserve">This Evaluation found </w:t>
      </w:r>
      <w:r w:rsidR="00A845B5">
        <w:t>some</w:t>
      </w:r>
      <w:r w:rsidR="00875C62">
        <w:t xml:space="preserve"> overlap between the factors</w:t>
      </w:r>
      <w:r w:rsidR="00CF5CC9">
        <w:t xml:space="preserve"> </w:t>
      </w:r>
      <w:r w:rsidR="00034EE1">
        <w:t xml:space="preserve">which </w:t>
      </w:r>
      <w:r w:rsidR="00AF0758">
        <w:t xml:space="preserve">impacted the initial implementation of the Standards </w:t>
      </w:r>
      <w:r w:rsidR="0068223C">
        <w:t xml:space="preserve">(discussed in Section </w:t>
      </w:r>
      <w:r w:rsidR="002B602D">
        <w:fldChar w:fldCharType="begin" w:fldLock="1"/>
      </w:r>
      <w:r w:rsidR="002B602D">
        <w:instrText xml:space="preserve"> REF _Ref85439714 \r \h </w:instrText>
      </w:r>
      <w:r w:rsidR="002B602D">
        <w:fldChar w:fldCharType="separate"/>
      </w:r>
      <w:r w:rsidR="00453533">
        <w:t>5.3</w:t>
      </w:r>
      <w:r w:rsidR="002B602D">
        <w:fldChar w:fldCharType="end"/>
      </w:r>
      <w:r w:rsidR="0068223C">
        <w:t xml:space="preserve">) </w:t>
      </w:r>
      <w:r w:rsidR="00AF0758">
        <w:t xml:space="preserve">and the factors which continue to impact </w:t>
      </w:r>
      <w:r w:rsidR="0068223C">
        <w:t xml:space="preserve">the </w:t>
      </w:r>
      <w:r w:rsidR="00863093">
        <w:t xml:space="preserve">ongoing </w:t>
      </w:r>
      <w:r w:rsidR="00AF6C67">
        <w:t xml:space="preserve">achievement of the outcomes intended within the Standards.  </w:t>
      </w:r>
      <w:r w:rsidR="00EA7AC9">
        <w:t>Specific factors which reported to have either contributed to or hindered the achievement of outcomes are presented below.</w:t>
      </w:r>
    </w:p>
    <w:p w14:paraId="1895E68C" w14:textId="77777777" w:rsidR="0032123C" w:rsidRPr="00891F0F" w:rsidRDefault="0032123C" w:rsidP="00231A99">
      <w:pPr>
        <w:pStyle w:val="HeadingLevel3NoNumber"/>
      </w:pPr>
      <w:r w:rsidRPr="00891F0F">
        <w:t>Workforce challenges</w:t>
      </w:r>
    </w:p>
    <w:p w14:paraId="449297C7" w14:textId="77777777" w:rsidR="002508B8" w:rsidRDefault="0032123C" w:rsidP="00A62F83">
      <w:pPr>
        <w:pStyle w:val="BodyText1"/>
      </w:pPr>
      <w:r>
        <w:t>The challenges facing the aged care sector in terms of workforce are well recognised and w</w:t>
      </w:r>
      <w:r w:rsidR="00EA7AC9">
        <w:t>ere</w:t>
      </w:r>
      <w:r>
        <w:t xml:space="preserve"> highlighted as a priority area </w:t>
      </w:r>
      <w:r w:rsidR="00D13542">
        <w:t xml:space="preserve">to address </w:t>
      </w:r>
      <w:r>
        <w:t xml:space="preserve">by the Royal Commission. The sector faced challenges </w:t>
      </w:r>
      <w:r w:rsidR="00D13542">
        <w:t>related to the workforce</w:t>
      </w:r>
      <w:r>
        <w:t xml:space="preserve"> prior to implementation of the Standards, as the country continued to move towards an increasingly ageing population. Since implementation of the Standards, the impact of COVID-19 has further increased workforce challenges due to loss of immigration flow. </w:t>
      </w:r>
    </w:p>
    <w:p w14:paraId="0B7F2983" w14:textId="28684E5A" w:rsidR="004A4898" w:rsidRPr="004A4898" w:rsidRDefault="0032123C" w:rsidP="00A62F83">
      <w:pPr>
        <w:pStyle w:val="BodyText1"/>
      </w:pPr>
      <w:r>
        <w:t>The 2020 Workforce Census highlighted that whilst the workforce was growing in 2019</w:t>
      </w:r>
      <w:r w:rsidR="00D13542">
        <w:t xml:space="preserve"> – </w:t>
      </w:r>
      <w:r>
        <w:t>2020</w:t>
      </w:r>
      <w:r w:rsidR="0011419A">
        <w:t>,</w:t>
      </w:r>
      <w:r>
        <w:t xml:space="preserve"> providers reported that 29% of their workforce left during the year, highlighting an ongoing trend of attrition. </w:t>
      </w:r>
      <w:r w:rsidR="00D554BE">
        <w:t xml:space="preserve">The </w:t>
      </w:r>
      <w:r w:rsidR="00196E2D">
        <w:t xml:space="preserve">resulting </w:t>
      </w:r>
      <w:r w:rsidR="00F3677D">
        <w:t>recruitment and retention issues</w:t>
      </w:r>
      <w:r w:rsidR="00196E2D">
        <w:t xml:space="preserve"> means that providers have </w:t>
      </w:r>
      <w:r w:rsidR="00D13542">
        <w:t xml:space="preserve">faced </w:t>
      </w:r>
      <w:r w:rsidR="00FE5791">
        <w:t>difficulties</w:t>
      </w:r>
      <w:r w:rsidR="00196E2D">
        <w:t xml:space="preserve"> </w:t>
      </w:r>
      <w:r w:rsidR="00FE5791">
        <w:t>delivering the outcomes of Standard 7, but outcomes for all the Standards are impacted by this challenge</w:t>
      </w:r>
      <w:r w:rsidR="00912707">
        <w:t>, as was raised by provider</w:t>
      </w:r>
      <w:r w:rsidR="00342842">
        <w:t>s</w:t>
      </w:r>
      <w:r w:rsidR="004C5772">
        <w:t xml:space="preserve"> and peak representatives</w:t>
      </w:r>
      <w:r w:rsidR="00FE5791">
        <w:t xml:space="preserve">.  </w:t>
      </w:r>
    </w:p>
    <w:p w14:paraId="09D75357" w14:textId="3819B5B4" w:rsidR="0032123C" w:rsidRPr="00891F0F" w:rsidRDefault="0032123C" w:rsidP="00231A99">
      <w:pPr>
        <w:pStyle w:val="HeadingLevel3NoNumber"/>
      </w:pPr>
      <w:r w:rsidRPr="00891F0F">
        <w:t xml:space="preserve">Financial viability of </w:t>
      </w:r>
      <w:r w:rsidR="00A975F1">
        <w:t xml:space="preserve">the </w:t>
      </w:r>
      <w:r w:rsidRPr="00891F0F">
        <w:t>sector</w:t>
      </w:r>
    </w:p>
    <w:p w14:paraId="6A1AB7CF" w14:textId="33087272" w:rsidR="00627AD0" w:rsidRDefault="0032123C" w:rsidP="00A62F83">
      <w:pPr>
        <w:pStyle w:val="BodyText1"/>
        <w:rPr>
          <w:vertAlign w:val="superscript"/>
        </w:rPr>
      </w:pPr>
      <w:r>
        <w:t>Providers face</w:t>
      </w:r>
      <w:r w:rsidR="00F1400B">
        <w:t xml:space="preserve"> continuing</w:t>
      </w:r>
      <w:r>
        <w:t xml:space="preserve"> financial challenges and </w:t>
      </w:r>
      <w:r w:rsidR="003C2E60">
        <w:t xml:space="preserve">suggested there was </w:t>
      </w:r>
      <w:r w:rsidR="00F3677D">
        <w:t xml:space="preserve">has been an ongoing </w:t>
      </w:r>
      <w:r>
        <w:t xml:space="preserve">cost to </w:t>
      </w:r>
      <w:r w:rsidR="00F3677D">
        <w:t xml:space="preserve">meeting the </w:t>
      </w:r>
      <w:r>
        <w:t>regulatory requirements</w:t>
      </w:r>
      <w:r w:rsidR="00F3677D">
        <w:t xml:space="preserve"> under the Standards</w:t>
      </w:r>
      <w:r>
        <w:t xml:space="preserve">. Whilst the scope of </w:t>
      </w:r>
      <w:r w:rsidR="00F3677D">
        <w:t>compliance</w:t>
      </w:r>
      <w:r>
        <w:t xml:space="preserve"> costs could not be independently verified, recent financial trend data highlights that the </w:t>
      </w:r>
      <w:r w:rsidR="009F3A63">
        <w:t xml:space="preserve">financial position of the </w:t>
      </w:r>
      <w:r>
        <w:t xml:space="preserve">sector has </w:t>
      </w:r>
      <w:r w:rsidR="009F3A63">
        <w:t>worsened</w:t>
      </w:r>
      <w:r>
        <w:t xml:space="preserve"> in the last two years. The most recent Aged Care Financing Authority (ACFA) report highlights that there has been a recent trend in deterioration of financial performance, particularly in regional and remote settings.</w:t>
      </w:r>
      <w:r w:rsidR="0083123A">
        <w:rPr>
          <w:rFonts w:ascii="ZWAdobeF" w:hAnsi="ZWAdobeF" w:cs="ZWAdobeF"/>
          <w:sz w:val="2"/>
          <w:szCs w:val="2"/>
        </w:rPr>
        <w:t>62F</w:t>
      </w:r>
      <w:r w:rsidRPr="000E75AA">
        <w:rPr>
          <w:vertAlign w:val="superscript"/>
        </w:rPr>
        <w:footnoteReference w:id="64"/>
      </w:r>
      <w:r>
        <w:t xml:space="preserve"> This does not </w:t>
      </w:r>
      <w:r w:rsidR="008321C2">
        <w:t>necessarily</w:t>
      </w:r>
      <w:r>
        <w:t xml:space="preserve"> demonstrate that the i</w:t>
      </w:r>
      <w:r w:rsidR="008321C2">
        <w:t>ntroduction</w:t>
      </w:r>
      <w:r>
        <w:t xml:space="preserve"> of </w:t>
      </w:r>
      <w:r w:rsidR="004D2B38">
        <w:t xml:space="preserve">the </w:t>
      </w:r>
      <w:r>
        <w:t xml:space="preserve">Standards </w:t>
      </w:r>
      <w:r w:rsidR="00C06FB6">
        <w:t>has added financial pressure to providers,</w:t>
      </w:r>
      <w:r>
        <w:t xml:space="preserve"> but </w:t>
      </w:r>
      <w:r w:rsidR="00C06FB6">
        <w:t xml:space="preserve">rather </w:t>
      </w:r>
      <w:r>
        <w:t xml:space="preserve">confirms an ongoing trend </w:t>
      </w:r>
      <w:r w:rsidR="00BD3923">
        <w:t xml:space="preserve">that </w:t>
      </w:r>
      <w:r>
        <w:t xml:space="preserve">increasing </w:t>
      </w:r>
      <w:r w:rsidR="00BD3923">
        <w:t xml:space="preserve">financial </w:t>
      </w:r>
      <w:r w:rsidR="007A1F1E">
        <w:t>pressures</w:t>
      </w:r>
      <w:r w:rsidR="00BD3923">
        <w:t xml:space="preserve"> are not </w:t>
      </w:r>
      <w:r w:rsidR="007A1F1E">
        <w:t xml:space="preserve">being met by the </w:t>
      </w:r>
      <w:r>
        <w:t xml:space="preserve">funding </w:t>
      </w:r>
      <w:r w:rsidR="007A1F1E">
        <w:t>available.</w:t>
      </w:r>
      <w:r>
        <w:t xml:space="preserve"> </w:t>
      </w:r>
      <w:r w:rsidR="00627AD0">
        <w:t xml:space="preserve">Previous research also found that there was a weak correlation </w:t>
      </w:r>
      <w:r w:rsidR="00842417">
        <w:t>between care</w:t>
      </w:r>
      <w:r w:rsidR="00627AD0">
        <w:t xml:space="preserve"> </w:t>
      </w:r>
      <w:r w:rsidR="00627AD0">
        <w:lastRenderedPageBreak/>
        <w:t xml:space="preserve">indicators </w:t>
      </w:r>
      <w:r w:rsidR="00842417">
        <w:t>and financial metrics across aged care services.</w:t>
      </w:r>
      <w:r w:rsidR="0083123A">
        <w:rPr>
          <w:rFonts w:ascii="ZWAdobeF" w:hAnsi="ZWAdobeF" w:cs="ZWAdobeF"/>
          <w:sz w:val="2"/>
          <w:szCs w:val="2"/>
        </w:rPr>
        <w:t>63F</w:t>
      </w:r>
      <w:r w:rsidR="00842417" w:rsidRPr="000E75AA">
        <w:rPr>
          <w:vertAlign w:val="superscript"/>
        </w:rPr>
        <w:footnoteReference w:id="65"/>
      </w:r>
      <w:r w:rsidR="00627AD0">
        <w:t xml:space="preserve"> </w:t>
      </w:r>
      <w:r w:rsidR="00842417">
        <w:t xml:space="preserve">Nonetheless, </w:t>
      </w:r>
      <w:r w:rsidR="00091DE8">
        <w:t xml:space="preserve">some </w:t>
      </w:r>
      <w:r w:rsidR="008321C2">
        <w:t xml:space="preserve">providers communicated that </w:t>
      </w:r>
      <w:r w:rsidR="00091DE8">
        <w:t>financial pressures were impacting their ability to meet the Standards</w:t>
      </w:r>
      <w:r w:rsidR="00133BCB">
        <w:t>, for example by limiting ability to increase staffing and staff time for training and update to systems and processes</w:t>
      </w:r>
      <w:r w:rsidR="00CB06A8">
        <w:t xml:space="preserve">. </w:t>
      </w:r>
      <w:r w:rsidR="005F74CB">
        <w:t>Financial viability of the sector was identified as an urgent priority by the Royal Commission</w:t>
      </w:r>
      <w:r w:rsidR="005F74CB">
        <w:rPr>
          <w:rFonts w:ascii="ZWAdobeF" w:hAnsi="ZWAdobeF" w:cs="ZWAdobeF"/>
          <w:sz w:val="2"/>
          <w:szCs w:val="2"/>
        </w:rPr>
        <w:t>64F</w:t>
      </w:r>
      <w:r w:rsidR="005F74CB" w:rsidRPr="000E75AA">
        <w:rPr>
          <w:vertAlign w:val="superscript"/>
        </w:rPr>
        <w:footnoteReference w:id="66"/>
      </w:r>
      <w:r w:rsidR="005F74CB" w:rsidRPr="000E75AA">
        <w:rPr>
          <w:vertAlign w:val="superscript"/>
        </w:rPr>
        <w:t xml:space="preserve"> </w:t>
      </w:r>
      <w:r w:rsidR="00105550">
        <w:t>. In response, t</w:t>
      </w:r>
      <w:r w:rsidR="005F74CB">
        <w:t xml:space="preserve">he Australian Government </w:t>
      </w:r>
      <w:r w:rsidR="00023BA0">
        <w:t xml:space="preserve">committed additional funding </w:t>
      </w:r>
      <w:r w:rsidR="00D329B1">
        <w:t>for residential aged care services</w:t>
      </w:r>
      <w:r w:rsidR="006A20D6">
        <w:t xml:space="preserve"> as part of the 2021-22</w:t>
      </w:r>
      <w:r w:rsidR="00D329B1">
        <w:t xml:space="preserve"> </w:t>
      </w:r>
      <w:r w:rsidR="00D339D9">
        <w:t xml:space="preserve">Budget </w:t>
      </w:r>
      <w:r w:rsidR="00D329B1">
        <w:t>which will be rolled into the new Australian National Aged Care Classification (AN-ACC) funding model</w:t>
      </w:r>
      <w:r w:rsidR="006A20D6">
        <w:t>.</w:t>
      </w:r>
    </w:p>
    <w:p w14:paraId="6FBD7BEE" w14:textId="5C31911A" w:rsidR="009A102B" w:rsidRDefault="009A102B" w:rsidP="00231A99">
      <w:pPr>
        <w:pStyle w:val="HeadingLevel3NoNumber"/>
      </w:pPr>
      <w:r w:rsidRPr="008D02B6">
        <w:t>COVID – 19</w:t>
      </w:r>
    </w:p>
    <w:p w14:paraId="258527E0" w14:textId="661B4638" w:rsidR="008802F1" w:rsidRDefault="000F05B3" w:rsidP="00A62F83">
      <w:pPr>
        <w:pStyle w:val="BodyText1"/>
      </w:pPr>
      <w:r>
        <w:t>Stakeholders</w:t>
      </w:r>
      <w:r w:rsidR="00D96720">
        <w:t xml:space="preserve">, in particular providers </w:t>
      </w:r>
      <w:r>
        <w:t xml:space="preserve">reported that </w:t>
      </w:r>
      <w:r w:rsidR="008802F1">
        <w:t xml:space="preserve">COVID-19 </w:t>
      </w:r>
      <w:r>
        <w:t>both contributed to and hindered the achievement of the outcomes</w:t>
      </w:r>
      <w:r w:rsidR="008802F1">
        <w:t xml:space="preserve">. Providers reported that </w:t>
      </w:r>
      <w:r w:rsidR="008802F1" w:rsidRPr="00C938A8">
        <w:t xml:space="preserve">COVID-19 </w:t>
      </w:r>
      <w:r w:rsidR="008802F1">
        <w:t xml:space="preserve">had </w:t>
      </w:r>
      <w:r w:rsidR="008802F1" w:rsidRPr="00C938A8">
        <w:t xml:space="preserve">required </w:t>
      </w:r>
      <w:r w:rsidR="008802F1">
        <w:t xml:space="preserve">providers </w:t>
      </w:r>
      <w:r w:rsidR="008802F1" w:rsidRPr="00C938A8">
        <w:t>to rapidly adapt their systems, policies, and processes in response to the pandemic, resulting in improved and strengthened responses to infection control</w:t>
      </w:r>
      <w:r w:rsidR="008802F1">
        <w:t xml:space="preserve">. </w:t>
      </w:r>
    </w:p>
    <w:p w14:paraId="342CE0B5" w14:textId="2A00B282" w:rsidR="00B06CBB" w:rsidRDefault="008802F1" w:rsidP="00A62F83">
      <w:pPr>
        <w:pStyle w:val="BodyText1"/>
      </w:pPr>
      <w:r>
        <w:t xml:space="preserve">However, due to the measures providers were required to put in place in response to COVID-19, providers’ ability to </w:t>
      </w:r>
      <w:r w:rsidRPr="00411F61">
        <w:t xml:space="preserve">gather feedback </w:t>
      </w:r>
      <w:r w:rsidR="00B75E3B">
        <w:t>from consumers as part of service delivery</w:t>
      </w:r>
      <w:r w:rsidRPr="00411F61">
        <w:t xml:space="preserve"> </w:t>
      </w:r>
      <w:r>
        <w:t>was impacted</w:t>
      </w:r>
      <w:r w:rsidR="00900AF1">
        <w:t xml:space="preserve">. </w:t>
      </w:r>
      <w:r w:rsidR="001D05AB">
        <w:t>R</w:t>
      </w:r>
      <w:r>
        <w:t xml:space="preserve">estrictions on </w:t>
      </w:r>
      <w:r w:rsidRPr="00411F61">
        <w:t>workforce availability due to state-based infection control measures</w:t>
      </w:r>
      <w:r>
        <w:t>, lockdowns and restrictions on movement</w:t>
      </w:r>
      <w:r w:rsidR="00B75E3B">
        <w:t xml:space="preserve"> have</w:t>
      </w:r>
      <w:r w:rsidR="00900AF1">
        <w:t xml:space="preserve"> continued to</w:t>
      </w:r>
      <w:r w:rsidR="00B75E3B">
        <w:t xml:space="preserve"> impact the ability of providers to</w:t>
      </w:r>
      <w:r>
        <w:t xml:space="preserve"> </w:t>
      </w:r>
      <w:r w:rsidR="00682D97">
        <w:t>deliver a number of aspects of care</w:t>
      </w:r>
      <w:r w:rsidR="001D05AB">
        <w:t xml:space="preserve">. Additionally, </w:t>
      </w:r>
      <w:r w:rsidR="00FC30CC">
        <w:t>COVID-19 has</w:t>
      </w:r>
      <w:r w:rsidR="00682D97">
        <w:t xml:space="preserve"> affected the experience of consumers who </w:t>
      </w:r>
      <w:r w:rsidR="00B06CBB">
        <w:t xml:space="preserve">face limitations on various </w:t>
      </w:r>
      <w:r w:rsidR="00673F98">
        <w:t>individual freedoms in line with the rest of the population.</w:t>
      </w:r>
    </w:p>
    <w:p w14:paraId="0B7A522A" w14:textId="77777777" w:rsidR="00926EED" w:rsidRPr="008D02B6" w:rsidRDefault="00926EED" w:rsidP="00231A99">
      <w:pPr>
        <w:pStyle w:val="HeadingLevel3NoNumber"/>
      </w:pPr>
      <w:r w:rsidRPr="008D02B6">
        <w:t>Technology barriers</w:t>
      </w:r>
    </w:p>
    <w:p w14:paraId="490A2E18" w14:textId="6BD155BC" w:rsidR="00065A56" w:rsidRPr="00065A56" w:rsidRDefault="006D05E2" w:rsidP="00A62F83">
      <w:pPr>
        <w:pStyle w:val="BodyText1"/>
      </w:pPr>
      <w:r>
        <w:t>Some</w:t>
      </w:r>
      <w:r w:rsidR="00D96720">
        <w:t xml:space="preserve"> provider and government</w:t>
      </w:r>
      <w:r>
        <w:t xml:space="preserve"> stakeholders raised</w:t>
      </w:r>
      <w:r w:rsidR="002075DD">
        <w:t xml:space="preserve"> </w:t>
      </w:r>
      <w:r w:rsidR="004D2B38">
        <w:t>the fact</w:t>
      </w:r>
      <w:r>
        <w:t xml:space="preserve"> that technology barriers facing the sector affected the ongoing </w:t>
      </w:r>
      <w:r w:rsidR="000258D9">
        <w:t xml:space="preserve">ability of providers to </w:t>
      </w:r>
      <w:r w:rsidR="003919A1">
        <w:t>meet</w:t>
      </w:r>
      <w:r w:rsidR="000258D9">
        <w:t xml:space="preserve"> the Standards. </w:t>
      </w:r>
      <w:r w:rsidR="00C02B1E">
        <w:t xml:space="preserve">These challenges range from </w:t>
      </w:r>
      <w:r w:rsidR="000258D9">
        <w:t>internet connectivity issues</w:t>
      </w:r>
      <w:r w:rsidR="00E64498">
        <w:t xml:space="preserve"> to the cost and training needs of deploying </w:t>
      </w:r>
      <w:r w:rsidR="00332A5F">
        <w:t xml:space="preserve">digital </w:t>
      </w:r>
      <w:r w:rsidR="00822571">
        <w:t>systems</w:t>
      </w:r>
      <w:r w:rsidR="00332A5F">
        <w:t xml:space="preserve"> to support care practices and risk m</w:t>
      </w:r>
      <w:r w:rsidR="00822571">
        <w:t xml:space="preserve">onitoring. </w:t>
      </w:r>
      <w:r w:rsidR="001F2998">
        <w:t xml:space="preserve">The Royal Commission </w:t>
      </w:r>
      <w:r w:rsidR="00FA62AA">
        <w:t>agreed</w:t>
      </w:r>
      <w:r w:rsidR="001F2998">
        <w:t xml:space="preserve"> that technological barriers were a significant challenge facing the sector and that this needed to be addressed as a priority into the future.</w:t>
      </w:r>
      <w:r w:rsidR="0083123A">
        <w:rPr>
          <w:rFonts w:ascii="ZWAdobeF" w:hAnsi="ZWAdobeF" w:cs="ZWAdobeF"/>
          <w:sz w:val="2"/>
          <w:szCs w:val="2"/>
        </w:rPr>
        <w:t>65F</w:t>
      </w:r>
      <w:r w:rsidR="001F2998" w:rsidRPr="000E75AA">
        <w:rPr>
          <w:vertAlign w:val="superscript"/>
        </w:rPr>
        <w:footnoteReference w:id="67"/>
      </w:r>
    </w:p>
    <w:p w14:paraId="1E63F970" w14:textId="1C454445" w:rsidR="00926EED" w:rsidRDefault="0032123C" w:rsidP="00231A99">
      <w:pPr>
        <w:pStyle w:val="HeadingLevel3NoNumber"/>
      </w:pPr>
      <w:r w:rsidRPr="00891F0F">
        <w:t xml:space="preserve">Sector maturity </w:t>
      </w:r>
      <w:r w:rsidR="00D111E9">
        <w:t>and governance</w:t>
      </w:r>
    </w:p>
    <w:p w14:paraId="6952AE14" w14:textId="00F9CDC2" w:rsidR="00C65E6C" w:rsidRPr="00C65E6C" w:rsidRDefault="00F843DF" w:rsidP="00A62F83">
      <w:pPr>
        <w:pStyle w:val="BodyText1"/>
      </w:pPr>
      <w:r>
        <w:t>During consultations, s</w:t>
      </w:r>
      <w:r w:rsidR="0055747D" w:rsidRPr="0055747D">
        <w:t xml:space="preserve">ome </w:t>
      </w:r>
      <w:r w:rsidR="00EA715E">
        <w:t xml:space="preserve">provider, peak and government </w:t>
      </w:r>
      <w:r w:rsidR="0055747D" w:rsidRPr="0055747D">
        <w:t xml:space="preserve">stakeholders raised that </w:t>
      </w:r>
      <w:r w:rsidR="0055747D">
        <w:t xml:space="preserve">a key factor for the achievement of outcomes under the Standards was the organisational maturity, governance and management of a service. </w:t>
      </w:r>
      <w:r w:rsidR="003C57EB">
        <w:t xml:space="preserve">Related to this was the organisational design and setting of a service, such as the size of a service and its access to external corporate support. </w:t>
      </w:r>
      <w:r w:rsidR="00D111E9">
        <w:t>One example provided was that regional and remote services faced increased challenge</w:t>
      </w:r>
      <w:r>
        <w:t>s to recruit</w:t>
      </w:r>
      <w:r w:rsidR="00D111E9">
        <w:t xml:space="preserve"> appropriately skilled and qualified volunteer board members for their services.</w:t>
      </w:r>
    </w:p>
    <w:p w14:paraId="06A862C2" w14:textId="5DB88083" w:rsidR="00F843DF" w:rsidRDefault="0098374C" w:rsidP="00A62F83">
      <w:pPr>
        <w:pStyle w:val="BodyText1"/>
      </w:pPr>
      <w:r>
        <w:t>Providers, peak</w:t>
      </w:r>
      <w:r w:rsidR="00B93722">
        <w:t xml:space="preserve"> bodies</w:t>
      </w:r>
      <w:r>
        <w:t xml:space="preserve"> and c</w:t>
      </w:r>
      <w:r w:rsidR="00EA715E">
        <w:t>are delivery experts</w:t>
      </w:r>
      <w:r>
        <w:t xml:space="preserve"> </w:t>
      </w:r>
      <w:r w:rsidR="00F843DF">
        <w:t xml:space="preserve">reported that </w:t>
      </w:r>
      <w:r w:rsidR="00B70B6A">
        <w:t xml:space="preserve">some </w:t>
      </w:r>
      <w:r w:rsidR="00F843DF">
        <w:t>home care providers who</w:t>
      </w:r>
      <w:r w:rsidR="00B70B6A">
        <w:t xml:space="preserve"> had</w:t>
      </w:r>
      <w:r w:rsidR="00F843DF">
        <w:t xml:space="preserve"> purchased franchised service </w:t>
      </w:r>
      <w:r w:rsidR="0050709F">
        <w:t xml:space="preserve">models </w:t>
      </w:r>
      <w:r w:rsidR="00B70B6A" w:rsidRPr="008F55E8">
        <w:t>trusted franchise supplied tools/resources with limited awareness regarding their own responsibility</w:t>
      </w:r>
      <w:r w:rsidR="00826B72">
        <w:t>. T</w:t>
      </w:r>
      <w:r w:rsidR="005D3F3A">
        <w:t>his included acceptance of</w:t>
      </w:r>
      <w:r w:rsidR="0050709F">
        <w:t xml:space="preserve"> </w:t>
      </w:r>
      <w:r w:rsidR="005D3F3A">
        <w:t>standard</w:t>
      </w:r>
      <w:r w:rsidR="002E7225">
        <w:t>ised</w:t>
      </w:r>
      <w:r w:rsidR="005D3F3A">
        <w:t xml:space="preserve"> </w:t>
      </w:r>
      <w:r w:rsidR="0050709F">
        <w:t>policies and procedures</w:t>
      </w:r>
      <w:r w:rsidR="00C6059D">
        <w:t xml:space="preserve"> which may limit their ability to </w:t>
      </w:r>
      <w:r w:rsidR="00372C01">
        <w:t>tailor their governance to needs of their service and consumers and so limit the</w:t>
      </w:r>
      <w:r w:rsidR="001E4A0E">
        <w:t>ir potential to achieve the outcomes of Standard 8</w:t>
      </w:r>
      <w:r w:rsidR="0050709F">
        <w:t>.</w:t>
      </w:r>
    </w:p>
    <w:p w14:paraId="4D2031E0" w14:textId="4B830E51" w:rsidR="004D3EF0" w:rsidRDefault="007F5129" w:rsidP="00A62F83">
      <w:pPr>
        <w:pStyle w:val="BodyText1"/>
      </w:pPr>
      <w:r>
        <w:t>Broadly</w:t>
      </w:r>
      <w:r w:rsidR="0009374C">
        <w:t>, stakeholders</w:t>
      </w:r>
      <w:r w:rsidR="00482A8A">
        <w:t xml:space="preserve"> reported varied experiences </w:t>
      </w:r>
      <w:r w:rsidR="0009374C">
        <w:t xml:space="preserve">in implementation and adherence to the Standards </w:t>
      </w:r>
      <w:r w:rsidR="006A646B">
        <w:t xml:space="preserve">and noted this was largely reflective of both </w:t>
      </w:r>
      <w:r w:rsidR="002A36D6">
        <w:t xml:space="preserve">organisational leadership </w:t>
      </w:r>
      <w:r w:rsidR="000119D4">
        <w:t>and varying sector maturity.</w:t>
      </w:r>
      <w:r w:rsidR="002B0867">
        <w:t xml:space="preserve"> Reflecting these challenges, </w:t>
      </w:r>
      <w:r w:rsidR="00BE02D1">
        <w:t>the sector is demonstra</w:t>
      </w:r>
      <w:r w:rsidR="006708AD">
        <w:t>bly</w:t>
      </w:r>
      <w:r w:rsidR="00F028CB">
        <w:t xml:space="preserve"> disjointed with no m</w:t>
      </w:r>
      <w:r w:rsidR="006D0D85">
        <w:t>ajo</w:t>
      </w:r>
      <w:r w:rsidR="004A33B8">
        <w:t xml:space="preserve">r market shareholders </w:t>
      </w:r>
      <w:r w:rsidR="0049232F">
        <w:t xml:space="preserve">providing majority </w:t>
      </w:r>
      <w:r w:rsidR="005D387B">
        <w:t>care. The</w:t>
      </w:r>
      <w:r w:rsidR="00F835E5" w:rsidRPr="00F835E5">
        <w:t xml:space="preserve"> residential aged care sector remains highly fragmented</w:t>
      </w:r>
      <w:r w:rsidR="00383663">
        <w:t xml:space="preserve"> in its </w:t>
      </w:r>
      <w:proofErr w:type="spellStart"/>
      <w:r w:rsidR="00383663">
        <w:t>make up</w:t>
      </w:r>
      <w:proofErr w:type="spellEnd"/>
      <w:r w:rsidR="00F835E5" w:rsidRPr="000D6F11">
        <w:t xml:space="preserve">, with over 60% of providers only operating a single residential </w:t>
      </w:r>
      <w:r w:rsidR="000D6F11" w:rsidRPr="000D6F11">
        <w:t>home</w:t>
      </w:r>
      <w:r w:rsidR="00F835E5" w:rsidRPr="00F835E5">
        <w:t>.</w:t>
      </w:r>
      <w:r w:rsidR="000D6F11" w:rsidRPr="000D6F11">
        <w:t xml:space="preserve"> Additionally, no one provider maintains a market share of more than 3%. </w:t>
      </w:r>
      <w:r w:rsidR="000D6F11">
        <w:t>Collectively</w:t>
      </w:r>
      <w:r w:rsidR="004D2B38">
        <w:t>,</w:t>
      </w:r>
      <w:r w:rsidR="000D6F11">
        <w:t xml:space="preserve"> the top 10 providers maintain 23% of the market share</w:t>
      </w:r>
      <w:r w:rsidR="00F835E5">
        <w:t>.</w:t>
      </w:r>
      <w:r w:rsidR="0083123A">
        <w:rPr>
          <w:rFonts w:ascii="ZWAdobeF" w:hAnsi="ZWAdobeF" w:cs="ZWAdobeF"/>
          <w:sz w:val="2"/>
          <w:szCs w:val="2"/>
        </w:rPr>
        <w:t>66F</w:t>
      </w:r>
      <w:r w:rsidR="00AB0407">
        <w:rPr>
          <w:rStyle w:val="FootnoteReference"/>
        </w:rPr>
        <w:footnoteReference w:id="68"/>
      </w:r>
      <w:r w:rsidR="00F835E5">
        <w:t xml:space="preserve"> </w:t>
      </w:r>
    </w:p>
    <w:p w14:paraId="10462D53" w14:textId="77777777" w:rsidR="003F5B81" w:rsidRDefault="003F5B81" w:rsidP="00A62F83">
      <w:pPr>
        <w:pStyle w:val="BodyText1"/>
        <w:sectPr w:rsidR="003F5B81" w:rsidSect="00883902">
          <w:pgSz w:w="11906" w:h="16838"/>
          <w:pgMar w:top="1418" w:right="1418" w:bottom="1418" w:left="1418" w:header="709" w:footer="453" w:gutter="0"/>
          <w:cols w:space="708"/>
          <w:docGrid w:linePitch="360"/>
        </w:sectPr>
      </w:pPr>
    </w:p>
    <w:p w14:paraId="7DC921B9" w14:textId="122CCA66" w:rsidR="003F5B81" w:rsidRDefault="00875870" w:rsidP="00A62F83">
      <w:pPr>
        <w:pStyle w:val="BodyText1"/>
      </w:pPr>
      <w:r>
        <w:rPr>
          <w:noProof/>
        </w:rPr>
        <w:lastRenderedPageBreak/>
        <w:drawing>
          <wp:anchor distT="0" distB="0" distL="114300" distR="114300" simplePos="0" relativeHeight="251707392" behindDoc="1" locked="0" layoutInCell="1" allowOverlap="1" wp14:anchorId="5B5D64C0" wp14:editId="2FEDFBD9">
            <wp:simplePos x="0" y="0"/>
            <wp:positionH relativeFrom="column">
              <wp:posOffset>-915670</wp:posOffset>
            </wp:positionH>
            <wp:positionV relativeFrom="page">
              <wp:posOffset>14605</wp:posOffset>
            </wp:positionV>
            <wp:extent cx="7560000" cy="10692000"/>
            <wp:effectExtent l="0" t="0" r="3175" b="0"/>
            <wp:wrapNone/>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5F8A1CA7" w14:textId="1521C4AE" w:rsidR="00D3144A" w:rsidRPr="00FA1A8D" w:rsidRDefault="00037628" w:rsidP="00152FC8">
      <w:pPr>
        <w:pStyle w:val="Heading1Divider"/>
        <w:spacing w:before="11880"/>
        <w:ind w:left="1134" w:hanging="1134"/>
        <w:rPr>
          <w:sz w:val="60"/>
          <w:szCs w:val="36"/>
        </w:rPr>
      </w:pPr>
      <w:bookmarkStart w:id="238" w:name="_Toc88804099"/>
      <w:bookmarkStart w:id="239" w:name="_Toc89930058"/>
      <w:bookmarkStart w:id="240" w:name="_Toc90453377"/>
      <w:bookmarkStart w:id="241" w:name="_Toc113448705"/>
      <w:r w:rsidRPr="00FA1A8D">
        <w:rPr>
          <w:sz w:val="60"/>
          <w:szCs w:val="36"/>
        </w:rPr>
        <w:t>Con</w:t>
      </w:r>
      <w:r w:rsidR="00843D61" w:rsidRPr="00FA1A8D">
        <w:rPr>
          <w:sz w:val="60"/>
          <w:szCs w:val="36"/>
        </w:rPr>
        <w:t>clusion and con</w:t>
      </w:r>
      <w:r w:rsidRPr="00FA1A8D">
        <w:rPr>
          <w:sz w:val="60"/>
          <w:szCs w:val="36"/>
        </w:rPr>
        <w:t>siderations for the review of the Standards</w:t>
      </w:r>
      <w:bookmarkEnd w:id="238"/>
      <w:bookmarkEnd w:id="239"/>
      <w:bookmarkEnd w:id="240"/>
      <w:bookmarkEnd w:id="241"/>
    </w:p>
    <w:p w14:paraId="19296902" w14:textId="413D480F" w:rsidR="00A62F83" w:rsidRPr="00FA1A8D" w:rsidRDefault="00A62F83" w:rsidP="00A62F83">
      <w:pPr>
        <w:pStyle w:val="HeadingLevel1NoNumber"/>
      </w:pPr>
      <w:bookmarkStart w:id="242" w:name="_Toc88804100"/>
      <w:r w:rsidRPr="00FA1A8D">
        <w:lastRenderedPageBreak/>
        <w:t>Conclusion and considerations for the review of the Standards</w:t>
      </w:r>
      <w:bookmarkEnd w:id="242"/>
    </w:p>
    <w:p w14:paraId="4D1A834A" w14:textId="242B68EF" w:rsidR="00CD1653" w:rsidRDefault="00CD1653" w:rsidP="00334396">
      <w:pPr>
        <w:pStyle w:val="IntroPara"/>
        <w:tabs>
          <w:tab w:val="clear" w:pos="720"/>
        </w:tabs>
      </w:pPr>
      <w:r>
        <w:t xml:space="preserve">This section presents </w:t>
      </w:r>
      <w:r w:rsidR="0062133F">
        <w:t>key considerations for the future review and changes to the Standards.</w:t>
      </w:r>
    </w:p>
    <w:p w14:paraId="7738B84B" w14:textId="4D6D1689" w:rsidR="00AC13B4" w:rsidRDefault="00FA2EB7" w:rsidP="00FA2EB7">
      <w:pPr>
        <w:pStyle w:val="Heading2"/>
      </w:pPr>
      <w:bookmarkStart w:id="243" w:name="_Toc88804101"/>
      <w:bookmarkStart w:id="244" w:name="_Toc89930059"/>
      <w:bookmarkStart w:id="245" w:name="_Toc90453378"/>
      <w:bookmarkStart w:id="246" w:name="_Toc113448706"/>
      <w:r>
        <w:t xml:space="preserve">8.1 </w:t>
      </w:r>
      <w:r w:rsidR="00AC13B4">
        <w:t>Conclusions</w:t>
      </w:r>
      <w:bookmarkEnd w:id="243"/>
      <w:bookmarkEnd w:id="244"/>
      <w:bookmarkEnd w:id="245"/>
      <w:bookmarkEnd w:id="246"/>
    </w:p>
    <w:p w14:paraId="4B17ED14" w14:textId="23129EBB" w:rsidR="000355EE" w:rsidRDefault="00843D61" w:rsidP="006A57DB">
      <w:pPr>
        <w:pStyle w:val="BodyText1"/>
      </w:pPr>
      <w:r w:rsidRPr="00843D61">
        <w:t>The implementation of any new set of standards is intentional and transformational for a</w:t>
      </w:r>
      <w:r w:rsidR="00224FD1">
        <w:t xml:space="preserve"> </w:t>
      </w:r>
      <w:r w:rsidRPr="00843D61">
        <w:t xml:space="preserve">sector or industry. </w:t>
      </w:r>
      <w:r w:rsidR="000355EE">
        <w:t xml:space="preserve">The development and implementation of the Standards can require a significant amount of investment from government, providers and the broader sector </w:t>
      </w:r>
      <w:r w:rsidRPr="00843D61">
        <w:t>to test, refine, review, implement and adjust to newly introduced Standards.</w:t>
      </w:r>
    </w:p>
    <w:p w14:paraId="75868A84" w14:textId="0228E249" w:rsidR="00C10D8B" w:rsidRPr="00C10D8B" w:rsidRDefault="00C443B8" w:rsidP="006A57DB">
      <w:pPr>
        <w:pStyle w:val="BodyText1"/>
      </w:pPr>
      <w:r w:rsidRPr="00C443B8">
        <w:t>The introduction of the Standards was a significant change for the aged care sector. The Standards were the first single set of standards to apply across all Commonwealth funded aged care service types in Australia. The Standards introduced new themes and requirements</w:t>
      </w:r>
      <w:r w:rsidR="0088768D">
        <w:t xml:space="preserve"> centred on consumer outcomes</w:t>
      </w:r>
      <w:r w:rsidRPr="00C443B8">
        <w:t xml:space="preserve">. The framing of the new Standards introduced more complex dimensions to meeting specific requirements which </w:t>
      </w:r>
      <w:r w:rsidR="00130D9B">
        <w:t>were</w:t>
      </w:r>
      <w:r w:rsidRPr="00C443B8">
        <w:t xml:space="preserve"> less binary in nature.</w:t>
      </w:r>
      <w:r w:rsidR="00A96A6E">
        <w:t xml:space="preserve"> As such, </w:t>
      </w:r>
      <w:r w:rsidR="0031001F">
        <w:t xml:space="preserve">a high proportion of </w:t>
      </w:r>
      <w:r w:rsidR="00A96A6E">
        <w:t>providers experienced challenges with implementing the Standards</w:t>
      </w:r>
      <w:r w:rsidR="009959F0">
        <w:t xml:space="preserve"> and further guidance on </w:t>
      </w:r>
      <w:r w:rsidR="00936573">
        <w:t>the expectations of the Commission</w:t>
      </w:r>
      <w:r w:rsidR="001E10B4" w:rsidRPr="001E10B4">
        <w:t xml:space="preserve"> </w:t>
      </w:r>
      <w:r w:rsidR="001E10B4">
        <w:t>and how they assess performance against the Standards</w:t>
      </w:r>
      <w:r w:rsidR="009959F0">
        <w:t xml:space="preserve"> would be beneficial</w:t>
      </w:r>
      <w:r w:rsidR="001E10B4">
        <w:t>.</w:t>
      </w:r>
    </w:p>
    <w:p w14:paraId="66559759" w14:textId="43AD94B3" w:rsidR="00C10D8B" w:rsidRPr="00C10D8B" w:rsidRDefault="00B80BDB" w:rsidP="006A57DB">
      <w:pPr>
        <w:pStyle w:val="BodyText1"/>
      </w:pPr>
      <w:r w:rsidRPr="00B80BDB">
        <w:t xml:space="preserve">The Royal Commission highlighted a range of improvement areas for the Standards which were consistent with stakeholder perspectives provided during this </w:t>
      </w:r>
      <w:r w:rsidR="00843D61">
        <w:t>E</w:t>
      </w:r>
      <w:r w:rsidRPr="00B80BDB">
        <w:t xml:space="preserve">valuation. </w:t>
      </w:r>
      <w:r w:rsidR="00497438" w:rsidRPr="00497438">
        <w:t xml:space="preserve">There was support for the ‘consumer’ focus of the Standards, but </w:t>
      </w:r>
      <w:r w:rsidR="00497438">
        <w:t xml:space="preserve">the Royal Commission was critical of specific gaps within the Standards and the measurability of the Standards. </w:t>
      </w:r>
      <w:r w:rsidR="00936573" w:rsidRPr="00936573">
        <w:t xml:space="preserve">Despite having these concerns, </w:t>
      </w:r>
      <w:r w:rsidR="00497438">
        <w:t>the Royal Commission noted that</w:t>
      </w:r>
      <w:r w:rsidR="00936573" w:rsidRPr="00936573">
        <w:t xml:space="preserve"> </w:t>
      </w:r>
      <w:r w:rsidR="00497438">
        <w:t>‘</w:t>
      </w:r>
      <w:r w:rsidR="00936573" w:rsidRPr="00936573">
        <w:t>the current Aged Care Quality Standards have only relatively recently come into effect</w:t>
      </w:r>
      <w:r w:rsidR="00171EFA">
        <w:t xml:space="preserve"> and were </w:t>
      </w:r>
      <w:r w:rsidR="00936573" w:rsidRPr="00936573">
        <w:t>the result of an extensive process of consultation</w:t>
      </w:r>
      <w:r w:rsidR="00171EFA">
        <w:t xml:space="preserve">’, and as such did not </w:t>
      </w:r>
      <w:r w:rsidR="005669B6">
        <w:t xml:space="preserve">recommend introducing a </w:t>
      </w:r>
      <w:r w:rsidR="00936573" w:rsidRPr="00936573">
        <w:t>new set of Standards at this time.</w:t>
      </w:r>
    </w:p>
    <w:p w14:paraId="10B59172" w14:textId="75B6F04A" w:rsidR="00117B7F" w:rsidRPr="00117B7F" w:rsidRDefault="00324C4D" w:rsidP="00117B7F">
      <w:pPr>
        <w:pStyle w:val="BodyText1"/>
      </w:pPr>
      <w:r>
        <w:t xml:space="preserve">While </w:t>
      </w:r>
      <w:r w:rsidRPr="00324C4D">
        <w:t>it is too early to make a conclusive statement as to whether service providers are achieving consumer outcomes</w:t>
      </w:r>
      <w:r>
        <w:t>, feedback received from stakeholders during the consultation indicate</w:t>
      </w:r>
      <w:r w:rsidR="0048760E">
        <w:t>s</w:t>
      </w:r>
      <w:r>
        <w:t xml:space="preserve"> that the Standards </w:t>
      </w:r>
      <w:r w:rsidR="006C7E08">
        <w:t xml:space="preserve">have contributed to </w:t>
      </w:r>
      <w:r w:rsidR="00523380">
        <w:t xml:space="preserve">some </w:t>
      </w:r>
      <w:r w:rsidR="006C7E08">
        <w:t>improvements in the quality and safety of care delivered within the sector.</w:t>
      </w:r>
      <w:r w:rsidR="00523380">
        <w:t xml:space="preserve"> There is opportunity to </w:t>
      </w:r>
      <w:r w:rsidR="006F560F">
        <w:t>enhance</w:t>
      </w:r>
      <w:r w:rsidR="00523380">
        <w:t xml:space="preserve"> the current set of Standards in the short </w:t>
      </w:r>
      <w:r w:rsidR="00D5040D">
        <w:t>to</w:t>
      </w:r>
      <w:r w:rsidR="00523380">
        <w:t xml:space="preserve"> medium term </w:t>
      </w:r>
      <w:r w:rsidR="00D5040D">
        <w:t xml:space="preserve">to address concerns raised during the Royal Commission and this Evaluation. </w:t>
      </w:r>
      <w:r w:rsidR="00753AD1">
        <w:t>In the longer te</w:t>
      </w:r>
      <w:r w:rsidR="00BE4101">
        <w:t xml:space="preserve">rm there is opportunity to pursue greater alignment </w:t>
      </w:r>
      <w:r w:rsidR="000A3396">
        <w:t xml:space="preserve">of standards </w:t>
      </w:r>
      <w:r w:rsidR="00BE4101">
        <w:t xml:space="preserve">between </w:t>
      </w:r>
      <w:r w:rsidR="000A3396" w:rsidRPr="00702B03">
        <w:t>sectors</w:t>
      </w:r>
      <w:r w:rsidR="00582FA1">
        <w:t>.</w:t>
      </w:r>
      <w:r w:rsidR="00DF612A">
        <w:t xml:space="preserve"> Any changes to the Standards need to be considered </w:t>
      </w:r>
      <w:r w:rsidR="0038623B">
        <w:t xml:space="preserve">and designed </w:t>
      </w:r>
      <w:r w:rsidR="00DF612A">
        <w:t>within the context of broader changes occurring within the aged care sector</w:t>
      </w:r>
      <w:r w:rsidR="00B43FFF">
        <w:t xml:space="preserve"> (as articulated in Section </w:t>
      </w:r>
      <w:r w:rsidR="00D20751">
        <w:fldChar w:fldCharType="begin" w:fldLock="1"/>
      </w:r>
      <w:r w:rsidR="00D20751">
        <w:instrText xml:space="preserve"> REF _Ref85221500 \r \h </w:instrText>
      </w:r>
      <w:r w:rsidR="00D20751">
        <w:fldChar w:fldCharType="separate"/>
      </w:r>
      <w:r w:rsidR="00453533">
        <w:t>5</w:t>
      </w:r>
      <w:r w:rsidR="00D20751">
        <w:fldChar w:fldCharType="end"/>
      </w:r>
      <w:r w:rsidR="00D20751">
        <w:t>)</w:t>
      </w:r>
      <w:r w:rsidR="009F4156">
        <w:t xml:space="preserve"> </w:t>
      </w:r>
      <w:r w:rsidR="00A6170C">
        <w:t>including those</w:t>
      </w:r>
      <w:r w:rsidR="00D25F21">
        <w:t xml:space="preserve"> that directly relate to t</w:t>
      </w:r>
      <w:r w:rsidR="00A6170C">
        <w:t>he Standards,</w:t>
      </w:r>
      <w:r w:rsidR="00895305" w:rsidRPr="00895305">
        <w:t xml:space="preserve"> </w:t>
      </w:r>
      <w:r w:rsidR="00895305">
        <w:t>and with consideration of the significant investment to implement. This includes relevant reform commitments by the Australian Government</w:t>
      </w:r>
      <w:r w:rsidR="00A6170C">
        <w:t xml:space="preserve"> such as:</w:t>
      </w:r>
    </w:p>
    <w:p w14:paraId="5D7089C0" w14:textId="6AE870E7" w:rsidR="009A632D" w:rsidRDefault="00D45833" w:rsidP="00A62F83">
      <w:pPr>
        <w:pStyle w:val="Bullet1stlevel"/>
      </w:pPr>
      <w:r>
        <w:t>QI</w:t>
      </w:r>
      <w:r w:rsidR="009A632D">
        <w:t xml:space="preserve"> Program and introduction of further indicators should be aligned with/or inform measuring performance against the </w:t>
      </w:r>
      <w:r w:rsidR="00B95D84">
        <w:t>S</w:t>
      </w:r>
      <w:r w:rsidR="009A632D">
        <w:t xml:space="preserve">tandards </w:t>
      </w:r>
    </w:p>
    <w:p w14:paraId="5BCFCB8C" w14:textId="0ED6456F" w:rsidR="004E77A8" w:rsidRDefault="004E77A8" w:rsidP="00A62F83">
      <w:pPr>
        <w:pStyle w:val="Bullet1stlevel"/>
      </w:pPr>
      <w:r>
        <w:t>Review and amendment</w:t>
      </w:r>
      <w:r w:rsidR="008A4981">
        <w:t>s</w:t>
      </w:r>
      <w:r>
        <w:t xml:space="preserve"> to the Clinical Standard</w:t>
      </w:r>
      <w:r w:rsidR="000719A3">
        <w:t xml:space="preserve"> by </w:t>
      </w:r>
      <w:r w:rsidR="008A4981">
        <w:t>A</w:t>
      </w:r>
      <w:r w:rsidR="002142F7">
        <w:t>CQS</w:t>
      </w:r>
      <w:r w:rsidR="008A4981">
        <w:t>H</w:t>
      </w:r>
      <w:r w:rsidR="002142F7">
        <w:t>C</w:t>
      </w:r>
      <w:r w:rsidR="001F5BAC">
        <w:t xml:space="preserve"> </w:t>
      </w:r>
    </w:p>
    <w:p w14:paraId="1E2A8449" w14:textId="0C42B0AF" w:rsidR="00A6170C" w:rsidRDefault="00A6170C">
      <w:pPr>
        <w:pStyle w:val="Bullet1stlevel"/>
      </w:pPr>
      <w:r>
        <w:t xml:space="preserve">Introduction of new measures to monitoring the quality and safety of aged care, including a new </w:t>
      </w:r>
      <w:r w:rsidR="00D94B32">
        <w:t>star ratings system</w:t>
      </w:r>
      <w:r w:rsidR="00AF1B94">
        <w:t>.</w:t>
      </w:r>
    </w:p>
    <w:p w14:paraId="6CE52F58" w14:textId="02367044" w:rsidR="006822B4" w:rsidRDefault="006822B4" w:rsidP="006A57DB">
      <w:pPr>
        <w:pStyle w:val="BodyText1"/>
      </w:pPr>
      <w:r>
        <w:t>Specific considerations on this are presented below.</w:t>
      </w:r>
    </w:p>
    <w:p w14:paraId="226735FE" w14:textId="69C4191F" w:rsidR="00BC5970" w:rsidRDefault="000C426E" w:rsidP="00231A99">
      <w:pPr>
        <w:pStyle w:val="HeadingLevel3NoNumber"/>
      </w:pPr>
      <w:r>
        <w:lastRenderedPageBreak/>
        <w:t>Enhance the</w:t>
      </w:r>
      <w:r w:rsidR="006822B4">
        <w:t xml:space="preserve"> current </w:t>
      </w:r>
      <w:r w:rsidR="006822B4" w:rsidRPr="00A62F83">
        <w:t>Standards</w:t>
      </w:r>
    </w:p>
    <w:p w14:paraId="6A6F5BCF" w14:textId="2898187D" w:rsidR="00BC5970" w:rsidRDefault="00BC5970" w:rsidP="006A57DB">
      <w:pPr>
        <w:pStyle w:val="BodyText1"/>
      </w:pPr>
      <w:r>
        <w:t>As the introduction of a set of Standards is a significant change for the sector, the process to change the Standards could occur in a staged approach, as follows:</w:t>
      </w:r>
    </w:p>
    <w:p w14:paraId="1C468405" w14:textId="77777777" w:rsidR="00BC5970" w:rsidRPr="00BC5970" w:rsidRDefault="00BC5970" w:rsidP="00F626EE">
      <w:pPr>
        <w:pStyle w:val="HeadingLevel4NoNumber"/>
      </w:pPr>
      <w:r w:rsidRPr="00BC5970">
        <w:t>Short to medium term</w:t>
      </w:r>
    </w:p>
    <w:p w14:paraId="097E2D42" w14:textId="096461D0" w:rsidR="00691AAB" w:rsidRDefault="00BC5970" w:rsidP="006A57DB">
      <w:pPr>
        <w:pStyle w:val="BodyText1"/>
      </w:pPr>
      <w:r>
        <w:t xml:space="preserve">There is opportunity to </w:t>
      </w:r>
      <w:r w:rsidR="000C426E">
        <w:t>enhance</w:t>
      </w:r>
      <w:r>
        <w:t xml:space="preserve"> the current set of Standards in the short to medium term to address concerns raised during the Royal Commission and this Evaluation.</w:t>
      </w:r>
      <w:r w:rsidR="00A679B5">
        <w:t xml:space="preserve"> </w:t>
      </w:r>
      <w:r w:rsidR="000C7F46">
        <w:t xml:space="preserve">This is likely to require more focused attention and </w:t>
      </w:r>
      <w:r w:rsidR="000C426E">
        <w:t>refin</w:t>
      </w:r>
      <w:r w:rsidR="00AF22AF">
        <w:t>e</w:t>
      </w:r>
      <w:r w:rsidR="000C426E">
        <w:t>ments</w:t>
      </w:r>
      <w:r w:rsidR="000C7F46">
        <w:t xml:space="preserve"> to the </w:t>
      </w:r>
      <w:r w:rsidR="0048760E">
        <w:t>r</w:t>
      </w:r>
      <w:r w:rsidR="000C7F46">
        <w:t>equirements statements within the Standards.</w:t>
      </w:r>
      <w:r w:rsidR="006F734C">
        <w:t xml:space="preserve"> This could include </w:t>
      </w:r>
      <w:r w:rsidR="00B730B9">
        <w:t xml:space="preserve">revisions to existing requirements or </w:t>
      </w:r>
      <w:r w:rsidR="006F734C">
        <w:t xml:space="preserve">the introduction of </w:t>
      </w:r>
      <w:r w:rsidR="00B730B9">
        <w:t>some</w:t>
      </w:r>
      <w:r w:rsidR="006F734C">
        <w:t xml:space="preserve"> more detailed or prescriptive requirements</w:t>
      </w:r>
      <w:r w:rsidR="0025147F">
        <w:t>, both of which</w:t>
      </w:r>
      <w:r w:rsidR="006F734C">
        <w:t xml:space="preserve"> could address the issues raised by the Royal Commission </w:t>
      </w:r>
      <w:r w:rsidR="006F734C" w:rsidRPr="006F734C">
        <w:t>related to measurability and meet provider demand for clarity of expectations of the Commission in relation to each Standard</w:t>
      </w:r>
      <w:r w:rsidR="006F734C">
        <w:t>.</w:t>
      </w:r>
      <w:r w:rsidR="00612B16">
        <w:t xml:space="preserve"> </w:t>
      </w:r>
      <w:r w:rsidR="00612B16" w:rsidRPr="00612B16">
        <w:t>More significant changes in architecture may provide a first step in alignment of standards between care sectors, and lessen the extent of future changes required to achieve convergence.</w:t>
      </w:r>
    </w:p>
    <w:p w14:paraId="41570DAB" w14:textId="3E8AFD6C" w:rsidR="00DD1DBB" w:rsidRDefault="006F734C" w:rsidP="006A57DB">
      <w:pPr>
        <w:pStyle w:val="BodyText1"/>
      </w:pPr>
      <w:r>
        <w:t>However</w:t>
      </w:r>
      <w:r w:rsidR="00230483">
        <w:t>,</w:t>
      </w:r>
      <w:r>
        <w:t xml:space="preserve"> the introduction of </w:t>
      </w:r>
      <w:r w:rsidR="00230483">
        <w:t xml:space="preserve">new requirements needs to be </w:t>
      </w:r>
      <w:r w:rsidR="002C44ED">
        <w:t>balanced with</w:t>
      </w:r>
      <w:r w:rsidR="00230483">
        <w:t xml:space="preserve"> a range of factors including the </w:t>
      </w:r>
      <w:r w:rsidR="00DC5AA3">
        <w:t xml:space="preserve">consequences for the length </w:t>
      </w:r>
      <w:r w:rsidR="0048760E">
        <w:t>of</w:t>
      </w:r>
      <w:r w:rsidR="00DC5AA3">
        <w:t xml:space="preserve"> the Standards, </w:t>
      </w:r>
      <w:r w:rsidR="00230483">
        <w:t>potential regulatory impact on providers</w:t>
      </w:r>
      <w:r w:rsidR="00E11442">
        <w:t xml:space="preserve"> and the regulator, </w:t>
      </w:r>
      <w:r w:rsidR="00AF22AF">
        <w:t>the diverse maturity of providers within the sector and the need to strengthen</w:t>
      </w:r>
      <w:r w:rsidR="00E11442">
        <w:t xml:space="preserve"> clarity and measurability.</w:t>
      </w:r>
      <w:r w:rsidR="00DD1DBB">
        <w:t xml:space="preserve"> </w:t>
      </w:r>
      <w:r w:rsidR="00A64F8A">
        <w:t xml:space="preserve">The advantages of </w:t>
      </w:r>
      <w:r w:rsidR="00A64F8A" w:rsidRPr="00A64F8A">
        <w:t>making</w:t>
      </w:r>
      <w:r w:rsidR="00A64F8A">
        <w:t xml:space="preserve"> more</w:t>
      </w:r>
      <w:r w:rsidR="00A64F8A" w:rsidRPr="00A64F8A">
        <w:t xml:space="preserve"> moderate changes to the Standards </w:t>
      </w:r>
      <w:r w:rsidR="00A64F8A">
        <w:t xml:space="preserve">initially </w:t>
      </w:r>
      <w:r w:rsidR="00A64F8A" w:rsidRPr="00A64F8A">
        <w:t xml:space="preserve">is that it will enable government to collect more data on </w:t>
      </w:r>
      <w:r w:rsidR="00675790">
        <w:t xml:space="preserve">provider </w:t>
      </w:r>
      <w:r w:rsidR="00A64F8A" w:rsidRPr="00A64F8A">
        <w:t xml:space="preserve">performance against the Standards and </w:t>
      </w:r>
      <w:r w:rsidR="0001000B">
        <w:t xml:space="preserve">to </w:t>
      </w:r>
      <w:r w:rsidR="00675790">
        <w:t>observe overall outcomes that have been achieved</w:t>
      </w:r>
      <w:r w:rsidR="006B5F76">
        <w:t xml:space="preserve"> </w:t>
      </w:r>
      <w:r w:rsidR="00A64F8A" w:rsidRPr="00A64F8A">
        <w:t>and allow more time for providers to embed requirements into practice.</w:t>
      </w:r>
    </w:p>
    <w:p w14:paraId="6737358F" w14:textId="1424C62D" w:rsidR="006F734C" w:rsidRDefault="00DD1DBB" w:rsidP="006A57DB">
      <w:pPr>
        <w:pStyle w:val="BodyText1"/>
      </w:pPr>
      <w:r w:rsidRPr="00DD1DBB">
        <w:t>For Standards that are a less prescriptive or detailed in nature, regulators in other sectors often use guidance material or other supporting documents such as the publication of accreditation guidelines to support provider understanding of how to meet a Standard.</w:t>
      </w:r>
      <w:r>
        <w:t xml:space="preserve"> </w:t>
      </w:r>
      <w:r w:rsidR="00FB6390" w:rsidRPr="00FB6390">
        <w:t>Similarly, stakeholders consulted as part of this Evaluation identified a preference for more detailed information on requirements to meet the Standards</w:t>
      </w:r>
      <w:r w:rsidR="00FB6390">
        <w:t xml:space="preserve">. </w:t>
      </w:r>
      <w:r>
        <w:t>As such, there is potential for more detailed</w:t>
      </w:r>
      <w:r w:rsidR="00F12A31">
        <w:t xml:space="preserve"> or</w:t>
      </w:r>
      <w:r>
        <w:t xml:space="preserve"> clarifying statements</w:t>
      </w:r>
      <w:r w:rsidR="00F12A31">
        <w:t>, some of which were raised as ‘gaps’ by stakeholders during this Evaluation,</w:t>
      </w:r>
      <w:r>
        <w:t xml:space="preserve"> to be contained</w:t>
      </w:r>
      <w:r w:rsidR="00F12A31">
        <w:t xml:space="preserve"> in supporting guidance material</w:t>
      </w:r>
      <w:r w:rsidR="00C905CB">
        <w:t>,</w:t>
      </w:r>
      <w:r w:rsidR="00832F80">
        <w:t xml:space="preserve"> such as through a sub-layer of indicators</w:t>
      </w:r>
      <w:r w:rsidR="00C905CB">
        <w:t>,</w:t>
      </w:r>
      <w:r w:rsidR="00F12A31">
        <w:t xml:space="preserve"> rather than</w:t>
      </w:r>
      <w:r w:rsidR="00C905CB">
        <w:t xml:space="preserve"> within the</w:t>
      </w:r>
      <w:r w:rsidR="00F12A31">
        <w:t xml:space="preserve"> text of the Standards.</w:t>
      </w:r>
    </w:p>
    <w:p w14:paraId="1DEEFFB2" w14:textId="2CACB90E" w:rsidR="008A6E37" w:rsidRDefault="00F12A31" w:rsidP="006A57DB">
      <w:pPr>
        <w:pStyle w:val="BodyText1"/>
      </w:pPr>
      <w:r>
        <w:t>Specific areas for</w:t>
      </w:r>
      <w:r w:rsidR="008A6E37">
        <w:t xml:space="preserve"> consideration </w:t>
      </w:r>
      <w:r>
        <w:t>include</w:t>
      </w:r>
      <w:r w:rsidR="008A6E37">
        <w:t>:</w:t>
      </w:r>
    </w:p>
    <w:p w14:paraId="279F3520" w14:textId="239ED737" w:rsidR="008A6E37" w:rsidRDefault="008A6E37" w:rsidP="00A62F83">
      <w:pPr>
        <w:pStyle w:val="Bullet1stlevel"/>
      </w:pPr>
      <w:r w:rsidRPr="00EE686E">
        <w:rPr>
          <w:rStyle w:val="Strong"/>
        </w:rPr>
        <w:t>Addressing gaps</w:t>
      </w:r>
      <w:r>
        <w:t xml:space="preserve"> </w:t>
      </w:r>
      <w:r w:rsidR="00BC5970">
        <w:t>identified by the Royal Commission and supported by stakeholders as part of this Evaluation</w:t>
      </w:r>
      <w:r w:rsidR="00B41B33">
        <w:t>.</w:t>
      </w:r>
    </w:p>
    <w:p w14:paraId="203F64AC" w14:textId="77EBC2DB" w:rsidR="005B2955" w:rsidRDefault="00DD7CA1" w:rsidP="00EE686E">
      <w:pPr>
        <w:pStyle w:val="Bullet1stlevel"/>
      </w:pPr>
      <w:r w:rsidRPr="00EE686E">
        <w:rPr>
          <w:rStyle w:val="Strong"/>
        </w:rPr>
        <w:t>Removing</w:t>
      </w:r>
      <w:r w:rsidR="005B2955" w:rsidRPr="00EE686E">
        <w:rPr>
          <w:rStyle w:val="Strong"/>
        </w:rPr>
        <w:t xml:space="preserve"> perceived</w:t>
      </w:r>
      <w:r w:rsidRPr="00EE686E">
        <w:rPr>
          <w:rStyle w:val="Strong"/>
        </w:rPr>
        <w:t xml:space="preserve"> repetition within specific Standards</w:t>
      </w:r>
      <w:r w:rsidR="00691AAB" w:rsidRPr="00691AAB">
        <w:t xml:space="preserve"> </w:t>
      </w:r>
      <w:r w:rsidR="005B2955" w:rsidRPr="005B2955">
        <w:t xml:space="preserve">through the inclusion of more detailed </w:t>
      </w:r>
      <w:r w:rsidR="005B2955" w:rsidRPr="00EE686E">
        <w:t>requirements</w:t>
      </w:r>
      <w:r w:rsidR="005B2955" w:rsidRPr="005B2955">
        <w:t xml:space="preserve"> under existing Standards to distinguish between requirements under different Standards where there are common elements or perceived repetition</w:t>
      </w:r>
      <w:r w:rsidR="005B2955">
        <w:t>.</w:t>
      </w:r>
      <w:r w:rsidR="005B2955" w:rsidRPr="005B2955">
        <w:t xml:space="preserve"> </w:t>
      </w:r>
    </w:p>
    <w:p w14:paraId="27FFC72C" w14:textId="2C69EEF2" w:rsidR="00691AAB" w:rsidRDefault="00691AAB" w:rsidP="007E0AEA">
      <w:pPr>
        <w:pStyle w:val="Bullet1stlevel"/>
      </w:pPr>
      <w:r w:rsidRPr="00EE686E">
        <w:rPr>
          <w:rStyle w:val="Strong"/>
        </w:rPr>
        <w:t>Expanding requirements statements with multiple concepts</w:t>
      </w:r>
      <w:r>
        <w:t xml:space="preserve"> into separate requirements statements.</w:t>
      </w:r>
    </w:p>
    <w:p w14:paraId="6B59B58A" w14:textId="219C24F3" w:rsidR="00C27E22" w:rsidRPr="0020306D" w:rsidRDefault="00F12A31" w:rsidP="00A62F83">
      <w:pPr>
        <w:pStyle w:val="Bullet1stlevel"/>
      </w:pPr>
      <w:r w:rsidRPr="00EE686E">
        <w:rPr>
          <w:rStyle w:val="Strong"/>
        </w:rPr>
        <w:t>Improving measurability of the Standards</w:t>
      </w:r>
      <w:r>
        <w:rPr>
          <w:b/>
          <w:bCs/>
        </w:rPr>
        <w:t xml:space="preserve"> </w:t>
      </w:r>
      <w:r w:rsidR="000917EA" w:rsidRPr="0020306D">
        <w:t>through amendments to existing requirements or the introduction of new</w:t>
      </w:r>
      <w:r w:rsidR="00DC5AA3" w:rsidRPr="0020306D">
        <w:t>, mor</w:t>
      </w:r>
      <w:r w:rsidRPr="0020306D">
        <w:t xml:space="preserve">e detailed </w:t>
      </w:r>
      <w:r w:rsidR="00D771AF" w:rsidRPr="0020306D">
        <w:t>requirement statements.</w:t>
      </w:r>
    </w:p>
    <w:p w14:paraId="7AA7CA19" w14:textId="6B09136B" w:rsidR="005B1E43" w:rsidRDefault="004F43C1" w:rsidP="004F43C1">
      <w:pPr>
        <w:pStyle w:val="BodyText1"/>
      </w:pPr>
      <w:r>
        <w:t xml:space="preserve">In the short term, the Commission or the Department could also consider publishing </w:t>
      </w:r>
      <w:r w:rsidR="002E2CCD">
        <w:t>guidance material for HCP providers similar to that available for CHSP providers</w:t>
      </w:r>
      <w:r w:rsidR="004F45BC">
        <w:t xml:space="preserve"> to address concerns raised regarding understanding of the Standards</w:t>
      </w:r>
      <w:r w:rsidR="000418BC">
        <w:t xml:space="preserve">, </w:t>
      </w:r>
      <w:r w:rsidR="004F45BC">
        <w:t>their relevan</w:t>
      </w:r>
      <w:r w:rsidR="000418BC">
        <w:t>ce</w:t>
      </w:r>
      <w:r w:rsidR="004F45BC">
        <w:t xml:space="preserve"> and application to the home care setting. This could include case study examples </w:t>
      </w:r>
      <w:r w:rsidR="008E51B1">
        <w:t>for some of the more complex themes and domains identified in this Evaluation.</w:t>
      </w:r>
      <w:r w:rsidR="004C1BD1">
        <w:t xml:space="preserve"> </w:t>
      </w:r>
      <w:r w:rsidR="00FF2BFE">
        <w:t xml:space="preserve">The Commission could also </w:t>
      </w:r>
      <w:r w:rsidR="0035262F">
        <w:t>amend or provid</w:t>
      </w:r>
      <w:r w:rsidR="0006634F">
        <w:t>e</w:t>
      </w:r>
      <w:r w:rsidR="0035262F">
        <w:t xml:space="preserve"> additional guidance material surrounding the assessment framework and methodology </w:t>
      </w:r>
      <w:r w:rsidR="004C1BD1">
        <w:t>to support provider understanding of decision making and expectations</w:t>
      </w:r>
      <w:r w:rsidR="00C90D46">
        <w:t xml:space="preserve"> of the Commission</w:t>
      </w:r>
      <w:r w:rsidR="004C1BD1">
        <w:t>.</w:t>
      </w:r>
      <w:r w:rsidR="002E5363">
        <w:t xml:space="preserve"> However</w:t>
      </w:r>
      <w:r w:rsidR="002F02E9">
        <w:t>,</w:t>
      </w:r>
      <w:r w:rsidR="002E5363">
        <w:t xml:space="preserve"> decisions on the development of such guidance material should be considered in the context of timing with broader reforms occurring within the sector such as </w:t>
      </w:r>
      <w:r w:rsidR="00202481">
        <w:t>the introduction of a new Aged Care Act and a new Single In-Home Care Program</w:t>
      </w:r>
      <w:r w:rsidR="002F02E9">
        <w:t>. Decisions to introduce new guidance material should also consider</w:t>
      </w:r>
      <w:r w:rsidR="00202481">
        <w:t xml:space="preserve"> resourcing implications for the Commission</w:t>
      </w:r>
      <w:r w:rsidR="0023601F">
        <w:t xml:space="preserve"> and </w:t>
      </w:r>
      <w:r w:rsidR="002F02E9">
        <w:t>the relative</w:t>
      </w:r>
      <w:r w:rsidR="0023601F">
        <w:t xml:space="preserve"> benefit of </w:t>
      </w:r>
      <w:r w:rsidR="002F02E9">
        <w:t>developing new guidance material if changes are to be made to the Standards in the medium term</w:t>
      </w:r>
      <w:r w:rsidR="00202481">
        <w:t>.</w:t>
      </w:r>
    </w:p>
    <w:p w14:paraId="0DD99FA5" w14:textId="4850D911" w:rsidR="00832F80" w:rsidRDefault="00832F80" w:rsidP="00F626EE">
      <w:pPr>
        <w:pStyle w:val="HeadingLevel4NoNumber"/>
      </w:pPr>
      <w:r>
        <w:t>Longer term</w:t>
      </w:r>
    </w:p>
    <w:p w14:paraId="03D2445C" w14:textId="0727BB09" w:rsidR="00832F80" w:rsidRDefault="00832F80" w:rsidP="006A57DB">
      <w:pPr>
        <w:pStyle w:val="BodyText1"/>
      </w:pPr>
      <w:r w:rsidRPr="00702B03">
        <w:t>As part of the 2021-22 Budget</w:t>
      </w:r>
      <w:r>
        <w:t>,</w:t>
      </w:r>
      <w:r w:rsidRPr="00702B03">
        <w:t xml:space="preserve"> the Australian Government announced its intention to progress better regulatory alignment across the aged care, disability and veterans’ care sectors.</w:t>
      </w:r>
      <w:r>
        <w:t xml:space="preserve"> In the longer term there is opportunity to pursue greater alignment of standards between aged care</w:t>
      </w:r>
      <w:r w:rsidRPr="00702B03">
        <w:t>, disability and veterans’ care sectors</w:t>
      </w:r>
      <w:r>
        <w:t>.</w:t>
      </w:r>
      <w:r w:rsidR="006A57DB">
        <w:t xml:space="preserve"> </w:t>
      </w:r>
      <w:r w:rsidR="006A57DB">
        <w:lastRenderedPageBreak/>
        <w:t>T</w:t>
      </w:r>
      <w:r w:rsidR="006A57DB" w:rsidRPr="006A57DB">
        <w:t xml:space="preserve">he majority of stakeholders </w:t>
      </w:r>
      <w:r w:rsidR="00D87270">
        <w:t>during the Evaluation that discussed harmonisation</w:t>
      </w:r>
      <w:r w:rsidR="006A57DB" w:rsidRPr="006A57DB">
        <w:t xml:space="preserve"> supported further harmonisation of the Standards</w:t>
      </w:r>
      <w:r w:rsidR="006A57DB">
        <w:t>.</w:t>
      </w:r>
    </w:p>
    <w:p w14:paraId="3F0E2B17" w14:textId="098CE6D6" w:rsidR="008A6E37" w:rsidRDefault="006A57DB" w:rsidP="00C4008C">
      <w:pPr>
        <w:pStyle w:val="BodyText1"/>
      </w:pPr>
      <w:r w:rsidRPr="006A57DB">
        <w:t>A consequence of harmonised standards</w:t>
      </w:r>
      <w:r w:rsidR="00D87270">
        <w:t xml:space="preserve"> observed in other sectors is that there can</w:t>
      </w:r>
      <w:r w:rsidRPr="006A57DB">
        <w:t xml:space="preserve"> be a decreased level of relevance for specific types of services delivered within the sector</w:t>
      </w:r>
      <w:r w:rsidR="00D87270">
        <w:t xml:space="preserve">. One route that could be explored as part of harmonisation </w:t>
      </w:r>
      <w:r w:rsidR="00E52B13">
        <w:t>to mitigate this issue is by</w:t>
      </w:r>
      <w:r w:rsidR="00D87270">
        <w:t xml:space="preserve"> using a modular structure</w:t>
      </w:r>
      <w:r w:rsidR="00F95CE1">
        <w:t>, which has a baseline set of standards that all providers a</w:t>
      </w:r>
      <w:r w:rsidR="003C2754">
        <w:t>re</w:t>
      </w:r>
      <w:r w:rsidR="00F95CE1">
        <w:t xml:space="preserve"> required to meet followed by modules with specific standards that apply to certain service types. Such </w:t>
      </w:r>
      <w:r w:rsidR="00A51B24">
        <w:t xml:space="preserve">is the approach used by the </w:t>
      </w:r>
      <w:r w:rsidR="00A51B24" w:rsidRPr="001B7C11">
        <w:t>NDIS and the New Zealand standards</w:t>
      </w:r>
      <w:r w:rsidR="00A51B24">
        <w:t xml:space="preserve">. </w:t>
      </w:r>
    </w:p>
    <w:p w14:paraId="7E733BB5" w14:textId="3526E663" w:rsidR="00E22F07" w:rsidRDefault="006768C3" w:rsidP="00231A99">
      <w:pPr>
        <w:pStyle w:val="HeadingLevel3NoNumber"/>
      </w:pPr>
      <w:r>
        <w:t>Activities to support the d</w:t>
      </w:r>
      <w:r w:rsidR="00E22F07">
        <w:t xml:space="preserve">esign and development </w:t>
      </w:r>
      <w:r>
        <w:t>of enhancements to the Standards</w:t>
      </w:r>
    </w:p>
    <w:p w14:paraId="7BC39A8B" w14:textId="5109BD3B" w:rsidR="00E22F07" w:rsidRDefault="00E22F07" w:rsidP="00A62F83">
      <w:pPr>
        <w:pStyle w:val="BodyText1"/>
      </w:pPr>
      <w:r>
        <w:t xml:space="preserve">While the </w:t>
      </w:r>
      <w:r w:rsidR="00723111">
        <w:t>design and development process for the Standards was out of scope for this Evaluation, stakeholders provided perspectives on</w:t>
      </w:r>
      <w:r w:rsidR="00325E45">
        <w:t xml:space="preserve"> areas for government consideration</w:t>
      </w:r>
      <w:r w:rsidR="009E38FC">
        <w:t>. Additional areas were identified as part of conducting this Evaluation that may support future implementation and evaluation activities. These include:</w:t>
      </w:r>
    </w:p>
    <w:p w14:paraId="009D87E3" w14:textId="04EB9505" w:rsidR="00383734" w:rsidRPr="00383734" w:rsidRDefault="00E438A9" w:rsidP="002A4AE3">
      <w:pPr>
        <w:pStyle w:val="Bullet1stlevel"/>
      </w:pPr>
      <w:r w:rsidRPr="000D0D04">
        <w:rPr>
          <w:rStyle w:val="Strong"/>
        </w:rPr>
        <w:t xml:space="preserve">Undertake modelling </w:t>
      </w:r>
      <w:r w:rsidR="00CF5F79" w:rsidRPr="000D0D04">
        <w:rPr>
          <w:rStyle w:val="Strong"/>
        </w:rPr>
        <w:t xml:space="preserve">and analysis </w:t>
      </w:r>
      <w:r w:rsidRPr="000D0D04">
        <w:rPr>
          <w:rStyle w:val="Strong"/>
        </w:rPr>
        <w:t>of</w:t>
      </w:r>
      <w:r w:rsidR="005B2955" w:rsidRPr="000D0D04">
        <w:rPr>
          <w:rStyle w:val="Strong"/>
        </w:rPr>
        <w:t xml:space="preserve"> the</w:t>
      </w:r>
      <w:r w:rsidRPr="000D0D04">
        <w:rPr>
          <w:rStyle w:val="Strong"/>
        </w:rPr>
        <w:t xml:space="preserve"> impact </w:t>
      </w:r>
      <w:r w:rsidR="00CF5F79" w:rsidRPr="000D0D04">
        <w:rPr>
          <w:rStyle w:val="Strong"/>
        </w:rPr>
        <w:t>of</w:t>
      </w:r>
      <w:r w:rsidRPr="000D0D04">
        <w:rPr>
          <w:rStyle w:val="Strong"/>
        </w:rPr>
        <w:t xml:space="preserve"> changes to the Standards:</w:t>
      </w:r>
      <w:r>
        <w:t xml:space="preserve"> </w:t>
      </w:r>
      <w:r w:rsidR="00CF5F79">
        <w:t xml:space="preserve">To support decision making on changes to the Standards, the Department could consider undertaking analysis and modelling </w:t>
      </w:r>
      <w:r w:rsidR="00A10962">
        <w:t>of different options</w:t>
      </w:r>
      <w:r w:rsidR="00C905CB">
        <w:t xml:space="preserve"> proposed for revision</w:t>
      </w:r>
      <w:r w:rsidR="00A10962">
        <w:t>. This could include estimation of</w:t>
      </w:r>
      <w:r w:rsidR="00CF5F79">
        <w:t xml:space="preserve"> potential cost</w:t>
      </w:r>
      <w:r w:rsidR="00A10962">
        <w:t>s and broader impacts</w:t>
      </w:r>
      <w:r w:rsidR="00192E9B">
        <w:t xml:space="preserve"> both on government, the regulator and consumers</w:t>
      </w:r>
      <w:r w:rsidR="00B252EC">
        <w:t>, including workforce implications</w:t>
      </w:r>
      <w:r w:rsidR="00340FCE">
        <w:t xml:space="preserve"> and impact for different types of providers</w:t>
      </w:r>
      <w:r w:rsidR="00A739F4">
        <w:t>.</w:t>
      </w:r>
    </w:p>
    <w:p w14:paraId="694B795F" w14:textId="0A4A9DB1" w:rsidR="000917EA" w:rsidRDefault="00A739F4" w:rsidP="002A4AE3">
      <w:pPr>
        <w:pStyle w:val="Bullet1stlevel"/>
      </w:pPr>
      <w:r w:rsidRPr="000D0D04">
        <w:rPr>
          <w:rStyle w:val="Strong"/>
        </w:rPr>
        <w:t>Sector-wide consultation:</w:t>
      </w:r>
      <w:r w:rsidRPr="00FB779F">
        <w:rPr>
          <w:b/>
        </w:rPr>
        <w:t xml:space="preserve"> </w:t>
      </w:r>
      <w:r>
        <w:t xml:space="preserve">The Royal Commission recognised that the </w:t>
      </w:r>
      <w:r w:rsidR="00FB779F">
        <w:t xml:space="preserve">current </w:t>
      </w:r>
      <w:r>
        <w:t xml:space="preserve">Standards were </w:t>
      </w:r>
      <w:r w:rsidRPr="00936573">
        <w:t>the result of an extensive process of consultation</w:t>
      </w:r>
      <w:r w:rsidR="00FB779F">
        <w:t xml:space="preserve">. </w:t>
      </w:r>
      <w:r w:rsidR="000917EA">
        <w:t xml:space="preserve">As such it will be important for any changes to the Standards to be supported by sector-wide consultation on the design and potential impact of </w:t>
      </w:r>
      <w:r w:rsidR="00E267B0">
        <w:t xml:space="preserve">any </w:t>
      </w:r>
      <w:r w:rsidR="000917EA">
        <w:t>changes to the Standards.</w:t>
      </w:r>
    </w:p>
    <w:p w14:paraId="64C575C3" w14:textId="5F43D362" w:rsidR="006822B4" w:rsidRPr="006822B4" w:rsidRDefault="006822B4" w:rsidP="00231A99">
      <w:pPr>
        <w:pStyle w:val="HeadingLevel3NoNumber"/>
      </w:pPr>
      <w:r>
        <w:t>Implementation</w:t>
      </w:r>
      <w:r w:rsidR="00BA25F3">
        <w:t xml:space="preserve"> process for the Standards</w:t>
      </w:r>
    </w:p>
    <w:p w14:paraId="63AF3040" w14:textId="5E744058" w:rsidR="005F0E12" w:rsidRDefault="00E267B0" w:rsidP="00A62F83">
      <w:pPr>
        <w:pStyle w:val="BodyText1"/>
      </w:pPr>
      <w:r>
        <w:t xml:space="preserve">It is recognised that the </w:t>
      </w:r>
      <w:r w:rsidR="00BE579B">
        <w:t xml:space="preserve">Commission and the </w:t>
      </w:r>
      <w:r w:rsidR="00C90D46">
        <w:t>Department</w:t>
      </w:r>
      <w:r w:rsidR="00BE579B">
        <w:t xml:space="preserve"> undertook a range of activities to support the implementation of the Standards. </w:t>
      </w:r>
      <w:r w:rsidR="00C90D46">
        <w:t xml:space="preserve">The level of additional investment to support future changes to the Standards will depend on the extent </w:t>
      </w:r>
      <w:r w:rsidR="00F64214">
        <w:t xml:space="preserve">and intent </w:t>
      </w:r>
      <w:r w:rsidR="00C90D46">
        <w:t xml:space="preserve">of change that </w:t>
      </w:r>
      <w:r w:rsidR="004A64C2">
        <w:t>occurs to the text of the Standards.</w:t>
      </w:r>
      <w:r w:rsidR="00C90D46">
        <w:t xml:space="preserve"> </w:t>
      </w:r>
      <w:r w:rsidR="005F0E12">
        <w:t>There are however lessons that can be learnt from the implementation of the current Standards that can support future revisions to the Standards. This includes:</w:t>
      </w:r>
    </w:p>
    <w:p w14:paraId="21D23E93" w14:textId="6A6853B6" w:rsidR="00F140C6" w:rsidRDefault="005F0E12" w:rsidP="00A62F83">
      <w:pPr>
        <w:pStyle w:val="Bullet1stlevel"/>
      </w:pPr>
      <w:r>
        <w:t xml:space="preserve">Conducting </w:t>
      </w:r>
      <w:r w:rsidR="00A47A10">
        <w:t xml:space="preserve">an </w:t>
      </w:r>
      <w:r>
        <w:t xml:space="preserve">initial </w:t>
      </w:r>
      <w:r w:rsidR="00A47A10">
        <w:t>needs</w:t>
      </w:r>
      <w:r>
        <w:t xml:space="preserve"> analysis of sector need to understand learning </w:t>
      </w:r>
      <w:r w:rsidR="00F140C6">
        <w:t xml:space="preserve">needs and </w:t>
      </w:r>
      <w:r>
        <w:t>preferences of the sector</w:t>
      </w:r>
      <w:r w:rsidR="00F140C6">
        <w:t>, including any new or enhanced</w:t>
      </w:r>
      <w:r>
        <w:t xml:space="preserve"> themes or concepts </w:t>
      </w:r>
      <w:r w:rsidR="00F140C6">
        <w:t>that</w:t>
      </w:r>
      <w:r>
        <w:t xml:space="preserve"> require </w:t>
      </w:r>
      <w:r w:rsidR="00F140C6">
        <w:t>clarification or support to understand</w:t>
      </w:r>
      <w:r w:rsidR="00A47A10">
        <w:t xml:space="preserve"> and apply in practice</w:t>
      </w:r>
    </w:p>
    <w:p w14:paraId="362FF088" w14:textId="0559FC2E" w:rsidR="00EC5713" w:rsidRPr="00EC5713" w:rsidRDefault="00BC6BCD" w:rsidP="00A62F83">
      <w:pPr>
        <w:pStyle w:val="Bullet1stlevel"/>
      </w:pPr>
      <w:r>
        <w:t xml:space="preserve">Use of engagement activities </w:t>
      </w:r>
      <w:r w:rsidR="00A47A10">
        <w:t>that support two-way dialogue between providers and the Commission to enhance learning</w:t>
      </w:r>
    </w:p>
    <w:p w14:paraId="6D04A5DC" w14:textId="2EA3DD93" w:rsidR="00A47A10" w:rsidRDefault="00A47A10" w:rsidP="00A62F83">
      <w:pPr>
        <w:pStyle w:val="Bullet1stlevel"/>
      </w:pPr>
      <w:r>
        <w:t>Provision of additional clarification guidance material (as described under Item 1)</w:t>
      </w:r>
      <w:r w:rsidR="00465003">
        <w:t xml:space="preserve"> and resources for different audiences, including provider types, settings and consumers</w:t>
      </w:r>
      <w:r w:rsidR="00EA3420">
        <w:t>.</w:t>
      </w:r>
    </w:p>
    <w:p w14:paraId="3E566D91" w14:textId="77777777" w:rsidR="00CE3BA1" w:rsidRDefault="00CE3BA1" w:rsidP="00812C85">
      <w:pPr>
        <w:pStyle w:val="BodyText1"/>
        <w:sectPr w:rsidR="00CE3BA1" w:rsidSect="00883902">
          <w:pgSz w:w="11906" w:h="16838"/>
          <w:pgMar w:top="1418" w:right="1418" w:bottom="1418" w:left="1418" w:header="709" w:footer="453" w:gutter="0"/>
          <w:cols w:space="708"/>
          <w:docGrid w:linePitch="360"/>
        </w:sectPr>
      </w:pPr>
    </w:p>
    <w:p w14:paraId="7859FF35" w14:textId="76B67DF0" w:rsidR="00812C85" w:rsidRDefault="006C18DC" w:rsidP="006C18DC">
      <w:pPr>
        <w:pStyle w:val="Heading1DividerNoshow"/>
        <w:ind w:left="1120"/>
      </w:pPr>
      <w:bookmarkStart w:id="247" w:name="_Toc88804102"/>
      <w:bookmarkStart w:id="248" w:name="_Toc89930060"/>
      <w:bookmarkStart w:id="249" w:name="_Toc90453379"/>
      <w:bookmarkStart w:id="250" w:name="_Toc113448707"/>
      <w:r>
        <w:rPr>
          <w:noProof/>
        </w:rPr>
        <w:lastRenderedPageBreak/>
        <w:drawing>
          <wp:anchor distT="0" distB="0" distL="114300" distR="114300" simplePos="0" relativeHeight="251708416" behindDoc="1" locked="0" layoutInCell="1" allowOverlap="1" wp14:anchorId="60FE3116" wp14:editId="57E37192">
            <wp:simplePos x="0" y="0"/>
            <wp:positionH relativeFrom="column">
              <wp:posOffset>-869950</wp:posOffset>
            </wp:positionH>
            <wp:positionV relativeFrom="paragraph">
              <wp:posOffset>-885190</wp:posOffset>
            </wp:positionV>
            <wp:extent cx="7560000" cy="10692000"/>
            <wp:effectExtent l="0" t="0" r="3175" b="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sidR="00812C85">
        <w:t>Appendices</w:t>
      </w:r>
      <w:bookmarkEnd w:id="247"/>
      <w:bookmarkEnd w:id="248"/>
      <w:bookmarkEnd w:id="249"/>
      <w:bookmarkEnd w:id="250"/>
    </w:p>
    <w:p w14:paraId="578127E3" w14:textId="77777777" w:rsidR="00812C85" w:rsidRPr="007B307B" w:rsidRDefault="00812C85" w:rsidP="007B307B">
      <w:pPr>
        <w:spacing w:before="0" w:after="0"/>
        <w:rPr>
          <w:sz w:val="4"/>
          <w:szCs w:val="4"/>
        </w:rPr>
      </w:pPr>
    </w:p>
    <w:p w14:paraId="32666212" w14:textId="3675927A" w:rsidR="00812C85" w:rsidRPr="007B307B" w:rsidRDefault="00812C85" w:rsidP="007B307B">
      <w:pPr>
        <w:spacing w:before="0" w:after="0"/>
        <w:rPr>
          <w:sz w:val="4"/>
          <w:szCs w:val="4"/>
        </w:rPr>
        <w:sectPr w:rsidR="00812C85" w:rsidRPr="007B307B" w:rsidSect="00883902">
          <w:pgSz w:w="11906" w:h="16838"/>
          <w:pgMar w:top="1418" w:right="1418" w:bottom="1418" w:left="1418" w:header="709" w:footer="453" w:gutter="0"/>
          <w:cols w:space="708"/>
          <w:docGrid w:linePitch="360"/>
        </w:sectPr>
      </w:pPr>
    </w:p>
    <w:p w14:paraId="5F7818B5" w14:textId="6E3329CB" w:rsidR="00B32D68" w:rsidRDefault="00664B1D" w:rsidP="009A77AB">
      <w:pPr>
        <w:pStyle w:val="Heading2"/>
      </w:pPr>
      <w:bookmarkStart w:id="251" w:name="_Toc88804103"/>
      <w:bookmarkStart w:id="252" w:name="_Toc89930061"/>
      <w:bookmarkStart w:id="253" w:name="_Toc90453380"/>
      <w:bookmarkStart w:id="254" w:name="_Toc113448708"/>
      <w:r>
        <w:lastRenderedPageBreak/>
        <w:t>Appendix A: Program Logic</w:t>
      </w:r>
      <w:bookmarkEnd w:id="251"/>
      <w:bookmarkEnd w:id="252"/>
      <w:bookmarkEnd w:id="253"/>
      <w:bookmarkEnd w:id="254"/>
    </w:p>
    <w:tbl>
      <w:tblPr>
        <w:tblStyle w:val="TableGrid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2123"/>
        <w:gridCol w:w="2411"/>
        <w:gridCol w:w="1985"/>
        <w:gridCol w:w="2837"/>
        <w:gridCol w:w="2414"/>
        <w:gridCol w:w="2232"/>
      </w:tblGrid>
      <w:tr w:rsidR="000D0D04" w:rsidRPr="00812C85" w14:paraId="5E5B0435" w14:textId="77777777" w:rsidTr="000D0D04">
        <w:trPr>
          <w:cnfStyle w:val="100000000000" w:firstRow="1" w:lastRow="0" w:firstColumn="0" w:lastColumn="0" w:oddVBand="0" w:evenVBand="0" w:oddHBand="0" w:evenHBand="0" w:firstRowFirstColumn="0" w:firstRowLastColumn="0" w:lastRowFirstColumn="0" w:lastRowLastColumn="0"/>
        </w:trPr>
        <w:tc>
          <w:tcPr>
            <w:tcW w:w="758" w:type="pct"/>
            <w:vMerge w:val="restart"/>
            <w:vAlign w:val="bottom"/>
          </w:tcPr>
          <w:p w14:paraId="2D4BDAC1" w14:textId="779BFB04" w:rsidR="000D0D04" w:rsidRPr="00812C85" w:rsidRDefault="000D0D04" w:rsidP="000D0D04">
            <w:pPr>
              <w:pStyle w:val="Tableheading"/>
            </w:pPr>
            <w:r w:rsidRPr="00812C85">
              <w:t>Input</w:t>
            </w:r>
          </w:p>
        </w:tc>
        <w:tc>
          <w:tcPr>
            <w:tcW w:w="861" w:type="pct"/>
            <w:vMerge w:val="restart"/>
            <w:vAlign w:val="bottom"/>
          </w:tcPr>
          <w:p w14:paraId="5213DFAD" w14:textId="588E632A" w:rsidR="000D0D04" w:rsidRPr="00812C85" w:rsidRDefault="000D0D04" w:rsidP="000D0D04">
            <w:pPr>
              <w:pStyle w:val="Tableheading"/>
            </w:pPr>
            <w:r w:rsidRPr="00812C85">
              <w:t>Activities</w:t>
            </w:r>
          </w:p>
        </w:tc>
        <w:tc>
          <w:tcPr>
            <w:tcW w:w="709" w:type="pct"/>
            <w:vMerge w:val="restart"/>
            <w:vAlign w:val="bottom"/>
          </w:tcPr>
          <w:p w14:paraId="5F78C736" w14:textId="6F45344D" w:rsidR="000D0D04" w:rsidRPr="00812C85" w:rsidRDefault="000D0D04" w:rsidP="000D0D04">
            <w:pPr>
              <w:pStyle w:val="Tableheading"/>
            </w:pPr>
            <w:r w:rsidRPr="00812C85">
              <w:t>Output</w:t>
            </w:r>
          </w:p>
        </w:tc>
        <w:tc>
          <w:tcPr>
            <w:tcW w:w="1013" w:type="pct"/>
            <w:tcBorders>
              <w:bottom w:val="single" w:sz="8" w:space="0" w:color="00338D" w:themeColor="text2"/>
            </w:tcBorders>
          </w:tcPr>
          <w:p w14:paraId="377F5AE1" w14:textId="4E46FDBC" w:rsidR="000D0D04" w:rsidRPr="00812C85" w:rsidRDefault="000D0D04" w:rsidP="00575CC4">
            <w:pPr>
              <w:pStyle w:val="Tableheading"/>
            </w:pPr>
            <w:r w:rsidRPr="00812C85">
              <w:t>Outcomes</w:t>
            </w:r>
          </w:p>
        </w:tc>
        <w:tc>
          <w:tcPr>
            <w:tcW w:w="862" w:type="pct"/>
            <w:tcBorders>
              <w:bottom w:val="single" w:sz="8" w:space="0" w:color="00338D" w:themeColor="text2"/>
            </w:tcBorders>
          </w:tcPr>
          <w:p w14:paraId="2BCE31AC" w14:textId="5BB2B4A9" w:rsidR="000D0D04" w:rsidRPr="00812C85" w:rsidRDefault="000D0D04" w:rsidP="00575CC4">
            <w:pPr>
              <w:pStyle w:val="Tableheading"/>
            </w:pPr>
          </w:p>
        </w:tc>
        <w:tc>
          <w:tcPr>
            <w:tcW w:w="797" w:type="pct"/>
            <w:tcBorders>
              <w:bottom w:val="single" w:sz="8" w:space="0" w:color="00338D" w:themeColor="text2"/>
            </w:tcBorders>
          </w:tcPr>
          <w:p w14:paraId="20545559" w14:textId="2D100C40" w:rsidR="000D0D04" w:rsidRPr="00812C85" w:rsidRDefault="000D0D04" w:rsidP="00575CC4">
            <w:pPr>
              <w:pStyle w:val="Tableheading"/>
            </w:pPr>
          </w:p>
        </w:tc>
      </w:tr>
      <w:tr w:rsidR="000D0D04" w:rsidRPr="00812C85" w14:paraId="32C10898" w14:textId="77777777" w:rsidTr="000D0D04">
        <w:tc>
          <w:tcPr>
            <w:tcW w:w="758" w:type="pct"/>
            <w:vMerge/>
            <w:tcBorders>
              <w:bottom w:val="single" w:sz="4" w:space="0" w:color="00338D" w:themeColor="text2"/>
            </w:tcBorders>
            <w:shd w:val="clear" w:color="auto" w:fill="004689" w:themeFill="accent3" w:themeFillShade="BF"/>
          </w:tcPr>
          <w:p w14:paraId="2996E2EE" w14:textId="19233B05" w:rsidR="000D0D04" w:rsidRPr="00812C85" w:rsidRDefault="000D0D04" w:rsidP="00575CC4">
            <w:pPr>
              <w:pStyle w:val="Tableheading"/>
            </w:pPr>
          </w:p>
        </w:tc>
        <w:tc>
          <w:tcPr>
            <w:tcW w:w="861" w:type="pct"/>
            <w:vMerge/>
            <w:tcBorders>
              <w:bottom w:val="single" w:sz="4" w:space="0" w:color="00338D" w:themeColor="text2"/>
            </w:tcBorders>
            <w:shd w:val="clear" w:color="auto" w:fill="004689" w:themeFill="accent3" w:themeFillShade="BF"/>
          </w:tcPr>
          <w:p w14:paraId="1C8C9ADB" w14:textId="2F43D6A6" w:rsidR="000D0D04" w:rsidRPr="00812C85" w:rsidRDefault="000D0D04" w:rsidP="00575CC4">
            <w:pPr>
              <w:pStyle w:val="Tableheading"/>
            </w:pPr>
          </w:p>
        </w:tc>
        <w:tc>
          <w:tcPr>
            <w:tcW w:w="709" w:type="pct"/>
            <w:vMerge/>
            <w:tcBorders>
              <w:bottom w:val="single" w:sz="4" w:space="0" w:color="00338D" w:themeColor="text2"/>
            </w:tcBorders>
            <w:shd w:val="clear" w:color="auto" w:fill="004689" w:themeFill="accent3" w:themeFillShade="BF"/>
          </w:tcPr>
          <w:p w14:paraId="591D8798" w14:textId="7B0E50F8" w:rsidR="000D0D04" w:rsidRPr="00812C85" w:rsidRDefault="000D0D04" w:rsidP="00575CC4">
            <w:pPr>
              <w:pStyle w:val="Tableheading"/>
            </w:pPr>
          </w:p>
        </w:tc>
        <w:tc>
          <w:tcPr>
            <w:tcW w:w="1013" w:type="pct"/>
            <w:tcBorders>
              <w:top w:val="single" w:sz="8" w:space="0" w:color="00338D" w:themeColor="text2"/>
              <w:bottom w:val="single" w:sz="4" w:space="0" w:color="00338D" w:themeColor="text2"/>
            </w:tcBorders>
            <w:shd w:val="clear" w:color="auto" w:fill="004689" w:themeFill="accent3" w:themeFillShade="BF"/>
          </w:tcPr>
          <w:p w14:paraId="5CE7A95C" w14:textId="0EBE5D58" w:rsidR="000D0D04" w:rsidRPr="00812C85" w:rsidRDefault="000D0D04" w:rsidP="00575CC4">
            <w:pPr>
              <w:pStyle w:val="Tableheading"/>
            </w:pPr>
            <w:r w:rsidRPr="00812C85">
              <w:t>Short-Term</w:t>
            </w:r>
          </w:p>
        </w:tc>
        <w:tc>
          <w:tcPr>
            <w:tcW w:w="862" w:type="pct"/>
            <w:tcBorders>
              <w:top w:val="single" w:sz="8" w:space="0" w:color="00338D" w:themeColor="text2"/>
              <w:bottom w:val="single" w:sz="4" w:space="0" w:color="00338D" w:themeColor="text2"/>
            </w:tcBorders>
            <w:shd w:val="clear" w:color="auto" w:fill="004689" w:themeFill="accent3" w:themeFillShade="BF"/>
          </w:tcPr>
          <w:p w14:paraId="3E5911C7" w14:textId="380FBBBB" w:rsidR="000D0D04" w:rsidRPr="00812C85" w:rsidRDefault="000D0D04" w:rsidP="00575CC4">
            <w:pPr>
              <w:pStyle w:val="Tableheading"/>
            </w:pPr>
            <w:r w:rsidRPr="00812C85">
              <w:t>Intermediate</w:t>
            </w:r>
          </w:p>
        </w:tc>
        <w:tc>
          <w:tcPr>
            <w:tcW w:w="797" w:type="pct"/>
            <w:tcBorders>
              <w:top w:val="single" w:sz="8" w:space="0" w:color="00338D" w:themeColor="text2"/>
              <w:bottom w:val="single" w:sz="4" w:space="0" w:color="00338D" w:themeColor="text2"/>
            </w:tcBorders>
            <w:shd w:val="clear" w:color="auto" w:fill="004689" w:themeFill="accent3" w:themeFillShade="BF"/>
          </w:tcPr>
          <w:p w14:paraId="7A0BD396" w14:textId="4EA1C8B4" w:rsidR="000D0D04" w:rsidRPr="00812C85" w:rsidRDefault="000D0D04" w:rsidP="00575CC4">
            <w:pPr>
              <w:pStyle w:val="Tableheading"/>
            </w:pPr>
            <w:r w:rsidRPr="00812C85">
              <w:t>Long-Term</w:t>
            </w:r>
          </w:p>
        </w:tc>
      </w:tr>
      <w:tr w:rsidR="00E71374" w:rsidRPr="005B1E43" w14:paraId="59C72130" w14:textId="77777777" w:rsidTr="00F83A4A">
        <w:tc>
          <w:tcPr>
            <w:tcW w:w="758" w:type="pct"/>
            <w:tcBorders>
              <w:top w:val="single" w:sz="4" w:space="0" w:color="00338D" w:themeColor="text2"/>
            </w:tcBorders>
            <w:hideMark/>
          </w:tcPr>
          <w:p w14:paraId="64BD4D07" w14:textId="77777777" w:rsidR="00E71374" w:rsidRPr="005B1E43" w:rsidRDefault="00E71374" w:rsidP="00E71374">
            <w:pPr>
              <w:pStyle w:val="TableBullet1"/>
              <w:rPr>
                <w:sz w:val="16"/>
                <w:szCs w:val="20"/>
              </w:rPr>
            </w:pPr>
            <w:r w:rsidRPr="005B1E43">
              <w:rPr>
                <w:sz w:val="16"/>
                <w:szCs w:val="20"/>
              </w:rPr>
              <w:t>Existing four sets of Aged Care Quality Standards</w:t>
            </w:r>
          </w:p>
          <w:p w14:paraId="4D40F556" w14:textId="77777777" w:rsidR="00E71374" w:rsidRPr="005B1E43" w:rsidRDefault="00E71374" w:rsidP="00E71374">
            <w:pPr>
              <w:pStyle w:val="TableBullet1"/>
              <w:rPr>
                <w:sz w:val="16"/>
                <w:szCs w:val="20"/>
              </w:rPr>
            </w:pPr>
            <w:r w:rsidRPr="005B1E43">
              <w:rPr>
                <w:sz w:val="16"/>
                <w:szCs w:val="20"/>
              </w:rPr>
              <w:t>Project manager</w:t>
            </w:r>
          </w:p>
          <w:p w14:paraId="5010BE61" w14:textId="77777777" w:rsidR="00E71374" w:rsidRPr="005B1E43" w:rsidRDefault="00E71374" w:rsidP="00E71374">
            <w:pPr>
              <w:pStyle w:val="TableBullet1"/>
              <w:rPr>
                <w:sz w:val="16"/>
                <w:szCs w:val="20"/>
              </w:rPr>
            </w:pPr>
            <w:r w:rsidRPr="005B1E43">
              <w:rPr>
                <w:sz w:val="16"/>
                <w:szCs w:val="20"/>
              </w:rPr>
              <w:t xml:space="preserve">Project team </w:t>
            </w:r>
          </w:p>
          <w:p w14:paraId="2D647CC9" w14:textId="77777777" w:rsidR="00E71374" w:rsidRPr="005B1E43" w:rsidRDefault="00E71374" w:rsidP="00E71374">
            <w:pPr>
              <w:pStyle w:val="TableBullet1"/>
              <w:rPr>
                <w:sz w:val="16"/>
                <w:szCs w:val="20"/>
              </w:rPr>
            </w:pPr>
            <w:r w:rsidRPr="005B1E43">
              <w:rPr>
                <w:sz w:val="16"/>
                <w:szCs w:val="20"/>
              </w:rPr>
              <w:t>Quality Program Board</w:t>
            </w:r>
          </w:p>
          <w:p w14:paraId="0313F3EE" w14:textId="77777777" w:rsidR="00E71374" w:rsidRPr="005B1E43" w:rsidRDefault="00E71374" w:rsidP="00E71374">
            <w:pPr>
              <w:pStyle w:val="TableBullet1"/>
              <w:rPr>
                <w:sz w:val="16"/>
                <w:szCs w:val="20"/>
              </w:rPr>
            </w:pPr>
            <w:r w:rsidRPr="005B1E43">
              <w:rPr>
                <w:sz w:val="16"/>
                <w:szCs w:val="20"/>
              </w:rPr>
              <w:t>Funding</w:t>
            </w:r>
          </w:p>
          <w:p w14:paraId="2F819AD3" w14:textId="77777777" w:rsidR="00E71374" w:rsidRPr="005B1E43" w:rsidRDefault="00E71374" w:rsidP="00E71374">
            <w:pPr>
              <w:pStyle w:val="TableBullet1"/>
              <w:rPr>
                <w:sz w:val="16"/>
                <w:szCs w:val="20"/>
              </w:rPr>
            </w:pPr>
            <w:r w:rsidRPr="005B1E43">
              <w:rPr>
                <w:sz w:val="16"/>
                <w:szCs w:val="20"/>
              </w:rPr>
              <w:t>Standards Technical Advisory Group (TAG)</w:t>
            </w:r>
          </w:p>
          <w:p w14:paraId="1A1D4E53" w14:textId="77777777" w:rsidR="00E71374" w:rsidRPr="005B1E43" w:rsidRDefault="00E71374" w:rsidP="00E71374">
            <w:pPr>
              <w:pStyle w:val="TableBullet1"/>
              <w:rPr>
                <w:sz w:val="16"/>
                <w:szCs w:val="20"/>
              </w:rPr>
            </w:pPr>
            <w:r w:rsidRPr="005B1E43">
              <w:rPr>
                <w:sz w:val="16"/>
                <w:szCs w:val="20"/>
              </w:rPr>
              <w:t>Partnership with Australian Aged Care Quality Agency</w:t>
            </w:r>
          </w:p>
          <w:p w14:paraId="71527D12" w14:textId="77777777" w:rsidR="00E71374" w:rsidRPr="005B1E43" w:rsidRDefault="00E71374" w:rsidP="00E71374">
            <w:pPr>
              <w:pStyle w:val="TableBullet1"/>
              <w:rPr>
                <w:sz w:val="16"/>
                <w:szCs w:val="20"/>
              </w:rPr>
            </w:pPr>
            <w:r w:rsidRPr="005B1E43">
              <w:rPr>
                <w:sz w:val="16"/>
                <w:szCs w:val="20"/>
              </w:rPr>
              <w:t>External Inquiries</w:t>
            </w:r>
          </w:p>
          <w:p w14:paraId="04952137" w14:textId="77777777" w:rsidR="00E71374" w:rsidRPr="005B1E43" w:rsidRDefault="00E71374" w:rsidP="00E71374">
            <w:pPr>
              <w:pStyle w:val="TableBullet1"/>
              <w:rPr>
                <w:sz w:val="16"/>
                <w:szCs w:val="20"/>
              </w:rPr>
            </w:pPr>
            <w:r w:rsidRPr="005B1E43">
              <w:rPr>
                <w:sz w:val="16"/>
                <w:szCs w:val="20"/>
              </w:rPr>
              <w:t>Outcomes of the pilot of the draft Aged Care Quality Standards</w:t>
            </w:r>
          </w:p>
        </w:tc>
        <w:tc>
          <w:tcPr>
            <w:tcW w:w="861" w:type="pct"/>
            <w:tcBorders>
              <w:top w:val="single" w:sz="4" w:space="0" w:color="00338D" w:themeColor="text2"/>
            </w:tcBorders>
            <w:hideMark/>
          </w:tcPr>
          <w:p w14:paraId="6827F041" w14:textId="77777777" w:rsidR="00E71374" w:rsidRPr="005B1E43" w:rsidRDefault="00E71374" w:rsidP="00E71374">
            <w:pPr>
              <w:pStyle w:val="TableBullet1"/>
              <w:rPr>
                <w:sz w:val="16"/>
                <w:szCs w:val="20"/>
              </w:rPr>
            </w:pPr>
            <w:r w:rsidRPr="005B1E43">
              <w:rPr>
                <w:sz w:val="16"/>
                <w:szCs w:val="20"/>
              </w:rPr>
              <w:t>Collect evidence</w:t>
            </w:r>
          </w:p>
          <w:p w14:paraId="5F38CD12" w14:textId="77777777" w:rsidR="00E71374" w:rsidRPr="005B1E43" w:rsidRDefault="00E71374" w:rsidP="00E71374">
            <w:pPr>
              <w:pStyle w:val="TableBullet1"/>
              <w:rPr>
                <w:sz w:val="16"/>
                <w:szCs w:val="20"/>
              </w:rPr>
            </w:pPr>
            <w:r w:rsidRPr="005B1E43">
              <w:rPr>
                <w:sz w:val="16"/>
                <w:szCs w:val="20"/>
              </w:rPr>
              <w:t>Engage stakeholders and experts through consultations</w:t>
            </w:r>
          </w:p>
          <w:p w14:paraId="2120151D" w14:textId="77777777" w:rsidR="00E71374" w:rsidRPr="005B1E43" w:rsidRDefault="00E71374" w:rsidP="00E71374">
            <w:pPr>
              <w:pStyle w:val="TableBullet1"/>
              <w:rPr>
                <w:sz w:val="16"/>
                <w:szCs w:val="20"/>
              </w:rPr>
            </w:pPr>
            <w:r w:rsidRPr="005B1E43">
              <w:rPr>
                <w:sz w:val="16"/>
                <w:szCs w:val="20"/>
              </w:rPr>
              <w:t>Co-design new Aged Care Quality Standards</w:t>
            </w:r>
          </w:p>
          <w:p w14:paraId="66D6D0C0" w14:textId="77777777" w:rsidR="00E71374" w:rsidRPr="005B1E43" w:rsidRDefault="00E71374" w:rsidP="00E71374">
            <w:pPr>
              <w:pStyle w:val="TableBullet1"/>
              <w:rPr>
                <w:sz w:val="16"/>
                <w:szCs w:val="20"/>
              </w:rPr>
            </w:pPr>
            <w:r w:rsidRPr="005B1E43">
              <w:rPr>
                <w:sz w:val="16"/>
                <w:szCs w:val="20"/>
              </w:rPr>
              <w:t>Stakeholder communication and messaging</w:t>
            </w:r>
          </w:p>
          <w:p w14:paraId="5A134012" w14:textId="77777777" w:rsidR="00E71374" w:rsidRPr="005B1E43" w:rsidRDefault="00E71374" w:rsidP="00E71374">
            <w:pPr>
              <w:pStyle w:val="TableBullet1"/>
              <w:rPr>
                <w:sz w:val="16"/>
                <w:szCs w:val="20"/>
              </w:rPr>
            </w:pPr>
            <w:r w:rsidRPr="005B1E43">
              <w:rPr>
                <w:sz w:val="16"/>
                <w:szCs w:val="20"/>
              </w:rPr>
              <w:t>Test draft Aged Care Quality Standards through stakeholder consultation</w:t>
            </w:r>
          </w:p>
          <w:p w14:paraId="2F8DE914" w14:textId="77777777" w:rsidR="00E71374" w:rsidRPr="005B1E43" w:rsidRDefault="00E71374" w:rsidP="00E71374">
            <w:pPr>
              <w:pStyle w:val="TableBullet1"/>
              <w:rPr>
                <w:sz w:val="16"/>
                <w:szCs w:val="20"/>
              </w:rPr>
            </w:pPr>
            <w:r w:rsidRPr="005B1E43">
              <w:rPr>
                <w:sz w:val="16"/>
                <w:szCs w:val="20"/>
              </w:rPr>
              <w:t>Refine draft final Aged Care Quality Standards</w:t>
            </w:r>
          </w:p>
          <w:p w14:paraId="72336560" w14:textId="77777777" w:rsidR="00E71374" w:rsidRPr="005B1E43" w:rsidRDefault="00E71374" w:rsidP="00E71374">
            <w:pPr>
              <w:pStyle w:val="TableBullet1"/>
              <w:rPr>
                <w:sz w:val="16"/>
                <w:szCs w:val="20"/>
              </w:rPr>
            </w:pPr>
            <w:r w:rsidRPr="005B1E43">
              <w:rPr>
                <w:sz w:val="16"/>
                <w:szCs w:val="20"/>
              </w:rPr>
              <w:t>Conduct information sessions on the draft Aged Care Quality Standards</w:t>
            </w:r>
          </w:p>
        </w:tc>
        <w:tc>
          <w:tcPr>
            <w:tcW w:w="709" w:type="pct"/>
            <w:tcBorders>
              <w:top w:val="single" w:sz="4" w:space="0" w:color="00338D" w:themeColor="text2"/>
            </w:tcBorders>
            <w:hideMark/>
          </w:tcPr>
          <w:p w14:paraId="38C50E29" w14:textId="77777777" w:rsidR="00E71374" w:rsidRPr="005B1E43" w:rsidRDefault="00E71374" w:rsidP="00E71374">
            <w:pPr>
              <w:pStyle w:val="TableBullet1"/>
              <w:rPr>
                <w:sz w:val="16"/>
                <w:szCs w:val="20"/>
              </w:rPr>
            </w:pPr>
            <w:r w:rsidRPr="005B1E43">
              <w:rPr>
                <w:sz w:val="16"/>
                <w:szCs w:val="20"/>
              </w:rPr>
              <w:t>Preliminary draft Aged Care Quality Standards</w:t>
            </w:r>
          </w:p>
          <w:p w14:paraId="7ABCFF27" w14:textId="77777777" w:rsidR="00E71374" w:rsidRPr="005B1E43" w:rsidRDefault="00E71374" w:rsidP="00E71374">
            <w:pPr>
              <w:pStyle w:val="TableBullet1"/>
              <w:rPr>
                <w:sz w:val="16"/>
                <w:szCs w:val="20"/>
              </w:rPr>
            </w:pPr>
            <w:r w:rsidRPr="005B1E43">
              <w:rPr>
                <w:sz w:val="16"/>
                <w:szCs w:val="20"/>
              </w:rPr>
              <w:t>Consultation paper</w:t>
            </w:r>
          </w:p>
          <w:p w14:paraId="3F956737" w14:textId="77777777" w:rsidR="00E71374" w:rsidRPr="005B1E43" w:rsidRDefault="00E71374" w:rsidP="00E71374">
            <w:pPr>
              <w:pStyle w:val="TableBullet1"/>
              <w:rPr>
                <w:sz w:val="16"/>
                <w:szCs w:val="20"/>
              </w:rPr>
            </w:pPr>
            <w:r w:rsidRPr="005B1E43">
              <w:rPr>
                <w:sz w:val="16"/>
                <w:szCs w:val="20"/>
              </w:rPr>
              <w:t xml:space="preserve">Report on the outcome of consultations for the Aged Care Quality Standards </w:t>
            </w:r>
          </w:p>
          <w:p w14:paraId="61A5801F" w14:textId="77777777" w:rsidR="00E71374" w:rsidRPr="005B1E43" w:rsidRDefault="00E71374" w:rsidP="00E71374">
            <w:pPr>
              <w:pStyle w:val="TableBullet1"/>
              <w:rPr>
                <w:sz w:val="16"/>
                <w:szCs w:val="20"/>
              </w:rPr>
            </w:pPr>
            <w:r w:rsidRPr="005B1E43">
              <w:rPr>
                <w:sz w:val="16"/>
                <w:szCs w:val="20"/>
              </w:rPr>
              <w:t>Final draft Aged Care Quality Standards</w:t>
            </w:r>
          </w:p>
          <w:p w14:paraId="2531089E" w14:textId="77777777" w:rsidR="00E71374" w:rsidRPr="005B1E43" w:rsidRDefault="00E71374" w:rsidP="00E71374">
            <w:pPr>
              <w:pStyle w:val="TableBullet1"/>
              <w:rPr>
                <w:sz w:val="16"/>
                <w:szCs w:val="20"/>
              </w:rPr>
            </w:pPr>
            <w:r w:rsidRPr="005B1E43">
              <w:rPr>
                <w:sz w:val="16"/>
                <w:szCs w:val="20"/>
              </w:rPr>
              <w:t>Legislative amendments</w:t>
            </w:r>
          </w:p>
          <w:p w14:paraId="652469B1" w14:textId="77777777" w:rsidR="00E71374" w:rsidRPr="005B1E43" w:rsidRDefault="00E71374" w:rsidP="00E71374">
            <w:pPr>
              <w:pStyle w:val="TableBullet1"/>
              <w:rPr>
                <w:sz w:val="16"/>
                <w:szCs w:val="20"/>
              </w:rPr>
            </w:pPr>
            <w:r w:rsidRPr="005B1E43">
              <w:rPr>
                <w:sz w:val="16"/>
                <w:szCs w:val="20"/>
              </w:rPr>
              <w:t>Application of the draft final Aged Care Quality Standards by service type</w:t>
            </w:r>
          </w:p>
          <w:p w14:paraId="40F79267" w14:textId="77777777" w:rsidR="00E71374" w:rsidRPr="005B1E43" w:rsidRDefault="00E71374" w:rsidP="00E71374">
            <w:pPr>
              <w:pStyle w:val="TableBullet1"/>
              <w:rPr>
                <w:sz w:val="16"/>
                <w:szCs w:val="20"/>
              </w:rPr>
            </w:pPr>
            <w:r w:rsidRPr="005B1E43">
              <w:rPr>
                <w:sz w:val="16"/>
                <w:szCs w:val="20"/>
              </w:rPr>
              <w:t xml:space="preserve">Transition plan  </w:t>
            </w:r>
          </w:p>
        </w:tc>
        <w:tc>
          <w:tcPr>
            <w:tcW w:w="1013" w:type="pct"/>
            <w:tcBorders>
              <w:top w:val="single" w:sz="4" w:space="0" w:color="00338D" w:themeColor="text2"/>
            </w:tcBorders>
            <w:hideMark/>
          </w:tcPr>
          <w:p w14:paraId="74B850DB" w14:textId="77777777" w:rsidR="00E71374" w:rsidRPr="005B1E43" w:rsidRDefault="00E71374" w:rsidP="00E71374">
            <w:pPr>
              <w:pStyle w:val="TableBullet1"/>
              <w:rPr>
                <w:sz w:val="16"/>
                <w:szCs w:val="20"/>
              </w:rPr>
            </w:pPr>
            <w:r w:rsidRPr="005B1E43">
              <w:rPr>
                <w:sz w:val="16"/>
                <w:szCs w:val="20"/>
              </w:rPr>
              <w:t>Acceptance of the Standards by stakeholders</w:t>
            </w:r>
          </w:p>
          <w:p w14:paraId="5E02E0C9" w14:textId="77777777" w:rsidR="00E71374" w:rsidRPr="005B1E43" w:rsidRDefault="00E71374" w:rsidP="00E71374">
            <w:pPr>
              <w:pStyle w:val="TableBullet1"/>
              <w:rPr>
                <w:sz w:val="16"/>
                <w:szCs w:val="20"/>
              </w:rPr>
            </w:pPr>
            <w:r w:rsidRPr="005B1E43">
              <w:rPr>
                <w:sz w:val="16"/>
                <w:szCs w:val="20"/>
              </w:rPr>
              <w:t>Standards are clear, valid and reliable</w:t>
            </w:r>
          </w:p>
          <w:p w14:paraId="2F766958" w14:textId="77777777" w:rsidR="00E71374" w:rsidRPr="005B1E43" w:rsidRDefault="00E71374" w:rsidP="00E71374">
            <w:pPr>
              <w:pStyle w:val="TableBullet1"/>
              <w:rPr>
                <w:sz w:val="16"/>
                <w:szCs w:val="20"/>
              </w:rPr>
            </w:pPr>
            <w:r w:rsidRPr="005B1E43">
              <w:rPr>
                <w:sz w:val="16"/>
                <w:szCs w:val="20"/>
              </w:rPr>
              <w:t>Standards are sufficiently flexible and can be applied across all service types and settings</w:t>
            </w:r>
          </w:p>
          <w:p w14:paraId="6CB42524" w14:textId="77777777" w:rsidR="00E71374" w:rsidRPr="005B1E43" w:rsidRDefault="00E71374" w:rsidP="00E71374">
            <w:pPr>
              <w:pStyle w:val="TableBullet1"/>
              <w:rPr>
                <w:sz w:val="16"/>
                <w:szCs w:val="20"/>
              </w:rPr>
            </w:pPr>
            <w:r w:rsidRPr="005B1E43">
              <w:rPr>
                <w:sz w:val="16"/>
                <w:szCs w:val="20"/>
              </w:rPr>
              <w:t>Service providers understand the Standards</w:t>
            </w:r>
          </w:p>
          <w:p w14:paraId="5601BD8E" w14:textId="77777777" w:rsidR="00E71374" w:rsidRPr="005B1E43" w:rsidRDefault="00E71374" w:rsidP="00E71374">
            <w:pPr>
              <w:pStyle w:val="TableBullet1"/>
              <w:rPr>
                <w:sz w:val="16"/>
                <w:szCs w:val="20"/>
              </w:rPr>
            </w:pPr>
            <w:r w:rsidRPr="005B1E43">
              <w:rPr>
                <w:sz w:val="16"/>
                <w:szCs w:val="20"/>
              </w:rPr>
              <w:t>Service providers make changes to meet the new Standards</w:t>
            </w:r>
          </w:p>
          <w:p w14:paraId="1BD1C495" w14:textId="77777777" w:rsidR="00E71374" w:rsidRPr="005B1E43" w:rsidRDefault="00E71374" w:rsidP="00E71374">
            <w:pPr>
              <w:pStyle w:val="TableBullet1"/>
              <w:rPr>
                <w:sz w:val="16"/>
                <w:szCs w:val="20"/>
              </w:rPr>
            </w:pPr>
            <w:r w:rsidRPr="005B1E43">
              <w:rPr>
                <w:sz w:val="16"/>
                <w:szCs w:val="20"/>
              </w:rPr>
              <w:t>Service providers have an increased focus on quality outcomes for consumers</w:t>
            </w:r>
          </w:p>
          <w:p w14:paraId="596F535B" w14:textId="77777777" w:rsidR="00E71374" w:rsidRPr="005B1E43" w:rsidRDefault="00E71374" w:rsidP="00E71374">
            <w:pPr>
              <w:pStyle w:val="TableBullet1"/>
              <w:rPr>
                <w:sz w:val="16"/>
                <w:szCs w:val="20"/>
              </w:rPr>
            </w:pPr>
            <w:r w:rsidRPr="005B1E43">
              <w:rPr>
                <w:sz w:val="16"/>
                <w:szCs w:val="20"/>
              </w:rPr>
              <w:t>Consumer awareness of the Standards</w:t>
            </w:r>
          </w:p>
          <w:p w14:paraId="1EDDB1FD" w14:textId="77777777" w:rsidR="00E71374" w:rsidRPr="005B1E43" w:rsidRDefault="00E71374" w:rsidP="00E71374">
            <w:pPr>
              <w:pStyle w:val="TableBullet1"/>
              <w:rPr>
                <w:sz w:val="16"/>
                <w:szCs w:val="20"/>
              </w:rPr>
            </w:pPr>
            <w:r w:rsidRPr="005B1E43">
              <w:rPr>
                <w:sz w:val="16"/>
                <w:szCs w:val="20"/>
              </w:rPr>
              <w:t>Greater consistency in assessment of quality across aged care service types</w:t>
            </w:r>
          </w:p>
        </w:tc>
        <w:tc>
          <w:tcPr>
            <w:tcW w:w="862" w:type="pct"/>
            <w:tcBorders>
              <w:top w:val="single" w:sz="4" w:space="0" w:color="00338D" w:themeColor="text2"/>
            </w:tcBorders>
            <w:hideMark/>
          </w:tcPr>
          <w:p w14:paraId="3A01E7EA" w14:textId="77777777" w:rsidR="00E71374" w:rsidRPr="005B1E43" w:rsidRDefault="00E71374" w:rsidP="00E71374">
            <w:pPr>
              <w:pStyle w:val="TableBullet1"/>
              <w:rPr>
                <w:sz w:val="16"/>
                <w:szCs w:val="20"/>
              </w:rPr>
            </w:pPr>
            <w:r w:rsidRPr="005B1E43">
              <w:rPr>
                <w:sz w:val="16"/>
                <w:szCs w:val="20"/>
              </w:rPr>
              <w:t>Standards are clear, measurable, valid and reliable</w:t>
            </w:r>
          </w:p>
          <w:p w14:paraId="762ACDE7" w14:textId="77777777" w:rsidR="00E71374" w:rsidRPr="005B1E43" w:rsidRDefault="00E71374" w:rsidP="00E71374">
            <w:pPr>
              <w:pStyle w:val="TableBullet1"/>
              <w:rPr>
                <w:sz w:val="16"/>
                <w:szCs w:val="20"/>
              </w:rPr>
            </w:pPr>
            <w:r w:rsidRPr="005B1E43">
              <w:rPr>
                <w:sz w:val="16"/>
                <w:szCs w:val="20"/>
              </w:rPr>
              <w:t>Consumers increase their understanding of outcomes they can expect from aged care</w:t>
            </w:r>
          </w:p>
          <w:p w14:paraId="632A0536" w14:textId="77777777" w:rsidR="00E71374" w:rsidRPr="005B1E43" w:rsidRDefault="00E71374" w:rsidP="00E71374">
            <w:pPr>
              <w:pStyle w:val="TableBullet1"/>
              <w:rPr>
                <w:sz w:val="16"/>
                <w:szCs w:val="20"/>
              </w:rPr>
            </w:pPr>
            <w:r w:rsidRPr="005B1E43">
              <w:rPr>
                <w:sz w:val="16"/>
                <w:szCs w:val="20"/>
              </w:rPr>
              <w:t>Consumers are decision makers in their care</w:t>
            </w:r>
          </w:p>
          <w:p w14:paraId="5E16D0D7" w14:textId="77777777" w:rsidR="00E71374" w:rsidRPr="005B1E43" w:rsidRDefault="00E71374" w:rsidP="00E71374">
            <w:pPr>
              <w:pStyle w:val="TableBullet1"/>
              <w:rPr>
                <w:sz w:val="16"/>
                <w:szCs w:val="20"/>
              </w:rPr>
            </w:pPr>
            <w:r w:rsidRPr="005B1E43">
              <w:rPr>
                <w:sz w:val="16"/>
                <w:szCs w:val="20"/>
              </w:rPr>
              <w:t>Service providers embed the Standards in everyday practices</w:t>
            </w:r>
          </w:p>
          <w:p w14:paraId="2C56BB59" w14:textId="77777777" w:rsidR="00E71374" w:rsidRPr="005B1E43" w:rsidRDefault="00E71374" w:rsidP="00E71374">
            <w:pPr>
              <w:pStyle w:val="TableBullet1"/>
              <w:rPr>
                <w:sz w:val="16"/>
                <w:szCs w:val="20"/>
              </w:rPr>
            </w:pPr>
            <w:r w:rsidRPr="005B1E43">
              <w:rPr>
                <w:sz w:val="16"/>
                <w:szCs w:val="20"/>
              </w:rPr>
              <w:t>Service providers sustain their performance against the Standards</w:t>
            </w:r>
          </w:p>
          <w:p w14:paraId="165E06BF" w14:textId="77777777" w:rsidR="00E71374" w:rsidRPr="005B1E43" w:rsidRDefault="00E71374" w:rsidP="00E71374">
            <w:pPr>
              <w:pStyle w:val="TableBullet1"/>
              <w:rPr>
                <w:sz w:val="16"/>
                <w:szCs w:val="20"/>
              </w:rPr>
            </w:pPr>
            <w:r w:rsidRPr="005B1E43">
              <w:rPr>
                <w:sz w:val="16"/>
                <w:szCs w:val="20"/>
              </w:rPr>
              <w:t>Outcomes of quality assessment against the Standards are used to drive Government policy</w:t>
            </w:r>
          </w:p>
        </w:tc>
        <w:tc>
          <w:tcPr>
            <w:tcW w:w="797" w:type="pct"/>
            <w:tcBorders>
              <w:top w:val="single" w:sz="4" w:space="0" w:color="00338D" w:themeColor="text2"/>
            </w:tcBorders>
            <w:hideMark/>
          </w:tcPr>
          <w:p w14:paraId="303596D1" w14:textId="77777777" w:rsidR="00E71374" w:rsidRPr="005B1E43" w:rsidRDefault="00E71374" w:rsidP="00E71374">
            <w:pPr>
              <w:pStyle w:val="TableBullet1"/>
              <w:rPr>
                <w:sz w:val="16"/>
                <w:szCs w:val="20"/>
              </w:rPr>
            </w:pPr>
            <w:r w:rsidRPr="005B1E43">
              <w:rPr>
                <w:sz w:val="16"/>
                <w:szCs w:val="20"/>
              </w:rPr>
              <w:t>Consumers make informed choices about their care and are partners in their care</w:t>
            </w:r>
          </w:p>
          <w:p w14:paraId="12E7AA11" w14:textId="77777777" w:rsidR="00E71374" w:rsidRPr="005B1E43" w:rsidRDefault="00E71374" w:rsidP="00E71374">
            <w:pPr>
              <w:pStyle w:val="TableBullet1"/>
              <w:rPr>
                <w:sz w:val="16"/>
                <w:szCs w:val="20"/>
              </w:rPr>
            </w:pPr>
            <w:r w:rsidRPr="005B1E43">
              <w:rPr>
                <w:sz w:val="16"/>
                <w:szCs w:val="20"/>
              </w:rPr>
              <w:t>Culture of continuous quality improvement in the aged care sector</w:t>
            </w:r>
          </w:p>
          <w:p w14:paraId="5C74155B" w14:textId="77777777" w:rsidR="00E71374" w:rsidRPr="005B1E43" w:rsidRDefault="00E71374" w:rsidP="00E71374">
            <w:pPr>
              <w:pStyle w:val="TableBullet1"/>
              <w:rPr>
                <w:sz w:val="16"/>
                <w:szCs w:val="20"/>
              </w:rPr>
            </w:pPr>
            <w:r w:rsidRPr="005B1E43">
              <w:rPr>
                <w:sz w:val="16"/>
                <w:szCs w:val="20"/>
              </w:rPr>
              <w:t>The Standards support innovation within the aged care sector</w:t>
            </w:r>
          </w:p>
          <w:p w14:paraId="6C643353" w14:textId="77777777" w:rsidR="00E71374" w:rsidRPr="005B1E43" w:rsidRDefault="00E71374" w:rsidP="00E71374">
            <w:pPr>
              <w:pStyle w:val="TableBullet1"/>
              <w:rPr>
                <w:sz w:val="16"/>
                <w:szCs w:val="20"/>
              </w:rPr>
            </w:pPr>
            <w:r w:rsidRPr="005B1E43">
              <w:rPr>
                <w:sz w:val="16"/>
                <w:szCs w:val="20"/>
              </w:rPr>
              <w:t>Improved quality of care and service outcomes for consumers</w:t>
            </w:r>
          </w:p>
          <w:p w14:paraId="5B11ED3D" w14:textId="77777777" w:rsidR="00E71374" w:rsidRPr="005B1E43" w:rsidRDefault="00E71374" w:rsidP="00E71374">
            <w:pPr>
              <w:pStyle w:val="TableBullet1"/>
              <w:rPr>
                <w:sz w:val="16"/>
                <w:szCs w:val="20"/>
              </w:rPr>
            </w:pPr>
            <w:r w:rsidRPr="005B1E43">
              <w:rPr>
                <w:sz w:val="16"/>
                <w:szCs w:val="20"/>
              </w:rPr>
              <w:t>Improved confidence in the aged care quality regulatory framework</w:t>
            </w:r>
          </w:p>
        </w:tc>
      </w:tr>
    </w:tbl>
    <w:p w14:paraId="30F06FE8" w14:textId="77777777" w:rsidR="00105D3D" w:rsidRPr="00105D3D" w:rsidRDefault="00105D3D" w:rsidP="00105D3D">
      <w:pPr>
        <w:spacing w:before="0" w:after="0"/>
        <w:rPr>
          <w:sz w:val="2"/>
          <w:szCs w:val="2"/>
        </w:rPr>
      </w:pPr>
    </w:p>
    <w:tbl>
      <w:tblPr>
        <w:tblStyle w:val="TableGridLight"/>
        <w:tblW w:w="5000" w:type="pct"/>
        <w:tblBorders>
          <w:top w:val="none" w:sz="0" w:space="0" w:color="auto"/>
          <w:left w:val="none" w:sz="0" w:space="0" w:color="auto"/>
          <w:bottom w:val="single" w:sz="4" w:space="0" w:color="00338D" w:themeColor="text2"/>
          <w:right w:val="none" w:sz="0" w:space="0" w:color="auto"/>
          <w:insideH w:val="none" w:sz="0" w:space="0" w:color="auto"/>
          <w:insideV w:val="none" w:sz="0" w:space="0" w:color="auto"/>
        </w:tblBorders>
        <w:tblLook w:val="0620" w:firstRow="1" w:lastRow="0" w:firstColumn="0" w:lastColumn="0" w:noHBand="1" w:noVBand="1"/>
      </w:tblPr>
      <w:tblGrid>
        <w:gridCol w:w="6519"/>
        <w:gridCol w:w="7483"/>
      </w:tblGrid>
      <w:tr w:rsidR="000D0D04" w:rsidRPr="00812C85" w14:paraId="01C05921" w14:textId="77777777" w:rsidTr="000D0D04">
        <w:trPr>
          <w:cnfStyle w:val="100000000000" w:firstRow="1" w:lastRow="0" w:firstColumn="0" w:lastColumn="0" w:oddVBand="0" w:evenVBand="0" w:oddHBand="0" w:evenHBand="0" w:firstRowFirstColumn="0" w:firstRowLastColumn="0" w:lastRowFirstColumn="0" w:lastRowLastColumn="0"/>
        </w:trPr>
        <w:tc>
          <w:tcPr>
            <w:tcW w:w="2328" w:type="pct"/>
          </w:tcPr>
          <w:p w14:paraId="4892D6FA" w14:textId="2F9551F6" w:rsidR="000D0D04" w:rsidRPr="00812C85" w:rsidRDefault="000D0D04" w:rsidP="000D0D04">
            <w:pPr>
              <w:pStyle w:val="Tableheading"/>
            </w:pPr>
            <w:r w:rsidRPr="00812C85">
              <w:t>Implementation of the Standards</w:t>
            </w:r>
          </w:p>
        </w:tc>
        <w:tc>
          <w:tcPr>
            <w:tcW w:w="2672" w:type="pct"/>
          </w:tcPr>
          <w:p w14:paraId="444E0FC9" w14:textId="5B727604" w:rsidR="000D0D04" w:rsidRPr="00812C85" w:rsidRDefault="000D0D04" w:rsidP="000D0D04">
            <w:pPr>
              <w:pStyle w:val="Tableheading"/>
            </w:pPr>
            <w:r w:rsidRPr="00812C85">
              <w:t>External factors</w:t>
            </w:r>
          </w:p>
        </w:tc>
      </w:tr>
      <w:tr w:rsidR="00E71374" w:rsidRPr="00812C85" w14:paraId="3307DF50" w14:textId="77777777" w:rsidTr="000D0D04">
        <w:tc>
          <w:tcPr>
            <w:tcW w:w="2328" w:type="pct"/>
            <w:shd w:val="clear" w:color="auto" w:fill="auto"/>
            <w:hideMark/>
          </w:tcPr>
          <w:p w14:paraId="0D88DD02" w14:textId="77777777" w:rsidR="00E71374" w:rsidRPr="00812C85" w:rsidRDefault="00E71374" w:rsidP="000D0D04">
            <w:pPr>
              <w:pStyle w:val="Tabletext"/>
            </w:pPr>
            <w:r w:rsidRPr="00812C85">
              <w:t>Transition to the Standards commenced from 1 July 2018</w:t>
            </w:r>
          </w:p>
          <w:p w14:paraId="56934A2D" w14:textId="21A62B79" w:rsidR="00E71374" w:rsidRPr="00812C85" w:rsidRDefault="00E71374" w:rsidP="000D0D04">
            <w:pPr>
              <w:pStyle w:val="Tabletext"/>
            </w:pPr>
            <w:r w:rsidRPr="00812C85">
              <w:t>Aged care services assessments against the Standards commenced 1</w:t>
            </w:r>
            <w:r w:rsidR="00E1066F">
              <w:t> </w:t>
            </w:r>
            <w:r w:rsidRPr="00812C85">
              <w:t>July 2019</w:t>
            </w:r>
          </w:p>
          <w:p w14:paraId="6B917FE1" w14:textId="77777777" w:rsidR="00E71374" w:rsidRPr="00812C85" w:rsidRDefault="00E71374" w:rsidP="000D0D04">
            <w:pPr>
              <w:pStyle w:val="Tabletext"/>
            </w:pPr>
            <w:r w:rsidRPr="00812C85">
              <w:t xml:space="preserve">Aged Care Quality and Safety Commission (and former Australian Aged Care Quality and Safety Agency) work developing guidance material and implementing the new Aged Care Quality Standards </w:t>
            </w:r>
          </w:p>
        </w:tc>
        <w:tc>
          <w:tcPr>
            <w:tcW w:w="2672" w:type="pct"/>
            <w:shd w:val="clear" w:color="auto" w:fill="auto"/>
            <w:hideMark/>
          </w:tcPr>
          <w:p w14:paraId="08FA5C68" w14:textId="77777777" w:rsidR="00E71374" w:rsidRPr="00812C85" w:rsidRDefault="00E71374" w:rsidP="000D0D04">
            <w:pPr>
              <w:pStyle w:val="Tabletext"/>
            </w:pPr>
            <w:r w:rsidRPr="00812C85">
              <w:t>Hearings and outcomes of external inquiries, including Royal Commission and impact on public perception of the quality of aged care within Australia</w:t>
            </w:r>
          </w:p>
          <w:p w14:paraId="07B7ADB1" w14:textId="77777777" w:rsidR="00E71374" w:rsidRPr="00812C85" w:rsidRDefault="00E71374" w:rsidP="000D0D04">
            <w:pPr>
              <w:pStyle w:val="Tabletext"/>
            </w:pPr>
            <w:r w:rsidRPr="00812C85">
              <w:t>Aged care sector economic climate</w:t>
            </w:r>
          </w:p>
          <w:p w14:paraId="2C8F23B6" w14:textId="77777777" w:rsidR="00E71374" w:rsidRPr="00812C85" w:rsidRDefault="00E71374" w:rsidP="000D0D04">
            <w:pPr>
              <w:pStyle w:val="Tabletext"/>
            </w:pPr>
            <w:r w:rsidRPr="00812C85">
              <w:t>Establishment of new Aged Care Quality and Safety Commission from 1 January 2019</w:t>
            </w:r>
          </w:p>
          <w:p w14:paraId="0A59D0BE" w14:textId="77777777" w:rsidR="00E71374" w:rsidRPr="00812C85" w:rsidRDefault="00E71374" w:rsidP="000D0D04">
            <w:pPr>
              <w:pStyle w:val="Tabletext"/>
            </w:pPr>
            <w:r w:rsidRPr="00812C85">
              <w:t>COVID-19 and its impact on aged care recipients and providers</w:t>
            </w:r>
          </w:p>
          <w:p w14:paraId="32A9B169" w14:textId="77777777" w:rsidR="00E71374" w:rsidRPr="00812C85" w:rsidRDefault="00E71374" w:rsidP="000D0D04">
            <w:pPr>
              <w:pStyle w:val="Tabletext"/>
            </w:pPr>
            <w:r w:rsidRPr="00812C85">
              <w:t>Reforms in response to the Royal Commission recommendations</w:t>
            </w:r>
          </w:p>
        </w:tc>
      </w:tr>
    </w:tbl>
    <w:p w14:paraId="64238C17" w14:textId="77777777" w:rsidR="00664B1D" w:rsidRDefault="00664B1D">
      <w:pPr>
        <w:spacing w:before="0" w:after="160" w:line="259" w:lineRule="auto"/>
      </w:pPr>
    </w:p>
    <w:p w14:paraId="2ECEC95A" w14:textId="77777777" w:rsidR="00664B1D" w:rsidRDefault="00664B1D">
      <w:pPr>
        <w:spacing w:before="0" w:after="160" w:line="259" w:lineRule="auto"/>
        <w:sectPr w:rsidR="00664B1D" w:rsidSect="00266F66">
          <w:headerReference w:type="default" r:id="rId65"/>
          <w:pgSz w:w="16838" w:h="11906" w:orient="landscape"/>
          <w:pgMar w:top="1276" w:right="1418" w:bottom="993" w:left="1418" w:header="709" w:footer="453" w:gutter="0"/>
          <w:cols w:space="708"/>
          <w:docGrid w:linePitch="360"/>
        </w:sectPr>
      </w:pPr>
    </w:p>
    <w:p w14:paraId="22F3FD4F" w14:textId="77777777" w:rsidR="003034E9" w:rsidRDefault="003034E9" w:rsidP="009A77AB">
      <w:pPr>
        <w:pStyle w:val="Heading2"/>
      </w:pPr>
      <w:bookmarkStart w:id="255" w:name="_Toc88804104"/>
      <w:bookmarkStart w:id="256" w:name="_Toc89930062"/>
      <w:bookmarkStart w:id="257" w:name="_Toc90453381"/>
      <w:bookmarkStart w:id="258" w:name="_Toc113448709"/>
      <w:r>
        <w:lastRenderedPageBreak/>
        <w:t>Appendix B: Stakeholder Participation</w:t>
      </w:r>
      <w:bookmarkEnd w:id="255"/>
      <w:bookmarkEnd w:id="256"/>
      <w:bookmarkEnd w:id="257"/>
      <w:bookmarkEnd w:id="258"/>
    </w:p>
    <w:p w14:paraId="054996EB" w14:textId="7F4E820C" w:rsidR="003034E9" w:rsidRDefault="003034E9" w:rsidP="003034E9">
      <w:pPr>
        <w:pStyle w:val="BodyText1"/>
      </w:pPr>
      <w:r>
        <w:t>The tables below provide a breakdown of participation in consultations and the online survey by stakeholder group.</w:t>
      </w:r>
    </w:p>
    <w:p w14:paraId="0C797C44" w14:textId="27A4E1FC" w:rsidR="003034E9" w:rsidRPr="006315BC" w:rsidRDefault="003034E9" w:rsidP="00231A99">
      <w:pPr>
        <w:pStyle w:val="Caption"/>
      </w:pPr>
      <w:r w:rsidRPr="00291134">
        <w:t xml:space="preserve">Table </w:t>
      </w:r>
      <w:r w:rsidRPr="006315BC">
        <w:fldChar w:fldCharType="begin"/>
      </w:r>
      <w:r w:rsidRPr="00243FE3">
        <w:instrText xml:space="preserve"> SEQ Table \* ARABIC </w:instrText>
      </w:r>
      <w:r w:rsidRPr="006315BC">
        <w:fldChar w:fldCharType="separate"/>
      </w:r>
      <w:r w:rsidR="0083123A">
        <w:rPr>
          <w:noProof/>
        </w:rPr>
        <w:t>16</w:t>
      </w:r>
      <w:r w:rsidRPr="006315BC">
        <w:fldChar w:fldCharType="end"/>
      </w:r>
      <w:r w:rsidRPr="00243FE3">
        <w:t>: Consultations held by stakeholder group:</w:t>
      </w:r>
    </w:p>
    <w:tbl>
      <w:tblPr>
        <w:tblStyle w:val="TableGridLight"/>
        <w:tblW w:w="4999" w:type="pct"/>
        <w:tblLayout w:type="fixed"/>
        <w:tblLook w:val="0620" w:firstRow="1" w:lastRow="0" w:firstColumn="0" w:lastColumn="0" w:noHBand="1" w:noVBand="1"/>
      </w:tblPr>
      <w:tblGrid>
        <w:gridCol w:w="6306"/>
        <w:gridCol w:w="1377"/>
        <w:gridCol w:w="1375"/>
      </w:tblGrid>
      <w:tr w:rsidR="003034E9" w:rsidRPr="00812C85" w14:paraId="26A0B794" w14:textId="77777777" w:rsidTr="00691FD5">
        <w:trPr>
          <w:cnfStyle w:val="100000000000" w:firstRow="1" w:lastRow="0" w:firstColumn="0" w:lastColumn="0" w:oddVBand="0" w:evenVBand="0" w:oddHBand="0" w:evenHBand="0" w:firstRowFirstColumn="0" w:firstRowLastColumn="0" w:lastRowFirstColumn="0" w:lastRowLastColumn="0"/>
          <w:trHeight w:val="222"/>
        </w:trPr>
        <w:tc>
          <w:tcPr>
            <w:tcW w:w="3481" w:type="pct"/>
          </w:tcPr>
          <w:p w14:paraId="3FA829F6" w14:textId="77777777" w:rsidR="003034E9" w:rsidRPr="00812C85" w:rsidRDefault="003034E9" w:rsidP="00575CC4">
            <w:pPr>
              <w:pStyle w:val="Tableheading"/>
            </w:pPr>
            <w:r w:rsidRPr="00812C85">
              <w:t>Stakeholder group</w:t>
            </w:r>
          </w:p>
        </w:tc>
        <w:tc>
          <w:tcPr>
            <w:tcW w:w="760" w:type="pct"/>
          </w:tcPr>
          <w:p w14:paraId="315E96AA" w14:textId="77777777" w:rsidR="003034E9" w:rsidRPr="00812C85" w:rsidRDefault="003034E9" w:rsidP="00575CC4">
            <w:pPr>
              <w:pStyle w:val="Tableheading"/>
            </w:pPr>
            <w:r w:rsidRPr="00812C85">
              <w:t>Count of workshops</w:t>
            </w:r>
          </w:p>
        </w:tc>
        <w:tc>
          <w:tcPr>
            <w:tcW w:w="760" w:type="pct"/>
          </w:tcPr>
          <w:p w14:paraId="14C6B880" w14:textId="7F43D87B" w:rsidR="003034E9" w:rsidRPr="00812C85" w:rsidRDefault="003034E9" w:rsidP="00575CC4">
            <w:pPr>
              <w:pStyle w:val="Tableheading"/>
            </w:pPr>
            <w:r w:rsidRPr="00812C85">
              <w:t>Count of stakeholder consulted</w:t>
            </w:r>
          </w:p>
        </w:tc>
      </w:tr>
      <w:tr w:rsidR="003034E9" w:rsidRPr="00812C85" w14:paraId="2C87ADDD" w14:textId="77777777" w:rsidTr="00691FD5">
        <w:trPr>
          <w:trHeight w:val="300"/>
        </w:trPr>
        <w:tc>
          <w:tcPr>
            <w:tcW w:w="3481" w:type="pct"/>
            <w:noWrap/>
            <w:hideMark/>
          </w:tcPr>
          <w:p w14:paraId="7EAF81A1" w14:textId="77777777" w:rsidR="003034E9" w:rsidRPr="00812C85" w:rsidRDefault="003034E9" w:rsidP="00812C85">
            <w:pPr>
              <w:pStyle w:val="Tabletext"/>
            </w:pPr>
            <w:r w:rsidRPr="00812C85">
              <w:t>Aged care service provider</w:t>
            </w:r>
          </w:p>
        </w:tc>
        <w:tc>
          <w:tcPr>
            <w:tcW w:w="760" w:type="pct"/>
            <w:hideMark/>
          </w:tcPr>
          <w:p w14:paraId="2E0CE7AA" w14:textId="77777777" w:rsidR="003034E9" w:rsidRPr="00812C85" w:rsidRDefault="003034E9" w:rsidP="00122A56">
            <w:pPr>
              <w:pStyle w:val="Tabletext"/>
              <w:jc w:val="center"/>
            </w:pPr>
            <w:r w:rsidRPr="00812C85">
              <w:t>11</w:t>
            </w:r>
          </w:p>
        </w:tc>
        <w:tc>
          <w:tcPr>
            <w:tcW w:w="760" w:type="pct"/>
            <w:noWrap/>
            <w:hideMark/>
          </w:tcPr>
          <w:p w14:paraId="40202712" w14:textId="77777777" w:rsidR="003034E9" w:rsidRPr="00812C85" w:rsidRDefault="003034E9" w:rsidP="00122A56">
            <w:pPr>
              <w:pStyle w:val="Tabletext"/>
              <w:jc w:val="center"/>
            </w:pPr>
            <w:r w:rsidRPr="00812C85">
              <w:t>113</w:t>
            </w:r>
          </w:p>
        </w:tc>
      </w:tr>
      <w:tr w:rsidR="003034E9" w:rsidRPr="00812C85" w14:paraId="00C3F3C6" w14:textId="77777777" w:rsidTr="00691FD5">
        <w:trPr>
          <w:trHeight w:val="300"/>
        </w:trPr>
        <w:tc>
          <w:tcPr>
            <w:tcW w:w="3481" w:type="pct"/>
            <w:noWrap/>
            <w:hideMark/>
          </w:tcPr>
          <w:p w14:paraId="6C25C655" w14:textId="77777777" w:rsidR="003034E9" w:rsidRPr="00812C85" w:rsidRDefault="003034E9" w:rsidP="00812C85">
            <w:pPr>
              <w:pStyle w:val="Tabletext"/>
            </w:pPr>
            <w:r w:rsidRPr="00812C85">
              <w:t>The Department of Health and representatives from program areas</w:t>
            </w:r>
          </w:p>
        </w:tc>
        <w:tc>
          <w:tcPr>
            <w:tcW w:w="760" w:type="pct"/>
            <w:hideMark/>
          </w:tcPr>
          <w:p w14:paraId="00369CED" w14:textId="77777777" w:rsidR="003034E9" w:rsidRPr="00812C85" w:rsidRDefault="003034E9" w:rsidP="00122A56">
            <w:pPr>
              <w:pStyle w:val="Tabletext"/>
              <w:jc w:val="center"/>
            </w:pPr>
            <w:r w:rsidRPr="00812C85">
              <w:t>5</w:t>
            </w:r>
          </w:p>
        </w:tc>
        <w:tc>
          <w:tcPr>
            <w:tcW w:w="760" w:type="pct"/>
            <w:noWrap/>
            <w:hideMark/>
          </w:tcPr>
          <w:p w14:paraId="4A2ECEE5" w14:textId="77777777" w:rsidR="003034E9" w:rsidRPr="00812C85" w:rsidRDefault="003034E9" w:rsidP="00122A56">
            <w:pPr>
              <w:pStyle w:val="Tabletext"/>
              <w:jc w:val="center"/>
            </w:pPr>
            <w:r w:rsidRPr="00812C85">
              <w:t>34</w:t>
            </w:r>
          </w:p>
        </w:tc>
      </w:tr>
      <w:tr w:rsidR="003034E9" w:rsidRPr="00812C85" w14:paraId="678548EE" w14:textId="77777777" w:rsidTr="00691FD5">
        <w:trPr>
          <w:trHeight w:val="300"/>
        </w:trPr>
        <w:tc>
          <w:tcPr>
            <w:tcW w:w="3481" w:type="pct"/>
            <w:noWrap/>
            <w:hideMark/>
          </w:tcPr>
          <w:p w14:paraId="786BA6DA" w14:textId="77777777" w:rsidR="003034E9" w:rsidRPr="00812C85" w:rsidRDefault="003034E9" w:rsidP="00812C85">
            <w:pPr>
              <w:pStyle w:val="Tabletext"/>
            </w:pPr>
            <w:r w:rsidRPr="00812C85">
              <w:t>Consumer, family member, carer or representative of a consumer</w:t>
            </w:r>
          </w:p>
        </w:tc>
        <w:tc>
          <w:tcPr>
            <w:tcW w:w="760" w:type="pct"/>
            <w:hideMark/>
          </w:tcPr>
          <w:p w14:paraId="54ECF4AD" w14:textId="77777777" w:rsidR="003034E9" w:rsidRPr="00812C85" w:rsidRDefault="003034E9" w:rsidP="00122A56">
            <w:pPr>
              <w:pStyle w:val="Tabletext"/>
              <w:jc w:val="center"/>
            </w:pPr>
            <w:r w:rsidRPr="00812C85">
              <w:t>4</w:t>
            </w:r>
          </w:p>
        </w:tc>
        <w:tc>
          <w:tcPr>
            <w:tcW w:w="760" w:type="pct"/>
            <w:noWrap/>
            <w:hideMark/>
          </w:tcPr>
          <w:p w14:paraId="2173836A" w14:textId="77777777" w:rsidR="003034E9" w:rsidRPr="00812C85" w:rsidRDefault="003034E9" w:rsidP="00122A56">
            <w:pPr>
              <w:pStyle w:val="Tabletext"/>
              <w:jc w:val="center"/>
            </w:pPr>
            <w:r w:rsidRPr="00812C85">
              <w:t>37</w:t>
            </w:r>
          </w:p>
        </w:tc>
      </w:tr>
      <w:tr w:rsidR="003034E9" w:rsidRPr="00812C85" w14:paraId="1F06F8D0" w14:textId="77777777" w:rsidTr="00691FD5">
        <w:trPr>
          <w:trHeight w:val="300"/>
        </w:trPr>
        <w:tc>
          <w:tcPr>
            <w:tcW w:w="3481" w:type="pct"/>
            <w:noWrap/>
            <w:hideMark/>
          </w:tcPr>
          <w:p w14:paraId="7F4BC0FA" w14:textId="77777777" w:rsidR="003034E9" w:rsidRPr="00812C85" w:rsidRDefault="003034E9" w:rsidP="00812C85">
            <w:pPr>
              <w:pStyle w:val="Tabletext"/>
            </w:pPr>
            <w:r w:rsidRPr="00812C85">
              <w:t>Special Interest Groups</w:t>
            </w:r>
          </w:p>
        </w:tc>
        <w:tc>
          <w:tcPr>
            <w:tcW w:w="760" w:type="pct"/>
            <w:hideMark/>
          </w:tcPr>
          <w:p w14:paraId="183733F4" w14:textId="77777777" w:rsidR="003034E9" w:rsidRPr="00812C85" w:rsidRDefault="003034E9" w:rsidP="00122A56">
            <w:pPr>
              <w:pStyle w:val="Tabletext"/>
              <w:jc w:val="center"/>
            </w:pPr>
            <w:r w:rsidRPr="00812C85">
              <w:t>5</w:t>
            </w:r>
          </w:p>
        </w:tc>
        <w:tc>
          <w:tcPr>
            <w:tcW w:w="760" w:type="pct"/>
            <w:noWrap/>
            <w:hideMark/>
          </w:tcPr>
          <w:p w14:paraId="18D0D84E" w14:textId="77777777" w:rsidR="003034E9" w:rsidRPr="00812C85" w:rsidRDefault="003034E9" w:rsidP="00122A56">
            <w:pPr>
              <w:pStyle w:val="Tabletext"/>
              <w:jc w:val="center"/>
            </w:pPr>
            <w:r w:rsidRPr="00812C85">
              <w:t>62</w:t>
            </w:r>
          </w:p>
        </w:tc>
      </w:tr>
      <w:tr w:rsidR="003034E9" w:rsidRPr="00812C85" w14:paraId="1E840750" w14:textId="77777777" w:rsidTr="00691FD5">
        <w:trPr>
          <w:trHeight w:val="300"/>
        </w:trPr>
        <w:tc>
          <w:tcPr>
            <w:tcW w:w="3481" w:type="pct"/>
            <w:noWrap/>
            <w:hideMark/>
          </w:tcPr>
          <w:p w14:paraId="6983FA2F" w14:textId="77777777" w:rsidR="003034E9" w:rsidRPr="00812C85" w:rsidRDefault="003034E9" w:rsidP="00812C85">
            <w:pPr>
              <w:pStyle w:val="Tabletext"/>
            </w:pPr>
            <w:r w:rsidRPr="00812C85">
              <w:t>Provider peak body</w:t>
            </w:r>
          </w:p>
        </w:tc>
        <w:tc>
          <w:tcPr>
            <w:tcW w:w="760" w:type="pct"/>
            <w:hideMark/>
          </w:tcPr>
          <w:p w14:paraId="0721C6E0" w14:textId="77777777" w:rsidR="003034E9" w:rsidRPr="00812C85" w:rsidRDefault="003034E9" w:rsidP="00122A56">
            <w:pPr>
              <w:pStyle w:val="Tabletext"/>
              <w:jc w:val="center"/>
            </w:pPr>
            <w:r w:rsidRPr="00812C85">
              <w:t>2</w:t>
            </w:r>
          </w:p>
        </w:tc>
        <w:tc>
          <w:tcPr>
            <w:tcW w:w="760" w:type="pct"/>
            <w:noWrap/>
            <w:hideMark/>
          </w:tcPr>
          <w:p w14:paraId="35D74522" w14:textId="77777777" w:rsidR="003034E9" w:rsidRPr="00812C85" w:rsidRDefault="003034E9" w:rsidP="00122A56">
            <w:pPr>
              <w:pStyle w:val="Tabletext"/>
              <w:jc w:val="center"/>
            </w:pPr>
            <w:r w:rsidRPr="00812C85">
              <w:t>18</w:t>
            </w:r>
          </w:p>
        </w:tc>
      </w:tr>
      <w:tr w:rsidR="003034E9" w:rsidRPr="00812C85" w14:paraId="2A91E600" w14:textId="77777777" w:rsidTr="00691FD5">
        <w:trPr>
          <w:trHeight w:val="300"/>
        </w:trPr>
        <w:tc>
          <w:tcPr>
            <w:tcW w:w="3481" w:type="pct"/>
            <w:noWrap/>
            <w:hideMark/>
          </w:tcPr>
          <w:p w14:paraId="4A19595C" w14:textId="77777777" w:rsidR="003034E9" w:rsidRPr="00812C85" w:rsidRDefault="003034E9" w:rsidP="00812C85">
            <w:pPr>
              <w:pStyle w:val="Tabletext"/>
            </w:pPr>
            <w:r w:rsidRPr="00812C85">
              <w:t>Consumer peak body</w:t>
            </w:r>
          </w:p>
        </w:tc>
        <w:tc>
          <w:tcPr>
            <w:tcW w:w="760" w:type="pct"/>
            <w:hideMark/>
          </w:tcPr>
          <w:p w14:paraId="4985FB55" w14:textId="77777777" w:rsidR="003034E9" w:rsidRPr="00812C85" w:rsidRDefault="003034E9" w:rsidP="00122A56">
            <w:pPr>
              <w:pStyle w:val="Tabletext"/>
              <w:jc w:val="center"/>
            </w:pPr>
            <w:r w:rsidRPr="00812C85">
              <w:t>1</w:t>
            </w:r>
          </w:p>
        </w:tc>
        <w:tc>
          <w:tcPr>
            <w:tcW w:w="760" w:type="pct"/>
            <w:noWrap/>
            <w:hideMark/>
          </w:tcPr>
          <w:p w14:paraId="3407CEB6" w14:textId="77777777" w:rsidR="003034E9" w:rsidRPr="00812C85" w:rsidRDefault="003034E9" w:rsidP="00122A56">
            <w:pPr>
              <w:pStyle w:val="Tabletext"/>
              <w:jc w:val="center"/>
            </w:pPr>
            <w:r w:rsidRPr="00812C85">
              <w:t>12</w:t>
            </w:r>
          </w:p>
        </w:tc>
      </w:tr>
      <w:tr w:rsidR="003034E9" w:rsidRPr="00812C85" w14:paraId="48C07D1F" w14:textId="77777777" w:rsidTr="00691FD5">
        <w:trPr>
          <w:trHeight w:val="288"/>
        </w:trPr>
        <w:tc>
          <w:tcPr>
            <w:tcW w:w="3481" w:type="pct"/>
            <w:noWrap/>
            <w:hideMark/>
          </w:tcPr>
          <w:p w14:paraId="3A314539" w14:textId="77777777" w:rsidR="003034E9" w:rsidRPr="00812C85" w:rsidRDefault="003034E9" w:rsidP="00812C85">
            <w:pPr>
              <w:pStyle w:val="Tabletext"/>
            </w:pPr>
            <w:r w:rsidRPr="00812C85">
              <w:t>Department of Social Services, Department of Veterans’ Affairs &amp; NDIS</w:t>
            </w:r>
          </w:p>
        </w:tc>
        <w:tc>
          <w:tcPr>
            <w:tcW w:w="760" w:type="pct"/>
            <w:hideMark/>
          </w:tcPr>
          <w:p w14:paraId="0F397087" w14:textId="77777777" w:rsidR="003034E9" w:rsidRPr="00812C85" w:rsidRDefault="003034E9" w:rsidP="00122A56">
            <w:pPr>
              <w:pStyle w:val="Tabletext"/>
              <w:jc w:val="center"/>
            </w:pPr>
            <w:r w:rsidRPr="00812C85">
              <w:t>1</w:t>
            </w:r>
          </w:p>
        </w:tc>
        <w:tc>
          <w:tcPr>
            <w:tcW w:w="760" w:type="pct"/>
            <w:noWrap/>
            <w:hideMark/>
          </w:tcPr>
          <w:p w14:paraId="299EB633" w14:textId="77777777" w:rsidR="003034E9" w:rsidRPr="00812C85" w:rsidRDefault="003034E9" w:rsidP="00122A56">
            <w:pPr>
              <w:pStyle w:val="Tabletext"/>
              <w:jc w:val="center"/>
            </w:pPr>
            <w:r w:rsidRPr="00812C85">
              <w:t>8</w:t>
            </w:r>
          </w:p>
        </w:tc>
      </w:tr>
      <w:tr w:rsidR="003034E9" w:rsidRPr="00812C85" w14:paraId="433EF892" w14:textId="77777777" w:rsidTr="00691FD5">
        <w:trPr>
          <w:trHeight w:val="288"/>
        </w:trPr>
        <w:tc>
          <w:tcPr>
            <w:tcW w:w="3481" w:type="pct"/>
            <w:noWrap/>
            <w:hideMark/>
          </w:tcPr>
          <w:p w14:paraId="1B8CE9C0" w14:textId="77777777" w:rsidR="003034E9" w:rsidRPr="00812C85" w:rsidRDefault="003034E9" w:rsidP="00812C85">
            <w:pPr>
              <w:pStyle w:val="Tabletext"/>
            </w:pPr>
            <w:r w:rsidRPr="00812C85">
              <w:t>The Aged Care Quality and Safety Commission</w:t>
            </w:r>
          </w:p>
        </w:tc>
        <w:tc>
          <w:tcPr>
            <w:tcW w:w="760" w:type="pct"/>
            <w:hideMark/>
          </w:tcPr>
          <w:p w14:paraId="07F03C47" w14:textId="77777777" w:rsidR="003034E9" w:rsidRPr="00812C85" w:rsidRDefault="003034E9" w:rsidP="00122A56">
            <w:pPr>
              <w:pStyle w:val="Tabletext"/>
              <w:jc w:val="center"/>
            </w:pPr>
            <w:r w:rsidRPr="00812C85">
              <w:t>3</w:t>
            </w:r>
          </w:p>
        </w:tc>
        <w:tc>
          <w:tcPr>
            <w:tcW w:w="760" w:type="pct"/>
            <w:noWrap/>
            <w:hideMark/>
          </w:tcPr>
          <w:p w14:paraId="264514E2" w14:textId="77777777" w:rsidR="003034E9" w:rsidRPr="00812C85" w:rsidRDefault="003034E9" w:rsidP="00122A56">
            <w:pPr>
              <w:pStyle w:val="Tabletext"/>
              <w:jc w:val="center"/>
            </w:pPr>
            <w:r w:rsidRPr="00812C85">
              <w:t>12</w:t>
            </w:r>
          </w:p>
        </w:tc>
      </w:tr>
      <w:tr w:rsidR="003034E9" w:rsidRPr="00812C85" w14:paraId="427819EC" w14:textId="77777777" w:rsidTr="00691FD5">
        <w:trPr>
          <w:trHeight w:val="288"/>
        </w:trPr>
        <w:tc>
          <w:tcPr>
            <w:tcW w:w="3481" w:type="pct"/>
            <w:noWrap/>
            <w:hideMark/>
          </w:tcPr>
          <w:p w14:paraId="61D2C40A" w14:textId="77777777" w:rsidR="003034E9" w:rsidRPr="00812C85" w:rsidRDefault="003034E9" w:rsidP="00812C85">
            <w:pPr>
              <w:pStyle w:val="Tabletext"/>
            </w:pPr>
            <w:r w:rsidRPr="00812C85">
              <w:t>Australian Commission on Safety and Quality in Health Care</w:t>
            </w:r>
          </w:p>
        </w:tc>
        <w:tc>
          <w:tcPr>
            <w:tcW w:w="760" w:type="pct"/>
            <w:hideMark/>
          </w:tcPr>
          <w:p w14:paraId="6DB7AD04" w14:textId="77777777" w:rsidR="003034E9" w:rsidRPr="00812C85" w:rsidRDefault="003034E9" w:rsidP="00122A56">
            <w:pPr>
              <w:pStyle w:val="Tabletext"/>
              <w:jc w:val="center"/>
            </w:pPr>
            <w:r w:rsidRPr="00812C85">
              <w:t>1</w:t>
            </w:r>
          </w:p>
        </w:tc>
        <w:tc>
          <w:tcPr>
            <w:tcW w:w="760" w:type="pct"/>
            <w:noWrap/>
            <w:hideMark/>
          </w:tcPr>
          <w:p w14:paraId="3A75562F" w14:textId="77777777" w:rsidR="003034E9" w:rsidRPr="00812C85" w:rsidRDefault="003034E9" w:rsidP="00122A56">
            <w:pPr>
              <w:pStyle w:val="Tabletext"/>
              <w:jc w:val="center"/>
            </w:pPr>
            <w:r w:rsidRPr="00812C85">
              <w:t>3</w:t>
            </w:r>
          </w:p>
        </w:tc>
      </w:tr>
      <w:tr w:rsidR="003034E9" w:rsidRPr="00812C85" w14:paraId="61500175" w14:textId="77777777" w:rsidTr="00691FD5">
        <w:trPr>
          <w:trHeight w:val="300"/>
        </w:trPr>
        <w:tc>
          <w:tcPr>
            <w:tcW w:w="3481" w:type="pct"/>
            <w:noWrap/>
          </w:tcPr>
          <w:p w14:paraId="14874C34" w14:textId="77777777" w:rsidR="003034E9" w:rsidRPr="00812C85" w:rsidRDefault="003034E9" w:rsidP="00812C85">
            <w:pPr>
              <w:pStyle w:val="Tabletext"/>
            </w:pPr>
            <w:r w:rsidRPr="00812C85">
              <w:t xml:space="preserve">Other </w:t>
            </w:r>
          </w:p>
        </w:tc>
        <w:tc>
          <w:tcPr>
            <w:tcW w:w="760" w:type="pct"/>
            <w:noWrap/>
          </w:tcPr>
          <w:p w14:paraId="258315B9" w14:textId="77777777" w:rsidR="003034E9" w:rsidRPr="00812C85" w:rsidRDefault="003034E9" w:rsidP="00122A56">
            <w:pPr>
              <w:pStyle w:val="Tabletext"/>
              <w:jc w:val="center"/>
            </w:pPr>
            <w:r w:rsidRPr="00812C85">
              <w:t>2</w:t>
            </w:r>
          </w:p>
        </w:tc>
        <w:tc>
          <w:tcPr>
            <w:tcW w:w="760" w:type="pct"/>
            <w:noWrap/>
          </w:tcPr>
          <w:p w14:paraId="30E521D7" w14:textId="77777777" w:rsidR="003034E9" w:rsidRPr="00812C85" w:rsidRDefault="003034E9" w:rsidP="00122A56">
            <w:pPr>
              <w:pStyle w:val="Tabletext"/>
              <w:jc w:val="center"/>
            </w:pPr>
            <w:r w:rsidRPr="00812C85">
              <w:t>25</w:t>
            </w:r>
          </w:p>
        </w:tc>
      </w:tr>
      <w:tr w:rsidR="003034E9" w:rsidRPr="00122A56" w14:paraId="26DC71DA" w14:textId="77777777" w:rsidTr="00691FD5">
        <w:trPr>
          <w:trHeight w:val="300"/>
        </w:trPr>
        <w:tc>
          <w:tcPr>
            <w:tcW w:w="3481" w:type="pct"/>
            <w:noWrap/>
            <w:hideMark/>
          </w:tcPr>
          <w:p w14:paraId="5554C2DD" w14:textId="77777777" w:rsidR="003034E9" w:rsidRPr="00122A56" w:rsidRDefault="003034E9" w:rsidP="00691FD5">
            <w:pPr>
              <w:pStyle w:val="Tabletextbold0"/>
            </w:pPr>
            <w:r w:rsidRPr="00122A56">
              <w:t>Grand Total</w:t>
            </w:r>
          </w:p>
        </w:tc>
        <w:tc>
          <w:tcPr>
            <w:tcW w:w="760" w:type="pct"/>
            <w:noWrap/>
            <w:hideMark/>
          </w:tcPr>
          <w:p w14:paraId="2FC47E90" w14:textId="77777777" w:rsidR="003034E9" w:rsidRPr="00122A56" w:rsidRDefault="003034E9" w:rsidP="00691FD5">
            <w:pPr>
              <w:pStyle w:val="Tabletextbold0"/>
              <w:jc w:val="center"/>
            </w:pPr>
            <w:r w:rsidRPr="00122A56">
              <w:t>35</w:t>
            </w:r>
          </w:p>
        </w:tc>
        <w:tc>
          <w:tcPr>
            <w:tcW w:w="760" w:type="pct"/>
            <w:noWrap/>
            <w:hideMark/>
          </w:tcPr>
          <w:p w14:paraId="203831D5" w14:textId="77777777" w:rsidR="003034E9" w:rsidRPr="00122A56" w:rsidRDefault="003034E9" w:rsidP="00691FD5">
            <w:pPr>
              <w:pStyle w:val="Tabletextbold0"/>
              <w:jc w:val="center"/>
            </w:pPr>
            <w:r w:rsidRPr="00122A56">
              <w:t>323</w:t>
            </w:r>
          </w:p>
        </w:tc>
      </w:tr>
    </w:tbl>
    <w:p w14:paraId="720877E2" w14:textId="68D4D5F3" w:rsidR="003034E9" w:rsidRDefault="003034E9" w:rsidP="00231A99">
      <w:pPr>
        <w:pStyle w:val="Source0"/>
      </w:pPr>
      <w:r>
        <w:t>Source: KPMG</w:t>
      </w:r>
      <w:r w:rsidR="00122A56">
        <w:t>.</w:t>
      </w:r>
    </w:p>
    <w:p w14:paraId="49EC0213" w14:textId="7524A5CC" w:rsidR="003034E9" w:rsidRPr="00243FE3" w:rsidRDefault="003034E9" w:rsidP="00691FD5">
      <w:pPr>
        <w:pStyle w:val="Caption"/>
        <w:spacing w:before="360"/>
      </w:pPr>
      <w:r w:rsidRPr="00243FE3">
        <w:t xml:space="preserve">Table </w:t>
      </w:r>
      <w:r w:rsidRPr="00243FE3">
        <w:fldChar w:fldCharType="begin"/>
      </w:r>
      <w:r w:rsidRPr="005D028A">
        <w:instrText xml:space="preserve"> SEQ Table \* ARABIC </w:instrText>
      </w:r>
      <w:r w:rsidRPr="00243FE3">
        <w:fldChar w:fldCharType="separate"/>
      </w:r>
      <w:r w:rsidR="0083123A">
        <w:rPr>
          <w:noProof/>
        </w:rPr>
        <w:t>17</w:t>
      </w:r>
      <w:r w:rsidRPr="00243FE3">
        <w:fldChar w:fldCharType="end"/>
      </w:r>
      <w:r w:rsidRPr="00243FE3">
        <w:t xml:space="preserve">: Analysis of survey respondents, by stakeholder group </w:t>
      </w:r>
    </w:p>
    <w:tbl>
      <w:tblPr>
        <w:tblStyle w:val="TableGridLight"/>
        <w:tblW w:w="4999" w:type="pct"/>
        <w:tblLook w:val="0620" w:firstRow="1" w:lastRow="0" w:firstColumn="0" w:lastColumn="0" w:noHBand="1" w:noVBand="1"/>
      </w:tblPr>
      <w:tblGrid>
        <w:gridCol w:w="6250"/>
        <w:gridCol w:w="1404"/>
        <w:gridCol w:w="1404"/>
      </w:tblGrid>
      <w:tr w:rsidR="003034E9" w:rsidRPr="00812C85" w14:paraId="158ADD32" w14:textId="77777777" w:rsidTr="00691FD5">
        <w:trPr>
          <w:cnfStyle w:val="100000000000" w:firstRow="1" w:lastRow="0" w:firstColumn="0" w:lastColumn="0" w:oddVBand="0" w:evenVBand="0" w:oddHBand="0" w:evenHBand="0" w:firstRowFirstColumn="0" w:firstRowLastColumn="0" w:lastRowFirstColumn="0" w:lastRowLastColumn="0"/>
          <w:trHeight w:val="222"/>
        </w:trPr>
        <w:tc>
          <w:tcPr>
            <w:tcW w:w="3450" w:type="pct"/>
          </w:tcPr>
          <w:p w14:paraId="7E187F2C" w14:textId="77777777" w:rsidR="003034E9" w:rsidRPr="00812C85" w:rsidRDefault="003034E9" w:rsidP="00575CC4">
            <w:pPr>
              <w:pStyle w:val="Tableheading"/>
            </w:pPr>
            <w:r w:rsidRPr="00812C85">
              <w:t>Stakeholder group</w:t>
            </w:r>
          </w:p>
        </w:tc>
        <w:tc>
          <w:tcPr>
            <w:tcW w:w="775" w:type="pct"/>
          </w:tcPr>
          <w:p w14:paraId="0CD3A6E2" w14:textId="5CAA3616" w:rsidR="003034E9" w:rsidRPr="00812C85" w:rsidRDefault="003034E9" w:rsidP="00575CC4">
            <w:pPr>
              <w:pStyle w:val="Tableheading"/>
            </w:pPr>
            <w:r w:rsidRPr="00812C85">
              <w:t>Response count</w:t>
            </w:r>
          </w:p>
        </w:tc>
        <w:tc>
          <w:tcPr>
            <w:tcW w:w="775" w:type="pct"/>
          </w:tcPr>
          <w:p w14:paraId="2EB5F528" w14:textId="77777777" w:rsidR="003034E9" w:rsidRPr="00812C85" w:rsidRDefault="003034E9" w:rsidP="00575CC4">
            <w:pPr>
              <w:pStyle w:val="Tableheading"/>
            </w:pPr>
            <w:r w:rsidRPr="00812C85">
              <w:t>%</w:t>
            </w:r>
          </w:p>
        </w:tc>
      </w:tr>
      <w:tr w:rsidR="003034E9" w:rsidRPr="00812C85" w14:paraId="298FE614" w14:textId="77777777" w:rsidTr="00691FD5">
        <w:trPr>
          <w:trHeight w:val="20"/>
        </w:trPr>
        <w:tc>
          <w:tcPr>
            <w:tcW w:w="3450" w:type="pct"/>
            <w:hideMark/>
          </w:tcPr>
          <w:p w14:paraId="0B547C97" w14:textId="77777777" w:rsidR="003034E9" w:rsidRPr="00812C85" w:rsidRDefault="003034E9" w:rsidP="00812C85">
            <w:pPr>
              <w:pStyle w:val="Tabletext"/>
            </w:pPr>
            <w:r w:rsidRPr="00812C85">
              <w:t>Aged care service provider</w:t>
            </w:r>
          </w:p>
        </w:tc>
        <w:tc>
          <w:tcPr>
            <w:tcW w:w="775" w:type="pct"/>
            <w:hideMark/>
          </w:tcPr>
          <w:p w14:paraId="433C73E3" w14:textId="77777777" w:rsidR="003034E9" w:rsidRPr="00812C85" w:rsidRDefault="003034E9" w:rsidP="00122A56">
            <w:pPr>
              <w:pStyle w:val="Tabletext"/>
              <w:jc w:val="center"/>
            </w:pPr>
            <w:r w:rsidRPr="00812C85">
              <w:t>471</w:t>
            </w:r>
          </w:p>
        </w:tc>
        <w:tc>
          <w:tcPr>
            <w:tcW w:w="775" w:type="pct"/>
            <w:hideMark/>
          </w:tcPr>
          <w:p w14:paraId="0136ACCD" w14:textId="77777777" w:rsidR="003034E9" w:rsidRPr="00812C85" w:rsidRDefault="003034E9" w:rsidP="00122A56">
            <w:pPr>
              <w:pStyle w:val="Tabletext"/>
              <w:jc w:val="center"/>
            </w:pPr>
            <w:r w:rsidRPr="00812C85">
              <w:t>29%</w:t>
            </w:r>
          </w:p>
        </w:tc>
      </w:tr>
      <w:tr w:rsidR="003034E9" w:rsidRPr="00812C85" w14:paraId="2E86E71E" w14:textId="77777777" w:rsidTr="00691FD5">
        <w:trPr>
          <w:trHeight w:val="20"/>
        </w:trPr>
        <w:tc>
          <w:tcPr>
            <w:tcW w:w="3450" w:type="pct"/>
            <w:hideMark/>
          </w:tcPr>
          <w:p w14:paraId="107A4A30" w14:textId="77777777" w:rsidR="003034E9" w:rsidRPr="00812C85" w:rsidRDefault="003034E9" w:rsidP="00812C85">
            <w:pPr>
              <w:pStyle w:val="Tabletext"/>
            </w:pPr>
            <w:r w:rsidRPr="00812C85">
              <w:t>Consumer, carer or family member of a consumer</w:t>
            </w:r>
          </w:p>
        </w:tc>
        <w:tc>
          <w:tcPr>
            <w:tcW w:w="775" w:type="pct"/>
            <w:hideMark/>
          </w:tcPr>
          <w:p w14:paraId="3E7CC5E7" w14:textId="77777777" w:rsidR="003034E9" w:rsidRPr="00812C85" w:rsidRDefault="003034E9" w:rsidP="00122A56">
            <w:pPr>
              <w:pStyle w:val="Tabletext"/>
              <w:jc w:val="center"/>
            </w:pPr>
            <w:r w:rsidRPr="00812C85">
              <w:t>393</w:t>
            </w:r>
          </w:p>
        </w:tc>
        <w:tc>
          <w:tcPr>
            <w:tcW w:w="775" w:type="pct"/>
            <w:hideMark/>
          </w:tcPr>
          <w:p w14:paraId="53C1026D" w14:textId="77777777" w:rsidR="003034E9" w:rsidRPr="00812C85" w:rsidRDefault="003034E9" w:rsidP="00122A56">
            <w:pPr>
              <w:pStyle w:val="Tabletext"/>
              <w:jc w:val="center"/>
            </w:pPr>
            <w:r w:rsidRPr="00812C85">
              <w:t>24%</w:t>
            </w:r>
          </w:p>
        </w:tc>
      </w:tr>
      <w:tr w:rsidR="003034E9" w:rsidRPr="00812C85" w14:paraId="7CEADEC5" w14:textId="77777777" w:rsidTr="00691FD5">
        <w:trPr>
          <w:trHeight w:val="20"/>
        </w:trPr>
        <w:tc>
          <w:tcPr>
            <w:tcW w:w="3450" w:type="pct"/>
            <w:hideMark/>
          </w:tcPr>
          <w:p w14:paraId="085D235F" w14:textId="77777777" w:rsidR="003034E9" w:rsidRPr="00812C85" w:rsidRDefault="003034E9" w:rsidP="00812C85">
            <w:pPr>
              <w:pStyle w:val="Tabletext"/>
            </w:pPr>
            <w:r w:rsidRPr="00812C85">
              <w:t>Aged care worker, including volunteer</w:t>
            </w:r>
          </w:p>
        </w:tc>
        <w:tc>
          <w:tcPr>
            <w:tcW w:w="775" w:type="pct"/>
            <w:hideMark/>
          </w:tcPr>
          <w:p w14:paraId="7822B333" w14:textId="77777777" w:rsidR="003034E9" w:rsidRPr="00812C85" w:rsidRDefault="003034E9" w:rsidP="00122A56">
            <w:pPr>
              <w:pStyle w:val="Tabletext"/>
              <w:jc w:val="center"/>
            </w:pPr>
            <w:r w:rsidRPr="00812C85">
              <w:t>348</w:t>
            </w:r>
          </w:p>
        </w:tc>
        <w:tc>
          <w:tcPr>
            <w:tcW w:w="775" w:type="pct"/>
            <w:hideMark/>
          </w:tcPr>
          <w:p w14:paraId="66419480" w14:textId="77777777" w:rsidR="003034E9" w:rsidRPr="00812C85" w:rsidRDefault="003034E9" w:rsidP="00122A56">
            <w:pPr>
              <w:pStyle w:val="Tabletext"/>
              <w:jc w:val="center"/>
            </w:pPr>
            <w:r w:rsidRPr="00812C85">
              <w:t>22%</w:t>
            </w:r>
          </w:p>
        </w:tc>
      </w:tr>
      <w:tr w:rsidR="003034E9" w:rsidRPr="00812C85" w14:paraId="512B177F" w14:textId="77777777" w:rsidTr="00691FD5">
        <w:trPr>
          <w:trHeight w:val="20"/>
        </w:trPr>
        <w:tc>
          <w:tcPr>
            <w:tcW w:w="3450" w:type="pct"/>
            <w:hideMark/>
          </w:tcPr>
          <w:p w14:paraId="59711776" w14:textId="77777777" w:rsidR="003034E9" w:rsidRPr="00812C85" w:rsidRDefault="003034E9" w:rsidP="00812C85">
            <w:pPr>
              <w:pStyle w:val="Tabletext"/>
            </w:pPr>
            <w:r w:rsidRPr="00812C85">
              <w:t>Health professional</w:t>
            </w:r>
          </w:p>
        </w:tc>
        <w:tc>
          <w:tcPr>
            <w:tcW w:w="775" w:type="pct"/>
            <w:hideMark/>
          </w:tcPr>
          <w:p w14:paraId="629DF949" w14:textId="77777777" w:rsidR="003034E9" w:rsidRPr="00812C85" w:rsidRDefault="003034E9" w:rsidP="00122A56">
            <w:pPr>
              <w:pStyle w:val="Tabletext"/>
              <w:jc w:val="center"/>
            </w:pPr>
            <w:r w:rsidRPr="00812C85">
              <w:t>232</w:t>
            </w:r>
          </w:p>
        </w:tc>
        <w:tc>
          <w:tcPr>
            <w:tcW w:w="775" w:type="pct"/>
            <w:hideMark/>
          </w:tcPr>
          <w:p w14:paraId="6171432E" w14:textId="77777777" w:rsidR="003034E9" w:rsidRPr="00812C85" w:rsidRDefault="003034E9" w:rsidP="00122A56">
            <w:pPr>
              <w:pStyle w:val="Tabletext"/>
              <w:jc w:val="center"/>
            </w:pPr>
            <w:r w:rsidRPr="00812C85">
              <w:t>14%</w:t>
            </w:r>
          </w:p>
        </w:tc>
      </w:tr>
      <w:tr w:rsidR="003034E9" w:rsidRPr="00812C85" w14:paraId="16A56147" w14:textId="77777777" w:rsidTr="00691FD5">
        <w:trPr>
          <w:trHeight w:val="20"/>
        </w:trPr>
        <w:tc>
          <w:tcPr>
            <w:tcW w:w="3450" w:type="pct"/>
            <w:hideMark/>
          </w:tcPr>
          <w:p w14:paraId="7D315087" w14:textId="77777777" w:rsidR="003034E9" w:rsidRPr="00812C85" w:rsidRDefault="003034E9" w:rsidP="00812C85">
            <w:pPr>
              <w:pStyle w:val="Tabletext"/>
            </w:pPr>
            <w:r w:rsidRPr="00812C85">
              <w:t>Consumer peak body</w:t>
            </w:r>
          </w:p>
        </w:tc>
        <w:tc>
          <w:tcPr>
            <w:tcW w:w="775" w:type="pct"/>
            <w:hideMark/>
          </w:tcPr>
          <w:p w14:paraId="67EB52BC" w14:textId="77777777" w:rsidR="003034E9" w:rsidRPr="00812C85" w:rsidRDefault="003034E9" w:rsidP="00122A56">
            <w:pPr>
              <w:pStyle w:val="Tabletext"/>
              <w:jc w:val="center"/>
            </w:pPr>
            <w:r w:rsidRPr="00812C85">
              <w:t>30</w:t>
            </w:r>
          </w:p>
        </w:tc>
        <w:tc>
          <w:tcPr>
            <w:tcW w:w="775" w:type="pct"/>
            <w:hideMark/>
          </w:tcPr>
          <w:p w14:paraId="49D1F4B3" w14:textId="77777777" w:rsidR="003034E9" w:rsidRPr="00812C85" w:rsidRDefault="003034E9" w:rsidP="00122A56">
            <w:pPr>
              <w:pStyle w:val="Tabletext"/>
              <w:jc w:val="center"/>
            </w:pPr>
            <w:r w:rsidRPr="00812C85">
              <w:t>2%</w:t>
            </w:r>
          </w:p>
        </w:tc>
      </w:tr>
      <w:tr w:rsidR="003034E9" w:rsidRPr="00812C85" w14:paraId="272CE3C0" w14:textId="77777777" w:rsidTr="00691FD5">
        <w:trPr>
          <w:trHeight w:val="20"/>
        </w:trPr>
        <w:tc>
          <w:tcPr>
            <w:tcW w:w="3450" w:type="pct"/>
            <w:hideMark/>
          </w:tcPr>
          <w:p w14:paraId="6191A9FF" w14:textId="77777777" w:rsidR="003034E9" w:rsidRPr="00812C85" w:rsidRDefault="003034E9" w:rsidP="00812C85">
            <w:pPr>
              <w:pStyle w:val="Tabletext"/>
            </w:pPr>
            <w:r w:rsidRPr="00812C85">
              <w:t>Provider peak body</w:t>
            </w:r>
          </w:p>
        </w:tc>
        <w:tc>
          <w:tcPr>
            <w:tcW w:w="775" w:type="pct"/>
            <w:hideMark/>
          </w:tcPr>
          <w:p w14:paraId="2C33873C" w14:textId="77777777" w:rsidR="003034E9" w:rsidRPr="00812C85" w:rsidRDefault="003034E9" w:rsidP="00122A56">
            <w:pPr>
              <w:pStyle w:val="Tabletext"/>
              <w:jc w:val="center"/>
            </w:pPr>
            <w:r w:rsidRPr="00812C85">
              <w:t>25</w:t>
            </w:r>
          </w:p>
        </w:tc>
        <w:tc>
          <w:tcPr>
            <w:tcW w:w="775" w:type="pct"/>
            <w:hideMark/>
          </w:tcPr>
          <w:p w14:paraId="4FD7DC57" w14:textId="77777777" w:rsidR="003034E9" w:rsidRPr="00812C85" w:rsidRDefault="003034E9" w:rsidP="00122A56">
            <w:pPr>
              <w:pStyle w:val="Tabletext"/>
              <w:jc w:val="center"/>
            </w:pPr>
            <w:r w:rsidRPr="00812C85">
              <w:t>2%</w:t>
            </w:r>
          </w:p>
        </w:tc>
      </w:tr>
      <w:tr w:rsidR="003034E9" w:rsidRPr="00812C85" w14:paraId="7EE49426" w14:textId="77777777" w:rsidTr="00691FD5">
        <w:trPr>
          <w:trHeight w:val="20"/>
        </w:trPr>
        <w:tc>
          <w:tcPr>
            <w:tcW w:w="3450" w:type="pct"/>
            <w:hideMark/>
          </w:tcPr>
          <w:p w14:paraId="002A170B" w14:textId="77777777" w:rsidR="003034E9" w:rsidRPr="00812C85" w:rsidRDefault="003034E9" w:rsidP="00812C85">
            <w:pPr>
              <w:pStyle w:val="Tabletext"/>
            </w:pPr>
            <w:r w:rsidRPr="00812C85">
              <w:t xml:space="preserve">Other </w:t>
            </w:r>
          </w:p>
        </w:tc>
        <w:tc>
          <w:tcPr>
            <w:tcW w:w="775" w:type="pct"/>
            <w:hideMark/>
          </w:tcPr>
          <w:p w14:paraId="69C2AFC0" w14:textId="77777777" w:rsidR="003034E9" w:rsidRPr="00812C85" w:rsidRDefault="003034E9" w:rsidP="00122A56">
            <w:pPr>
              <w:pStyle w:val="Tabletext"/>
              <w:jc w:val="center"/>
            </w:pPr>
            <w:r w:rsidRPr="00812C85">
              <w:t>112</w:t>
            </w:r>
          </w:p>
        </w:tc>
        <w:tc>
          <w:tcPr>
            <w:tcW w:w="775" w:type="pct"/>
            <w:hideMark/>
          </w:tcPr>
          <w:p w14:paraId="6CDD3FC7" w14:textId="77777777" w:rsidR="003034E9" w:rsidRPr="00812C85" w:rsidRDefault="003034E9" w:rsidP="00122A56">
            <w:pPr>
              <w:pStyle w:val="Tabletext"/>
              <w:jc w:val="center"/>
            </w:pPr>
            <w:r w:rsidRPr="00812C85">
              <w:t>7%</w:t>
            </w:r>
          </w:p>
        </w:tc>
      </w:tr>
      <w:tr w:rsidR="003034E9" w:rsidRPr="00122A56" w14:paraId="04BB3F7A" w14:textId="77777777" w:rsidTr="00691FD5">
        <w:trPr>
          <w:trHeight w:val="20"/>
        </w:trPr>
        <w:tc>
          <w:tcPr>
            <w:tcW w:w="3450" w:type="pct"/>
            <w:hideMark/>
          </w:tcPr>
          <w:p w14:paraId="22147483" w14:textId="77777777" w:rsidR="003034E9" w:rsidRPr="00122A56" w:rsidRDefault="003034E9" w:rsidP="00691FD5">
            <w:pPr>
              <w:pStyle w:val="Tabletextbold0"/>
            </w:pPr>
            <w:r w:rsidRPr="00122A56">
              <w:t xml:space="preserve">Total </w:t>
            </w:r>
          </w:p>
        </w:tc>
        <w:tc>
          <w:tcPr>
            <w:tcW w:w="775" w:type="pct"/>
            <w:hideMark/>
          </w:tcPr>
          <w:p w14:paraId="05C67F10" w14:textId="77777777" w:rsidR="003034E9" w:rsidRPr="00122A56" w:rsidRDefault="003034E9" w:rsidP="00691FD5">
            <w:pPr>
              <w:pStyle w:val="Tabletextbold0"/>
              <w:jc w:val="center"/>
            </w:pPr>
            <w:r w:rsidRPr="00122A56">
              <w:t>1611</w:t>
            </w:r>
          </w:p>
        </w:tc>
        <w:tc>
          <w:tcPr>
            <w:tcW w:w="775" w:type="pct"/>
            <w:hideMark/>
          </w:tcPr>
          <w:p w14:paraId="2B054881" w14:textId="77777777" w:rsidR="003034E9" w:rsidRPr="00122A56" w:rsidRDefault="003034E9" w:rsidP="00691FD5">
            <w:pPr>
              <w:pStyle w:val="Tabletextbold0"/>
              <w:jc w:val="center"/>
            </w:pPr>
            <w:r w:rsidRPr="00122A56">
              <w:t>100%</w:t>
            </w:r>
          </w:p>
        </w:tc>
      </w:tr>
    </w:tbl>
    <w:p w14:paraId="7DAFB427" w14:textId="77777777" w:rsidR="008F2421" w:rsidRDefault="003034E9" w:rsidP="00902874">
      <w:pPr>
        <w:pStyle w:val="Source0"/>
      </w:pPr>
      <w:r>
        <w:t>Source: KPMG</w:t>
      </w:r>
      <w:r w:rsidR="00122A56">
        <w:t>.</w:t>
      </w:r>
      <w:bookmarkStart w:id="259" w:name="_Toc88804105"/>
    </w:p>
    <w:p w14:paraId="6A71772F" w14:textId="77777777" w:rsidR="00DC36BE" w:rsidRDefault="00DC36BE" w:rsidP="00334396">
      <w:pPr>
        <w:pStyle w:val="Heading2"/>
        <w:sectPr w:rsidR="00DC36BE" w:rsidSect="003034E9">
          <w:headerReference w:type="default" r:id="rId66"/>
          <w:pgSz w:w="11906" w:h="16838"/>
          <w:pgMar w:top="1418" w:right="1418" w:bottom="1418" w:left="1418" w:header="709" w:footer="453" w:gutter="0"/>
          <w:cols w:space="708"/>
          <w:docGrid w:linePitch="360"/>
        </w:sectPr>
      </w:pPr>
      <w:bookmarkStart w:id="260" w:name="_Toc89930063"/>
      <w:bookmarkStart w:id="261" w:name="_Toc90453382"/>
    </w:p>
    <w:p w14:paraId="63898590" w14:textId="4976B7AE" w:rsidR="00264F9E" w:rsidRDefault="003034E9" w:rsidP="00334396">
      <w:pPr>
        <w:pStyle w:val="Heading2"/>
      </w:pPr>
      <w:bookmarkStart w:id="262" w:name="_Toc113448710"/>
      <w:r>
        <w:lastRenderedPageBreak/>
        <w:t xml:space="preserve">Appendix C: </w:t>
      </w:r>
      <w:r w:rsidR="00264F9E" w:rsidRPr="00264F9E">
        <w:t>Consumer Outcome Statements of the Standards</w:t>
      </w:r>
      <w:bookmarkEnd w:id="259"/>
      <w:bookmarkEnd w:id="260"/>
      <w:bookmarkEnd w:id="261"/>
      <w:bookmarkEnd w:id="262"/>
    </w:p>
    <w:p w14:paraId="2DD5C513" w14:textId="79D442FD" w:rsidR="00264F9E" w:rsidRDefault="00264F9E" w:rsidP="00231A99">
      <w:pPr>
        <w:pStyle w:val="Caption"/>
      </w:pPr>
      <w:r>
        <w:t xml:space="preserve">Figure </w:t>
      </w:r>
      <w:r>
        <w:fldChar w:fldCharType="begin"/>
      </w:r>
      <w:r>
        <w:instrText>SEQ Figure \* ARABIC</w:instrText>
      </w:r>
      <w:r>
        <w:fldChar w:fldCharType="separate"/>
      </w:r>
      <w:r w:rsidR="0083123A">
        <w:rPr>
          <w:noProof/>
        </w:rPr>
        <w:t>21</w:t>
      </w:r>
      <w:r>
        <w:fldChar w:fldCharType="end"/>
      </w:r>
      <w:r>
        <w:t>. Aged Care Quality Standards, consumer outcome statements</w:t>
      </w:r>
    </w:p>
    <w:tbl>
      <w:tblPr>
        <w:tblStyle w:val="PlainTable2"/>
        <w:tblW w:w="8789" w:type="dxa"/>
        <w:tblBorders>
          <w:top w:val="none" w:sz="0" w:space="0" w:color="auto"/>
          <w:bottom w:val="none" w:sz="0" w:space="0" w:color="auto"/>
        </w:tblBorders>
        <w:tblLook w:val="04A0" w:firstRow="1" w:lastRow="0" w:firstColumn="1" w:lastColumn="0" w:noHBand="0" w:noVBand="1"/>
      </w:tblPr>
      <w:tblGrid>
        <w:gridCol w:w="1138"/>
        <w:gridCol w:w="7651"/>
      </w:tblGrid>
      <w:tr w:rsidR="00264F9E" w14:paraId="1E622F62" w14:textId="77777777" w:rsidTr="00691FD5">
        <w:trPr>
          <w:cnfStyle w:val="100000000000" w:firstRow="1" w:lastRow="0" w:firstColumn="0" w:lastColumn="0" w:oddVBand="0" w:evenVBand="0" w:oddHBand="0" w:evenHBand="0" w:firstRowFirstColumn="0" w:firstRowLastColumn="0" w:lastRowFirstColumn="0" w:lastRowLastColumn="0"/>
          <w:trHeight w:val="867"/>
        </w:trPr>
        <w:tc>
          <w:tcPr>
            <w:cnfStyle w:val="001000000000" w:firstRow="0" w:lastRow="0" w:firstColumn="1" w:lastColumn="0" w:oddVBand="0" w:evenVBand="0" w:oddHBand="0" w:evenHBand="0" w:firstRowFirstColumn="0" w:firstRowLastColumn="0" w:lastRowFirstColumn="0" w:lastRowLastColumn="0"/>
            <w:tcW w:w="1138" w:type="dxa"/>
            <w:tcBorders>
              <w:bottom w:val="none" w:sz="0" w:space="0" w:color="auto"/>
            </w:tcBorders>
          </w:tcPr>
          <w:p w14:paraId="7CF6229F" w14:textId="77777777" w:rsidR="00264F9E" w:rsidRDefault="00264F9E" w:rsidP="00072AA6">
            <w:pPr>
              <w:spacing w:before="0" w:after="160" w:line="259" w:lineRule="auto"/>
            </w:pPr>
            <w:r>
              <w:rPr>
                <w:noProof/>
              </w:rPr>
              <w:drawing>
                <wp:inline distT="0" distB="0" distL="0" distR="0" wp14:anchorId="21B61C57" wp14:editId="2A71E6A2">
                  <wp:extent cx="540000" cy="540000"/>
                  <wp:effectExtent l="0" t="0" r="0" b="0"/>
                  <wp:docPr id="1" name="Picture 1" descr="Icon representing Standar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descr="Icon representing Standard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pic:spPr>
                      </pic:pic>
                    </a:graphicData>
                  </a:graphic>
                </wp:inline>
              </w:drawing>
            </w:r>
          </w:p>
        </w:tc>
        <w:tc>
          <w:tcPr>
            <w:tcW w:w="7651" w:type="dxa"/>
            <w:tcBorders>
              <w:bottom w:val="none" w:sz="0" w:space="0" w:color="auto"/>
            </w:tcBorders>
          </w:tcPr>
          <w:p w14:paraId="099B1ADC" w14:textId="77777777" w:rsidR="00264F9E" w:rsidRPr="00691FD5" w:rsidRDefault="00264F9E" w:rsidP="00691FD5">
            <w:pPr>
              <w:pStyle w:val="Tabletext"/>
              <w:cnfStyle w:val="100000000000" w:firstRow="1" w:lastRow="0" w:firstColumn="0" w:lastColumn="0" w:oddVBand="0" w:evenVBand="0" w:oddHBand="0" w:evenHBand="0" w:firstRowFirstColumn="0" w:firstRowLastColumn="0" w:lastRowFirstColumn="0" w:lastRowLastColumn="0"/>
              <w:rPr>
                <w:b w:val="0"/>
                <w:bCs w:val="0"/>
              </w:rPr>
            </w:pPr>
            <w:r w:rsidRPr="00691FD5">
              <w:rPr>
                <w:sz w:val="20"/>
                <w:szCs w:val="24"/>
              </w:rPr>
              <w:t>Standard 1:</w:t>
            </w:r>
            <w:r w:rsidRPr="00691FD5">
              <w:rPr>
                <w:b w:val="0"/>
                <w:bCs w:val="0"/>
                <w:sz w:val="20"/>
                <w:szCs w:val="24"/>
              </w:rPr>
              <w:t xml:space="preserve"> I am treated with dignity and </w:t>
            </w:r>
            <w:proofErr w:type="gramStart"/>
            <w:r w:rsidRPr="00691FD5">
              <w:rPr>
                <w:b w:val="0"/>
                <w:bCs w:val="0"/>
                <w:sz w:val="20"/>
                <w:szCs w:val="24"/>
              </w:rPr>
              <w:t>respect, and</w:t>
            </w:r>
            <w:proofErr w:type="gramEnd"/>
            <w:r w:rsidRPr="00691FD5">
              <w:rPr>
                <w:b w:val="0"/>
                <w:bCs w:val="0"/>
                <w:sz w:val="20"/>
                <w:szCs w:val="24"/>
              </w:rPr>
              <w:t xml:space="preserve"> can maintain my identity. I can make informed choices about my care and </w:t>
            </w:r>
            <w:proofErr w:type="gramStart"/>
            <w:r w:rsidRPr="00691FD5">
              <w:rPr>
                <w:b w:val="0"/>
                <w:bCs w:val="0"/>
                <w:sz w:val="20"/>
                <w:szCs w:val="24"/>
              </w:rPr>
              <w:t>services, and</w:t>
            </w:r>
            <w:proofErr w:type="gramEnd"/>
            <w:r w:rsidRPr="00691FD5">
              <w:rPr>
                <w:b w:val="0"/>
                <w:bCs w:val="0"/>
                <w:sz w:val="20"/>
                <w:szCs w:val="24"/>
              </w:rPr>
              <w:t xml:space="preserve"> live the life I choose.</w:t>
            </w:r>
          </w:p>
        </w:tc>
      </w:tr>
      <w:tr w:rsidR="00264F9E" w14:paraId="2FACAF42" w14:textId="77777777" w:rsidTr="00691FD5">
        <w:trPr>
          <w:cnfStyle w:val="000000100000" w:firstRow="0" w:lastRow="0" w:firstColumn="0" w:lastColumn="0" w:oddVBand="0" w:evenVBand="0" w:oddHBand="1" w:evenHBand="0" w:firstRowFirstColumn="0" w:firstRowLastColumn="0" w:lastRowFirstColumn="0" w:lastRowLastColumn="0"/>
          <w:trHeight w:val="866"/>
        </w:trPr>
        <w:tc>
          <w:tcPr>
            <w:cnfStyle w:val="001000000000" w:firstRow="0" w:lastRow="0" w:firstColumn="1" w:lastColumn="0" w:oddVBand="0" w:evenVBand="0" w:oddHBand="0" w:evenHBand="0" w:firstRowFirstColumn="0" w:firstRowLastColumn="0" w:lastRowFirstColumn="0" w:lastRowLastColumn="0"/>
            <w:tcW w:w="1138" w:type="dxa"/>
            <w:tcBorders>
              <w:top w:val="none" w:sz="0" w:space="0" w:color="auto"/>
              <w:bottom w:val="none" w:sz="0" w:space="0" w:color="auto"/>
            </w:tcBorders>
          </w:tcPr>
          <w:p w14:paraId="37C084B0" w14:textId="77777777" w:rsidR="00264F9E" w:rsidRDefault="00264F9E" w:rsidP="00072AA6">
            <w:pPr>
              <w:spacing w:before="0" w:after="160" w:line="259" w:lineRule="auto"/>
            </w:pPr>
            <w:r w:rsidRPr="00E8035A">
              <w:rPr>
                <w:noProof/>
              </w:rPr>
              <w:drawing>
                <wp:inline distT="0" distB="0" distL="0" distR="0" wp14:anchorId="16DCFCC0" wp14:editId="300A968C">
                  <wp:extent cx="540000" cy="540000"/>
                  <wp:effectExtent l="0" t="0" r="0" b="0"/>
                  <wp:docPr id="4" name="Picture 14" descr="Icon representing Standard 2">
                    <a:extLst xmlns:a="http://schemas.openxmlformats.org/drawingml/2006/main">
                      <a:ext uri="{FF2B5EF4-FFF2-40B4-BE49-F238E27FC236}">
                        <a16:creationId xmlns:a16="http://schemas.microsoft.com/office/drawing/2014/main" id="{69540B4A-258A-4C44-8D92-D3C8F8401E0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4" descr="Icon representing Standard 2">
                            <a:extLst>
                              <a:ext uri="{FF2B5EF4-FFF2-40B4-BE49-F238E27FC236}">
                                <a16:creationId xmlns:a16="http://schemas.microsoft.com/office/drawing/2014/main" id="{69540B4A-258A-4C44-8D92-D3C8F8401E02}"/>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7651" w:type="dxa"/>
            <w:tcBorders>
              <w:top w:val="none" w:sz="0" w:space="0" w:color="auto"/>
              <w:bottom w:val="none" w:sz="0" w:space="0" w:color="auto"/>
            </w:tcBorders>
          </w:tcPr>
          <w:p w14:paraId="6FAF35B7" w14:textId="77777777" w:rsidR="00264F9E" w:rsidRPr="00691FD5" w:rsidRDefault="00264F9E" w:rsidP="00691FD5">
            <w:pPr>
              <w:pStyle w:val="Tabletext"/>
              <w:cnfStyle w:val="000000100000" w:firstRow="0" w:lastRow="0" w:firstColumn="0" w:lastColumn="0" w:oddVBand="0" w:evenVBand="0" w:oddHBand="1" w:evenHBand="0" w:firstRowFirstColumn="0" w:firstRowLastColumn="0" w:lastRowFirstColumn="0" w:lastRowLastColumn="0"/>
              <w:rPr>
                <w:sz w:val="20"/>
                <w:szCs w:val="24"/>
              </w:rPr>
            </w:pPr>
            <w:r w:rsidRPr="00691FD5">
              <w:rPr>
                <w:b/>
                <w:bCs/>
                <w:sz w:val="20"/>
                <w:szCs w:val="24"/>
              </w:rPr>
              <w:t>Standard 2:</w:t>
            </w:r>
            <w:r w:rsidRPr="00691FD5">
              <w:rPr>
                <w:sz w:val="20"/>
                <w:szCs w:val="24"/>
              </w:rPr>
              <w:t xml:space="preserve"> I am a partner in ongoing assessment and planning that helps me get the care and services I need for my health and well-being.</w:t>
            </w:r>
          </w:p>
        </w:tc>
      </w:tr>
      <w:tr w:rsidR="00264F9E" w14:paraId="4CBCEC47" w14:textId="77777777" w:rsidTr="00691FD5">
        <w:trPr>
          <w:trHeight w:val="866"/>
        </w:trPr>
        <w:tc>
          <w:tcPr>
            <w:cnfStyle w:val="001000000000" w:firstRow="0" w:lastRow="0" w:firstColumn="1" w:lastColumn="0" w:oddVBand="0" w:evenVBand="0" w:oddHBand="0" w:evenHBand="0" w:firstRowFirstColumn="0" w:firstRowLastColumn="0" w:lastRowFirstColumn="0" w:lastRowLastColumn="0"/>
            <w:tcW w:w="1138" w:type="dxa"/>
          </w:tcPr>
          <w:p w14:paraId="0ECC4189" w14:textId="77777777" w:rsidR="00264F9E" w:rsidRDefault="00264F9E" w:rsidP="00072AA6">
            <w:pPr>
              <w:spacing w:before="0" w:after="160" w:line="259" w:lineRule="auto"/>
            </w:pPr>
            <w:r w:rsidRPr="00FD2B6D">
              <w:rPr>
                <w:noProof/>
              </w:rPr>
              <w:drawing>
                <wp:inline distT="0" distB="0" distL="0" distR="0" wp14:anchorId="3D62A27C" wp14:editId="6DF1E787">
                  <wp:extent cx="540000" cy="540000"/>
                  <wp:effectExtent l="0" t="0" r="0" b="0"/>
                  <wp:docPr id="18" name="Picture 16" descr="Icon representing Standard 3">
                    <a:extLst xmlns:a="http://schemas.openxmlformats.org/drawingml/2006/main">
                      <a:ext uri="{FF2B5EF4-FFF2-40B4-BE49-F238E27FC236}">
                        <a16:creationId xmlns:a16="http://schemas.microsoft.com/office/drawing/2014/main" id="{A24D2948-7C9C-4C7D-9E45-5F71C9A4278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6" descr="Icon representing Standard 3">
                            <a:extLst>
                              <a:ext uri="{FF2B5EF4-FFF2-40B4-BE49-F238E27FC236}">
                                <a16:creationId xmlns:a16="http://schemas.microsoft.com/office/drawing/2014/main" id="{A24D2948-7C9C-4C7D-9E45-5F71C9A4278A}"/>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7651" w:type="dxa"/>
          </w:tcPr>
          <w:p w14:paraId="4CFACDFB" w14:textId="77777777" w:rsidR="00264F9E" w:rsidRPr="00691FD5" w:rsidRDefault="00264F9E" w:rsidP="00691FD5">
            <w:pPr>
              <w:pStyle w:val="Tabletext"/>
              <w:cnfStyle w:val="000000000000" w:firstRow="0" w:lastRow="0" w:firstColumn="0" w:lastColumn="0" w:oddVBand="0" w:evenVBand="0" w:oddHBand="0" w:evenHBand="0" w:firstRowFirstColumn="0" w:firstRowLastColumn="0" w:lastRowFirstColumn="0" w:lastRowLastColumn="0"/>
              <w:rPr>
                <w:sz w:val="20"/>
                <w:szCs w:val="24"/>
              </w:rPr>
            </w:pPr>
            <w:r w:rsidRPr="00691FD5">
              <w:rPr>
                <w:b/>
                <w:bCs/>
                <w:sz w:val="20"/>
                <w:szCs w:val="24"/>
              </w:rPr>
              <w:t>Standard 3:</w:t>
            </w:r>
            <w:r w:rsidRPr="00691FD5">
              <w:rPr>
                <w:sz w:val="20"/>
                <w:szCs w:val="24"/>
              </w:rPr>
              <w:t xml:space="preserve"> I get personal care, clinical care, or both personal care and clinical care, that is safe and right for me.</w:t>
            </w:r>
          </w:p>
        </w:tc>
      </w:tr>
      <w:tr w:rsidR="00264F9E" w14:paraId="696CF194" w14:textId="77777777" w:rsidTr="00691FD5">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138" w:type="dxa"/>
            <w:tcBorders>
              <w:top w:val="none" w:sz="0" w:space="0" w:color="auto"/>
              <w:bottom w:val="none" w:sz="0" w:space="0" w:color="auto"/>
            </w:tcBorders>
          </w:tcPr>
          <w:p w14:paraId="06C12E52" w14:textId="77777777" w:rsidR="00264F9E" w:rsidRDefault="00264F9E" w:rsidP="00072AA6">
            <w:pPr>
              <w:spacing w:before="0" w:after="160" w:line="259" w:lineRule="auto"/>
            </w:pPr>
            <w:r w:rsidRPr="00FD2B6D">
              <w:rPr>
                <w:noProof/>
              </w:rPr>
              <w:drawing>
                <wp:inline distT="0" distB="0" distL="0" distR="0" wp14:anchorId="0351EE9F" wp14:editId="33BEA642">
                  <wp:extent cx="540000" cy="540000"/>
                  <wp:effectExtent l="0" t="0" r="0" b="0"/>
                  <wp:docPr id="22" name="Picture 26" descr="Icon representing Standard 4">
                    <a:extLst xmlns:a="http://schemas.openxmlformats.org/drawingml/2006/main">
                      <a:ext uri="{FF2B5EF4-FFF2-40B4-BE49-F238E27FC236}">
                        <a16:creationId xmlns:a16="http://schemas.microsoft.com/office/drawing/2014/main" id="{86C86700-44F1-4BBF-846E-9B9D68848B69}"/>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6" descr="Icon representing Standard 4">
                            <a:extLst>
                              <a:ext uri="{FF2B5EF4-FFF2-40B4-BE49-F238E27FC236}">
                                <a16:creationId xmlns:a16="http://schemas.microsoft.com/office/drawing/2014/main" id="{86C86700-44F1-4BBF-846E-9B9D68848B69}"/>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7651" w:type="dxa"/>
            <w:tcBorders>
              <w:top w:val="none" w:sz="0" w:space="0" w:color="auto"/>
              <w:bottom w:val="none" w:sz="0" w:space="0" w:color="auto"/>
            </w:tcBorders>
          </w:tcPr>
          <w:p w14:paraId="3C1AC10D" w14:textId="77777777" w:rsidR="00264F9E" w:rsidRPr="00691FD5" w:rsidRDefault="00264F9E" w:rsidP="00691FD5">
            <w:pPr>
              <w:pStyle w:val="Tabletext"/>
              <w:cnfStyle w:val="000000100000" w:firstRow="0" w:lastRow="0" w:firstColumn="0" w:lastColumn="0" w:oddVBand="0" w:evenVBand="0" w:oddHBand="1" w:evenHBand="0" w:firstRowFirstColumn="0" w:firstRowLastColumn="0" w:lastRowFirstColumn="0" w:lastRowLastColumn="0"/>
              <w:rPr>
                <w:sz w:val="20"/>
                <w:szCs w:val="24"/>
              </w:rPr>
            </w:pPr>
            <w:r w:rsidRPr="00691FD5">
              <w:rPr>
                <w:b/>
                <w:bCs/>
                <w:sz w:val="20"/>
                <w:szCs w:val="24"/>
              </w:rPr>
              <w:t>Standard 4:</w:t>
            </w:r>
            <w:r w:rsidRPr="00691FD5">
              <w:rPr>
                <w:sz w:val="20"/>
                <w:szCs w:val="24"/>
              </w:rPr>
              <w:t xml:space="preserve"> I get the services and supports for daily living that are important for my health and well-being and that enable me to do the things I want to do.</w:t>
            </w:r>
          </w:p>
        </w:tc>
      </w:tr>
      <w:tr w:rsidR="00264F9E" w14:paraId="1E5BD11C" w14:textId="77777777" w:rsidTr="00691FD5">
        <w:trPr>
          <w:trHeight w:val="945"/>
        </w:trPr>
        <w:tc>
          <w:tcPr>
            <w:cnfStyle w:val="001000000000" w:firstRow="0" w:lastRow="0" w:firstColumn="1" w:lastColumn="0" w:oddVBand="0" w:evenVBand="0" w:oddHBand="0" w:evenHBand="0" w:firstRowFirstColumn="0" w:firstRowLastColumn="0" w:lastRowFirstColumn="0" w:lastRowLastColumn="0"/>
            <w:tcW w:w="1138" w:type="dxa"/>
          </w:tcPr>
          <w:p w14:paraId="137C9D26" w14:textId="77777777" w:rsidR="00264F9E" w:rsidRDefault="00264F9E" w:rsidP="00072AA6">
            <w:pPr>
              <w:spacing w:before="0" w:after="160" w:line="259" w:lineRule="auto"/>
            </w:pPr>
            <w:r w:rsidRPr="00FD2B6D">
              <w:rPr>
                <w:noProof/>
              </w:rPr>
              <w:drawing>
                <wp:inline distT="0" distB="0" distL="0" distR="0" wp14:anchorId="0DFE985F" wp14:editId="693F84AC">
                  <wp:extent cx="540000" cy="540000"/>
                  <wp:effectExtent l="0" t="0" r="0" b="0"/>
                  <wp:docPr id="23" name="Picture 18" descr="Icon representing Standard 5">
                    <a:extLst xmlns:a="http://schemas.openxmlformats.org/drawingml/2006/main">
                      <a:ext uri="{FF2B5EF4-FFF2-40B4-BE49-F238E27FC236}">
                        <a16:creationId xmlns:a16="http://schemas.microsoft.com/office/drawing/2014/main" id="{8C643F3F-A5CC-4F31-AF92-CA841038216E}"/>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Picture 18" descr="Icon representing Standard 5">
                            <a:extLst>
                              <a:ext uri="{FF2B5EF4-FFF2-40B4-BE49-F238E27FC236}">
                                <a16:creationId xmlns:a16="http://schemas.microsoft.com/office/drawing/2014/main" id="{8C643F3F-A5CC-4F31-AF92-CA841038216E}"/>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7651" w:type="dxa"/>
          </w:tcPr>
          <w:p w14:paraId="2EA5813D" w14:textId="77777777" w:rsidR="00264F9E" w:rsidRPr="00691FD5" w:rsidRDefault="00264F9E" w:rsidP="00691FD5">
            <w:pPr>
              <w:pStyle w:val="Tabletext"/>
              <w:cnfStyle w:val="000000000000" w:firstRow="0" w:lastRow="0" w:firstColumn="0" w:lastColumn="0" w:oddVBand="0" w:evenVBand="0" w:oddHBand="0" w:evenHBand="0" w:firstRowFirstColumn="0" w:firstRowLastColumn="0" w:lastRowFirstColumn="0" w:lastRowLastColumn="0"/>
              <w:rPr>
                <w:sz w:val="20"/>
                <w:szCs w:val="24"/>
              </w:rPr>
            </w:pPr>
            <w:r w:rsidRPr="00691FD5">
              <w:rPr>
                <w:b/>
                <w:bCs/>
                <w:sz w:val="20"/>
                <w:szCs w:val="24"/>
              </w:rPr>
              <w:t>Standard 5:</w:t>
            </w:r>
            <w:r w:rsidRPr="00691FD5">
              <w:rPr>
                <w:sz w:val="20"/>
                <w:szCs w:val="24"/>
              </w:rPr>
              <w:t xml:space="preserve"> I feel I </w:t>
            </w:r>
            <w:proofErr w:type="gramStart"/>
            <w:r w:rsidRPr="00691FD5">
              <w:rPr>
                <w:sz w:val="20"/>
                <w:szCs w:val="24"/>
              </w:rPr>
              <w:t>belong</w:t>
            </w:r>
            <w:proofErr w:type="gramEnd"/>
            <w:r w:rsidRPr="00691FD5">
              <w:rPr>
                <w:sz w:val="20"/>
                <w:szCs w:val="24"/>
              </w:rPr>
              <w:t xml:space="preserve"> and I am safe and comfortable in the organisation’s service environment.</w:t>
            </w:r>
          </w:p>
        </w:tc>
      </w:tr>
      <w:tr w:rsidR="00264F9E" w14:paraId="7EB727D5" w14:textId="77777777" w:rsidTr="00691FD5">
        <w:trPr>
          <w:cnfStyle w:val="000000100000" w:firstRow="0" w:lastRow="0" w:firstColumn="0" w:lastColumn="0" w:oddVBand="0" w:evenVBand="0" w:oddHBand="1" w:evenHBand="0" w:firstRowFirstColumn="0" w:firstRowLastColumn="0" w:lastRowFirstColumn="0" w:lastRowLastColumn="0"/>
          <w:trHeight w:val="991"/>
        </w:trPr>
        <w:tc>
          <w:tcPr>
            <w:cnfStyle w:val="001000000000" w:firstRow="0" w:lastRow="0" w:firstColumn="1" w:lastColumn="0" w:oddVBand="0" w:evenVBand="0" w:oddHBand="0" w:evenHBand="0" w:firstRowFirstColumn="0" w:firstRowLastColumn="0" w:lastRowFirstColumn="0" w:lastRowLastColumn="0"/>
            <w:tcW w:w="1138" w:type="dxa"/>
            <w:tcBorders>
              <w:top w:val="none" w:sz="0" w:space="0" w:color="auto"/>
              <w:bottom w:val="none" w:sz="0" w:space="0" w:color="auto"/>
            </w:tcBorders>
          </w:tcPr>
          <w:p w14:paraId="4371F1BE" w14:textId="77777777" w:rsidR="00264F9E" w:rsidRDefault="00264F9E" w:rsidP="00072AA6">
            <w:pPr>
              <w:spacing w:before="0" w:after="160" w:line="259" w:lineRule="auto"/>
            </w:pPr>
            <w:r w:rsidRPr="00595743">
              <w:rPr>
                <w:noProof/>
              </w:rPr>
              <w:drawing>
                <wp:inline distT="0" distB="0" distL="0" distR="0" wp14:anchorId="4FD4D819" wp14:editId="0864BC2D">
                  <wp:extent cx="540000" cy="540000"/>
                  <wp:effectExtent l="0" t="0" r="0" b="0"/>
                  <wp:docPr id="24" name="Picture 24" descr="Icon representing Standard 6">
                    <a:extLst xmlns:a="http://schemas.openxmlformats.org/drawingml/2006/main">
                      <a:ext uri="{FF2B5EF4-FFF2-40B4-BE49-F238E27FC236}">
                        <a16:creationId xmlns:a16="http://schemas.microsoft.com/office/drawing/2014/main" id="{0297DA17-B818-49B9-BA5F-18662C8A729B}"/>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24" descr="Icon representing Standard 6">
                            <a:extLst>
                              <a:ext uri="{FF2B5EF4-FFF2-40B4-BE49-F238E27FC236}">
                                <a16:creationId xmlns:a16="http://schemas.microsoft.com/office/drawing/2014/main" id="{0297DA17-B818-49B9-BA5F-18662C8A729B}"/>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7651" w:type="dxa"/>
            <w:tcBorders>
              <w:top w:val="none" w:sz="0" w:space="0" w:color="auto"/>
              <w:bottom w:val="none" w:sz="0" w:space="0" w:color="auto"/>
            </w:tcBorders>
          </w:tcPr>
          <w:p w14:paraId="0553E64F" w14:textId="77777777" w:rsidR="00264F9E" w:rsidRPr="00691FD5" w:rsidRDefault="00264F9E" w:rsidP="00691FD5">
            <w:pPr>
              <w:pStyle w:val="Tabletext"/>
              <w:cnfStyle w:val="000000100000" w:firstRow="0" w:lastRow="0" w:firstColumn="0" w:lastColumn="0" w:oddVBand="0" w:evenVBand="0" w:oddHBand="1" w:evenHBand="0" w:firstRowFirstColumn="0" w:firstRowLastColumn="0" w:lastRowFirstColumn="0" w:lastRowLastColumn="0"/>
              <w:rPr>
                <w:sz w:val="20"/>
                <w:szCs w:val="24"/>
              </w:rPr>
            </w:pPr>
            <w:r w:rsidRPr="00691FD5">
              <w:rPr>
                <w:b/>
                <w:bCs/>
                <w:sz w:val="20"/>
                <w:szCs w:val="24"/>
              </w:rPr>
              <w:t>Standard 6:</w:t>
            </w:r>
            <w:r w:rsidRPr="00691FD5">
              <w:rPr>
                <w:sz w:val="20"/>
                <w:szCs w:val="24"/>
              </w:rPr>
              <w:t xml:space="preserve"> I feel safe and am encouraged and supported to give feedback and make complaints. I am engaged in processes to address my feedback and complaints, and appropriate action is taken.</w:t>
            </w:r>
          </w:p>
        </w:tc>
      </w:tr>
      <w:tr w:rsidR="00264F9E" w14:paraId="150B36BB" w14:textId="77777777" w:rsidTr="00691FD5">
        <w:trPr>
          <w:trHeight w:val="922"/>
        </w:trPr>
        <w:tc>
          <w:tcPr>
            <w:cnfStyle w:val="001000000000" w:firstRow="0" w:lastRow="0" w:firstColumn="1" w:lastColumn="0" w:oddVBand="0" w:evenVBand="0" w:oddHBand="0" w:evenHBand="0" w:firstRowFirstColumn="0" w:firstRowLastColumn="0" w:lastRowFirstColumn="0" w:lastRowLastColumn="0"/>
            <w:tcW w:w="1138" w:type="dxa"/>
          </w:tcPr>
          <w:p w14:paraId="53800CFD" w14:textId="77777777" w:rsidR="00264F9E" w:rsidRDefault="00264F9E" w:rsidP="00072AA6">
            <w:pPr>
              <w:spacing w:before="0" w:after="160" w:line="259" w:lineRule="auto"/>
            </w:pPr>
            <w:r w:rsidRPr="00595743">
              <w:rPr>
                <w:noProof/>
              </w:rPr>
              <w:drawing>
                <wp:inline distT="0" distB="0" distL="0" distR="0" wp14:anchorId="602381FE" wp14:editId="66AB318D">
                  <wp:extent cx="540000" cy="540000"/>
                  <wp:effectExtent l="0" t="0" r="0" b="0"/>
                  <wp:docPr id="28" name="Picture 22" descr="Icon representing Standard 7">
                    <a:extLst xmlns:a="http://schemas.openxmlformats.org/drawingml/2006/main">
                      <a:ext uri="{FF2B5EF4-FFF2-40B4-BE49-F238E27FC236}">
                        <a16:creationId xmlns:a16="http://schemas.microsoft.com/office/drawing/2014/main" id="{05B2EC7F-C5C4-4F9A-8E33-EB24BA22D19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22" descr="Icon representing Standard 7">
                            <a:extLst>
                              <a:ext uri="{FF2B5EF4-FFF2-40B4-BE49-F238E27FC236}">
                                <a16:creationId xmlns:a16="http://schemas.microsoft.com/office/drawing/2014/main" id="{05B2EC7F-C5C4-4F9A-8E33-EB24BA22D191}"/>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7651" w:type="dxa"/>
          </w:tcPr>
          <w:p w14:paraId="727F346D" w14:textId="77777777" w:rsidR="00264F9E" w:rsidRPr="00691FD5" w:rsidRDefault="00264F9E" w:rsidP="00691FD5">
            <w:pPr>
              <w:pStyle w:val="Tabletext"/>
              <w:cnfStyle w:val="000000000000" w:firstRow="0" w:lastRow="0" w:firstColumn="0" w:lastColumn="0" w:oddVBand="0" w:evenVBand="0" w:oddHBand="0" w:evenHBand="0" w:firstRowFirstColumn="0" w:firstRowLastColumn="0" w:lastRowFirstColumn="0" w:lastRowLastColumn="0"/>
              <w:rPr>
                <w:sz w:val="20"/>
                <w:szCs w:val="24"/>
              </w:rPr>
            </w:pPr>
            <w:r w:rsidRPr="00691FD5">
              <w:rPr>
                <w:b/>
                <w:bCs/>
                <w:sz w:val="20"/>
                <w:szCs w:val="24"/>
              </w:rPr>
              <w:t>Standard 7</w:t>
            </w:r>
            <w:r w:rsidRPr="00691FD5">
              <w:rPr>
                <w:sz w:val="20"/>
                <w:szCs w:val="24"/>
              </w:rPr>
              <w:t xml:space="preserve">: I get quality care and services when I need them from people who are knowledgeable, </w:t>
            </w:r>
            <w:proofErr w:type="gramStart"/>
            <w:r w:rsidRPr="00691FD5">
              <w:rPr>
                <w:sz w:val="20"/>
                <w:szCs w:val="24"/>
              </w:rPr>
              <w:t>capable</w:t>
            </w:r>
            <w:proofErr w:type="gramEnd"/>
            <w:r w:rsidRPr="00691FD5">
              <w:rPr>
                <w:sz w:val="20"/>
                <w:szCs w:val="24"/>
              </w:rPr>
              <w:t xml:space="preserve"> and caring.</w:t>
            </w:r>
          </w:p>
        </w:tc>
      </w:tr>
      <w:tr w:rsidR="00264F9E" w14:paraId="19D88013" w14:textId="77777777" w:rsidTr="00691FD5">
        <w:trPr>
          <w:cnfStyle w:val="000000100000" w:firstRow="0" w:lastRow="0" w:firstColumn="0" w:lastColumn="0" w:oddVBand="0" w:evenVBand="0" w:oddHBand="1" w:evenHBand="0" w:firstRowFirstColumn="0" w:firstRowLastColumn="0" w:lastRowFirstColumn="0" w:lastRowLastColumn="0"/>
          <w:trHeight w:val="911"/>
        </w:trPr>
        <w:tc>
          <w:tcPr>
            <w:cnfStyle w:val="001000000000" w:firstRow="0" w:lastRow="0" w:firstColumn="1" w:lastColumn="0" w:oddVBand="0" w:evenVBand="0" w:oddHBand="0" w:evenHBand="0" w:firstRowFirstColumn="0" w:firstRowLastColumn="0" w:lastRowFirstColumn="0" w:lastRowLastColumn="0"/>
            <w:tcW w:w="1138" w:type="dxa"/>
            <w:tcBorders>
              <w:top w:val="none" w:sz="0" w:space="0" w:color="auto"/>
              <w:bottom w:val="none" w:sz="0" w:space="0" w:color="auto"/>
            </w:tcBorders>
          </w:tcPr>
          <w:p w14:paraId="6A3F6498" w14:textId="77777777" w:rsidR="00264F9E" w:rsidRDefault="00264F9E" w:rsidP="00072AA6">
            <w:pPr>
              <w:spacing w:before="0" w:after="160" w:line="259" w:lineRule="auto"/>
            </w:pPr>
            <w:r w:rsidRPr="00595743">
              <w:rPr>
                <w:noProof/>
              </w:rPr>
              <w:drawing>
                <wp:inline distT="0" distB="0" distL="0" distR="0" wp14:anchorId="7D32AC27" wp14:editId="6AD7DF0E">
                  <wp:extent cx="540000" cy="540000"/>
                  <wp:effectExtent l="0" t="0" r="0" b="0"/>
                  <wp:docPr id="30" name="Picture 24" descr="Icon representing Standard 8">
                    <a:extLst xmlns:a="http://schemas.openxmlformats.org/drawingml/2006/main">
                      <a:ext uri="{FF2B5EF4-FFF2-40B4-BE49-F238E27FC236}">
                        <a16:creationId xmlns:a16="http://schemas.microsoft.com/office/drawing/2014/main" id="{80AFDF7B-2856-40BC-9D8B-FD828A02FDD3}"/>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Picture 24" descr="Icon representing Standard 8">
                            <a:extLst>
                              <a:ext uri="{FF2B5EF4-FFF2-40B4-BE49-F238E27FC236}">
                                <a16:creationId xmlns:a16="http://schemas.microsoft.com/office/drawing/2014/main" id="{80AFDF7B-2856-40BC-9D8B-FD828A02FDD3}"/>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7651" w:type="dxa"/>
            <w:tcBorders>
              <w:top w:val="none" w:sz="0" w:space="0" w:color="auto"/>
              <w:bottom w:val="none" w:sz="0" w:space="0" w:color="auto"/>
            </w:tcBorders>
          </w:tcPr>
          <w:p w14:paraId="1D03120F" w14:textId="77777777" w:rsidR="00264F9E" w:rsidRPr="00691FD5" w:rsidRDefault="00264F9E" w:rsidP="00691FD5">
            <w:pPr>
              <w:pStyle w:val="Tabletext"/>
              <w:cnfStyle w:val="000000100000" w:firstRow="0" w:lastRow="0" w:firstColumn="0" w:lastColumn="0" w:oddVBand="0" w:evenVBand="0" w:oddHBand="1" w:evenHBand="0" w:firstRowFirstColumn="0" w:firstRowLastColumn="0" w:lastRowFirstColumn="0" w:lastRowLastColumn="0"/>
              <w:rPr>
                <w:sz w:val="20"/>
                <w:szCs w:val="24"/>
              </w:rPr>
            </w:pPr>
            <w:r w:rsidRPr="00691FD5">
              <w:rPr>
                <w:b/>
                <w:bCs/>
                <w:sz w:val="20"/>
                <w:szCs w:val="24"/>
              </w:rPr>
              <w:t>Standard 8:</w:t>
            </w:r>
            <w:r w:rsidRPr="00691FD5">
              <w:rPr>
                <w:sz w:val="20"/>
                <w:szCs w:val="24"/>
              </w:rPr>
              <w:t xml:space="preserve"> I am confident the organisation is well run. I can partner in improving the delivery of care and services.</w:t>
            </w:r>
          </w:p>
        </w:tc>
      </w:tr>
    </w:tbl>
    <w:p w14:paraId="4DC84E0B" w14:textId="77777777" w:rsidR="005B5E63" w:rsidRDefault="005B5E63" w:rsidP="00231A99">
      <w:pPr>
        <w:pStyle w:val="Source0"/>
        <w:sectPr w:rsidR="005B5E63" w:rsidSect="003034E9">
          <w:pgSz w:w="11906" w:h="16838"/>
          <w:pgMar w:top="1418" w:right="1418" w:bottom="1418" w:left="1418" w:header="709" w:footer="453" w:gutter="0"/>
          <w:cols w:space="708"/>
          <w:docGrid w:linePitch="360"/>
        </w:sectPr>
      </w:pPr>
    </w:p>
    <w:p w14:paraId="78FA88A1" w14:textId="517B99E0" w:rsidR="005B5E63" w:rsidRDefault="005B5E63" w:rsidP="00334396">
      <w:pPr>
        <w:pStyle w:val="Heading2"/>
      </w:pPr>
      <w:bookmarkStart w:id="263" w:name="_Toc89930064"/>
      <w:bookmarkStart w:id="264" w:name="_Toc90453383"/>
      <w:bookmarkStart w:id="265" w:name="_Toc113448711"/>
      <w:r>
        <w:lastRenderedPageBreak/>
        <w:t>Appendix D: Additional information on the Commission’s assessment methodology</w:t>
      </w:r>
      <w:bookmarkEnd w:id="263"/>
      <w:bookmarkEnd w:id="264"/>
      <w:bookmarkEnd w:id="265"/>
    </w:p>
    <w:p w14:paraId="6552C21D" w14:textId="2772305B" w:rsidR="00B32D68" w:rsidRPr="00296471" w:rsidRDefault="00D36810" w:rsidP="009A76BC">
      <w:pPr>
        <w:pStyle w:val="BodyText1"/>
      </w:pPr>
      <w:r w:rsidRPr="00D36810">
        <w:t>Additional information provided by the Commission as part of this evaluation in relation to the assessment methodology is provided</w:t>
      </w:r>
      <w:r w:rsidRPr="009A76BC">
        <w:t xml:space="preserve"> below.</w:t>
      </w:r>
      <w:r w:rsidR="00201FB4">
        <w:t xml:space="preserve"> </w:t>
      </w:r>
      <w:r w:rsidR="00201FB4" w:rsidRPr="00201FB4">
        <w:t>More information on the Commission's assessment processes can also be found on the Commission's website</w:t>
      </w:r>
      <w:r w:rsidR="00201FB4">
        <w:rPr>
          <w:rStyle w:val="FootnoteReference"/>
        </w:rPr>
        <w:footnoteReference w:id="69"/>
      </w:r>
      <w:r w:rsidR="00201FB4">
        <w:t>.</w:t>
      </w:r>
    </w:p>
    <w:p w14:paraId="220CE1EF" w14:textId="0B46D1F5" w:rsidR="00D36810" w:rsidRPr="00296471" w:rsidRDefault="00D36810" w:rsidP="00296471">
      <w:pPr>
        <w:pStyle w:val="Heading3"/>
      </w:pPr>
      <w:r w:rsidRPr="009A76BC">
        <w:t>About the assessment methodology</w:t>
      </w:r>
    </w:p>
    <w:p w14:paraId="2D8EBDA5" w14:textId="66F775D9" w:rsidR="00D36810" w:rsidRPr="009A76BC" w:rsidRDefault="00D36810" w:rsidP="00D36810">
      <w:pPr>
        <w:pStyle w:val="Source0"/>
        <w:rPr>
          <w:i/>
          <w:iCs w:val="0"/>
          <w:color w:val="auto"/>
          <w:sz w:val="20"/>
          <w:szCs w:val="22"/>
        </w:rPr>
      </w:pPr>
      <w:r w:rsidRPr="009A76BC">
        <w:rPr>
          <w:iCs w:val="0"/>
          <w:color w:val="auto"/>
          <w:sz w:val="20"/>
          <w:szCs w:val="22"/>
        </w:rPr>
        <w:t xml:space="preserve">The Commission has adopted the following principles for the conduct of assessments against the Quality Standards, based on the ISO19011 International Standard for auditing management systems: </w:t>
      </w:r>
    </w:p>
    <w:p w14:paraId="580E3B22" w14:textId="7C3A06AF" w:rsidR="00D36810" w:rsidRPr="00296471" w:rsidRDefault="00D36810" w:rsidP="009A76BC">
      <w:pPr>
        <w:pStyle w:val="Bullet1stlevel"/>
      </w:pPr>
      <w:r w:rsidRPr="009A76BC">
        <w:t>Integrity</w:t>
      </w:r>
    </w:p>
    <w:p w14:paraId="34FF592D" w14:textId="591F557E" w:rsidR="00D36810" w:rsidRPr="00296471" w:rsidRDefault="00D36810" w:rsidP="009A76BC">
      <w:pPr>
        <w:pStyle w:val="Bullet1stlevel"/>
      </w:pPr>
      <w:r w:rsidRPr="009A76BC">
        <w:t>Fair representation</w:t>
      </w:r>
    </w:p>
    <w:p w14:paraId="430CD450" w14:textId="221FAE99" w:rsidR="00D36810" w:rsidRPr="00296471" w:rsidRDefault="00D36810" w:rsidP="009A76BC">
      <w:pPr>
        <w:pStyle w:val="Bullet1stlevel"/>
      </w:pPr>
      <w:r w:rsidRPr="009A76BC">
        <w:t>Diligence and judgement in assessment</w:t>
      </w:r>
    </w:p>
    <w:p w14:paraId="5E39C70B" w14:textId="3479E5AB" w:rsidR="00D36810" w:rsidRPr="00296471" w:rsidRDefault="00D36810" w:rsidP="009A76BC">
      <w:pPr>
        <w:pStyle w:val="Bullet1stlevel"/>
      </w:pPr>
      <w:r w:rsidRPr="009A76BC">
        <w:t>Independence</w:t>
      </w:r>
    </w:p>
    <w:p w14:paraId="6995E3DC" w14:textId="436CB2E7" w:rsidR="00D36810" w:rsidRPr="00296471" w:rsidRDefault="00D36810" w:rsidP="009A76BC">
      <w:pPr>
        <w:pStyle w:val="Bullet1stlevel"/>
      </w:pPr>
      <w:r w:rsidRPr="009A76BC">
        <w:t>Evidence based approach</w:t>
      </w:r>
    </w:p>
    <w:p w14:paraId="36535A38" w14:textId="5CBD2AA4" w:rsidR="00D36810" w:rsidRPr="00296471" w:rsidRDefault="00D36810" w:rsidP="009A76BC">
      <w:pPr>
        <w:pStyle w:val="Bullet1stlevel"/>
      </w:pPr>
      <w:r w:rsidRPr="009A76BC">
        <w:t>Risk-based assessment</w:t>
      </w:r>
      <w:r>
        <w:t>, and</w:t>
      </w:r>
    </w:p>
    <w:p w14:paraId="36B8F461" w14:textId="743A50C8" w:rsidR="00D36810" w:rsidRPr="00296471" w:rsidRDefault="00D36810" w:rsidP="009A76BC">
      <w:pPr>
        <w:pStyle w:val="Bullet1stlevel"/>
      </w:pPr>
      <w:r w:rsidRPr="009A76BC">
        <w:t>Transparency and accountability.</w:t>
      </w:r>
    </w:p>
    <w:p w14:paraId="70840580" w14:textId="744BF21D" w:rsidR="00D36810" w:rsidRPr="00296471" w:rsidRDefault="00D36810" w:rsidP="00D36810">
      <w:pPr>
        <w:pStyle w:val="Source0"/>
        <w:rPr>
          <w:color w:val="auto"/>
          <w:sz w:val="20"/>
          <w:szCs w:val="22"/>
        </w:rPr>
      </w:pPr>
      <w:r w:rsidRPr="009A76BC">
        <w:rPr>
          <w:iCs w:val="0"/>
          <w:color w:val="auto"/>
          <w:sz w:val="20"/>
          <w:szCs w:val="22"/>
        </w:rPr>
        <w:t>The assessment methodology guides the Commission’s overall approach to assessing aged care provider performance against the Standards</w:t>
      </w:r>
      <w:r>
        <w:rPr>
          <w:iCs w:val="0"/>
          <w:color w:val="auto"/>
          <w:sz w:val="20"/>
          <w:szCs w:val="22"/>
        </w:rPr>
        <w:t xml:space="preserve"> </w:t>
      </w:r>
      <w:r w:rsidRPr="009A76BC">
        <w:rPr>
          <w:iCs w:val="0"/>
          <w:color w:val="auto"/>
          <w:sz w:val="20"/>
          <w:szCs w:val="22"/>
        </w:rPr>
        <w:t>and supports quality assessors to reach similar conclusions about performance against the Standards in similar circumstances and provides clarity for stakeholders about the conduct of quality assessment.</w:t>
      </w:r>
    </w:p>
    <w:p w14:paraId="20942B96" w14:textId="6A09B440" w:rsidR="0000155A" w:rsidRPr="00296471" w:rsidRDefault="0000155A" w:rsidP="00296471">
      <w:pPr>
        <w:pStyle w:val="Heading3"/>
      </w:pPr>
      <w:r w:rsidRPr="009A76BC">
        <w:t>How the Commission’s assessment methodology supports consistent assessment of performance against the Standards</w:t>
      </w:r>
    </w:p>
    <w:p w14:paraId="13D3FEA8" w14:textId="501BC160" w:rsidR="00D36810" w:rsidRPr="00296471" w:rsidRDefault="00D36810" w:rsidP="00D36810">
      <w:pPr>
        <w:pStyle w:val="Source0"/>
        <w:rPr>
          <w:color w:val="auto"/>
          <w:sz w:val="20"/>
          <w:szCs w:val="22"/>
        </w:rPr>
      </w:pPr>
      <w:r w:rsidRPr="009A76BC">
        <w:rPr>
          <w:iCs w:val="0"/>
          <w:color w:val="auto"/>
          <w:sz w:val="20"/>
          <w:szCs w:val="22"/>
        </w:rPr>
        <w:t>The Commission’s assessment methodology supports consistent assessment of performance against the Standards</w:t>
      </w:r>
      <w:r w:rsidR="00EE4B85">
        <w:rPr>
          <w:iCs w:val="0"/>
          <w:color w:val="auto"/>
          <w:sz w:val="20"/>
          <w:szCs w:val="22"/>
        </w:rPr>
        <w:t xml:space="preserve"> through the following activities</w:t>
      </w:r>
      <w:r w:rsidRPr="009A76BC">
        <w:rPr>
          <w:iCs w:val="0"/>
          <w:color w:val="auto"/>
          <w:sz w:val="20"/>
          <w:szCs w:val="22"/>
        </w:rPr>
        <w:t xml:space="preserve">: </w:t>
      </w:r>
    </w:p>
    <w:p w14:paraId="46DD2FF3" w14:textId="761BF10E" w:rsidR="00D36810" w:rsidRPr="00296471" w:rsidRDefault="00D36810" w:rsidP="009A76BC">
      <w:pPr>
        <w:pStyle w:val="Bullet1stlevel"/>
      </w:pPr>
      <w:r w:rsidRPr="009A76BC">
        <w:t xml:space="preserve">Quality assessors obtain and evaluate sufficient relevant evidence that is collected through observations, </w:t>
      </w:r>
      <w:proofErr w:type="gramStart"/>
      <w:r w:rsidRPr="009A76BC">
        <w:t>interviews</w:t>
      </w:r>
      <w:proofErr w:type="gramEnd"/>
      <w:r w:rsidRPr="009A76BC">
        <w:t xml:space="preserve"> and review of documented evidence of the quality of care and services delivered to determine the approved provider’s performance against the Quality Standards, in relation to the service </w:t>
      </w:r>
    </w:p>
    <w:p w14:paraId="2E854A9B" w14:textId="55B79E34" w:rsidR="00D36810" w:rsidRPr="00296471" w:rsidRDefault="00D36810" w:rsidP="009A76BC">
      <w:pPr>
        <w:pStyle w:val="Bullet1stlevel"/>
      </w:pPr>
      <w:r w:rsidRPr="009A76BC">
        <w:t>Evidence collection is enabled through a sampling approach that is purposeful. The sample size will depend on the scope of the assessment (which Quality Standards are being assessed), the size and nature of the service, the composition of the consumer population using the service, the risks and issues identified in assessment planning, opening questions about risk and consumer interviews.</w:t>
      </w:r>
    </w:p>
    <w:p w14:paraId="4A8BE12B" w14:textId="410DD6E4" w:rsidR="00D36810" w:rsidRPr="00296471" w:rsidRDefault="00D36810" w:rsidP="009A76BC">
      <w:pPr>
        <w:pStyle w:val="Bullet1stlevel"/>
      </w:pPr>
      <w:r w:rsidRPr="009A76BC">
        <w:t>In assessing the service’s performance against the Quality Standards, the Assessment Team will focus on the intended outcome of the Quality Standard in relation to each requirement.</w:t>
      </w:r>
    </w:p>
    <w:p w14:paraId="734A05AF" w14:textId="7EDE8F1B" w:rsidR="00D36810" w:rsidRPr="00296471" w:rsidRDefault="00D36810" w:rsidP="009A76BC">
      <w:pPr>
        <w:pStyle w:val="Bullet1stlevel"/>
      </w:pPr>
      <w:r w:rsidRPr="009A76BC">
        <w:t>The Assessment Team will consider the range of evidence sources relevant to the scope of each requirement. This means that depending on the requirement being assessed different forms of evidence may be relevant. The totality of evidence, in the context of the consumer outcome, will be considered in reaching a recommendation of whether a Quality Standard is met.</w:t>
      </w:r>
    </w:p>
    <w:p w14:paraId="79C90D52" w14:textId="550D202B" w:rsidR="00D36810" w:rsidRPr="00296471" w:rsidRDefault="00D36810" w:rsidP="009A76BC">
      <w:pPr>
        <w:pStyle w:val="Bullet1stlevel"/>
      </w:pPr>
      <w:r w:rsidRPr="009A76BC">
        <w:t xml:space="preserve">Aged care providers are required to submit self-assessment information against the Quality Standards as part of accreditation and re-accreditation application. Self-assessment is an important part of the continuous improvement cycle for aged care providers. It provides an opportunity for providers to evaluate their own performance against the Quality Standards, to review the results for aged care consumers, to </w:t>
      </w:r>
      <w:r w:rsidRPr="009A76BC">
        <w:lastRenderedPageBreak/>
        <w:t xml:space="preserve">assess the effectiveness of any improvements, and to support processes for ongoing quality improvement and risk management. </w:t>
      </w:r>
    </w:p>
    <w:p w14:paraId="7059DBCD" w14:textId="47FB4B1B" w:rsidR="0000155A" w:rsidRDefault="00D36810" w:rsidP="0000155A">
      <w:pPr>
        <w:pStyle w:val="Bullet1stlevel"/>
      </w:pPr>
      <w:r w:rsidRPr="00D36810">
        <w:t>The self-assessment process provides an excellent opportunity for an organisation to increase its understanding of how it delivers care and services to improve outcomes for consumers. Before completing a self-assessment, providers should familiar themselves with the Quality Standards and the Guidance and Resources for Providers to support the Aged Care Quality Standards (published on the Commission). A Self-Assessment Tool template for the Quality Standards has been developed to assist providers, however this is not a prescribed template and providers may complete a self-assessment in any preferred format. The Commission has extensive guidance on its website to support providers in conducting self-assessment.</w:t>
      </w:r>
    </w:p>
    <w:p w14:paraId="14A3B9AD" w14:textId="1C642DCC" w:rsidR="0000155A" w:rsidRPr="00296471" w:rsidRDefault="0000155A" w:rsidP="00296471">
      <w:pPr>
        <w:pStyle w:val="Heading3"/>
      </w:pPr>
      <w:bookmarkStart w:id="266" w:name="_Hlk113384560"/>
      <w:r w:rsidRPr="009A76BC">
        <w:t>How to Commission’s assessment methodology supports effective communication channels with aged care providers</w:t>
      </w:r>
    </w:p>
    <w:bookmarkEnd w:id="266"/>
    <w:p w14:paraId="7478DE58" w14:textId="37E1DBF0" w:rsidR="00D36810" w:rsidRPr="00296471" w:rsidRDefault="00D36810" w:rsidP="00D36810">
      <w:pPr>
        <w:pStyle w:val="Source0"/>
        <w:rPr>
          <w:color w:val="auto"/>
          <w:sz w:val="20"/>
          <w:szCs w:val="22"/>
        </w:rPr>
      </w:pPr>
      <w:r w:rsidRPr="009A76BC">
        <w:rPr>
          <w:iCs w:val="0"/>
          <w:color w:val="auto"/>
          <w:sz w:val="20"/>
          <w:szCs w:val="22"/>
        </w:rPr>
        <w:t>The Commission’s assessment methodology supports effective communication channels with aged care providers for the purpose of performance assessments</w:t>
      </w:r>
      <w:r w:rsidR="00EE4B85">
        <w:rPr>
          <w:iCs w:val="0"/>
          <w:color w:val="auto"/>
          <w:sz w:val="20"/>
          <w:szCs w:val="22"/>
        </w:rPr>
        <w:t xml:space="preserve"> through the following activities:</w:t>
      </w:r>
      <w:r w:rsidRPr="009A76BC">
        <w:rPr>
          <w:iCs w:val="0"/>
          <w:color w:val="auto"/>
          <w:sz w:val="20"/>
          <w:szCs w:val="22"/>
        </w:rPr>
        <w:t xml:space="preserve"> </w:t>
      </w:r>
    </w:p>
    <w:p w14:paraId="5BF6DA24" w14:textId="02AF0624" w:rsidR="00D36810" w:rsidRPr="00296471" w:rsidRDefault="00D36810" w:rsidP="009A76BC">
      <w:pPr>
        <w:pStyle w:val="Bullet1stlevel"/>
      </w:pPr>
      <w:r w:rsidRPr="009A76BC">
        <w:t>Communication between the assessment team and the person in charge at a service during a performance assessment:</w:t>
      </w:r>
    </w:p>
    <w:p w14:paraId="281B80CE" w14:textId="03C7CB34" w:rsidR="00D36810" w:rsidRPr="00296471" w:rsidRDefault="00D36810" w:rsidP="009A76BC">
      <w:pPr>
        <w:pStyle w:val="Bullet1stlevel"/>
        <w:numPr>
          <w:ilvl w:val="1"/>
          <w:numId w:val="5"/>
        </w:numPr>
      </w:pPr>
      <w:r w:rsidRPr="009A76BC">
        <w:t xml:space="preserve">Every performance assessment commences with an entry meeting with the person in charge at the service (and those they choose to involve). The assessment team will outline the assessment process including the scope of the assessment, the evidence collection methods (through interviews, observation and review of documents through a purposeful sampling approach) and the expected length of the assessment. The assessment team will also establish an effective communication channel with the provider and discuss how and when the assessment team will communicate with the person in charge throughout the assessment. </w:t>
      </w:r>
    </w:p>
    <w:p w14:paraId="42291DA0" w14:textId="6C23181E" w:rsidR="00D36810" w:rsidRPr="00296471" w:rsidRDefault="00D36810" w:rsidP="009A76BC">
      <w:pPr>
        <w:pStyle w:val="Bullet1stlevel"/>
        <w:numPr>
          <w:ilvl w:val="1"/>
          <w:numId w:val="5"/>
        </w:numPr>
      </w:pPr>
      <w:r w:rsidRPr="009A76BC">
        <w:t xml:space="preserve">If it becomes apparent that there is evidence of potential non-compliance with the Quality Standards, the assessment team will raise concerns regarding possible non-compliance and risk to consumers with the person in charge of the service. This will enable the service to address risks at the point of care and to take early action to ensure the safety, </w:t>
      </w:r>
      <w:proofErr w:type="gramStart"/>
      <w:r w:rsidRPr="009A76BC">
        <w:t>health</w:t>
      </w:r>
      <w:proofErr w:type="gramEnd"/>
      <w:r w:rsidRPr="009A76BC">
        <w:t xml:space="preserve"> and well-being of consumers.</w:t>
      </w:r>
    </w:p>
    <w:p w14:paraId="3E626535" w14:textId="3E80B52A" w:rsidR="00D36810" w:rsidRPr="00296471" w:rsidRDefault="00D36810" w:rsidP="009A76BC">
      <w:pPr>
        <w:pStyle w:val="Bullet1stlevel"/>
        <w:numPr>
          <w:ilvl w:val="1"/>
          <w:numId w:val="5"/>
        </w:numPr>
      </w:pPr>
      <w:r w:rsidRPr="009A76BC">
        <w:t>Where the performance assessment is being conducted at the premises of a service, on each day of the assessment a member of the Assessment Team will meet with the person in charge at the service to discuss the progress of the assessment.</w:t>
      </w:r>
    </w:p>
    <w:p w14:paraId="5FD1732D" w14:textId="3272B07D" w:rsidR="00D36810" w:rsidRPr="00296471" w:rsidRDefault="00D36810" w:rsidP="009A76BC">
      <w:pPr>
        <w:pStyle w:val="Bullet1stlevel"/>
        <w:numPr>
          <w:ilvl w:val="1"/>
          <w:numId w:val="5"/>
        </w:numPr>
      </w:pPr>
      <w:r w:rsidRPr="009A76BC">
        <w:t>At the conclusion of a performance assessment an exit meeting is held with the person in charge at the service, and those they choose to involve. The Assessment team provides an overview of the assessment and communicates any key issues identified, including areas of concern, observations on some areas done well, and results of consumer interviews.</w:t>
      </w:r>
    </w:p>
    <w:p w14:paraId="013C65C9" w14:textId="76625976" w:rsidR="00D36810" w:rsidRPr="00E1066F" w:rsidRDefault="00D36810" w:rsidP="009A76BC">
      <w:pPr>
        <w:pStyle w:val="Bullet1stlevel"/>
        <w:numPr>
          <w:ilvl w:val="1"/>
          <w:numId w:val="5"/>
        </w:numPr>
        <w:rPr>
          <w:i/>
          <w:iCs/>
        </w:rPr>
      </w:pPr>
      <w:r w:rsidRPr="009A76BC">
        <w:t xml:space="preserve">The assessment team will also provide an optional and confidential feedback questionnaire for the service provider regarding the assessment during the exit meeting. This information is independently managed and utilised by the Commission for continuous improvement of its assessment program. </w:t>
      </w:r>
    </w:p>
    <w:p w14:paraId="05197ABC" w14:textId="2BB72300" w:rsidR="00D36810" w:rsidRPr="00296471" w:rsidRDefault="00D36810" w:rsidP="009A76BC">
      <w:pPr>
        <w:pStyle w:val="Bullet1stlevel"/>
      </w:pPr>
      <w:r w:rsidRPr="009A76BC">
        <w:t>Communication between the Commission and providers in relation to the finalisation of the assessment report:</w:t>
      </w:r>
    </w:p>
    <w:p w14:paraId="3D861FF1" w14:textId="7ADAA358" w:rsidR="00D36810" w:rsidRPr="00296471" w:rsidRDefault="00D36810" w:rsidP="009A76BC">
      <w:pPr>
        <w:pStyle w:val="Bullet1stlevel"/>
        <w:numPr>
          <w:ilvl w:val="1"/>
          <w:numId w:val="5"/>
        </w:numPr>
      </w:pPr>
      <w:r w:rsidRPr="009A76BC">
        <w:t xml:space="preserve">Following a performance assessment, the assessment team prepares an Assessment Report detailing a summary of the assessment findings at the Standard level, recommendations of met and not met against each assessed requirement of the Standards, and detailed findings and evidence from the assessment. The Assessment Team will also identify in the report any concerns about potential risk of harm to the safety, </w:t>
      </w:r>
      <w:proofErr w:type="gramStart"/>
      <w:r w:rsidRPr="009A76BC">
        <w:t>health</w:t>
      </w:r>
      <w:proofErr w:type="gramEnd"/>
      <w:r w:rsidRPr="009A76BC">
        <w:t xml:space="preserve"> and well-being of consumers.</w:t>
      </w:r>
    </w:p>
    <w:p w14:paraId="5D8434E0" w14:textId="74E966C0" w:rsidR="00D36810" w:rsidRPr="00296471" w:rsidRDefault="00D36810" w:rsidP="009A76BC">
      <w:pPr>
        <w:pStyle w:val="Bullet1stlevel"/>
        <w:numPr>
          <w:ilvl w:val="1"/>
          <w:numId w:val="5"/>
        </w:numPr>
      </w:pPr>
      <w:r w:rsidRPr="009A76BC">
        <w:t xml:space="preserve">The Commission provides the Assessment Report to the provider of the service so that they </w:t>
      </w:r>
      <w:proofErr w:type="gramStart"/>
      <w:r w:rsidRPr="009A76BC">
        <w:t>have the opportunity to</w:t>
      </w:r>
      <w:proofErr w:type="gramEnd"/>
      <w:r w:rsidRPr="009A76BC">
        <w:t xml:space="preserve"> understand the reasons, evidence and facts that the decision-maker is to rely on in identifying areas for improvement and making a decision regarding compliance; and provide a response to matters identified in the assessment report that may be relied on by the decision maker.</w:t>
      </w:r>
    </w:p>
    <w:p w14:paraId="33ED6B8A" w14:textId="406702DD" w:rsidR="00D36810" w:rsidRPr="00296471" w:rsidRDefault="00D36810" w:rsidP="009A76BC">
      <w:pPr>
        <w:pStyle w:val="Bullet1stlevel"/>
        <w:numPr>
          <w:ilvl w:val="1"/>
          <w:numId w:val="5"/>
        </w:numPr>
      </w:pPr>
      <w:r w:rsidRPr="009A76BC">
        <w:lastRenderedPageBreak/>
        <w:t>Once the provider has had the opportunity to respond to the assessment report, a delegate of the Commissioner considers the assessment team’s report, the provider’s response and other relevant information and develops a performance report. The performance report details the Standards and requirements as either compliant or non-compliant at the Standard and requirement level where applicable. The report may also specify areas where improvements must be made to ensure the Standards are complied with.</w:t>
      </w:r>
    </w:p>
    <w:p w14:paraId="364351C5" w14:textId="43FA4C3F" w:rsidR="00D36810" w:rsidRPr="00296471" w:rsidRDefault="00D36810" w:rsidP="009A76BC">
      <w:pPr>
        <w:pStyle w:val="Bullet1stlevel"/>
      </w:pPr>
      <w:r w:rsidRPr="009A76BC">
        <w:t xml:space="preserve">Quality assessor registration/re-registration including specific training such as the Quality Assessor Training Program is a key quality and competency control utilised by the Commission to ensure consistent assessment approach: </w:t>
      </w:r>
    </w:p>
    <w:p w14:paraId="4FA4B4BA" w14:textId="1165FC78" w:rsidR="00D36810" w:rsidRPr="00296471" w:rsidRDefault="00D36810" w:rsidP="009A76BC">
      <w:pPr>
        <w:pStyle w:val="Bullet1stlevel"/>
        <w:numPr>
          <w:ilvl w:val="1"/>
          <w:numId w:val="5"/>
        </w:numPr>
      </w:pPr>
      <w:r w:rsidRPr="009A76BC">
        <w:t xml:space="preserve">Only a person registered as a quality assessor by the Commission in accordance with Part 6 of the Commission Rules can undertake performance assessments of aged care services against the Quality Standards. </w:t>
      </w:r>
    </w:p>
    <w:p w14:paraId="7CB62C51" w14:textId="7EA0CCED" w:rsidR="00D36810" w:rsidRPr="00296471" w:rsidRDefault="00D36810" w:rsidP="009A76BC">
      <w:pPr>
        <w:pStyle w:val="Bullet1stlevel"/>
        <w:numPr>
          <w:ilvl w:val="1"/>
          <w:numId w:val="5"/>
        </w:numPr>
      </w:pPr>
      <w:r w:rsidRPr="009A76BC">
        <w:t xml:space="preserve">A person applying to be registered as a quality assessor must successfully complete the Quality Assessor Training Program that covers the assessment methodology used by quality assessors when undertaking performance assessments under the Quality Standards. The Quality Assessor Training Program is currently accredited with </w:t>
      </w:r>
      <w:proofErr w:type="spellStart"/>
      <w:r w:rsidRPr="009A76BC">
        <w:t>ISQua</w:t>
      </w:r>
      <w:proofErr w:type="spellEnd"/>
      <w:r w:rsidRPr="009A76BC">
        <w:t xml:space="preserve"> against the Guidelines and Standards for Surveyor Training Programmes 3rd edition v1.1 until 2024. </w:t>
      </w:r>
    </w:p>
    <w:p w14:paraId="73CF1D14" w14:textId="07462F0D" w:rsidR="00D36810" w:rsidRPr="00296471" w:rsidRDefault="00D36810" w:rsidP="009A76BC">
      <w:pPr>
        <w:pStyle w:val="Bullet1stlevel"/>
        <w:numPr>
          <w:ilvl w:val="1"/>
          <w:numId w:val="5"/>
        </w:numPr>
      </w:pPr>
      <w:r w:rsidRPr="009A76BC">
        <w:t>A quality assessor must meet certain criterial if they wish to retain their registration. These include completing ongoing professional development including any mandatory training specified by the Commissioner and undertaking a minimum amount of performance assessments to ensure the quality assessor maintains the currency of their skills and knowledge of assessing the performance of services against the Quality Standards.</w:t>
      </w:r>
    </w:p>
    <w:p w14:paraId="6B9B79A1" w14:textId="31CD82BD" w:rsidR="00D36810" w:rsidRPr="00296471" w:rsidRDefault="00D36810" w:rsidP="009A76BC">
      <w:pPr>
        <w:pStyle w:val="Bullet1stlevel"/>
        <w:numPr>
          <w:ilvl w:val="1"/>
          <w:numId w:val="5"/>
        </w:numPr>
      </w:pPr>
      <w:r w:rsidRPr="009A76BC">
        <w:t xml:space="preserve">Quality assessors must </w:t>
      </w:r>
      <w:proofErr w:type="gramStart"/>
      <w:r w:rsidRPr="009A76BC">
        <w:t>observe the Quality Assessor Code of Conduct at all times</w:t>
      </w:r>
      <w:proofErr w:type="gramEnd"/>
      <w:r w:rsidRPr="009A76BC">
        <w:t xml:space="preserve"> given the high standards of performance and integrity that a</w:t>
      </w:r>
      <w:r w:rsidRPr="00CC75F1">
        <w:t xml:space="preserve">re required in all interactions with providers, carers, consumers and their representatives. </w:t>
      </w:r>
    </w:p>
    <w:p w14:paraId="3019AD2C" w14:textId="644BACB1" w:rsidR="00ED518A" w:rsidRPr="00CC75F1" w:rsidRDefault="00D36810" w:rsidP="00CC75F1">
      <w:pPr>
        <w:pStyle w:val="Bullet1stlevel"/>
        <w:numPr>
          <w:ilvl w:val="1"/>
          <w:numId w:val="5"/>
        </w:numPr>
        <w:sectPr w:rsidR="00ED518A" w:rsidRPr="00CC75F1" w:rsidSect="003034E9">
          <w:pgSz w:w="11906" w:h="16838"/>
          <w:pgMar w:top="1418" w:right="1418" w:bottom="1418" w:left="1418" w:header="709" w:footer="453" w:gutter="0"/>
          <w:cols w:space="708"/>
          <w:docGrid w:linePitch="360"/>
        </w:sectPr>
      </w:pPr>
      <w:r w:rsidRPr="00CC75F1">
        <w:t xml:space="preserve">The Commission provides ongoing support to quality assessors with guidance </w:t>
      </w:r>
      <w:proofErr w:type="gramStart"/>
      <w:r w:rsidRPr="00CC75F1">
        <w:t>material, and</w:t>
      </w:r>
      <w:proofErr w:type="gramEnd"/>
      <w:r w:rsidRPr="00CC75F1">
        <w:t xml:space="preserve"> supporting policies and procedures and training. The Aged Care Quality Standards Guidance and Resources document is also available to support quality assessors and providers to understand the intent of each Quality Standard and ways in which evidence may be sought.</w:t>
      </w:r>
    </w:p>
    <w:p w14:paraId="4E3AF47C" w14:textId="77777777" w:rsidR="00CB51CA" w:rsidRPr="00902874" w:rsidRDefault="00CB51CA" w:rsidP="00902874">
      <w:pPr>
        <w:pStyle w:val="BodyText1"/>
        <w:spacing w:after="480"/>
        <w:rPr>
          <w:rFonts w:ascii="KPMG Extralight" w:hAnsi="KPMG Extralight"/>
          <w:color w:val="00338D" w:themeColor="text2"/>
          <w:sz w:val="144"/>
          <w:szCs w:val="160"/>
        </w:rPr>
      </w:pPr>
      <w:r w:rsidRPr="00902874">
        <w:rPr>
          <w:rFonts w:ascii="KPMG Extralight" w:hAnsi="KPMG Extralight"/>
          <w:color w:val="00338D" w:themeColor="text2"/>
          <w:sz w:val="144"/>
          <w:szCs w:val="160"/>
        </w:rPr>
        <w:lastRenderedPageBreak/>
        <w:t>Contact us</w:t>
      </w:r>
    </w:p>
    <w:p w14:paraId="46C2271E" w14:textId="77777777" w:rsidR="00CB51CA" w:rsidRPr="00902874" w:rsidRDefault="00CB51CA" w:rsidP="00812C85">
      <w:pPr>
        <w:pStyle w:val="BodyText1"/>
        <w:rPr>
          <w:b/>
          <w:color w:val="00338D" w:themeColor="text2"/>
        </w:rPr>
      </w:pPr>
      <w:r w:rsidRPr="00902874">
        <w:rPr>
          <w:b/>
          <w:color w:val="00338D" w:themeColor="text2"/>
        </w:rPr>
        <w:t>Nicki Doyle</w:t>
      </w:r>
    </w:p>
    <w:p w14:paraId="21637D39" w14:textId="77777777" w:rsidR="00CB51CA" w:rsidRPr="00902874" w:rsidRDefault="00CB51CA" w:rsidP="00812C85">
      <w:pPr>
        <w:pStyle w:val="BodyText1"/>
        <w:rPr>
          <w:rStyle w:val="Strong"/>
          <w:color w:val="00338D" w:themeColor="text2"/>
        </w:rPr>
      </w:pPr>
      <w:r w:rsidRPr="00902874">
        <w:rPr>
          <w:rStyle w:val="Strong"/>
          <w:color w:val="00338D" w:themeColor="text2"/>
        </w:rPr>
        <w:t>Partner, Health, Ageing and Human Services</w:t>
      </w:r>
    </w:p>
    <w:p w14:paraId="00C7A696" w14:textId="77777777" w:rsidR="00CB51CA" w:rsidRPr="00902874" w:rsidRDefault="00CB51CA" w:rsidP="00812C85">
      <w:pPr>
        <w:pStyle w:val="BodyText1"/>
        <w:rPr>
          <w:color w:val="00338D" w:themeColor="text2"/>
        </w:rPr>
      </w:pPr>
      <w:r w:rsidRPr="00902874">
        <w:rPr>
          <w:color w:val="00338D" w:themeColor="text2"/>
        </w:rPr>
        <w:t xml:space="preserve">(02) 9335 7794 </w:t>
      </w:r>
    </w:p>
    <w:p w14:paraId="7D435BB0" w14:textId="3917CE8F" w:rsidR="009633A2" w:rsidRPr="008C4AB4" w:rsidRDefault="00CB51CA" w:rsidP="00812C85">
      <w:pPr>
        <w:pStyle w:val="BodyText1"/>
        <w:rPr>
          <w:color w:val="00338D" w:themeColor="text2"/>
        </w:rPr>
      </w:pPr>
      <w:r w:rsidRPr="00902874">
        <w:rPr>
          <w:color w:val="00338D" w:themeColor="text2"/>
        </w:rPr>
        <w:t>ndoyle@kpmg.com.au</w:t>
      </w:r>
    </w:p>
    <w:sectPr w:rsidR="009633A2" w:rsidRPr="008C4AB4" w:rsidSect="00902874">
      <w:headerReference w:type="even" r:id="rId67"/>
      <w:headerReference w:type="default" r:id="rId68"/>
      <w:footerReference w:type="default" r:id="rId69"/>
      <w:headerReference w:type="first" r:id="rId70"/>
      <w:pgSz w:w="11906" w:h="16838"/>
      <w:pgMar w:top="3402"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7F06C6" w14:textId="77777777" w:rsidR="00FC38BE" w:rsidRDefault="00FC38BE" w:rsidP="004A3F32">
      <w:pPr>
        <w:spacing w:after="0"/>
      </w:pPr>
      <w:r>
        <w:separator/>
      </w:r>
    </w:p>
  </w:endnote>
  <w:endnote w:type="continuationSeparator" w:id="0">
    <w:p w14:paraId="52056166" w14:textId="77777777" w:rsidR="00FC38BE" w:rsidRDefault="00FC38BE" w:rsidP="004A3F32">
      <w:pPr>
        <w:spacing w:after="0"/>
      </w:pPr>
      <w:r>
        <w:continuationSeparator/>
      </w:r>
    </w:p>
  </w:endnote>
  <w:endnote w:type="continuationNotice" w:id="1">
    <w:p w14:paraId="5F7D6389" w14:textId="77777777" w:rsidR="00FC38BE" w:rsidRDefault="00FC38BE">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9999999">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Univers 45 Light">
    <w:altName w:val="Calibri"/>
    <w:charset w:val="00"/>
    <w:family w:val="auto"/>
    <w:pitch w:val="variable"/>
    <w:sig w:usb0="8000002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KPMG Extralight">
    <w:altName w:val="Calibri"/>
    <w:charset w:val="00"/>
    <w:family w:val="swiss"/>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KPMG Light">
    <w:charset w:val="00"/>
    <w:family w:val="swiss"/>
    <w:pitch w:val="variable"/>
    <w:sig w:usb0="00000007" w:usb1="00000000" w:usb2="00000000" w:usb3="00000000" w:csb0="00000093"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ZWAdobeF">
    <w:panose1 w:val="00000000000000000000"/>
    <w:charset w:val="00"/>
    <w:family w:val="auto"/>
    <w:pitch w:val="variable"/>
    <w:sig w:usb0="20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4880548"/>
      <w:docPartObj>
        <w:docPartGallery w:val="Page Numbers (Bottom of Page)"/>
        <w:docPartUnique/>
      </w:docPartObj>
    </w:sdtPr>
    <w:sdtEndPr/>
    <w:sdtContent>
      <w:p w14:paraId="3EB88182" w14:textId="24B88CD8" w:rsidR="00274736" w:rsidRPr="005138FF" w:rsidRDefault="00274736" w:rsidP="007E4A0D">
        <w:pPr>
          <w:pStyle w:val="Footer"/>
          <w:rPr>
            <w:noProof/>
          </w:rPr>
        </w:pPr>
        <w:r w:rsidRPr="005138FF">
          <w:t xml:space="preserve">KPMG |  </w:t>
        </w:r>
        <w:r w:rsidRPr="005138FF">
          <w:fldChar w:fldCharType="begin"/>
        </w:r>
        <w:r w:rsidRPr="005138FF">
          <w:instrText xml:space="preserve"> PAGE   \* MERGEFORMAT </w:instrText>
        </w:r>
        <w:r w:rsidRPr="005138FF">
          <w:fldChar w:fldCharType="separate"/>
        </w:r>
        <w:r w:rsidRPr="005138FF">
          <w:rPr>
            <w:noProof/>
          </w:rPr>
          <w:t>3</w:t>
        </w:r>
        <w:r w:rsidRPr="005138FF">
          <w:rPr>
            <w:noProof/>
          </w:rPr>
          <w:fldChar w:fldCharType="end"/>
        </w:r>
      </w:p>
      <w:p w14:paraId="4641A51E" w14:textId="570B327B" w:rsidR="00274736" w:rsidRPr="005138FF" w:rsidRDefault="00274736" w:rsidP="00DC5E8D">
        <w:pPr>
          <w:pStyle w:val="Footer"/>
          <w:rPr>
            <w:rFonts w:ascii="Arial" w:hAnsi="Arial" w:cs="Arial"/>
          </w:rPr>
        </w:pPr>
        <w:r w:rsidRPr="005138FF">
          <w:rPr>
            <w:rFonts w:ascii="Arial" w:hAnsi="Arial" w:cs="Arial"/>
          </w:rPr>
          <w:t>© 2021 KPMG, an Australian partnership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w:t>
        </w:r>
      </w:p>
      <w:p w14:paraId="75DA3B1D" w14:textId="124EE2A7" w:rsidR="00274736" w:rsidRPr="005138FF" w:rsidRDefault="00274736" w:rsidP="00DC5E8D">
        <w:pPr>
          <w:pStyle w:val="Footer"/>
          <w:rPr>
            <w:rFonts w:ascii="Arial" w:hAnsi="Arial" w:cs="Arial"/>
          </w:rPr>
        </w:pPr>
        <w:r w:rsidRPr="005138FF">
          <w:rPr>
            <w:rFonts w:ascii="Arial" w:hAnsi="Arial" w:cs="Arial"/>
          </w:rPr>
          <w:t xml:space="preserve"> Liability limited by a scheme approved under Professional Standards Legislation.</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8507466"/>
      <w:docPartObj>
        <w:docPartGallery w:val="Page Numbers (Bottom of Page)"/>
        <w:docPartUnique/>
      </w:docPartObj>
    </w:sdtPr>
    <w:sdtEndPr/>
    <w:sdtContent>
      <w:p w14:paraId="5CE7FEAD" w14:textId="77777777" w:rsidR="00274736" w:rsidRPr="00F0261E" w:rsidRDefault="00274736" w:rsidP="007E4A0D">
        <w:pPr>
          <w:pStyle w:val="Footer"/>
          <w:rPr>
            <w:noProof/>
          </w:rPr>
        </w:pPr>
        <w:r w:rsidRPr="00F0261E">
          <w:t xml:space="preserve">KPMG |  </w:t>
        </w:r>
        <w:r w:rsidRPr="00F0261E">
          <w:fldChar w:fldCharType="begin"/>
        </w:r>
        <w:r w:rsidRPr="00F0261E">
          <w:instrText xml:space="preserve"> PAGE   \* MERGEFORMAT </w:instrText>
        </w:r>
        <w:r w:rsidRPr="00F0261E">
          <w:fldChar w:fldCharType="separate"/>
        </w:r>
        <w:r w:rsidRPr="00F0261E">
          <w:rPr>
            <w:noProof/>
          </w:rPr>
          <w:t>3</w:t>
        </w:r>
        <w:r w:rsidRPr="00F0261E">
          <w:rPr>
            <w:noProof/>
          </w:rPr>
          <w:fldChar w:fldCharType="end"/>
        </w:r>
      </w:p>
      <w:p w14:paraId="4B22227E" w14:textId="77777777" w:rsidR="00274736" w:rsidRPr="00F0261E" w:rsidRDefault="00274736" w:rsidP="00DC5E8D">
        <w:pPr>
          <w:pStyle w:val="Footer"/>
          <w:rPr>
            <w:rFonts w:cs="Arial"/>
          </w:rPr>
        </w:pPr>
        <w:r w:rsidRPr="00F0261E">
          <w:rPr>
            <w:rFonts w:cs="Arial"/>
          </w:rPr>
          <w:t>© 2021 KPMG, an Australian partnership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w:t>
        </w:r>
      </w:p>
      <w:p w14:paraId="779207F9" w14:textId="3A9D158F" w:rsidR="00274736" w:rsidRPr="00F0261E" w:rsidRDefault="00274736" w:rsidP="00DC5E8D">
        <w:pPr>
          <w:pStyle w:val="Footer"/>
          <w:rPr>
            <w:rFonts w:cs="Arial"/>
          </w:rPr>
        </w:pPr>
        <w:r w:rsidRPr="00F0261E">
          <w:rPr>
            <w:rFonts w:cs="Arial"/>
          </w:rPr>
          <w:t>Liability limited by a scheme approved under Professional Standards Legislation.</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E8317" w14:textId="025C4546" w:rsidR="00274736" w:rsidRPr="008C4AB4" w:rsidRDefault="00274736" w:rsidP="00812C85">
    <w:pPr>
      <w:pStyle w:val="backcoverdetails"/>
      <w:spacing w:after="720"/>
      <w:ind w:left="0"/>
      <w:rPr>
        <w:rStyle w:val="White"/>
        <w:b/>
        <w:color w:val="auto"/>
      </w:rPr>
    </w:pPr>
    <w:r w:rsidRPr="008C4AB4">
      <w:rPr>
        <w:rStyle w:val="White"/>
        <w:b/>
        <w:color w:val="auto"/>
      </w:rPr>
      <w:t>kpmg.com.au</w:t>
    </w:r>
  </w:p>
  <w:p w14:paraId="7647B9FB" w14:textId="77777777" w:rsidR="00274736" w:rsidRPr="008C4AB4" w:rsidRDefault="00274736" w:rsidP="00812C85">
    <w:pPr>
      <w:pStyle w:val="Footer"/>
      <w:spacing w:before="0" w:after="120"/>
      <w:jc w:val="left"/>
      <w:rPr>
        <w:rStyle w:val="White"/>
        <w:rFonts w:cs="Arial"/>
        <w:color w:val="auto"/>
        <w:sz w:val="16"/>
        <w:szCs w:val="16"/>
      </w:rPr>
    </w:pPr>
    <w:r w:rsidRPr="008C4AB4">
      <w:rPr>
        <w:rStyle w:val="White"/>
        <w:rFonts w:cs="Arial"/>
        <w:color w:val="auto"/>
        <w:sz w:val="16"/>
        <w:szCs w:val="16"/>
      </w:rPr>
      <w:t>The information contained in this document is of a general nature and is not intended to address the objectives, financial situation or needs of any particular individual or entity. It is provided for information purposes only and does not constitute, nor should it be regarded in any manner whatsoever, as advice and is not intended to influence a person in making a decision, including, if applicable, in relation to any financial product or an interest in a financial product. Although we endeavour to provide accurate and timely information, there can be no guarantee that such information is accurate as of the date it is received or that it will continue to be accurate in the future. No one should act on such information without appropriate professional advice after a thorough examination of the particular situation.</w:t>
    </w:r>
  </w:p>
  <w:p w14:paraId="38B6CDF8" w14:textId="77777777" w:rsidR="00274736" w:rsidRPr="008C4AB4" w:rsidRDefault="00274736" w:rsidP="00812C85">
    <w:pPr>
      <w:pStyle w:val="Footer"/>
      <w:spacing w:before="0" w:after="120"/>
      <w:jc w:val="left"/>
      <w:rPr>
        <w:rStyle w:val="White"/>
        <w:rFonts w:cs="Arial"/>
        <w:color w:val="auto"/>
        <w:sz w:val="16"/>
        <w:szCs w:val="16"/>
      </w:rPr>
    </w:pPr>
    <w:r w:rsidRPr="008C4AB4">
      <w:rPr>
        <w:rStyle w:val="White"/>
        <w:rFonts w:cs="Arial"/>
        <w:color w:val="auto"/>
        <w:sz w:val="16"/>
        <w:szCs w:val="16"/>
      </w:rPr>
      <w:t>To the extent permissible by law, KPMG and its associated entities shall not be liable for any errors, omissions, defects or misrepresentations in the information or for any loss or damage suffered by persons who use or rely on such information (including for reasons of negligence, negligent misstatement or otherwise).</w:t>
    </w:r>
  </w:p>
  <w:p w14:paraId="55101823" w14:textId="18DF4F51" w:rsidR="00274736" w:rsidRPr="008C4AB4" w:rsidRDefault="00274736" w:rsidP="00812C85">
    <w:pPr>
      <w:pStyle w:val="copyright"/>
      <w:spacing w:after="120"/>
      <w:rPr>
        <w:rFonts w:ascii="Univers 45 Light" w:hAnsi="Univers 45 Light"/>
        <w:color w:val="auto"/>
      </w:rPr>
    </w:pPr>
    <w:r w:rsidRPr="008C4AB4">
      <w:rPr>
        <w:rFonts w:ascii="Univers 45 Light" w:hAnsi="Univers 45 Light"/>
        <w:color w:val="auto"/>
      </w:rPr>
      <w:t xml:space="preserve">©2021 KPMG, an Australian partnership and a member firm of the KPMG global organisation of independent member firms affiliated with KPMG International Limited, a private English company limited by guarantee. All rights reserved. </w:t>
    </w:r>
  </w:p>
  <w:p w14:paraId="657AE6BB" w14:textId="77777777" w:rsidR="00274736" w:rsidRPr="008C4AB4" w:rsidRDefault="00274736" w:rsidP="00812C85">
    <w:pPr>
      <w:pStyle w:val="copyright"/>
      <w:spacing w:after="120"/>
      <w:rPr>
        <w:rFonts w:ascii="Univers 45 Light" w:hAnsi="Univers 45 Light"/>
        <w:color w:val="auto"/>
      </w:rPr>
    </w:pPr>
    <w:r w:rsidRPr="008C4AB4">
      <w:rPr>
        <w:rFonts w:ascii="Univers 45 Light" w:hAnsi="Univers 45 Light"/>
        <w:color w:val="auto"/>
      </w:rPr>
      <w:t>The KPMG name and logo are trademarks used under license by the independent member firms of the KPMG global organisation.</w:t>
    </w:r>
  </w:p>
  <w:p w14:paraId="36F282FA" w14:textId="77777777" w:rsidR="00274736" w:rsidRPr="008C4AB4" w:rsidRDefault="00274736" w:rsidP="00812C85">
    <w:pPr>
      <w:pStyle w:val="copyright"/>
      <w:spacing w:after="120"/>
      <w:rPr>
        <w:rFonts w:ascii="Univers 45 Light" w:hAnsi="Univers 45 Light"/>
        <w:color w:val="auto"/>
        <w:sz w:val="12"/>
        <w:szCs w:val="12"/>
      </w:rPr>
    </w:pPr>
    <w:r w:rsidRPr="008C4AB4">
      <w:rPr>
        <w:rFonts w:ascii="Univers 45 Light" w:hAnsi="Univers 45 Light"/>
        <w:color w:val="auto"/>
      </w:rPr>
      <w:t>Liability limited by a scheme approved under Professional Standards Legislation.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C05419" w14:textId="77777777" w:rsidR="00FC38BE" w:rsidRDefault="00FC38BE" w:rsidP="004A3F32">
      <w:pPr>
        <w:spacing w:after="0"/>
      </w:pPr>
      <w:r>
        <w:separator/>
      </w:r>
    </w:p>
  </w:footnote>
  <w:footnote w:type="continuationSeparator" w:id="0">
    <w:p w14:paraId="1D72E356" w14:textId="77777777" w:rsidR="00FC38BE" w:rsidRDefault="00FC38BE" w:rsidP="004A3F32">
      <w:pPr>
        <w:spacing w:after="0"/>
      </w:pPr>
      <w:r>
        <w:continuationSeparator/>
      </w:r>
    </w:p>
  </w:footnote>
  <w:footnote w:type="continuationNotice" w:id="1">
    <w:p w14:paraId="124E864C" w14:textId="77777777" w:rsidR="00FC38BE" w:rsidRDefault="00FC38BE">
      <w:pPr>
        <w:spacing w:before="0" w:after="0"/>
      </w:pPr>
    </w:p>
  </w:footnote>
  <w:footnote w:id="2">
    <w:p w14:paraId="42C6D43F" w14:textId="775C2648" w:rsidR="00274736" w:rsidRDefault="00274736">
      <w:pPr>
        <w:pStyle w:val="FootnoteText"/>
      </w:pPr>
      <w:r>
        <w:rPr>
          <w:rStyle w:val="FootnoteReference"/>
        </w:rPr>
        <w:footnoteRef/>
      </w:r>
      <w:r>
        <w:t xml:space="preserve"> A separate evaluation of the development of the Standards was completed in 2020 for the Department by </w:t>
      </w:r>
      <w:r w:rsidRPr="00C523E7">
        <w:t>Australian Healthcare Associates</w:t>
      </w:r>
      <w:r>
        <w:t>.</w:t>
      </w:r>
    </w:p>
  </w:footnote>
  <w:footnote w:id="3">
    <w:p w14:paraId="365106BA" w14:textId="22B2E238" w:rsidR="00274736" w:rsidRPr="00DE4DC2" w:rsidRDefault="00274736">
      <w:pPr>
        <w:pStyle w:val="FootnoteText"/>
      </w:pPr>
      <w:r w:rsidRPr="00DE4DC2">
        <w:rPr>
          <w:rStyle w:val="FootnoteReference"/>
        </w:rPr>
        <w:footnoteRef/>
      </w:r>
      <w:r w:rsidRPr="00DE4DC2">
        <w:t xml:space="preserve"> The providers of CHSP and NATDIFACP are not required to be approved providers but must still adhere to the Standards under the </w:t>
      </w:r>
      <w:r w:rsidRPr="00DE4DC2">
        <w:rPr>
          <w:i/>
          <w:iCs/>
        </w:rPr>
        <w:t>Aged Care Quality and Safety Commission Act 2018</w:t>
      </w:r>
      <w:r w:rsidRPr="00DE4DC2">
        <w:t>, (</w:t>
      </w:r>
      <w:proofErr w:type="spellStart"/>
      <w:r w:rsidRPr="00DE4DC2">
        <w:t>Cth</w:t>
      </w:r>
      <w:proofErr w:type="spellEnd"/>
      <w:r w:rsidRPr="00DE4DC2">
        <w:t xml:space="preserve">) s. 8.3. </w:t>
      </w:r>
    </w:p>
  </w:footnote>
  <w:footnote w:id="4">
    <w:p w14:paraId="538468A7" w14:textId="177850DA" w:rsidR="00274736" w:rsidRDefault="00274736">
      <w:pPr>
        <w:pStyle w:val="FootnoteText"/>
      </w:pPr>
      <w:r w:rsidRPr="00DE4DC2">
        <w:rPr>
          <w:rStyle w:val="FootnoteReference"/>
        </w:rPr>
        <w:footnoteRef/>
      </w:r>
      <w:r w:rsidRPr="00DE4DC2">
        <w:t xml:space="preserve"> Aged Care Quality and Safety Commission, Quality Standards, </w:t>
      </w:r>
      <w:r w:rsidRPr="00B212DA">
        <w:t>www.agedcarequality.gov.au/providers/standards</w:t>
      </w:r>
    </w:p>
  </w:footnote>
  <w:footnote w:id="5">
    <w:p w14:paraId="551B74F4" w14:textId="221F2E0A" w:rsidR="00274736" w:rsidRPr="002075DD" w:rsidRDefault="00274736" w:rsidP="0055623D">
      <w:pPr>
        <w:pStyle w:val="FootnoteText"/>
        <w:rPr>
          <w:szCs w:val="16"/>
        </w:rPr>
      </w:pPr>
      <w:r w:rsidRPr="002075DD">
        <w:rPr>
          <w:szCs w:val="16"/>
          <w:vertAlign w:val="superscript"/>
        </w:rPr>
        <w:footnoteRef/>
      </w:r>
      <w:r w:rsidRPr="002075DD">
        <w:rPr>
          <w:szCs w:val="16"/>
          <w:vertAlign w:val="superscript"/>
        </w:rPr>
        <w:t xml:space="preserve"> </w:t>
      </w:r>
      <w:r>
        <w:rPr>
          <w:szCs w:val="16"/>
        </w:rPr>
        <w:t xml:space="preserve">Australian Department of Health </w:t>
      </w:r>
      <w:r w:rsidRPr="002075DD">
        <w:rPr>
          <w:szCs w:val="16"/>
        </w:rPr>
        <w:t>(2017)</w:t>
      </w:r>
      <w:r>
        <w:rPr>
          <w:szCs w:val="16"/>
        </w:rPr>
        <w:t>, S</w:t>
      </w:r>
      <w:r w:rsidRPr="002075DD">
        <w:rPr>
          <w:szCs w:val="16"/>
        </w:rPr>
        <w:t>ingle Aged Care Quality Framework Consultation Paper</w:t>
      </w:r>
      <w:r>
        <w:rPr>
          <w:szCs w:val="16"/>
        </w:rPr>
        <w:t>,</w:t>
      </w:r>
      <w:r w:rsidRPr="002075DD">
        <w:rPr>
          <w:szCs w:val="16"/>
        </w:rPr>
        <w:t xml:space="preserve"> </w:t>
      </w:r>
      <w:r w:rsidR="00157F89" w:rsidRPr="00157F89">
        <w:rPr>
          <w:szCs w:val="16"/>
        </w:rPr>
        <w:t>www.agedcare.royalcommission.gov.au/system/files/2020-06/RCD.9999.0018.0001.pdf</w:t>
      </w:r>
      <w:r w:rsidRPr="002075DD">
        <w:rPr>
          <w:szCs w:val="16"/>
        </w:rPr>
        <w:t xml:space="preserve"> </w:t>
      </w:r>
    </w:p>
  </w:footnote>
  <w:footnote w:id="6">
    <w:p w14:paraId="3EB951B1" w14:textId="24965266" w:rsidR="00274736" w:rsidRPr="002075DD" w:rsidRDefault="00274736" w:rsidP="0055623D">
      <w:pPr>
        <w:pStyle w:val="FootnoteText"/>
        <w:rPr>
          <w:szCs w:val="16"/>
        </w:rPr>
      </w:pPr>
      <w:r w:rsidRPr="00DE4DC2">
        <w:rPr>
          <w:szCs w:val="16"/>
          <w:vertAlign w:val="superscript"/>
        </w:rPr>
        <w:footnoteRef/>
      </w:r>
      <w:r w:rsidRPr="00DE4DC2">
        <w:rPr>
          <w:szCs w:val="16"/>
          <w:vertAlign w:val="superscript"/>
        </w:rPr>
        <w:t xml:space="preserve"> </w:t>
      </w:r>
      <w:r w:rsidRPr="00DE4DC2">
        <w:rPr>
          <w:szCs w:val="16"/>
        </w:rPr>
        <w:t>Aged Care Quality and Safety Commission,</w:t>
      </w:r>
      <w:r>
        <w:rPr>
          <w:szCs w:val="16"/>
        </w:rPr>
        <w:t xml:space="preserve"> Accreditation Standards Fact Sheet, </w:t>
      </w:r>
      <w:r w:rsidRPr="002075DD">
        <w:rPr>
          <w:szCs w:val="16"/>
        </w:rPr>
        <w:t>www.agedcarequality.gov.au/sites/default/files/media/accreditation_standards_fact_sheet_updated.pdf</w:t>
      </w:r>
    </w:p>
  </w:footnote>
  <w:footnote w:id="7">
    <w:p w14:paraId="7693443F" w14:textId="35E3D6B7" w:rsidR="00274736" w:rsidRPr="00DE4DC2" w:rsidRDefault="00274736" w:rsidP="0055623D">
      <w:pPr>
        <w:pStyle w:val="FootnoteText"/>
        <w:rPr>
          <w:szCs w:val="16"/>
        </w:rPr>
      </w:pPr>
      <w:r w:rsidRPr="00DE4DC2">
        <w:rPr>
          <w:rStyle w:val="FootnoteReference"/>
          <w:szCs w:val="16"/>
        </w:rPr>
        <w:footnoteRef/>
      </w:r>
      <w:r w:rsidRPr="00DE4DC2">
        <w:rPr>
          <w:szCs w:val="16"/>
        </w:rPr>
        <w:t xml:space="preserve"> Aged Care Quality and Safety Commission, Home Care Common Standards Fact Sheet, www.agedcarequality.gov.au/sites/default/files/media/home%20care%20common%20standards%20v1.1.pdf</w:t>
      </w:r>
    </w:p>
  </w:footnote>
  <w:footnote w:id="8">
    <w:p w14:paraId="0AAE2325" w14:textId="2136080F" w:rsidR="00274736" w:rsidRPr="00DE4DC2" w:rsidRDefault="00274736" w:rsidP="0055623D">
      <w:pPr>
        <w:pStyle w:val="FootnoteText"/>
        <w:rPr>
          <w:szCs w:val="16"/>
        </w:rPr>
      </w:pPr>
      <w:r w:rsidRPr="00DE4DC2">
        <w:rPr>
          <w:rStyle w:val="FootnoteReference"/>
          <w:szCs w:val="16"/>
        </w:rPr>
        <w:footnoteRef/>
      </w:r>
      <w:r w:rsidRPr="00DE4DC2">
        <w:rPr>
          <w:szCs w:val="16"/>
        </w:rPr>
        <w:t xml:space="preserve"> Aged Care Quality and Safety Commission, National Aboriginal and Torres Strait Flexible Aged Care Program (NATSIFACP) Quality Standards Fact Sheet, www.agedcarequality.gov.au/sites/default/files/media/flexible_aged_care_program_standards_updated.pdf</w:t>
      </w:r>
    </w:p>
  </w:footnote>
  <w:footnote w:id="9">
    <w:p w14:paraId="4D2D6F6F" w14:textId="30DFDEEF" w:rsidR="00274736" w:rsidRPr="002075DD" w:rsidRDefault="00274736" w:rsidP="0055623D">
      <w:pPr>
        <w:pStyle w:val="FootnoteText"/>
        <w:rPr>
          <w:szCs w:val="16"/>
        </w:rPr>
      </w:pPr>
      <w:r w:rsidRPr="00DE4DC2">
        <w:rPr>
          <w:rStyle w:val="FootnoteReference"/>
          <w:szCs w:val="16"/>
        </w:rPr>
        <w:footnoteRef/>
      </w:r>
      <w:r w:rsidRPr="00DE4DC2">
        <w:rPr>
          <w:szCs w:val="16"/>
        </w:rPr>
        <w:t xml:space="preserve"> Aged Care Quality and Safety Commission, Old</w:t>
      </w:r>
      <w:r>
        <w:rPr>
          <w:szCs w:val="16"/>
        </w:rPr>
        <w:t xml:space="preserve"> Standards, </w:t>
      </w:r>
      <w:r w:rsidRPr="002075DD">
        <w:rPr>
          <w:szCs w:val="16"/>
        </w:rPr>
        <w:t>www.agedcarequality.gov.au/providers/standards/old-standards</w:t>
      </w:r>
    </w:p>
  </w:footnote>
  <w:footnote w:id="10">
    <w:p w14:paraId="6EC5793D" w14:textId="1D6A7BD9" w:rsidR="00274736" w:rsidRDefault="00274736">
      <w:pPr>
        <w:pStyle w:val="FootnoteText"/>
      </w:pPr>
      <w:r>
        <w:rPr>
          <w:rStyle w:val="FootnoteReference"/>
        </w:rPr>
        <w:footnoteRef/>
      </w:r>
      <w:r>
        <w:t xml:space="preserve"> Royal Commission into Aged Care Quality and Safety (2021), Final Report, </w:t>
      </w:r>
      <w:r w:rsidR="00E02485">
        <w:t>www.</w:t>
      </w:r>
      <w:r w:rsidRPr="00941DCF">
        <w:t>agedcare.royalcommission.gov.au/publications/final-report</w:t>
      </w:r>
    </w:p>
  </w:footnote>
  <w:footnote w:id="11">
    <w:p w14:paraId="51EDCCDE" w14:textId="54FC9414" w:rsidR="00274736" w:rsidRDefault="00274736">
      <w:pPr>
        <w:pStyle w:val="FootnoteText"/>
      </w:pPr>
      <w:r>
        <w:rPr>
          <w:rStyle w:val="FootnoteReference"/>
        </w:rPr>
        <w:footnoteRef/>
      </w:r>
      <w:r>
        <w:t xml:space="preserve"> Royal Commission into Aged Care Quality and Safety (2021), Final Report, </w:t>
      </w:r>
      <w:r w:rsidR="006836D1">
        <w:t>www.</w:t>
      </w:r>
      <w:r w:rsidRPr="00941DCF">
        <w:t>agedcare.royalcommission.gov.au/publications/final-report</w:t>
      </w:r>
    </w:p>
  </w:footnote>
  <w:footnote w:id="12">
    <w:p w14:paraId="46AEF73B" w14:textId="2AC6AC8B" w:rsidR="00274736" w:rsidRDefault="00274736">
      <w:pPr>
        <w:pStyle w:val="FootnoteText"/>
      </w:pPr>
      <w:r>
        <w:rPr>
          <w:rStyle w:val="FootnoteReference"/>
        </w:rPr>
        <w:footnoteRef/>
      </w:r>
      <w:r>
        <w:t xml:space="preserve"> Department of Health (2021), Australian Government Response to the Final Report of the Royal Commission into Aged Care Quality and Safety, </w:t>
      </w:r>
      <w:r w:rsidRPr="001C0C67">
        <w:t>www.health.gov.au/sites/default/files/documents/2021/05/australian-government-response-to-the-final-report-of-the-royal-commission-into-aged-care-quality-and-safety.pdf</w:t>
      </w:r>
    </w:p>
  </w:footnote>
  <w:footnote w:id="13">
    <w:p w14:paraId="627B67FE" w14:textId="10340172" w:rsidR="00274736" w:rsidRDefault="00274736" w:rsidP="000E1D1B">
      <w:pPr>
        <w:pStyle w:val="FootnoteText"/>
      </w:pPr>
      <w:r>
        <w:rPr>
          <w:rStyle w:val="FootnoteReference"/>
        </w:rPr>
        <w:footnoteRef/>
      </w:r>
      <w:r>
        <w:t xml:space="preserve"> Department of Health (2021), </w:t>
      </w:r>
      <w:r w:rsidRPr="00D469D5">
        <w:t>Residential aged care quality and safety (Pillar 3 of the Royal Commission response) – Strengthening provider quality</w:t>
      </w:r>
      <w:r>
        <w:t xml:space="preserve"> Budget Announcement Fact Sheet 2021-2022</w:t>
      </w:r>
    </w:p>
    <w:p w14:paraId="7E388111" w14:textId="22D61103" w:rsidR="00274736" w:rsidRDefault="00274736" w:rsidP="001F448B">
      <w:pPr>
        <w:pStyle w:val="FootnoteText"/>
      </w:pPr>
      <w:r w:rsidRPr="0015482E">
        <w:t>www.health.gov.au/sites/default/files/documents/2021/05/residential-aged-care-quality-and-safety-pillar-3-of-the-royal-commission-response-strengthening-provider-quality.pdf</w:t>
      </w:r>
    </w:p>
  </w:footnote>
  <w:footnote w:id="14">
    <w:p w14:paraId="413A4582" w14:textId="77777777" w:rsidR="00274736" w:rsidRPr="002075DD" w:rsidRDefault="00274736" w:rsidP="00325B63">
      <w:pPr>
        <w:pStyle w:val="FootnoteText"/>
        <w:rPr>
          <w:szCs w:val="16"/>
        </w:rPr>
      </w:pPr>
      <w:r w:rsidRPr="002075DD">
        <w:rPr>
          <w:rStyle w:val="FootnoteReference"/>
          <w:rFonts w:cstheme="minorHAnsi"/>
          <w:szCs w:val="16"/>
        </w:rPr>
        <w:footnoteRef/>
      </w:r>
      <w:r w:rsidRPr="002075DD">
        <w:rPr>
          <w:szCs w:val="16"/>
        </w:rPr>
        <w:t xml:space="preserve"> The figure highlights the overall participation level in the evaluation. The total figure of 1,700 is approximate. Some stakeholders may have participated in both the focus group sessions and the online survey. </w:t>
      </w:r>
    </w:p>
  </w:footnote>
  <w:footnote w:id="15">
    <w:p w14:paraId="315805FF" w14:textId="398826AF" w:rsidR="00274736" w:rsidRPr="002075DD" w:rsidRDefault="00274736" w:rsidP="0055623D">
      <w:pPr>
        <w:pStyle w:val="FootnoteText"/>
        <w:rPr>
          <w:szCs w:val="16"/>
        </w:rPr>
      </w:pPr>
      <w:r w:rsidRPr="002075DD">
        <w:rPr>
          <w:rStyle w:val="FootnoteReference"/>
          <w:rFonts w:cstheme="minorHAnsi"/>
          <w:szCs w:val="16"/>
        </w:rPr>
        <w:footnoteRef/>
      </w:r>
      <w:r w:rsidRPr="002075DD">
        <w:rPr>
          <w:szCs w:val="16"/>
        </w:rPr>
        <w:t xml:space="preserve"> The process to develop the Standards was out of scope for this Evaluation as a separate evaluation was completed for this domain in 2020.</w:t>
      </w:r>
    </w:p>
  </w:footnote>
  <w:footnote w:id="16">
    <w:p w14:paraId="2025539B" w14:textId="2E10D4CB" w:rsidR="00274736" w:rsidRPr="008A2305" w:rsidRDefault="00274736" w:rsidP="00A55F76">
      <w:pPr>
        <w:pStyle w:val="FootnoteText"/>
        <w:rPr>
          <w:szCs w:val="16"/>
        </w:rPr>
      </w:pPr>
      <w:r w:rsidRPr="007018C0">
        <w:rPr>
          <w:rStyle w:val="FootnoteReference"/>
          <w:rFonts w:cstheme="minorHAnsi"/>
          <w:szCs w:val="16"/>
        </w:rPr>
        <w:footnoteRef/>
      </w:r>
      <w:r w:rsidRPr="007018C0">
        <w:rPr>
          <w:szCs w:val="16"/>
        </w:rPr>
        <w:t xml:space="preserve"> Aged Care Quality and Safety Commission (</w:t>
      </w:r>
      <w:r w:rsidRPr="008A2305">
        <w:rPr>
          <w:szCs w:val="16"/>
        </w:rPr>
        <w:t>2021)</w:t>
      </w:r>
      <w:r>
        <w:rPr>
          <w:szCs w:val="16"/>
        </w:rPr>
        <w:t>,</w:t>
      </w:r>
      <w:r w:rsidRPr="008A2305">
        <w:rPr>
          <w:szCs w:val="16"/>
        </w:rPr>
        <w:t xml:space="preserve"> </w:t>
      </w:r>
      <w:r w:rsidRPr="00643738">
        <w:rPr>
          <w:szCs w:val="16"/>
        </w:rPr>
        <w:t>Guidance and resources for providers to support the Aged Care Quality Standards</w:t>
      </w:r>
      <w:r>
        <w:rPr>
          <w:iCs/>
          <w:szCs w:val="16"/>
        </w:rPr>
        <w:t>,</w:t>
      </w:r>
      <w:r w:rsidRPr="008A2305">
        <w:rPr>
          <w:szCs w:val="16"/>
        </w:rPr>
        <w:t xml:space="preserve"> www.agedcarequality.gov.au/sites/default/files/media/Guidance_%26_Resource_V14.pdf </w:t>
      </w:r>
    </w:p>
  </w:footnote>
  <w:footnote w:id="17">
    <w:p w14:paraId="53051CA7" w14:textId="56C044DD" w:rsidR="00274736" w:rsidRPr="007018C0" w:rsidRDefault="00274736" w:rsidP="00A55F76">
      <w:pPr>
        <w:pStyle w:val="FootnoteText"/>
        <w:rPr>
          <w:szCs w:val="16"/>
        </w:rPr>
      </w:pPr>
      <w:r w:rsidRPr="007018C0">
        <w:rPr>
          <w:rStyle w:val="FootnoteReference"/>
          <w:rFonts w:cstheme="minorHAnsi"/>
          <w:szCs w:val="16"/>
        </w:rPr>
        <w:footnoteRef/>
      </w:r>
      <w:r w:rsidRPr="007018C0">
        <w:rPr>
          <w:szCs w:val="16"/>
        </w:rPr>
        <w:t xml:space="preserve"> Aged Care Quality and Safety Commission, Resource Library, www.agedcarequality.gov.au/resource-library?resources%5B0%5D=topics%3A211</w:t>
      </w:r>
    </w:p>
  </w:footnote>
  <w:footnote w:id="18">
    <w:p w14:paraId="0629071E" w14:textId="24E80090" w:rsidR="00274736" w:rsidRPr="007018C0" w:rsidRDefault="00274736" w:rsidP="00A55F76">
      <w:pPr>
        <w:pStyle w:val="FootnoteText"/>
        <w:rPr>
          <w:szCs w:val="16"/>
        </w:rPr>
      </w:pPr>
      <w:r w:rsidRPr="007018C0">
        <w:rPr>
          <w:rStyle w:val="FootnoteReference"/>
          <w:rFonts w:cstheme="minorHAnsi"/>
          <w:szCs w:val="16"/>
        </w:rPr>
        <w:footnoteRef/>
      </w:r>
      <w:r w:rsidRPr="007018C0">
        <w:rPr>
          <w:rStyle w:val="FootnoteReference"/>
          <w:rFonts w:cstheme="minorHAnsi"/>
          <w:szCs w:val="16"/>
        </w:rPr>
        <w:t xml:space="preserve"> </w:t>
      </w:r>
      <w:r w:rsidRPr="007018C0">
        <w:rPr>
          <w:szCs w:val="16"/>
        </w:rPr>
        <w:t>Ibid.</w:t>
      </w:r>
    </w:p>
  </w:footnote>
  <w:footnote w:id="19">
    <w:p w14:paraId="6F02B235" w14:textId="291EB950" w:rsidR="00274736" w:rsidRPr="002075DD" w:rsidRDefault="00274736" w:rsidP="00A55F76">
      <w:pPr>
        <w:pStyle w:val="FootnoteText"/>
        <w:rPr>
          <w:szCs w:val="16"/>
        </w:rPr>
      </w:pPr>
      <w:r w:rsidRPr="007018C0">
        <w:rPr>
          <w:rStyle w:val="FootnoteReference"/>
          <w:rFonts w:cstheme="minorHAnsi"/>
          <w:szCs w:val="16"/>
        </w:rPr>
        <w:footnoteRef/>
      </w:r>
      <w:r w:rsidRPr="007018C0">
        <w:rPr>
          <w:szCs w:val="16"/>
        </w:rPr>
        <w:t xml:space="preserve"> Aged Care Quality and Safety Commission (2019), Guide to Assessment of Commonwealth Home Support Programme (CHSP) Services</w:t>
      </w:r>
      <w:r w:rsidRPr="007018C0">
        <w:rPr>
          <w:iCs/>
          <w:szCs w:val="16"/>
        </w:rPr>
        <w:t>,</w:t>
      </w:r>
      <w:r w:rsidRPr="007018C0">
        <w:rPr>
          <w:szCs w:val="16"/>
        </w:rPr>
        <w:t xml:space="preserve"> www.agedcarequality.gov.au/sites/default</w:t>
      </w:r>
      <w:r w:rsidRPr="002075DD">
        <w:rPr>
          <w:szCs w:val="16"/>
        </w:rPr>
        <w:t>/files/media/guide_to_assessment_of_chsp_services.pdf</w:t>
      </w:r>
    </w:p>
  </w:footnote>
  <w:footnote w:id="20">
    <w:p w14:paraId="239FFCD2" w14:textId="3DCFE588" w:rsidR="00274736" w:rsidRPr="002075DD" w:rsidRDefault="00274736" w:rsidP="0055623D">
      <w:pPr>
        <w:pStyle w:val="FootnoteText"/>
        <w:rPr>
          <w:b/>
          <w:szCs w:val="16"/>
        </w:rPr>
      </w:pPr>
      <w:r w:rsidRPr="002075DD">
        <w:rPr>
          <w:rStyle w:val="FootnoteReference"/>
          <w:szCs w:val="16"/>
        </w:rPr>
        <w:footnoteRef/>
      </w:r>
      <w:r w:rsidRPr="002075DD">
        <w:rPr>
          <w:szCs w:val="16"/>
        </w:rPr>
        <w:t xml:space="preserve"> Assessment Data Page hits and resource download figures are included for activity within the period 1 January 2019 to 3 February 2021.</w:t>
      </w:r>
    </w:p>
  </w:footnote>
  <w:footnote w:id="21">
    <w:p w14:paraId="517D0C7D" w14:textId="5FFC2C38" w:rsidR="00274736" w:rsidRDefault="00274736">
      <w:pPr>
        <w:pStyle w:val="FootnoteText"/>
      </w:pPr>
      <w:r>
        <w:rPr>
          <w:rStyle w:val="FootnoteReference"/>
        </w:rPr>
        <w:footnoteRef/>
      </w:r>
      <w:r>
        <w:t xml:space="preserve"> Evidence points may include systems, processes, practices and consumer feedback received during </w:t>
      </w:r>
      <w:r w:rsidR="00266BFD">
        <w:t>assessments</w:t>
      </w:r>
      <w:r>
        <w:t>.</w:t>
      </w:r>
    </w:p>
  </w:footnote>
  <w:footnote w:id="22">
    <w:p w14:paraId="6645ECF2" w14:textId="1A719BAC" w:rsidR="00274736" w:rsidRPr="002075DD" w:rsidRDefault="00274736" w:rsidP="0055623D">
      <w:pPr>
        <w:pStyle w:val="FootnoteText"/>
        <w:rPr>
          <w:szCs w:val="16"/>
        </w:rPr>
      </w:pPr>
      <w:r w:rsidRPr="002075DD">
        <w:rPr>
          <w:rStyle w:val="FootnoteReference"/>
          <w:szCs w:val="16"/>
        </w:rPr>
        <w:footnoteRef/>
      </w:r>
      <w:r w:rsidRPr="002075DD">
        <w:rPr>
          <w:szCs w:val="16"/>
        </w:rPr>
        <w:t xml:space="preserve"> Australian Healthcare Associates (2020), ‘Evaluation of the Aged Care Quality Standards Phase 1: Development of the Standards’ for the Department of Health</w:t>
      </w:r>
    </w:p>
  </w:footnote>
  <w:footnote w:id="23">
    <w:p w14:paraId="14AE70A4" w14:textId="136DC31E" w:rsidR="00274736" w:rsidRDefault="00274736">
      <w:pPr>
        <w:pStyle w:val="FootnoteText"/>
      </w:pPr>
      <w:r>
        <w:rPr>
          <w:rStyle w:val="FootnoteReference"/>
        </w:rPr>
        <w:footnoteRef/>
      </w:r>
      <w:r>
        <w:t xml:space="preserve"> Social Research Centre (2020), ‘Aged Care Quality Standards Implementation Evaluation – Interim Evaluation One: Preliminary Results Final Report’ for the </w:t>
      </w:r>
      <w:r w:rsidRPr="001F6C11">
        <w:t>Aged Care Quality and Safety Commission</w:t>
      </w:r>
    </w:p>
  </w:footnote>
  <w:footnote w:id="24">
    <w:p w14:paraId="05063A7C" w14:textId="252BA216" w:rsidR="00274736" w:rsidRPr="002075DD" w:rsidRDefault="00274736" w:rsidP="0055623D">
      <w:pPr>
        <w:pStyle w:val="FootnoteText"/>
        <w:rPr>
          <w:szCs w:val="16"/>
        </w:rPr>
      </w:pPr>
      <w:r w:rsidRPr="002075DD">
        <w:rPr>
          <w:rStyle w:val="FootnoteReference"/>
          <w:rFonts w:cstheme="minorHAnsi"/>
          <w:szCs w:val="16"/>
        </w:rPr>
        <w:footnoteRef/>
      </w:r>
      <w:r w:rsidRPr="002075DD">
        <w:rPr>
          <w:szCs w:val="16"/>
        </w:rPr>
        <w:t xml:space="preserve"> </w:t>
      </w:r>
      <w:r>
        <w:t xml:space="preserve">Royal Commission into Aged Care Quality and Safety (2021), Final Report, </w:t>
      </w:r>
      <w:r w:rsidR="005102DF">
        <w:t>www.</w:t>
      </w:r>
      <w:r w:rsidRPr="00941DCF">
        <w:t>agedcare.royalcommission.gov.au/publications/final-report</w:t>
      </w:r>
    </w:p>
  </w:footnote>
  <w:footnote w:id="25">
    <w:p w14:paraId="0C8AFE53" w14:textId="54EB41F5" w:rsidR="00274736" w:rsidRPr="002075DD" w:rsidRDefault="00274736" w:rsidP="0055623D">
      <w:pPr>
        <w:pStyle w:val="FootnoteText"/>
        <w:rPr>
          <w:szCs w:val="16"/>
        </w:rPr>
      </w:pPr>
      <w:r w:rsidRPr="002075DD">
        <w:rPr>
          <w:rStyle w:val="FootnoteReference"/>
          <w:rFonts w:cstheme="minorHAnsi"/>
          <w:szCs w:val="16"/>
        </w:rPr>
        <w:footnoteRef/>
      </w:r>
      <w:r w:rsidRPr="002075DD">
        <w:rPr>
          <w:szCs w:val="16"/>
        </w:rPr>
        <w:t xml:space="preserve"> The recent Aged Care Workforce Census highlights the broader issues related to workforce attraction and retention within the sector. For example, residential aged care facilities reported a total of 9,404 vacancies in direct care roles. Home Care Package providers and CHSP providers reported similarly high vacancy numbers of 6,479 and 6,117 respectively at the time of the Census. Attrition was also high within the sector with residential aged care facilities reporting a rate of 29% on average, HCP providers reporting an average rate of 34% and CHSP providers reporting an average of 26% over the 12 months from November 2019 to November 2020.</w:t>
      </w:r>
    </w:p>
  </w:footnote>
  <w:footnote w:id="26">
    <w:p w14:paraId="6C7CC247" w14:textId="3621505F" w:rsidR="0091539B" w:rsidRDefault="0091539B">
      <w:pPr>
        <w:pStyle w:val="FootnoteText"/>
      </w:pPr>
      <w:r>
        <w:rPr>
          <w:rStyle w:val="FootnoteReference"/>
        </w:rPr>
        <w:footnoteRef/>
      </w:r>
      <w:r>
        <w:t xml:space="preserve"> </w:t>
      </w:r>
      <w:r w:rsidRPr="0091539B">
        <w:t>www.agedcarequality.gov.au/providers/assessment-processes</w:t>
      </w:r>
    </w:p>
  </w:footnote>
  <w:footnote w:id="27">
    <w:p w14:paraId="4880CF1E" w14:textId="3CDEEFE5" w:rsidR="00274736" w:rsidRDefault="00274736" w:rsidP="00E947EA">
      <w:pPr>
        <w:pStyle w:val="FootnoteText"/>
      </w:pPr>
      <w:r>
        <w:rPr>
          <w:rStyle w:val="FootnoteReference"/>
        </w:rPr>
        <w:footnoteRef/>
      </w:r>
      <w:r>
        <w:t xml:space="preserve"> P. 124, Royal Commission into the Quality and Safety of Aged Care (2021), Final Report Volume 3, </w:t>
      </w:r>
      <w:r w:rsidR="00AA017F">
        <w:t>www.</w:t>
      </w:r>
      <w:r w:rsidRPr="00C02E08">
        <w:t>agedcare.royalcommission.gov.au/sites/default/files/2021-03/final-report-volume-3a_0.pdf</w:t>
      </w:r>
    </w:p>
  </w:footnote>
  <w:footnote w:id="28">
    <w:p w14:paraId="163FF61D" w14:textId="4FA5F33D" w:rsidR="00274736" w:rsidRDefault="00274736">
      <w:pPr>
        <w:pStyle w:val="FootnoteText"/>
      </w:pPr>
      <w:r>
        <w:rPr>
          <w:rStyle w:val="FootnoteReference"/>
        </w:rPr>
        <w:footnoteRef/>
      </w:r>
      <w:r>
        <w:t xml:space="preserve"> Department of Health (2021), Governance (Pillar 5 of the Royal Commission Response) – a new Aged Care Act, Budget Announcement Fact Sheet 2021-2022, </w:t>
      </w:r>
      <w:r w:rsidRPr="00D21C7D">
        <w:t>www.health.gov.au/sites/default/files/documents/2021/05/governance-pillar-5-of-the-royal-commission-response-a-new-aged-care-act.pdf</w:t>
      </w:r>
    </w:p>
  </w:footnote>
  <w:footnote w:id="29">
    <w:p w14:paraId="43C47AF3" w14:textId="2C715D34" w:rsidR="00274736" w:rsidRDefault="00274736">
      <w:pPr>
        <w:pStyle w:val="FootnoteText"/>
      </w:pPr>
      <w:r>
        <w:rPr>
          <w:rStyle w:val="FootnoteReference"/>
        </w:rPr>
        <w:footnoteRef/>
      </w:r>
      <w:r>
        <w:t xml:space="preserve"> Department of Health (2021), Residential aged care services and sustainability (Pillar 2 of the Royal Commission response) – Reforming residential care funding to drive better care and a viable system, Budget Announcement Fact Sheet 2021-2022, </w:t>
      </w:r>
      <w:r w:rsidRPr="00FC4672">
        <w:t>www.health.gov.au/sites/default/files/documents/2021/05/residential-aged-care-services-and-sustainability-pillar-2-of-the-royal-commission-response-reforming-residential-care-funding-to-drive-better-care-and-a-viable-system_0.pdf</w:t>
      </w:r>
    </w:p>
  </w:footnote>
  <w:footnote w:id="30">
    <w:p w14:paraId="618F1137" w14:textId="141158E7" w:rsidR="00274736" w:rsidRDefault="00274736">
      <w:pPr>
        <w:pStyle w:val="FootnoteText"/>
      </w:pPr>
      <w:r>
        <w:rPr>
          <w:rStyle w:val="FootnoteReference"/>
        </w:rPr>
        <w:footnoteRef/>
      </w:r>
      <w:r>
        <w:t xml:space="preserve"> P. 18, Department of Health (2021), </w:t>
      </w:r>
      <w:r w:rsidRPr="00C26661">
        <w:t>www.health.gov.au/sites/default/files/documents/2021/05/australian-government-response-to-the-final-report-of-the-royal-commission-into-aged-care-quality-and-safety.pdf</w:t>
      </w:r>
    </w:p>
  </w:footnote>
  <w:footnote w:id="31">
    <w:p w14:paraId="467BA713" w14:textId="788C548E" w:rsidR="00274736" w:rsidRDefault="00274736">
      <w:pPr>
        <w:pStyle w:val="FootnoteText"/>
      </w:pPr>
      <w:r>
        <w:rPr>
          <w:rStyle w:val="FootnoteReference"/>
        </w:rPr>
        <w:footnoteRef/>
      </w:r>
      <w:r>
        <w:t xml:space="preserve"> Department of Health (2021), Home Care (Pillar 1 of the Royal Commission Response) – Future design and funding, Budget Announcement Fact Sheet 2021-2022, </w:t>
      </w:r>
      <w:r w:rsidRPr="00011723">
        <w:t>www.health.gov.au/sites/default/files/documents/2021/05/home-care-pillar-1-of-the-royal-commission-response-support-for-informal-carers.pdf</w:t>
      </w:r>
    </w:p>
  </w:footnote>
  <w:footnote w:id="32">
    <w:p w14:paraId="269B9FDE" w14:textId="3A94C618" w:rsidR="00274736" w:rsidRDefault="00274736">
      <w:pPr>
        <w:pStyle w:val="FootnoteText"/>
      </w:pPr>
      <w:r>
        <w:rPr>
          <w:rStyle w:val="FootnoteReference"/>
        </w:rPr>
        <w:footnoteRef/>
      </w:r>
      <w:r>
        <w:t xml:space="preserve"> Department of Health (2021), Five pillars to support aged care reform: Workforce, </w:t>
      </w:r>
      <w:r w:rsidRPr="00D136A4">
        <w:t>www.health.gov.au/initiatives-and-programs/aged-care-reforms/five-pillars-to-support-aged-care-reform#workforce</w:t>
      </w:r>
    </w:p>
  </w:footnote>
  <w:footnote w:id="33">
    <w:p w14:paraId="02F7490D" w14:textId="1DDD8B5A" w:rsidR="00274736" w:rsidRDefault="00274736" w:rsidP="00011C4D">
      <w:pPr>
        <w:pStyle w:val="FootnoteText"/>
      </w:pPr>
      <w:r>
        <w:rPr>
          <w:rStyle w:val="FootnoteReference"/>
        </w:rPr>
        <w:footnoteRef/>
      </w:r>
      <w:r>
        <w:t xml:space="preserve"> Department of Health (2021), Workforce (Pillar</w:t>
      </w:r>
      <w:r w:rsidRPr="00CA69A8">
        <w:t xml:space="preserve"> </w:t>
      </w:r>
      <w:r>
        <w:t xml:space="preserve">4 of the Royal Commission response) – Growing a skilled and </w:t>
      </w:r>
      <w:proofErr w:type="gramStart"/>
      <w:r>
        <w:t>high quality</w:t>
      </w:r>
      <w:proofErr w:type="gramEnd"/>
      <w:r>
        <w:t xml:space="preserve"> workforce to care for senior Australians, Budget Announcement Fact Sheet 2021-2022</w:t>
      </w:r>
    </w:p>
    <w:p w14:paraId="38DFCFD0" w14:textId="78805FF5" w:rsidR="00274736" w:rsidRDefault="00274736" w:rsidP="00CA69A8">
      <w:pPr>
        <w:pStyle w:val="FootnoteText"/>
      </w:pPr>
      <w:r>
        <w:t xml:space="preserve"> </w:t>
      </w:r>
      <w:r w:rsidRPr="00AE5E31">
        <w:t>www.health.gov.au/sites/default/files/documents/2021/05/workforce-pillar-4-of-the-royal-commission-response-growing-a-skilled-and-high-quality-workforce-to-care-for-senior-australians.pdf</w:t>
      </w:r>
    </w:p>
  </w:footnote>
  <w:footnote w:id="34">
    <w:p w14:paraId="1E44463B" w14:textId="6FEE20A7" w:rsidR="00274736" w:rsidRDefault="00274736">
      <w:pPr>
        <w:pStyle w:val="FootnoteText"/>
      </w:pPr>
      <w:r>
        <w:rPr>
          <w:rStyle w:val="FootnoteReference"/>
        </w:rPr>
        <w:footnoteRef/>
      </w:r>
      <w:r>
        <w:t xml:space="preserve"> Department of Health (2021), Australian Government Response to the Final Report of the Royal Commission into Aged Care Quality and Safety, </w:t>
      </w:r>
      <w:r w:rsidRPr="001C0C67">
        <w:t>www.health.gov.au/sites/default/files/documents/2021/05/australian-government-response-to-the-final-report-of-the-royal-commission-into-aged-care-quality-and-safety.pdf</w:t>
      </w:r>
    </w:p>
  </w:footnote>
  <w:footnote w:id="35">
    <w:p w14:paraId="517FF203" w14:textId="1D67A12E" w:rsidR="00274736" w:rsidRDefault="00274736">
      <w:pPr>
        <w:pStyle w:val="FootnoteText"/>
      </w:pPr>
      <w:r>
        <w:rPr>
          <w:rStyle w:val="FootnoteReference"/>
        </w:rPr>
        <w:footnoteRef/>
      </w:r>
      <w:r>
        <w:t xml:space="preserve"> P. 58, 87, Department of Health (2021), Australian Government Response to the Final Report of the Royal Commission into Aged Care Quality and Safety, </w:t>
      </w:r>
      <w:r w:rsidRPr="001C0C67">
        <w:t>www.health.gov.au/sites/default/files/documents/2021/05/australian-government-response-to-the-final-report-of-the-royal-commission-into-aged-care-quality-and-safety.pdf</w:t>
      </w:r>
    </w:p>
  </w:footnote>
  <w:footnote w:id="36">
    <w:p w14:paraId="6A9B2242" w14:textId="6A8B319E" w:rsidR="00274736" w:rsidRDefault="00274736" w:rsidP="00883ED0">
      <w:pPr>
        <w:pStyle w:val="FootnoteText"/>
      </w:pPr>
      <w:r>
        <w:rPr>
          <w:rStyle w:val="FootnoteReference"/>
        </w:rPr>
        <w:footnoteRef/>
      </w:r>
      <w:r>
        <w:t xml:space="preserve"> P.14 Law Council of Australia (2021), Submission to Review: Aged Care Quality Principles for Department of Health</w:t>
      </w:r>
    </w:p>
    <w:p w14:paraId="3247BBA9" w14:textId="5C7E35B6" w:rsidR="00274736" w:rsidRDefault="00274736">
      <w:pPr>
        <w:pStyle w:val="FootnoteText"/>
      </w:pPr>
    </w:p>
  </w:footnote>
  <w:footnote w:id="37">
    <w:p w14:paraId="6A490685" w14:textId="17FAE177" w:rsidR="00274736" w:rsidRDefault="00274736">
      <w:pPr>
        <w:pStyle w:val="FootnoteText"/>
      </w:pPr>
      <w:r>
        <w:rPr>
          <w:rStyle w:val="FootnoteReference"/>
        </w:rPr>
        <w:footnoteRef/>
      </w:r>
      <w:r>
        <w:t xml:space="preserve"> P.16 Law Council of Australia (2021), Submission to Review: Aged Care Quality Principles for Department of Health</w:t>
      </w:r>
    </w:p>
  </w:footnote>
  <w:footnote w:id="38">
    <w:p w14:paraId="4BDCB5C9" w14:textId="6118D87A" w:rsidR="00274736" w:rsidRPr="002075DD" w:rsidRDefault="00274736" w:rsidP="0055623D">
      <w:pPr>
        <w:pStyle w:val="FootnoteText"/>
        <w:rPr>
          <w:szCs w:val="16"/>
        </w:rPr>
      </w:pPr>
      <w:r w:rsidRPr="002075DD">
        <w:rPr>
          <w:rStyle w:val="FootnoteReference"/>
          <w:szCs w:val="16"/>
        </w:rPr>
        <w:footnoteRef/>
      </w:r>
      <w:r w:rsidRPr="002075DD">
        <w:rPr>
          <w:szCs w:val="16"/>
        </w:rPr>
        <w:t xml:space="preserve"> </w:t>
      </w:r>
      <w:r>
        <w:rPr>
          <w:szCs w:val="16"/>
        </w:rPr>
        <w:t>P. 206,</w:t>
      </w:r>
      <w:r w:rsidRPr="002075DD">
        <w:rPr>
          <w:szCs w:val="16"/>
        </w:rPr>
        <w:t xml:space="preserve"> Royal Commission into Aged Care Quality and Safety (2021)</w:t>
      </w:r>
      <w:r>
        <w:rPr>
          <w:szCs w:val="16"/>
        </w:rPr>
        <w:t>,</w:t>
      </w:r>
      <w:r w:rsidRPr="002075DD">
        <w:rPr>
          <w:szCs w:val="16"/>
        </w:rPr>
        <w:t xml:space="preserve"> Final Report Volume 2</w:t>
      </w:r>
      <w:r>
        <w:rPr>
          <w:szCs w:val="16"/>
        </w:rPr>
        <w:t xml:space="preserve">, </w:t>
      </w:r>
      <w:r w:rsidR="00637082">
        <w:rPr>
          <w:szCs w:val="16"/>
        </w:rPr>
        <w:t>www.</w:t>
      </w:r>
      <w:r w:rsidRPr="00B96374">
        <w:rPr>
          <w:szCs w:val="16"/>
        </w:rPr>
        <w:t>agedcare.royalcommission.gov.au/sites/default/files/2021-03/final-report-volume-2_0.pdf</w:t>
      </w:r>
    </w:p>
  </w:footnote>
  <w:footnote w:id="39">
    <w:p w14:paraId="36753E7E" w14:textId="60996AE2" w:rsidR="00274736" w:rsidRDefault="00274736" w:rsidP="003A3E2B">
      <w:pPr>
        <w:pStyle w:val="FootnoteText"/>
      </w:pPr>
      <w:r>
        <w:rPr>
          <w:rStyle w:val="FootnoteReference"/>
        </w:rPr>
        <w:footnoteRef/>
      </w:r>
      <w:r>
        <w:t xml:space="preserve"> P.10 Law Council of Australia (2021), Submission to Review: Aged Care Quality Principles for Department of Health</w:t>
      </w:r>
    </w:p>
  </w:footnote>
  <w:footnote w:id="40">
    <w:p w14:paraId="521B84CD" w14:textId="21A0832C" w:rsidR="00274736" w:rsidRDefault="00274736">
      <w:pPr>
        <w:pStyle w:val="FootnoteText"/>
      </w:pPr>
      <w:r>
        <w:rPr>
          <w:rStyle w:val="FootnoteReference"/>
        </w:rPr>
        <w:footnoteRef/>
      </w:r>
      <w:r>
        <w:t xml:space="preserve"> Aged Care Quality and Safety Commission, Sector Performance Data, reports covering July 2019 – March 2021, </w:t>
      </w:r>
      <w:r w:rsidRPr="00B75559">
        <w:t>www.agedcarequality.gov.au/sector-performance</w:t>
      </w:r>
    </w:p>
  </w:footnote>
  <w:footnote w:id="41">
    <w:p w14:paraId="272B86BD" w14:textId="71DEC6BE" w:rsidR="00274736" w:rsidRPr="002075DD" w:rsidRDefault="00274736" w:rsidP="0055623D">
      <w:pPr>
        <w:pStyle w:val="FootnoteText"/>
        <w:rPr>
          <w:szCs w:val="16"/>
        </w:rPr>
      </w:pPr>
      <w:r w:rsidRPr="002075DD">
        <w:rPr>
          <w:rStyle w:val="FootnoteReference"/>
          <w:szCs w:val="16"/>
        </w:rPr>
        <w:footnoteRef/>
      </w:r>
      <w:r w:rsidRPr="002075DD">
        <w:rPr>
          <w:szCs w:val="16"/>
        </w:rPr>
        <w:t xml:space="preserve"> </w:t>
      </w:r>
      <w:r>
        <w:rPr>
          <w:szCs w:val="16"/>
        </w:rPr>
        <w:t>P</w:t>
      </w:r>
      <w:r w:rsidRPr="002075DD">
        <w:rPr>
          <w:szCs w:val="16"/>
        </w:rPr>
        <w:t>.</w:t>
      </w:r>
      <w:r>
        <w:rPr>
          <w:szCs w:val="16"/>
        </w:rPr>
        <w:t> </w:t>
      </w:r>
      <w:r w:rsidRPr="002075DD">
        <w:rPr>
          <w:szCs w:val="16"/>
        </w:rPr>
        <w:t>206</w:t>
      </w:r>
      <w:r>
        <w:rPr>
          <w:szCs w:val="16"/>
        </w:rPr>
        <w:t xml:space="preserve">, </w:t>
      </w:r>
      <w:r w:rsidRPr="002075DD">
        <w:rPr>
          <w:szCs w:val="16"/>
        </w:rPr>
        <w:t>Royal Commission into Aged Care Quality and Safety (2021)</w:t>
      </w:r>
      <w:r>
        <w:rPr>
          <w:szCs w:val="16"/>
        </w:rPr>
        <w:t>,</w:t>
      </w:r>
      <w:r w:rsidRPr="002075DD">
        <w:rPr>
          <w:szCs w:val="16"/>
        </w:rPr>
        <w:t xml:space="preserve"> Final Report Volume 2</w:t>
      </w:r>
      <w:r>
        <w:rPr>
          <w:szCs w:val="16"/>
        </w:rPr>
        <w:t xml:space="preserve">, </w:t>
      </w:r>
      <w:r w:rsidR="00637082">
        <w:rPr>
          <w:szCs w:val="16"/>
        </w:rPr>
        <w:t>www.</w:t>
      </w:r>
      <w:r w:rsidRPr="00B96374">
        <w:rPr>
          <w:szCs w:val="16"/>
        </w:rPr>
        <w:t>agedcare.royalcommission.gov.au/sites/default/files/2021-03/final-report-volume-2_0.pdf</w:t>
      </w:r>
    </w:p>
  </w:footnote>
  <w:footnote w:id="42">
    <w:p w14:paraId="3556B4EE" w14:textId="25D4EE13" w:rsidR="00274736" w:rsidRDefault="00274736">
      <w:pPr>
        <w:pStyle w:val="FootnoteText"/>
      </w:pPr>
      <w:r>
        <w:rPr>
          <w:rStyle w:val="FootnoteReference"/>
        </w:rPr>
        <w:footnoteRef/>
      </w:r>
      <w:r>
        <w:t xml:space="preserve"> Aged Care Quality and Safety Commission, Sector Performance Data, reports covering July 2019 – March 2021, </w:t>
      </w:r>
      <w:r w:rsidRPr="00B75559">
        <w:t>www.agedcarequality.gov.au/sector-performance</w:t>
      </w:r>
    </w:p>
  </w:footnote>
  <w:footnote w:id="43">
    <w:p w14:paraId="3F12C865" w14:textId="4DD104A6" w:rsidR="00274736" w:rsidRPr="002075DD" w:rsidRDefault="00274736" w:rsidP="00656AF4">
      <w:pPr>
        <w:pStyle w:val="FootnoteText"/>
        <w:rPr>
          <w:szCs w:val="16"/>
        </w:rPr>
      </w:pPr>
      <w:r w:rsidRPr="002075DD">
        <w:rPr>
          <w:rStyle w:val="FootnoteReference"/>
          <w:rFonts w:cstheme="minorHAnsi"/>
          <w:szCs w:val="16"/>
        </w:rPr>
        <w:footnoteRef/>
      </w:r>
      <w:r w:rsidRPr="002075DD">
        <w:rPr>
          <w:rStyle w:val="FootnoteReference"/>
          <w:rFonts w:cstheme="minorHAnsi"/>
          <w:szCs w:val="16"/>
        </w:rPr>
        <w:t xml:space="preserve"> </w:t>
      </w:r>
      <w:r w:rsidRPr="001749D2">
        <w:rPr>
          <w:szCs w:val="16"/>
        </w:rPr>
        <w:t>Standards Review (2019 – 2021)</w:t>
      </w:r>
      <w:r>
        <w:rPr>
          <w:szCs w:val="16"/>
        </w:rPr>
        <w:t>,</w:t>
      </w:r>
      <w:r w:rsidRPr="001749D2">
        <w:rPr>
          <w:szCs w:val="16"/>
        </w:rPr>
        <w:t xml:space="preserve"> Ministry of Health NZ</w:t>
      </w:r>
      <w:r>
        <w:rPr>
          <w:szCs w:val="16"/>
        </w:rPr>
        <w:t>,</w:t>
      </w:r>
      <w:r w:rsidRPr="001749D2">
        <w:rPr>
          <w:szCs w:val="16"/>
        </w:rPr>
        <w:t xml:space="preserve"> www.health.govt.nz/our-work/regulation-health-and-disability-system/certification-health-care-services/services-standards/standards-review-2019-2021</w:t>
      </w:r>
    </w:p>
  </w:footnote>
  <w:footnote w:id="44">
    <w:p w14:paraId="619FB7BB" w14:textId="6E51F040" w:rsidR="00274736" w:rsidRPr="002075DD" w:rsidRDefault="00274736" w:rsidP="0055623D">
      <w:pPr>
        <w:pStyle w:val="FootnoteText"/>
        <w:rPr>
          <w:szCs w:val="16"/>
        </w:rPr>
      </w:pPr>
      <w:r w:rsidRPr="002075DD">
        <w:rPr>
          <w:rStyle w:val="FootnoteReference"/>
          <w:szCs w:val="16"/>
        </w:rPr>
        <w:footnoteRef/>
      </w:r>
      <w:r w:rsidRPr="002075DD">
        <w:rPr>
          <w:rStyle w:val="FootnoteReference"/>
          <w:szCs w:val="16"/>
        </w:rPr>
        <w:t xml:space="preserve"> </w:t>
      </w:r>
      <w:proofErr w:type="spellStart"/>
      <w:r w:rsidRPr="002075DD">
        <w:rPr>
          <w:szCs w:val="16"/>
        </w:rPr>
        <w:t>Ng</w:t>
      </w:r>
      <w:r w:rsidRPr="002075DD">
        <w:rPr>
          <w:rFonts w:ascii="Cambria" w:hAnsi="Cambria" w:cs="Cambria"/>
          <w:szCs w:val="16"/>
        </w:rPr>
        <w:t>ā</w:t>
      </w:r>
      <w:proofErr w:type="spellEnd"/>
      <w:r w:rsidRPr="002075DD">
        <w:rPr>
          <w:szCs w:val="16"/>
        </w:rPr>
        <w:t xml:space="preserve"> </w:t>
      </w:r>
      <w:proofErr w:type="spellStart"/>
      <w:r w:rsidRPr="002075DD">
        <w:rPr>
          <w:szCs w:val="16"/>
        </w:rPr>
        <w:t>Paerewa</w:t>
      </w:r>
      <w:proofErr w:type="spellEnd"/>
      <w:r w:rsidRPr="002075DD">
        <w:rPr>
          <w:szCs w:val="16"/>
        </w:rPr>
        <w:t xml:space="preserve"> Health and Disability Services Standard NZS 8134:2021, Ministry of Health NZ</w:t>
      </w:r>
      <w:r>
        <w:rPr>
          <w:szCs w:val="16"/>
        </w:rPr>
        <w:t>.</w:t>
      </w:r>
    </w:p>
  </w:footnote>
  <w:footnote w:id="45">
    <w:p w14:paraId="2E2620F9" w14:textId="2215E912" w:rsidR="00274736" w:rsidRDefault="00274736">
      <w:pPr>
        <w:pStyle w:val="FootnoteText"/>
      </w:pPr>
      <w:r>
        <w:rPr>
          <w:rStyle w:val="FootnoteReference"/>
        </w:rPr>
        <w:footnoteRef/>
      </w:r>
      <w:r>
        <w:t xml:space="preserve"> Royal Commission into Aged Care Quality and Safety (2021), Final Report, </w:t>
      </w:r>
      <w:r w:rsidR="00C40AFC">
        <w:t>www.</w:t>
      </w:r>
      <w:r w:rsidRPr="00941DCF">
        <w:t>agedcare.royalcommission.gov.au/publications/final-report</w:t>
      </w:r>
    </w:p>
  </w:footnote>
  <w:footnote w:id="46">
    <w:p w14:paraId="1F14730C" w14:textId="36917D03" w:rsidR="00274736" w:rsidRDefault="00274736">
      <w:pPr>
        <w:pStyle w:val="FootnoteText"/>
      </w:pPr>
      <w:r>
        <w:rPr>
          <w:rStyle w:val="FootnoteReference"/>
        </w:rPr>
        <w:footnoteRef/>
      </w:r>
      <w:r>
        <w:t xml:space="preserve"> Royal Commission into Aged Care Quality and Safety (2021), Final Report, </w:t>
      </w:r>
      <w:r w:rsidR="00C40AFC">
        <w:t>www.</w:t>
      </w:r>
      <w:r w:rsidRPr="00941DCF">
        <w:t>agedcare.royalcommission.gov.au/publications/final-report</w:t>
      </w:r>
    </w:p>
  </w:footnote>
  <w:footnote w:id="47">
    <w:p w14:paraId="3F19B4B4" w14:textId="6807F1E9" w:rsidR="00274736" w:rsidRDefault="00274736">
      <w:pPr>
        <w:pStyle w:val="FootnoteText"/>
      </w:pPr>
      <w:r>
        <w:rPr>
          <w:rStyle w:val="FootnoteReference"/>
        </w:rPr>
        <w:footnoteRef/>
      </w:r>
      <w:r>
        <w:t xml:space="preserve"> Ibid.</w:t>
      </w:r>
    </w:p>
  </w:footnote>
  <w:footnote w:id="48">
    <w:p w14:paraId="720796AD" w14:textId="79A096F6" w:rsidR="00274736" w:rsidRDefault="00274736">
      <w:pPr>
        <w:pStyle w:val="FootnoteText"/>
      </w:pPr>
      <w:r>
        <w:rPr>
          <w:rStyle w:val="FootnoteReference"/>
        </w:rPr>
        <w:footnoteRef/>
      </w:r>
      <w:r>
        <w:t xml:space="preserve"> Ibid.</w:t>
      </w:r>
    </w:p>
  </w:footnote>
  <w:footnote w:id="49">
    <w:p w14:paraId="4FCA16F0" w14:textId="0D2A9129" w:rsidR="00274736" w:rsidRDefault="00274736">
      <w:pPr>
        <w:pStyle w:val="FootnoteText"/>
      </w:pPr>
      <w:r>
        <w:rPr>
          <w:rStyle w:val="FootnoteReference"/>
        </w:rPr>
        <w:footnoteRef/>
      </w:r>
      <w:r>
        <w:t xml:space="preserve"> P. 224, Royal Commission into Aged Care Quality and Safety (2021), Final Report Volume 1, </w:t>
      </w:r>
      <w:r w:rsidR="009B34E8">
        <w:t>www,</w:t>
      </w:r>
      <w:r w:rsidRPr="007C057F">
        <w:t>agedcare.royalcommission.gov.au/sites/default/files/2021-03/final-report-volume-1_0.pdf</w:t>
      </w:r>
    </w:p>
  </w:footnote>
  <w:footnote w:id="50">
    <w:p w14:paraId="01EDE3C9" w14:textId="5A9FEE61" w:rsidR="00274736" w:rsidRDefault="00274736">
      <w:pPr>
        <w:pStyle w:val="FootnoteText"/>
      </w:pPr>
      <w:r>
        <w:rPr>
          <w:rStyle w:val="FootnoteReference"/>
        </w:rPr>
        <w:footnoteRef/>
      </w:r>
      <w:r>
        <w:t xml:space="preserve"> </w:t>
      </w:r>
      <w:r>
        <w:rPr>
          <w:rStyle w:val="FootnoteReference"/>
        </w:rPr>
        <w:footnoteRef/>
      </w:r>
      <w:r>
        <w:t xml:space="preserve"> P.14 Law Council of Australia (2021), Submission to Review: Aged Care Quality Principles for Department of Health</w:t>
      </w:r>
    </w:p>
  </w:footnote>
  <w:footnote w:id="51">
    <w:p w14:paraId="083DB968" w14:textId="0FA85966" w:rsidR="00274736" w:rsidRDefault="00274736" w:rsidP="005701A5">
      <w:pPr>
        <w:pStyle w:val="FootnoteText"/>
      </w:pPr>
      <w:r>
        <w:rPr>
          <w:rStyle w:val="FootnoteReference"/>
        </w:rPr>
        <w:footnoteRef/>
      </w:r>
      <w:r>
        <w:t xml:space="preserve"> P. 1, </w:t>
      </w:r>
      <w:r w:rsidRPr="00D040F2">
        <w:t>Queen’s Printer for Ontario (2011, December)</w:t>
      </w:r>
      <w:r>
        <w:t>,</w:t>
      </w:r>
      <w:r w:rsidRPr="00D040F2">
        <w:t xml:space="preserve"> A Guide to the Long-Term Care Homes Act, 2007 and Regulation</w:t>
      </w:r>
      <w:r>
        <w:t> </w:t>
      </w:r>
      <w:r w:rsidRPr="00D040F2">
        <w:t>79/10, www.health.gov.on.ca/en/public/programs/ltc/docs/ltcha_guide_phase1.pdf</w:t>
      </w:r>
      <w:r>
        <w:t>.</w:t>
      </w:r>
    </w:p>
  </w:footnote>
  <w:footnote w:id="52">
    <w:p w14:paraId="42FE79C3" w14:textId="487A4757" w:rsidR="00274736" w:rsidRDefault="00274736" w:rsidP="005701A5">
      <w:pPr>
        <w:pStyle w:val="FootnoteText"/>
      </w:pPr>
      <w:r>
        <w:rPr>
          <w:rStyle w:val="FootnoteReference"/>
        </w:rPr>
        <w:footnoteRef/>
      </w:r>
      <w:r>
        <w:t xml:space="preserve"> NDIS Quality and Safeguards Commission (2020), ‘NDIS Practice Standards and Quality Indicators, Version 3’, </w:t>
      </w:r>
      <w:r w:rsidRPr="0038457A">
        <w:t>www.ndiscommission.gov.au/sites/default/files/documents/2019-12/ndis-practice-standards-and-quality-indicators.pdf</w:t>
      </w:r>
    </w:p>
  </w:footnote>
  <w:footnote w:id="53">
    <w:p w14:paraId="59763F80" w14:textId="731FB786" w:rsidR="00274736" w:rsidRDefault="00274736" w:rsidP="009034A4">
      <w:pPr>
        <w:pStyle w:val="FootnoteText"/>
      </w:pPr>
      <w:r w:rsidRPr="006D2CFB">
        <w:rPr>
          <w:rStyle w:val="FootnoteReference"/>
        </w:rPr>
        <w:footnoteRef/>
      </w:r>
      <w:r w:rsidRPr="006D2CFB">
        <w:t xml:space="preserve"> Aged Care Quality and Safety Commission, Quality</w:t>
      </w:r>
      <w:r>
        <w:t xml:space="preserve"> Standards, </w:t>
      </w:r>
      <w:r w:rsidRPr="00B212DA">
        <w:t>www.agedcarequality.gov.au/providers/standards</w:t>
      </w:r>
    </w:p>
  </w:footnote>
  <w:footnote w:id="54">
    <w:p w14:paraId="286EE57F" w14:textId="160FB1AB" w:rsidR="00274736" w:rsidRDefault="00274736" w:rsidP="009034A4">
      <w:pPr>
        <w:pStyle w:val="FootnoteText"/>
      </w:pPr>
      <w:r>
        <w:rPr>
          <w:rStyle w:val="FootnoteReference"/>
        </w:rPr>
        <w:footnoteRef/>
      </w:r>
      <w:r>
        <w:t xml:space="preserve"> </w:t>
      </w:r>
      <w:r w:rsidRPr="00247694">
        <w:t xml:space="preserve">NDIS Quality and Safeguards Commission (2020), ‘NDIS Practice Standards and Quality Indicators, Version 3’, </w:t>
      </w:r>
      <w:r w:rsidRPr="0038457A">
        <w:t>www.ndiscommission.gov.au/sites/default/files/documents/2019-12/</w:t>
      </w:r>
      <w:r w:rsidRPr="00247694">
        <w:t>ndis-practice-standards-and-quality-indicators.pdf</w:t>
      </w:r>
    </w:p>
  </w:footnote>
  <w:footnote w:id="55">
    <w:p w14:paraId="19D16194" w14:textId="61B224D9" w:rsidR="00274736" w:rsidRPr="00F17673" w:rsidRDefault="00274736" w:rsidP="00A62F83">
      <w:pPr>
        <w:pStyle w:val="FootnoteText"/>
      </w:pPr>
      <w:r w:rsidRPr="00005128">
        <w:rPr>
          <w:rStyle w:val="FootnoteReference"/>
          <w:szCs w:val="16"/>
        </w:rPr>
        <w:footnoteRef/>
      </w:r>
      <w:r w:rsidRPr="00005128">
        <w:t xml:space="preserve"> </w:t>
      </w:r>
      <w:r>
        <w:t>In this figure, h</w:t>
      </w:r>
      <w:r w:rsidRPr="00005128">
        <w:t xml:space="preserve">eadline theme refers to the major group heading in each standard, E.g., Human Resources in the Quality Standards. Underlying Requirements refer to the next relevant tier of requirements below that headline, so continuing the Human Resources requirement, the Quality Standards include five requirements from 7(3)(a) to 7(3)(e). Some sets of standards include two or three additional tiers of requirements beyond the tiers captured above, and so are even more detailed than the chart indicates. </w:t>
      </w:r>
      <w:r>
        <w:t>The ISO9001 Standard is not included in this figure as it is unique in only addressing quality management and comparatively includes highly detailed requirements for the issue.</w:t>
      </w:r>
    </w:p>
  </w:footnote>
  <w:footnote w:id="56">
    <w:p w14:paraId="4A7E79F4" w14:textId="3B314970" w:rsidR="00274736" w:rsidRPr="002075DD" w:rsidRDefault="00274736" w:rsidP="00741018">
      <w:pPr>
        <w:pStyle w:val="FootnoteText"/>
        <w:rPr>
          <w:rFonts w:cstheme="minorHAnsi"/>
          <w:szCs w:val="16"/>
        </w:rPr>
      </w:pPr>
      <w:r w:rsidRPr="002075DD">
        <w:rPr>
          <w:rStyle w:val="FootnoteReference"/>
          <w:rFonts w:cstheme="minorHAnsi"/>
          <w:szCs w:val="16"/>
        </w:rPr>
        <w:footnoteRef/>
      </w:r>
      <w:r w:rsidRPr="002075DD">
        <w:rPr>
          <w:rStyle w:val="FootnoteReference"/>
          <w:rFonts w:cstheme="minorHAnsi"/>
          <w:szCs w:val="16"/>
        </w:rPr>
        <w:t xml:space="preserve"> </w:t>
      </w:r>
      <w:r w:rsidRPr="002075DD">
        <w:rPr>
          <w:rFonts w:cstheme="minorHAnsi"/>
          <w:szCs w:val="16"/>
        </w:rPr>
        <w:t>AIHW Gen Data</w:t>
      </w:r>
      <w:r>
        <w:rPr>
          <w:rFonts w:cstheme="minorHAnsi"/>
          <w:szCs w:val="16"/>
        </w:rPr>
        <w:t xml:space="preserve"> (2021)</w:t>
      </w:r>
      <w:r w:rsidRPr="002075DD">
        <w:rPr>
          <w:rFonts w:cstheme="minorHAnsi"/>
          <w:szCs w:val="16"/>
        </w:rPr>
        <w:t>, Residential Aged Care Quality Indicators</w:t>
      </w:r>
      <w:r>
        <w:rPr>
          <w:rFonts w:cstheme="minorHAnsi"/>
          <w:szCs w:val="16"/>
        </w:rPr>
        <w:t xml:space="preserve"> – April to June 2021,</w:t>
      </w:r>
      <w:r w:rsidRPr="002075DD">
        <w:rPr>
          <w:rFonts w:cstheme="minorHAnsi"/>
          <w:szCs w:val="16"/>
        </w:rPr>
        <w:t xml:space="preserve"> </w:t>
      </w:r>
      <w:hyperlink r:id="rId1" w:history="1">
        <w:r w:rsidRPr="002075DD">
          <w:rPr>
            <w:rFonts w:cstheme="minorHAnsi"/>
            <w:szCs w:val="16"/>
          </w:rPr>
          <w:t>www.gen-agedcaredata.gov.au//Topics/Quality-in-aged-care/Residential-Aged-Care-Quality-Indicators-April-to-June</w:t>
        </w:r>
      </w:hyperlink>
      <w:r w:rsidRPr="002075DD">
        <w:rPr>
          <w:rFonts w:cstheme="minorHAnsi"/>
          <w:szCs w:val="16"/>
        </w:rPr>
        <w:t xml:space="preserve"> </w:t>
      </w:r>
    </w:p>
  </w:footnote>
  <w:footnote w:id="57">
    <w:p w14:paraId="0994D2DE" w14:textId="31CDCA75" w:rsidR="00274736" w:rsidRDefault="00274736">
      <w:pPr>
        <w:pStyle w:val="FootnoteText"/>
      </w:pPr>
      <w:r>
        <w:rPr>
          <w:rStyle w:val="FootnoteReference"/>
        </w:rPr>
        <w:footnoteRef/>
      </w:r>
      <w:r>
        <w:t xml:space="preserve"> A comparison of the reported results include a decline of intentional physical restraint (23,597 cases down from 24,476), unplanned weight loss of 3 or more kilograms (14,429 cases down from 14,985) and pressure injuries (11,554 cases down from 11,874). </w:t>
      </w:r>
    </w:p>
  </w:footnote>
  <w:footnote w:id="58">
    <w:p w14:paraId="59F4AEC0" w14:textId="6CDB1C96" w:rsidR="00274736" w:rsidRDefault="00274736">
      <w:pPr>
        <w:pStyle w:val="FootnoteText"/>
      </w:pPr>
      <w:r>
        <w:rPr>
          <w:rStyle w:val="FootnoteReference"/>
        </w:rPr>
        <w:footnoteRef/>
      </w:r>
      <w:r>
        <w:t xml:space="preserve"> Aged Care Quality and Safety Commission, Sector Performance Data, reports covering July 2019 – March 2021, </w:t>
      </w:r>
      <w:r w:rsidRPr="00B75559">
        <w:t>www.agedcarequality.gov.au/sector-performance</w:t>
      </w:r>
    </w:p>
  </w:footnote>
  <w:footnote w:id="59">
    <w:p w14:paraId="49DAAB04" w14:textId="2CE48A99" w:rsidR="00274736" w:rsidRPr="000C5B5D" w:rsidRDefault="00274736" w:rsidP="0055623D">
      <w:pPr>
        <w:pStyle w:val="FootnoteText"/>
        <w:rPr>
          <w:rFonts w:cstheme="minorHAnsi"/>
          <w:szCs w:val="16"/>
        </w:rPr>
      </w:pPr>
      <w:r w:rsidRPr="000C5B5D">
        <w:rPr>
          <w:rStyle w:val="FootnoteReference"/>
          <w:rFonts w:cstheme="minorHAnsi"/>
          <w:szCs w:val="16"/>
        </w:rPr>
        <w:footnoteRef/>
      </w:r>
      <w:r w:rsidRPr="000C5B5D">
        <w:rPr>
          <w:rStyle w:val="FootnoteReference"/>
          <w:rFonts w:cstheme="minorHAnsi"/>
          <w:szCs w:val="16"/>
        </w:rPr>
        <w:t xml:space="preserve"> </w:t>
      </w:r>
      <w:r w:rsidRPr="000C5B5D">
        <w:rPr>
          <w:rFonts w:cstheme="minorHAnsi"/>
          <w:szCs w:val="16"/>
        </w:rPr>
        <w:t xml:space="preserve">Aged Care Quality and Safety Commission, SIRS reports, www.agedcarequality.gov.au/sirs/reports </w:t>
      </w:r>
    </w:p>
  </w:footnote>
  <w:footnote w:id="60">
    <w:p w14:paraId="0E7DB049" w14:textId="56A5DCD5" w:rsidR="00274736" w:rsidRPr="000C5B5D" w:rsidRDefault="00274736">
      <w:pPr>
        <w:pStyle w:val="FootnoteText"/>
      </w:pPr>
      <w:r w:rsidRPr="000C5B5D">
        <w:rPr>
          <w:rStyle w:val="FootnoteReference"/>
        </w:rPr>
        <w:footnoteRef/>
      </w:r>
      <w:r w:rsidRPr="000C5B5D">
        <w:t xml:space="preserve"> Aged Care Quality and Safety Commission, Consumer Experience Report Trends 2017-2018, www.agedcarequality.gov.au/sites/default/files/media/AACQAConsumerExperienceReportTrends.pdf</w:t>
      </w:r>
    </w:p>
  </w:footnote>
  <w:footnote w:id="61">
    <w:p w14:paraId="0E9AF282" w14:textId="3415BBA2" w:rsidR="00274736" w:rsidRDefault="00274736">
      <w:pPr>
        <w:pStyle w:val="FootnoteText"/>
      </w:pPr>
      <w:r w:rsidRPr="000C5B5D">
        <w:rPr>
          <w:rStyle w:val="FootnoteReference"/>
        </w:rPr>
        <w:footnoteRef/>
      </w:r>
      <w:r w:rsidRPr="000C5B5D">
        <w:t xml:space="preserve"> Aged Care Quality and Safety Commission, Consumer Experience Reports 2018-2019, www.agedcarequality.gov.au/sites/default/</w:t>
      </w:r>
      <w:r w:rsidRPr="00592D59">
        <w:t>files/media/Consumer%20Experience%20Report%202018-2019.pdf</w:t>
      </w:r>
    </w:p>
  </w:footnote>
  <w:footnote w:id="62">
    <w:p w14:paraId="17CC95D4" w14:textId="40CC110A" w:rsidR="00274736" w:rsidRDefault="00274736">
      <w:pPr>
        <w:pStyle w:val="FootnoteText"/>
      </w:pPr>
      <w:r>
        <w:rPr>
          <w:rStyle w:val="FootnoteReference"/>
        </w:rPr>
        <w:footnoteRef/>
      </w:r>
      <w:r>
        <w:t xml:space="preserve"> These results compare a combined response percentage of consumer responses, ‘some of the time’ or ‘always’. For further analysis of Consumer Experience Reports, including limitations of the data, see AIHW Gen Data, Consumer experience of residential aged care 2017-2019, </w:t>
      </w:r>
      <w:r w:rsidRPr="00AC797E">
        <w:t>www.aihw.gov.au/reports/aged-care/consumers-experience-of-residential-aged-care/contents/table-of-contents</w:t>
      </w:r>
      <w:r>
        <w:t xml:space="preserve"> </w:t>
      </w:r>
    </w:p>
  </w:footnote>
  <w:footnote w:id="63">
    <w:p w14:paraId="1FF55FB2" w14:textId="46D59944" w:rsidR="00274736" w:rsidRDefault="00274736">
      <w:pPr>
        <w:pStyle w:val="FootnoteText"/>
      </w:pPr>
      <w:r>
        <w:rPr>
          <w:rStyle w:val="FootnoteReference"/>
        </w:rPr>
        <w:footnoteRef/>
      </w:r>
      <w:r>
        <w:t xml:space="preserve"> P. </w:t>
      </w:r>
      <w:r w:rsidRPr="000C5B5D">
        <w:t>23, Aged Care Quality and Safety Commission, Corporate Plan (2020-2021), www.agedcarequality.gov.au/sites/default/files/media/acqsc-corporate</w:t>
      </w:r>
      <w:r w:rsidRPr="00B707CD">
        <w:t>-plan-2021-22.pdf</w:t>
      </w:r>
    </w:p>
  </w:footnote>
  <w:footnote w:id="64">
    <w:p w14:paraId="53DC31C9" w14:textId="350F7D47" w:rsidR="00274736" w:rsidRPr="002075DD" w:rsidRDefault="00274736" w:rsidP="0055623D">
      <w:pPr>
        <w:pStyle w:val="FootnoteText"/>
        <w:rPr>
          <w:rFonts w:cstheme="minorHAnsi"/>
          <w:szCs w:val="16"/>
        </w:rPr>
      </w:pPr>
      <w:r w:rsidRPr="002075DD">
        <w:rPr>
          <w:rStyle w:val="FootnoteReference"/>
          <w:rFonts w:cstheme="minorHAnsi"/>
          <w:szCs w:val="16"/>
        </w:rPr>
        <w:footnoteRef/>
      </w:r>
      <w:r w:rsidRPr="002075DD">
        <w:rPr>
          <w:rStyle w:val="FootnoteReference"/>
          <w:rFonts w:cstheme="minorHAnsi"/>
          <w:szCs w:val="16"/>
        </w:rPr>
        <w:t xml:space="preserve"> </w:t>
      </w:r>
      <w:r w:rsidRPr="002075DD">
        <w:rPr>
          <w:rFonts w:cstheme="minorHAnsi"/>
          <w:szCs w:val="16"/>
        </w:rPr>
        <w:t>ACFA</w:t>
      </w:r>
      <w:r>
        <w:rPr>
          <w:rFonts w:cstheme="minorHAnsi"/>
          <w:szCs w:val="16"/>
        </w:rPr>
        <w:t xml:space="preserve"> (2021)</w:t>
      </w:r>
      <w:r w:rsidRPr="002075DD">
        <w:rPr>
          <w:rFonts w:cstheme="minorHAnsi"/>
          <w:szCs w:val="16"/>
        </w:rPr>
        <w:t xml:space="preserve">, </w:t>
      </w:r>
      <w:r>
        <w:rPr>
          <w:rFonts w:cstheme="minorHAnsi"/>
          <w:szCs w:val="16"/>
        </w:rPr>
        <w:t>Ninth</w:t>
      </w:r>
      <w:r w:rsidRPr="002075DD">
        <w:rPr>
          <w:rFonts w:cstheme="minorHAnsi"/>
          <w:szCs w:val="16"/>
        </w:rPr>
        <w:t xml:space="preserve"> Report on the Funding and Financing of the Aged Care Industry</w:t>
      </w:r>
      <w:r>
        <w:rPr>
          <w:rFonts w:cstheme="minorHAnsi"/>
          <w:szCs w:val="16"/>
        </w:rPr>
        <w:t>,</w:t>
      </w:r>
      <w:r w:rsidRPr="002075DD">
        <w:rPr>
          <w:rFonts w:cstheme="minorHAnsi"/>
          <w:szCs w:val="16"/>
        </w:rPr>
        <w:t xml:space="preserve"> </w:t>
      </w:r>
      <w:hyperlink r:id="rId2" w:history="1">
        <w:r w:rsidRPr="002075DD">
          <w:rPr>
            <w:rFonts w:cstheme="minorHAnsi"/>
            <w:szCs w:val="16"/>
          </w:rPr>
          <w:t>/www.health.gov.au/sites/default/files/documents/2021/08/ninth-report-on-the-funding-and-financing-of-the-aged-care-industry-july-2021.pdf</w:t>
        </w:r>
      </w:hyperlink>
      <w:r w:rsidRPr="002075DD">
        <w:rPr>
          <w:rFonts w:cstheme="minorHAnsi"/>
          <w:szCs w:val="16"/>
        </w:rPr>
        <w:t xml:space="preserve"> </w:t>
      </w:r>
    </w:p>
  </w:footnote>
  <w:footnote w:id="65">
    <w:p w14:paraId="74C91AB6" w14:textId="33BEE20C" w:rsidR="00274736" w:rsidRPr="002075DD" w:rsidRDefault="00274736" w:rsidP="0055623D">
      <w:pPr>
        <w:pStyle w:val="FootnoteText"/>
        <w:rPr>
          <w:szCs w:val="16"/>
        </w:rPr>
      </w:pPr>
      <w:r w:rsidRPr="002075DD">
        <w:rPr>
          <w:rStyle w:val="FootnoteReference"/>
          <w:rFonts w:cstheme="minorHAnsi"/>
          <w:szCs w:val="16"/>
        </w:rPr>
        <w:footnoteRef/>
      </w:r>
      <w:r w:rsidRPr="002075DD">
        <w:rPr>
          <w:szCs w:val="16"/>
        </w:rPr>
        <w:t xml:space="preserve"> P. 6, </w:t>
      </w:r>
      <w:r>
        <w:rPr>
          <w:szCs w:val="16"/>
        </w:rPr>
        <w:t>Royal Commission into Aged Care Quality and Safety (2020), Report on the Profitability and Viability of the Australian Aged Care Industry</w:t>
      </w:r>
      <w:r w:rsidRPr="002075DD">
        <w:rPr>
          <w:szCs w:val="16"/>
        </w:rPr>
        <w:t xml:space="preserve">, </w:t>
      </w:r>
      <w:r w:rsidR="009B34E8">
        <w:rPr>
          <w:szCs w:val="16"/>
        </w:rPr>
        <w:t>www.</w:t>
      </w:r>
      <w:r w:rsidRPr="002075DD">
        <w:rPr>
          <w:szCs w:val="16"/>
        </w:rPr>
        <w:t>agedcare.royalcommission.gov.au/sites/default/files/2020-09/research-paper-12-report-on-profitability-and-viability-of-australian-aged-care-industry.pdf</w:t>
      </w:r>
    </w:p>
  </w:footnote>
  <w:footnote w:id="66">
    <w:p w14:paraId="3EB1CC84" w14:textId="77777777" w:rsidR="005F74CB" w:rsidRPr="002075DD" w:rsidRDefault="005F74CB" w:rsidP="005F74CB">
      <w:pPr>
        <w:pStyle w:val="FootnoteText"/>
        <w:rPr>
          <w:rStyle w:val="FootnoteReference"/>
          <w:rFonts w:cstheme="minorHAnsi"/>
          <w:szCs w:val="16"/>
        </w:rPr>
      </w:pPr>
      <w:r w:rsidRPr="00841B09">
        <w:rPr>
          <w:rStyle w:val="FootnoteReference"/>
          <w:rFonts w:cstheme="minorHAnsi"/>
          <w:szCs w:val="16"/>
        </w:rPr>
        <w:footnoteRef/>
      </w:r>
      <w:r w:rsidRPr="00841B09">
        <w:rPr>
          <w:rStyle w:val="FootnoteReference"/>
          <w:rFonts w:cstheme="minorHAnsi"/>
          <w:szCs w:val="16"/>
        </w:rPr>
        <w:t xml:space="preserve"> </w:t>
      </w:r>
      <w:r w:rsidRPr="00841B09">
        <w:rPr>
          <w:szCs w:val="16"/>
        </w:rPr>
        <w:t>P. 154-155</w:t>
      </w:r>
      <w:r>
        <w:rPr>
          <w:szCs w:val="16"/>
        </w:rPr>
        <w:t>, Royal Commission into Aged Care Quality and Safety (2021), Final Report Executive Summary, www.</w:t>
      </w:r>
      <w:r w:rsidRPr="00CB6D41">
        <w:rPr>
          <w:szCs w:val="16"/>
        </w:rPr>
        <w:t>agedcare.royalcommission.gov.au/sites/default/files/2021-03/final-report-executive-summary.pdf</w:t>
      </w:r>
    </w:p>
  </w:footnote>
  <w:footnote w:id="67">
    <w:p w14:paraId="2FA1AF00" w14:textId="3140DF25" w:rsidR="00274736" w:rsidRPr="002075DD" w:rsidRDefault="00274736" w:rsidP="0055623D">
      <w:pPr>
        <w:pStyle w:val="FootnoteText"/>
        <w:rPr>
          <w:rStyle w:val="FootnoteReference"/>
          <w:rFonts w:cstheme="minorHAnsi"/>
          <w:szCs w:val="16"/>
        </w:rPr>
      </w:pPr>
      <w:r w:rsidRPr="002075DD">
        <w:rPr>
          <w:rStyle w:val="FootnoteReference"/>
          <w:rFonts w:cstheme="minorHAnsi"/>
          <w:szCs w:val="16"/>
        </w:rPr>
        <w:footnoteRef/>
      </w:r>
      <w:r w:rsidRPr="002075DD">
        <w:rPr>
          <w:rStyle w:val="FootnoteReference"/>
          <w:rFonts w:cstheme="minorHAnsi"/>
          <w:szCs w:val="16"/>
        </w:rPr>
        <w:t xml:space="preserve"> </w:t>
      </w:r>
      <w:r>
        <w:rPr>
          <w:rFonts w:cstheme="minorHAnsi"/>
          <w:szCs w:val="16"/>
        </w:rPr>
        <w:t xml:space="preserve">P. 148, 253 Recommendation 68, Royal Commission into Aged Care Quality and Safety, Final Report Volume 1, </w:t>
      </w:r>
      <w:r w:rsidR="009B34E8">
        <w:rPr>
          <w:rFonts w:cstheme="minorHAnsi"/>
          <w:szCs w:val="16"/>
        </w:rPr>
        <w:t>www.</w:t>
      </w:r>
      <w:r w:rsidRPr="0034712F">
        <w:rPr>
          <w:rFonts w:cstheme="minorHAnsi"/>
          <w:szCs w:val="16"/>
        </w:rPr>
        <w:t>agedcare.royalcommission.gov.au/sites/default/files/2021-03/final-report-volume-1_0.pdf</w:t>
      </w:r>
    </w:p>
  </w:footnote>
  <w:footnote w:id="68">
    <w:p w14:paraId="7E5337AD" w14:textId="20BD4943" w:rsidR="00274736" w:rsidRDefault="00274736">
      <w:pPr>
        <w:pStyle w:val="FootnoteText"/>
      </w:pPr>
      <w:r>
        <w:rPr>
          <w:rStyle w:val="FootnoteReference"/>
        </w:rPr>
        <w:footnoteRef/>
      </w:r>
      <w:r>
        <w:t xml:space="preserve"> AIHW Gen Data (2020), Analysis adapted from the Aged Care Service List: 2020, </w:t>
      </w:r>
      <w:r w:rsidRPr="00B10FF1">
        <w:t>www.gen-agedcaredata.gov.au/resources/access-data/2020/october/aged-care-service-list-30-june-2020</w:t>
      </w:r>
    </w:p>
  </w:footnote>
  <w:footnote w:id="69">
    <w:p w14:paraId="62B5E5B4" w14:textId="63C31387" w:rsidR="00201FB4" w:rsidRDefault="00201FB4">
      <w:pPr>
        <w:pStyle w:val="FootnoteText"/>
      </w:pPr>
      <w:r>
        <w:rPr>
          <w:rStyle w:val="FootnoteReference"/>
        </w:rPr>
        <w:footnoteRef/>
      </w:r>
      <w:r>
        <w:t xml:space="preserve"> </w:t>
      </w:r>
      <w:r w:rsidRPr="00201FB4">
        <w:t>www.agedcarequality.gov.au/providers/assessment-processes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D5256" w14:textId="7484F784" w:rsidR="00274736" w:rsidRDefault="00274736" w:rsidP="000B070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80FD0" w14:textId="2C1879CA" w:rsidR="00274736" w:rsidRPr="005138FF" w:rsidRDefault="00274736" w:rsidP="000B0707">
    <w:pPr>
      <w:pStyle w:val="Header"/>
    </w:pPr>
    <w:r w:rsidRPr="005138FF">
      <w:t>Evaluation of the Aged Care Quality Standards | Evaluation Report</w:t>
    </w:r>
    <w:r w:rsidRPr="005138FF">
      <w:tab/>
    </w:r>
    <w:r w:rsidR="00127E58">
      <w:t>January 2022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49A5E" w14:textId="1EE28E97" w:rsidR="00274736" w:rsidRDefault="00274736" w:rsidP="000B070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11CC6" w14:textId="4BD1586E" w:rsidR="00274736" w:rsidRPr="000B0707" w:rsidRDefault="00274736" w:rsidP="000B0707">
    <w:pPr>
      <w:pStyle w:val="Header"/>
    </w:pPr>
    <w:r w:rsidRPr="000B0707">
      <w:t>Evaluation of the Aged Care Quality Standards | Evaluation Report</w:t>
    </w:r>
    <w:r w:rsidRPr="000B0707">
      <w:tab/>
    </w:r>
    <w:r w:rsidR="00ED579D">
      <w:t>January 2022</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1EACB" w14:textId="182236A4" w:rsidR="00274736" w:rsidRPr="00DC5E8D" w:rsidRDefault="00274736" w:rsidP="00687F9B">
    <w:pPr>
      <w:pStyle w:val="Header"/>
      <w:tabs>
        <w:tab w:val="clear" w:pos="9026"/>
        <w:tab w:val="right" w:pos="13892"/>
      </w:tabs>
    </w:pPr>
    <w:r w:rsidRPr="00DC5E8D">
      <w:t>Evaluation of the Aged Care Quality Standards | Evaluation Report</w:t>
    </w:r>
    <w:r w:rsidRPr="00DC5E8D">
      <w:tab/>
    </w:r>
    <w:r w:rsidR="00687F9B">
      <w:t>January 2022</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A8611" w14:textId="7396FA55" w:rsidR="00274736" w:rsidRPr="00DC5E8D" w:rsidRDefault="00274736" w:rsidP="000B0707">
    <w:pPr>
      <w:pStyle w:val="Header"/>
    </w:pPr>
    <w:r w:rsidRPr="00DC5E8D">
      <w:t>Evaluation of the Aged Care Quality Standards | Evaluation Report</w:t>
    </w:r>
    <w:r w:rsidRPr="00DC5E8D">
      <w:tab/>
    </w:r>
    <w:r w:rsidR="00687F9B">
      <w:t>January 2022</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0DD6E" w14:textId="58641AB0" w:rsidR="00274736" w:rsidRDefault="00274736" w:rsidP="000B070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33136" w14:textId="1360B5D2" w:rsidR="00274736" w:rsidRDefault="00274736" w:rsidP="000B0707">
    <w:pPr>
      <w:pStyle w:val="Header"/>
    </w:pPr>
    <w:r>
      <w:drawing>
        <wp:anchor distT="0" distB="0" distL="114300" distR="114300" simplePos="0" relativeHeight="251667469" behindDoc="1" locked="0" layoutInCell="1" allowOverlap="1" wp14:anchorId="0705EC0A" wp14:editId="37A9FA48">
          <wp:simplePos x="0" y="0"/>
          <wp:positionH relativeFrom="page">
            <wp:align>left</wp:align>
          </wp:positionH>
          <wp:positionV relativeFrom="page">
            <wp:align>top</wp:align>
          </wp:positionV>
          <wp:extent cx="7559040" cy="10692384"/>
          <wp:effectExtent l="0" t="0" r="3810" b="0"/>
          <wp:wrapNone/>
          <wp:docPr id="814" name="Picture 8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Picture 8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040" cy="10692384"/>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EB0DB" w14:textId="42051785" w:rsidR="00274736" w:rsidRDefault="00274736" w:rsidP="000B070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EBEDF3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D72E0B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6938215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31079D8"/>
    <w:lvl w:ilvl="0">
      <w:start w:val="1"/>
      <w:numFmt w:val="decimal"/>
      <w:pStyle w:val="Heading41"/>
      <w:lvlText w:val="%1."/>
      <w:lvlJc w:val="left"/>
      <w:pPr>
        <w:tabs>
          <w:tab w:val="num" w:pos="3337"/>
        </w:tabs>
        <w:ind w:left="3337" w:hanging="360"/>
      </w:pPr>
    </w:lvl>
  </w:abstractNum>
  <w:abstractNum w:abstractNumId="4" w15:restartNumberingAfterBreak="0">
    <w:nsid w:val="FFFFFF80"/>
    <w:multiLevelType w:val="singleLevel"/>
    <w:tmpl w:val="C8FCDE0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4749BB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29AC82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6569B0C"/>
    <w:lvl w:ilvl="0">
      <w:start w:val="1"/>
      <w:numFmt w:val="bullet"/>
      <w:pStyle w:val="ListBullet2"/>
      <w:lvlText w:val="-"/>
      <w:lvlJc w:val="left"/>
      <w:pPr>
        <w:tabs>
          <w:tab w:val="num" w:pos="697"/>
        </w:tabs>
        <w:ind w:left="697" w:hanging="340"/>
      </w:pPr>
      <w:rPr>
        <w:rFonts w:ascii="9999999" w:hAnsi="9999999" w:cs="Courier New" w:hint="default"/>
      </w:rPr>
    </w:lvl>
  </w:abstractNum>
  <w:abstractNum w:abstractNumId="8" w15:restartNumberingAfterBreak="0">
    <w:nsid w:val="FFFFFF88"/>
    <w:multiLevelType w:val="singleLevel"/>
    <w:tmpl w:val="677C5C3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D063DFC"/>
    <w:lvl w:ilvl="0">
      <w:start w:val="1"/>
      <w:numFmt w:val="bullet"/>
      <w:pStyle w:val="ListBullet"/>
      <w:lvlText w:val=""/>
      <w:lvlJc w:val="left"/>
      <w:pPr>
        <w:tabs>
          <w:tab w:val="num" w:pos="340"/>
        </w:tabs>
        <w:ind w:left="340" w:hanging="340"/>
      </w:pPr>
      <w:rPr>
        <w:rFonts w:ascii="Symbol" w:hAnsi="Symbol" w:hint="default"/>
        <w:color w:val="auto"/>
        <w:sz w:val="18"/>
        <w:szCs w:val="18"/>
      </w:rPr>
    </w:lvl>
  </w:abstractNum>
  <w:abstractNum w:abstractNumId="10" w15:restartNumberingAfterBreak="0">
    <w:nsid w:val="0BEE6418"/>
    <w:multiLevelType w:val="multilevel"/>
    <w:tmpl w:val="123493D2"/>
    <w:lvl w:ilvl="0">
      <w:start w:val="1"/>
      <w:numFmt w:val="decimal"/>
      <w:lvlText w:val="C%1"/>
      <w:lvlJc w:val="left"/>
      <w:pPr>
        <w:tabs>
          <w:tab w:val="num" w:pos="924"/>
        </w:tabs>
        <w:ind w:left="924" w:hanging="924"/>
      </w:pPr>
    </w:lvl>
    <w:lvl w:ilvl="1">
      <w:start w:val="1"/>
      <w:numFmt w:val="decimal"/>
      <w:pStyle w:val="PFNumLevel2"/>
      <w:lvlText w:val="B%1.%2"/>
      <w:lvlJc w:val="left"/>
      <w:pPr>
        <w:tabs>
          <w:tab w:val="num" w:pos="924"/>
        </w:tabs>
        <w:ind w:left="924" w:hanging="924"/>
      </w:pPr>
    </w:lvl>
    <w:lvl w:ilvl="2">
      <w:start w:val="1"/>
      <w:numFmt w:val="decimal"/>
      <w:pStyle w:val="PFNumLevel3"/>
      <w:lvlText w:val="%1.%2.%3"/>
      <w:lvlJc w:val="left"/>
      <w:pPr>
        <w:tabs>
          <w:tab w:val="num" w:pos="1848"/>
        </w:tabs>
        <w:ind w:left="1848" w:hanging="924"/>
      </w:pPr>
    </w:lvl>
    <w:lvl w:ilvl="3">
      <w:start w:val="1"/>
      <w:numFmt w:val="lowerLetter"/>
      <w:pStyle w:val="PFNumLevel4"/>
      <w:lvlText w:val="(%4)"/>
      <w:lvlJc w:val="left"/>
      <w:pPr>
        <w:tabs>
          <w:tab w:val="num" w:pos="2773"/>
        </w:tabs>
        <w:ind w:left="2773" w:hanging="925"/>
      </w:pPr>
    </w:lvl>
    <w:lvl w:ilvl="4">
      <w:start w:val="1"/>
      <w:numFmt w:val="lowerLetter"/>
      <w:pStyle w:val="PFNumLevel5"/>
      <w:lvlText w:val="(%5)"/>
      <w:lvlJc w:val="left"/>
      <w:pPr>
        <w:tabs>
          <w:tab w:val="num" w:pos="1848"/>
        </w:tabs>
        <w:ind w:left="1848" w:hanging="924"/>
      </w:pPr>
    </w:lvl>
    <w:lvl w:ilvl="5">
      <w:start w:val="1"/>
      <w:numFmt w:val="lowerRoman"/>
      <w:lvlRestart w:val="4"/>
      <w:pStyle w:val="PFNumLevel6"/>
      <w:lvlText w:val="(%6)"/>
      <w:lvlJc w:val="left"/>
      <w:pPr>
        <w:tabs>
          <w:tab w:val="num" w:pos="3697"/>
        </w:tabs>
        <w:ind w:left="3697" w:hanging="924"/>
      </w:pPr>
    </w:lvl>
    <w:lvl w:ilvl="6">
      <w:start w:val="1"/>
      <w:numFmt w:val="none"/>
      <w:suff w:val="nothing"/>
      <w:lvlText w:val=""/>
      <w:lvlJc w:val="left"/>
      <w:pPr>
        <w:ind w:left="0" w:firstLine="0"/>
      </w:pPr>
    </w:lvl>
    <w:lvl w:ilvl="7">
      <w:start w:val="1"/>
      <w:numFmt w:val="none"/>
      <w:suff w:val="nothing"/>
      <w:lvlText w:val=""/>
      <w:lvlJc w:val="left"/>
      <w:pPr>
        <w:ind w:left="-32767" w:firstLine="32767"/>
      </w:pPr>
    </w:lvl>
    <w:lvl w:ilvl="8">
      <w:start w:val="1"/>
      <w:numFmt w:val="none"/>
      <w:suff w:val="nothing"/>
      <w:lvlText w:val=""/>
      <w:lvlJc w:val="left"/>
      <w:pPr>
        <w:ind w:left="0" w:firstLine="0"/>
      </w:pPr>
    </w:lvl>
  </w:abstractNum>
  <w:abstractNum w:abstractNumId="11" w15:restartNumberingAfterBreak="0">
    <w:nsid w:val="0CFA07F6"/>
    <w:multiLevelType w:val="multilevel"/>
    <w:tmpl w:val="1FFC4FC8"/>
    <w:lvl w:ilvl="0">
      <w:start w:val="1"/>
      <w:numFmt w:val="decimal"/>
      <w:lvlText w:val="%1."/>
      <w:lvlJc w:val="left"/>
      <w:pPr>
        <w:tabs>
          <w:tab w:val="num" w:pos="964"/>
        </w:tabs>
        <w:ind w:left="964" w:hanging="964"/>
      </w:pPr>
      <w:rPr>
        <w:rFonts w:hint="default"/>
      </w:rPr>
    </w:lvl>
    <w:lvl w:ilvl="1">
      <w:start w:val="1"/>
      <w:numFmt w:val="decimal"/>
      <w:lvlText w:val="%2."/>
      <w:lvlJc w:val="left"/>
      <w:pPr>
        <w:tabs>
          <w:tab w:val="num" w:pos="964"/>
        </w:tabs>
        <w:ind w:left="964" w:hanging="964"/>
      </w:pPr>
      <w:rPr>
        <w:rFonts w:hint="default"/>
        <w:color w:val="005EB8" w:themeColor="accent3"/>
      </w:rPr>
    </w:lvl>
    <w:lvl w:ilvl="2">
      <w:start w:val="1"/>
      <w:numFmt w:val="decimal"/>
      <w:lvlText w:val="%1.%2.%3"/>
      <w:lvlJc w:val="left"/>
      <w:pPr>
        <w:tabs>
          <w:tab w:val="num" w:pos="964"/>
        </w:tabs>
        <w:ind w:left="964" w:hanging="964"/>
      </w:pPr>
      <w:rPr>
        <w:rFonts w:hint="default"/>
      </w:rPr>
    </w:lvl>
    <w:lvl w:ilvl="3">
      <w:start w:val="1"/>
      <w:numFmt w:val="decimal"/>
      <w:lvlText w:val="%1.%2.%3.%4"/>
      <w:lvlJc w:val="left"/>
      <w:pPr>
        <w:tabs>
          <w:tab w:val="num" w:pos="964"/>
        </w:tabs>
        <w:ind w:left="964" w:hanging="96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 w15:restartNumberingAfterBreak="0">
    <w:nsid w:val="11AF2C2D"/>
    <w:multiLevelType w:val="singleLevel"/>
    <w:tmpl w:val="5B1475F2"/>
    <w:lvl w:ilvl="0">
      <w:start w:val="1"/>
      <w:numFmt w:val="bullet"/>
      <w:pStyle w:val="CVtitle"/>
      <w:lvlText w:val="–"/>
      <w:lvlJc w:val="left"/>
      <w:pPr>
        <w:tabs>
          <w:tab w:val="num" w:pos="340"/>
        </w:tabs>
        <w:ind w:left="340" w:hanging="340"/>
      </w:pPr>
      <w:rPr>
        <w:rFonts w:ascii="Univers 45 Light" w:hAnsi="Univers 45 Light" w:hint="default"/>
        <w:color w:val="auto"/>
        <w:sz w:val="22"/>
      </w:rPr>
    </w:lvl>
  </w:abstractNum>
  <w:abstractNum w:abstractNumId="13" w15:restartNumberingAfterBreak="0">
    <w:nsid w:val="16433C40"/>
    <w:multiLevelType w:val="multilevel"/>
    <w:tmpl w:val="6A50007E"/>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none"/>
      <w:pStyle w:val="Heading4"/>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lowerRoman"/>
      <w:suff w:val="nothing"/>
      <w:lvlText w:val="%6."/>
      <w:lvlJc w:val="left"/>
      <w:pPr>
        <w:ind w:left="0" w:firstLine="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19045DC2"/>
    <w:multiLevelType w:val="hybridMultilevel"/>
    <w:tmpl w:val="F054741C"/>
    <w:lvl w:ilvl="0" w:tplc="F76A31F4">
      <w:start w:val="1"/>
      <w:numFmt w:val="decimal"/>
      <w:pStyle w:val="Heading21"/>
      <w:lvlText w:val="%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956370D"/>
    <w:multiLevelType w:val="hybridMultilevel"/>
    <w:tmpl w:val="6F522898"/>
    <w:lvl w:ilvl="0" w:tplc="D5084968">
      <w:start w:val="1"/>
      <w:numFmt w:val="lowerLetter"/>
      <w:lvlText w:val="(%1)"/>
      <w:lvlJc w:val="left"/>
      <w:pPr>
        <w:ind w:left="720" w:hanging="360"/>
      </w:pPr>
      <w:rPr>
        <w:rFonts w:ascii="Univers 45 Light" w:hAnsi="Univers 45 Light" w:hint="default"/>
        <w:b w:val="0"/>
        <w:i w:val="0"/>
        <w:sz w:val="19"/>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E2D4ABA"/>
    <w:multiLevelType w:val="hybridMultilevel"/>
    <w:tmpl w:val="FFD664E6"/>
    <w:lvl w:ilvl="0" w:tplc="6986CA40">
      <w:numFmt w:val="bullet"/>
      <w:pStyle w:val="Bullet2ndlevel"/>
      <w:lvlText w:val="-"/>
      <w:lvlJc w:val="left"/>
      <w:pPr>
        <w:ind w:left="1077" w:hanging="360"/>
      </w:pPr>
      <w:rPr>
        <w:rFonts w:ascii="Univers 45 Light" w:eastAsiaTheme="minorHAnsi" w:hAnsi="Univers 45 Light" w:cstheme="minorBidi" w:hint="default"/>
      </w:rPr>
    </w:lvl>
    <w:lvl w:ilvl="1" w:tplc="32C64820">
      <w:numFmt w:val="bullet"/>
      <w:lvlText w:val="•"/>
      <w:lvlJc w:val="left"/>
      <w:pPr>
        <w:ind w:left="1797" w:hanging="360"/>
      </w:pPr>
      <w:rPr>
        <w:rFonts w:ascii="Univers 45 Light" w:eastAsiaTheme="minorHAnsi" w:hAnsi="Univers 45 Light" w:cstheme="minorBidi"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7" w15:restartNumberingAfterBreak="0">
    <w:nsid w:val="214053D4"/>
    <w:multiLevelType w:val="multilevel"/>
    <w:tmpl w:val="E41244A8"/>
    <w:lvl w:ilvl="0">
      <w:start w:val="1"/>
      <w:numFmt w:val="decimal"/>
      <w:pStyle w:val="Heading1Divider"/>
      <w:lvlText w:val="%1."/>
      <w:lvlJc w:val="left"/>
      <w:pPr>
        <w:ind w:left="5889"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18" w15:restartNumberingAfterBreak="0">
    <w:nsid w:val="246E4010"/>
    <w:multiLevelType w:val="hybridMultilevel"/>
    <w:tmpl w:val="80FE371A"/>
    <w:lvl w:ilvl="0" w:tplc="1C321CB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4B14193"/>
    <w:multiLevelType w:val="multilevel"/>
    <w:tmpl w:val="F014F93C"/>
    <w:lvl w:ilvl="0">
      <w:start w:val="1"/>
      <w:numFmt w:val="lowerLetter"/>
      <w:lvlText w:val="(%1)"/>
      <w:lvlJc w:val="left"/>
      <w:pPr>
        <w:tabs>
          <w:tab w:val="num" w:pos="340"/>
        </w:tabs>
        <w:ind w:left="340" w:hanging="340"/>
      </w:pPr>
      <w:rPr>
        <w:rFonts w:ascii="Univers 45 Light" w:hAnsi="Univers 45 Light" w:hint="default"/>
        <w:b w:val="0"/>
        <w:i w:val="0"/>
        <w:sz w:val="19"/>
      </w:rPr>
    </w:lvl>
    <w:lvl w:ilvl="1">
      <w:start w:val="1"/>
      <w:numFmt w:val="lowerLetter"/>
      <w:lvlText w:val="—"/>
      <w:lvlJc w:val="left"/>
      <w:pPr>
        <w:tabs>
          <w:tab w:val="num" w:pos="680"/>
        </w:tabs>
        <w:ind w:left="680" w:hanging="340"/>
      </w:pPr>
      <w:rPr>
        <w:rFonts w:ascii="Arial" w:hAnsi="Arial" w:cs="Arial"/>
        <w:sz w:val="24"/>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20" w15:restartNumberingAfterBreak="0">
    <w:nsid w:val="251845B9"/>
    <w:multiLevelType w:val="multilevel"/>
    <w:tmpl w:val="3920D702"/>
    <w:lvl w:ilvl="0">
      <w:start w:val="1"/>
      <w:numFmt w:val="decimal"/>
      <w:lvlText w:val="%1"/>
      <w:lvlJc w:val="left"/>
      <w:pPr>
        <w:tabs>
          <w:tab w:val="num" w:pos="340"/>
        </w:tabs>
        <w:ind w:left="340" w:hanging="340"/>
      </w:pPr>
      <w:rPr>
        <w:rFonts w:ascii="Arial" w:hAnsi="Arial" w:cs="Arial"/>
      </w:rPr>
    </w:lvl>
    <w:lvl w:ilvl="1">
      <w:start w:val="1"/>
      <w:numFmt w:val="lowerLetter"/>
      <w:lvlText w:val="—"/>
      <w:lvlJc w:val="left"/>
      <w:pPr>
        <w:tabs>
          <w:tab w:val="num" w:pos="680"/>
        </w:tabs>
        <w:ind w:left="680" w:hanging="340"/>
      </w:pPr>
      <w:rPr>
        <w:rFonts w:ascii="Arial" w:hAnsi="Arial" w:cs="Arial"/>
        <w:sz w:val="24"/>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21" w15:restartNumberingAfterBreak="0">
    <w:nsid w:val="31D03DA2"/>
    <w:multiLevelType w:val="multilevel"/>
    <w:tmpl w:val="E5DA9592"/>
    <w:lvl w:ilvl="0">
      <w:start w:val="1"/>
      <w:numFmt w:val="decimal"/>
      <w:pStyle w:val="CVheader"/>
      <w:lvlText w:val="%1)"/>
      <w:lvlJc w:val="left"/>
      <w:pPr>
        <w:tabs>
          <w:tab w:val="num" w:pos="340"/>
        </w:tabs>
        <w:ind w:left="340" w:hanging="340"/>
      </w:pPr>
      <w:rPr>
        <w:rFonts w:hint="default"/>
      </w:rPr>
    </w:lvl>
    <w:lvl w:ilvl="1">
      <w:start w:val="1"/>
      <w:numFmt w:val="bullet"/>
      <w:lvlText w:val=""/>
      <w:lvlJc w:val="left"/>
      <w:pPr>
        <w:tabs>
          <w:tab w:val="num" w:pos="680"/>
        </w:tabs>
        <w:ind w:left="680" w:hanging="340"/>
      </w:pPr>
      <w:rPr>
        <w:rFonts w:ascii="Symbol" w:hAnsi="Symbol" w:hint="default"/>
        <w:sz w:val="22"/>
      </w:rPr>
    </w:lvl>
    <w:lvl w:ilvl="2">
      <w:start w:val="1"/>
      <w:numFmt w:val="bullet"/>
      <w:lvlText w:val="-"/>
      <w:lvlJc w:val="left"/>
      <w:pPr>
        <w:tabs>
          <w:tab w:val="num" w:pos="1020"/>
        </w:tabs>
        <w:ind w:left="1020" w:hanging="340"/>
      </w:pPr>
      <w:rPr>
        <w:rFonts w:ascii="9999999" w:hAnsi="9999999" w:hint="default"/>
      </w:rPr>
    </w:lvl>
    <w:lvl w:ilvl="3">
      <w:start w:val="1"/>
      <w:numFmt w:val="bullet"/>
      <w:lvlText w:val=""/>
      <w:lvlJc w:val="left"/>
      <w:pPr>
        <w:tabs>
          <w:tab w:val="num" w:pos="1361"/>
        </w:tabs>
        <w:ind w:left="1361" w:hanging="341"/>
      </w:pPr>
      <w:rPr>
        <w:rFonts w:ascii="Symbol" w:hAnsi="Symbol" w:hint="default"/>
        <w:sz w:val="22"/>
      </w:rPr>
    </w:lvl>
    <w:lvl w:ilvl="4">
      <w:start w:val="1"/>
      <w:numFmt w:val="bullet"/>
      <w:lvlText w:val=""/>
      <w:lvlJc w:val="left"/>
      <w:pPr>
        <w:tabs>
          <w:tab w:val="num" w:pos="1701"/>
        </w:tabs>
        <w:ind w:left="1701" w:hanging="340"/>
      </w:pPr>
      <w:rPr>
        <w:rFonts w:ascii="Symbol" w:hAnsi="Symbol" w:hint="default"/>
      </w:rPr>
    </w:lvl>
    <w:lvl w:ilvl="5">
      <w:start w:val="1"/>
      <w:numFmt w:val="bullet"/>
      <w:lvlText w:val=""/>
      <w:lvlJc w:val="left"/>
      <w:pPr>
        <w:tabs>
          <w:tab w:val="num" w:pos="2041"/>
        </w:tabs>
        <w:ind w:left="2041" w:hanging="340"/>
      </w:pPr>
      <w:rPr>
        <w:rFonts w:ascii="Wingdings" w:hAnsi="Wingdings" w:hint="default"/>
      </w:rPr>
    </w:lvl>
    <w:lvl w:ilvl="6">
      <w:start w:val="1"/>
      <w:numFmt w:val="bullet"/>
      <w:lvlText w:val=""/>
      <w:lvlJc w:val="left"/>
      <w:pPr>
        <w:tabs>
          <w:tab w:val="num" w:pos="2381"/>
        </w:tabs>
        <w:ind w:left="2381" w:hanging="340"/>
      </w:pPr>
      <w:rPr>
        <w:rFonts w:ascii="Wingdings" w:hAnsi="Wingdings" w:hint="default"/>
      </w:rPr>
    </w:lvl>
    <w:lvl w:ilvl="7">
      <w:start w:val="1"/>
      <w:numFmt w:val="bullet"/>
      <w:lvlText w:val=""/>
      <w:lvlJc w:val="left"/>
      <w:pPr>
        <w:tabs>
          <w:tab w:val="num" w:pos="2721"/>
        </w:tabs>
        <w:ind w:left="2721" w:hanging="340"/>
      </w:pPr>
      <w:rPr>
        <w:rFonts w:ascii="Symbol" w:hAnsi="Symbol" w:hint="default"/>
      </w:rPr>
    </w:lvl>
    <w:lvl w:ilvl="8">
      <w:start w:val="1"/>
      <w:numFmt w:val="bullet"/>
      <w:lvlText w:val=""/>
      <w:lvlJc w:val="left"/>
      <w:pPr>
        <w:tabs>
          <w:tab w:val="num" w:pos="3061"/>
        </w:tabs>
        <w:ind w:left="3061" w:hanging="340"/>
      </w:pPr>
      <w:rPr>
        <w:rFonts w:ascii="Symbol" w:hAnsi="Symbol" w:hint="default"/>
      </w:rPr>
    </w:lvl>
  </w:abstractNum>
  <w:abstractNum w:abstractNumId="22" w15:restartNumberingAfterBreak="0">
    <w:nsid w:val="336E4296"/>
    <w:multiLevelType w:val="multilevel"/>
    <w:tmpl w:val="30243AC0"/>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lowerRoman"/>
      <w:suff w:val="nothing"/>
      <w:lvlText w:val="%6."/>
      <w:lvlJc w:val="left"/>
      <w:pPr>
        <w:ind w:left="0" w:firstLine="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33F61997"/>
    <w:multiLevelType w:val="multilevel"/>
    <w:tmpl w:val="3E301BCE"/>
    <w:lvl w:ilvl="0">
      <w:start w:val="1"/>
      <w:numFmt w:val="decimal"/>
      <w:pStyle w:val="Heading1"/>
      <w:lvlText w:val="%1."/>
      <w:lvlJc w:val="left"/>
      <w:pPr>
        <w:tabs>
          <w:tab w:val="num" w:pos="964"/>
        </w:tabs>
        <w:ind w:left="964" w:hanging="964"/>
      </w:pPr>
      <w:rPr>
        <w:rFonts w:hint="default"/>
      </w:rPr>
    </w:lvl>
    <w:lvl w:ilvl="1">
      <w:start w:val="1"/>
      <w:numFmt w:val="decimal"/>
      <w:lvlText w:val="%1.%2"/>
      <w:lvlJc w:val="left"/>
      <w:pPr>
        <w:tabs>
          <w:tab w:val="num" w:pos="964"/>
        </w:tabs>
        <w:ind w:left="964" w:hanging="964"/>
      </w:pPr>
      <w:rPr>
        <w:rFonts w:hint="default"/>
        <w:color w:val="005EB8" w:themeColor="accent3"/>
      </w:rPr>
    </w:lvl>
    <w:lvl w:ilvl="2">
      <w:start w:val="1"/>
      <w:numFmt w:val="decimal"/>
      <w:lvlText w:val="%1.%2.%3"/>
      <w:lvlJc w:val="left"/>
      <w:pPr>
        <w:tabs>
          <w:tab w:val="num" w:pos="964"/>
        </w:tabs>
        <w:ind w:left="964" w:hanging="964"/>
      </w:pPr>
      <w:rPr>
        <w:rFonts w:hint="default"/>
      </w:rPr>
    </w:lvl>
    <w:lvl w:ilvl="3">
      <w:start w:val="1"/>
      <w:numFmt w:val="decimal"/>
      <w:lvlText w:val="%1.%2.%3.%4"/>
      <w:lvlJc w:val="left"/>
      <w:pPr>
        <w:tabs>
          <w:tab w:val="num" w:pos="964"/>
        </w:tabs>
        <w:ind w:left="964" w:hanging="964"/>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24" w15:restartNumberingAfterBreak="0">
    <w:nsid w:val="35071D6F"/>
    <w:multiLevelType w:val="hybridMultilevel"/>
    <w:tmpl w:val="4E8A8F3C"/>
    <w:lvl w:ilvl="0" w:tplc="6EFADF52">
      <w:start w:val="1"/>
      <w:numFmt w:val="lowerLetter"/>
      <w:pStyle w:val="ListNumber2"/>
      <w:lvlText w:val="%1."/>
      <w:lvlJc w:val="left"/>
      <w:pPr>
        <w:ind w:left="1003" w:hanging="360"/>
      </w:pPr>
    </w:lvl>
    <w:lvl w:ilvl="1" w:tplc="0C090019" w:tentative="1">
      <w:start w:val="1"/>
      <w:numFmt w:val="lowerLetter"/>
      <w:lvlText w:val="%2."/>
      <w:lvlJc w:val="left"/>
      <w:pPr>
        <w:ind w:left="1723" w:hanging="360"/>
      </w:pPr>
    </w:lvl>
    <w:lvl w:ilvl="2" w:tplc="0C09001B" w:tentative="1">
      <w:start w:val="1"/>
      <w:numFmt w:val="lowerRoman"/>
      <w:lvlText w:val="%3."/>
      <w:lvlJc w:val="right"/>
      <w:pPr>
        <w:ind w:left="2443" w:hanging="180"/>
      </w:pPr>
    </w:lvl>
    <w:lvl w:ilvl="3" w:tplc="0C09000F" w:tentative="1">
      <w:start w:val="1"/>
      <w:numFmt w:val="decimal"/>
      <w:lvlText w:val="%4."/>
      <w:lvlJc w:val="left"/>
      <w:pPr>
        <w:ind w:left="3163" w:hanging="360"/>
      </w:pPr>
    </w:lvl>
    <w:lvl w:ilvl="4" w:tplc="0C090019" w:tentative="1">
      <w:start w:val="1"/>
      <w:numFmt w:val="lowerLetter"/>
      <w:lvlText w:val="%5."/>
      <w:lvlJc w:val="left"/>
      <w:pPr>
        <w:ind w:left="3883" w:hanging="360"/>
      </w:pPr>
    </w:lvl>
    <w:lvl w:ilvl="5" w:tplc="0C09001B" w:tentative="1">
      <w:start w:val="1"/>
      <w:numFmt w:val="lowerRoman"/>
      <w:lvlText w:val="%6."/>
      <w:lvlJc w:val="right"/>
      <w:pPr>
        <w:ind w:left="4603" w:hanging="180"/>
      </w:pPr>
    </w:lvl>
    <w:lvl w:ilvl="6" w:tplc="0C09000F" w:tentative="1">
      <w:start w:val="1"/>
      <w:numFmt w:val="decimal"/>
      <w:lvlText w:val="%7."/>
      <w:lvlJc w:val="left"/>
      <w:pPr>
        <w:ind w:left="5323" w:hanging="360"/>
      </w:pPr>
    </w:lvl>
    <w:lvl w:ilvl="7" w:tplc="0C090019" w:tentative="1">
      <w:start w:val="1"/>
      <w:numFmt w:val="lowerLetter"/>
      <w:lvlText w:val="%8."/>
      <w:lvlJc w:val="left"/>
      <w:pPr>
        <w:ind w:left="6043" w:hanging="360"/>
      </w:pPr>
    </w:lvl>
    <w:lvl w:ilvl="8" w:tplc="0C09001B" w:tentative="1">
      <w:start w:val="1"/>
      <w:numFmt w:val="lowerRoman"/>
      <w:lvlText w:val="%9."/>
      <w:lvlJc w:val="right"/>
      <w:pPr>
        <w:ind w:left="6763" w:hanging="180"/>
      </w:pPr>
    </w:lvl>
  </w:abstractNum>
  <w:abstractNum w:abstractNumId="25" w15:restartNumberingAfterBreak="0">
    <w:nsid w:val="357F166A"/>
    <w:multiLevelType w:val="multilevel"/>
    <w:tmpl w:val="51D6E68E"/>
    <w:lvl w:ilvl="0">
      <w:start w:val="1"/>
      <w:numFmt w:val="upperLetter"/>
      <w:pStyle w:val="Appendixheading"/>
      <w:suff w:val="nothing"/>
      <w:lvlText w:val="Appendix %1"/>
      <w:lvlJc w:val="left"/>
      <w:pPr>
        <w:ind w:left="0" w:firstLine="0"/>
      </w:pPr>
      <w:rPr>
        <w:rFonts w:hint="default"/>
      </w:rPr>
    </w:lvl>
    <w:lvl w:ilvl="1">
      <w:start w:val="1"/>
      <w:numFmt w:val="decimal"/>
      <w:pStyle w:val="BodyText"/>
      <w:lvlText w:val="%1.%2"/>
      <w:lvlJc w:val="left"/>
      <w:pPr>
        <w:tabs>
          <w:tab w:val="num" w:pos="720"/>
        </w:tabs>
        <w:ind w:left="720" w:hanging="720"/>
      </w:pPr>
      <w:rPr>
        <w:rFonts w:hint="default"/>
      </w:rPr>
    </w:lvl>
    <w:lvl w:ilvl="2">
      <w:start w:val="1"/>
      <w:numFmt w:val="decimal"/>
      <w:pStyle w:val="AppendixHeading3"/>
      <w:lvlText w:val="%1.%2.%3"/>
      <w:lvlJc w:val="left"/>
      <w:pPr>
        <w:tabs>
          <w:tab w:val="num" w:pos="720"/>
        </w:tabs>
        <w:ind w:left="720" w:hanging="720"/>
      </w:pPr>
      <w:rPr>
        <w:rFonts w:hint="default"/>
      </w:rPr>
    </w:lvl>
    <w:lvl w:ilvl="3">
      <w:start w:val="1"/>
      <w:numFmt w:val="decimal"/>
      <w:pStyle w:val="AppendixHeading2"/>
      <w:lvlText w:val="%1.%2.%3.%4"/>
      <w:lvlJc w:val="left"/>
      <w:pPr>
        <w:tabs>
          <w:tab w:val="num" w:pos="720"/>
        </w:tabs>
        <w:ind w:left="720" w:hanging="72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3BD34954"/>
    <w:multiLevelType w:val="hybridMultilevel"/>
    <w:tmpl w:val="FFFAAB60"/>
    <w:lvl w:ilvl="0" w:tplc="196A4DD4">
      <w:start w:val="1"/>
      <w:numFmt w:val="bullet"/>
      <w:pStyle w:val="CVbullet2"/>
      <w:lvlText w:val="–"/>
      <w:lvlJc w:val="left"/>
      <w:pPr>
        <w:ind w:left="360" w:hanging="360"/>
      </w:pPr>
      <w:rPr>
        <w:rFonts w:ascii="Univers 45 Light" w:hAnsi="Univers 45 Light" w:hint="default"/>
        <w:color w:val="auto"/>
        <w:sz w:val="2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43B37598"/>
    <w:multiLevelType w:val="multilevel"/>
    <w:tmpl w:val="D4960C54"/>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28" w15:restartNumberingAfterBreak="0">
    <w:nsid w:val="4654382B"/>
    <w:multiLevelType w:val="hybridMultilevel"/>
    <w:tmpl w:val="2898B7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C830B73"/>
    <w:multiLevelType w:val="hybridMultilevel"/>
    <w:tmpl w:val="B5224CDA"/>
    <w:lvl w:ilvl="0" w:tplc="FAB21F10">
      <w:start w:val="1"/>
      <w:numFmt w:val="decimal"/>
      <w:pStyle w:val="CVtext"/>
      <w:lvlText w:val="%1)"/>
      <w:lvlJc w:val="left"/>
      <w:pPr>
        <w:ind w:left="720" w:hanging="360"/>
      </w:pPr>
    </w:lvl>
    <w:lvl w:ilvl="1" w:tplc="18DCF2DA" w:tentative="1">
      <w:start w:val="1"/>
      <w:numFmt w:val="lowerLetter"/>
      <w:lvlText w:val="%2."/>
      <w:lvlJc w:val="left"/>
      <w:pPr>
        <w:ind w:left="1440" w:hanging="360"/>
      </w:pPr>
    </w:lvl>
    <w:lvl w:ilvl="2" w:tplc="5A840AB6" w:tentative="1">
      <w:start w:val="1"/>
      <w:numFmt w:val="lowerRoman"/>
      <w:lvlText w:val="%3."/>
      <w:lvlJc w:val="right"/>
      <w:pPr>
        <w:ind w:left="2160" w:hanging="180"/>
      </w:pPr>
    </w:lvl>
    <w:lvl w:ilvl="3" w:tplc="4E5ECEBE" w:tentative="1">
      <w:start w:val="1"/>
      <w:numFmt w:val="decimal"/>
      <w:lvlText w:val="%4."/>
      <w:lvlJc w:val="left"/>
      <w:pPr>
        <w:ind w:left="2880" w:hanging="360"/>
      </w:pPr>
    </w:lvl>
    <w:lvl w:ilvl="4" w:tplc="F2A68EC2" w:tentative="1">
      <w:start w:val="1"/>
      <w:numFmt w:val="lowerLetter"/>
      <w:lvlText w:val="%5."/>
      <w:lvlJc w:val="left"/>
      <w:pPr>
        <w:ind w:left="3600" w:hanging="360"/>
      </w:pPr>
    </w:lvl>
    <w:lvl w:ilvl="5" w:tplc="560A1F16" w:tentative="1">
      <w:start w:val="1"/>
      <w:numFmt w:val="lowerRoman"/>
      <w:lvlText w:val="%6."/>
      <w:lvlJc w:val="right"/>
      <w:pPr>
        <w:ind w:left="4320" w:hanging="180"/>
      </w:pPr>
    </w:lvl>
    <w:lvl w:ilvl="6" w:tplc="0D747C5C" w:tentative="1">
      <w:start w:val="1"/>
      <w:numFmt w:val="decimal"/>
      <w:lvlText w:val="%7."/>
      <w:lvlJc w:val="left"/>
      <w:pPr>
        <w:ind w:left="5040" w:hanging="360"/>
      </w:pPr>
    </w:lvl>
    <w:lvl w:ilvl="7" w:tplc="4316FD20" w:tentative="1">
      <w:start w:val="1"/>
      <w:numFmt w:val="lowerLetter"/>
      <w:lvlText w:val="%8."/>
      <w:lvlJc w:val="left"/>
      <w:pPr>
        <w:ind w:left="5760" w:hanging="360"/>
      </w:pPr>
    </w:lvl>
    <w:lvl w:ilvl="8" w:tplc="5F9A322E" w:tentative="1">
      <w:start w:val="1"/>
      <w:numFmt w:val="lowerRoman"/>
      <w:lvlText w:val="%9."/>
      <w:lvlJc w:val="right"/>
      <w:pPr>
        <w:ind w:left="6480" w:hanging="180"/>
      </w:pPr>
    </w:lvl>
  </w:abstractNum>
  <w:abstractNum w:abstractNumId="30" w15:restartNumberingAfterBreak="0">
    <w:nsid w:val="50272024"/>
    <w:multiLevelType w:val="multilevel"/>
    <w:tmpl w:val="8FECC450"/>
    <w:lvl w:ilvl="0">
      <w:start w:val="1"/>
      <w:numFmt w:val="decimal"/>
      <w:lvlText w:val="%1"/>
      <w:lvlJc w:val="left"/>
      <w:pPr>
        <w:tabs>
          <w:tab w:val="num" w:pos="340"/>
        </w:tabs>
        <w:ind w:left="340" w:hanging="340"/>
      </w:pPr>
      <w:rPr>
        <w:rFonts w:ascii="Arial" w:hAnsi="Arial" w:cs="Arial"/>
      </w:rPr>
    </w:lvl>
    <w:lvl w:ilvl="1">
      <w:start w:val="1"/>
      <w:numFmt w:val="decimal"/>
      <w:lvlText w:val="%2."/>
      <w:lvlJc w:val="left"/>
      <w:pPr>
        <w:tabs>
          <w:tab w:val="num" w:pos="680"/>
        </w:tabs>
        <w:ind w:left="680" w:hanging="340"/>
      </w:pPr>
      <w:rPr>
        <w:sz w:val="24"/>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31" w15:restartNumberingAfterBreak="0">
    <w:nsid w:val="5A042708"/>
    <w:multiLevelType w:val="hybridMultilevel"/>
    <w:tmpl w:val="52F4C670"/>
    <w:lvl w:ilvl="0" w:tplc="4D50732C">
      <w:start w:val="1"/>
      <w:numFmt w:val="bullet"/>
      <w:pStyle w:val="Bullet1stlevel"/>
      <w:lvlText w:val=""/>
      <w:lvlJc w:val="left"/>
      <w:pPr>
        <w:tabs>
          <w:tab w:val="num" w:pos="340"/>
        </w:tabs>
        <w:ind w:left="340" w:hanging="340"/>
      </w:pPr>
      <w:rPr>
        <w:rFonts w:ascii="Symbol" w:hAnsi="Symbol" w:hint="default"/>
        <w:color w:val="auto"/>
        <w:sz w:val="22"/>
      </w:rPr>
    </w:lvl>
    <w:lvl w:ilvl="1" w:tplc="7158B2C2">
      <w:start w:val="1"/>
      <w:numFmt w:val="bullet"/>
      <w:lvlText w:val="o"/>
      <w:lvlJc w:val="left"/>
      <w:pPr>
        <w:ind w:left="1440" w:hanging="360"/>
      </w:pPr>
      <w:rPr>
        <w:rFonts w:ascii="Courier New" w:hAnsi="Courier New" w:cs="Courier New" w:hint="default"/>
      </w:rPr>
    </w:lvl>
    <w:lvl w:ilvl="2" w:tplc="33B066A2" w:tentative="1">
      <w:start w:val="1"/>
      <w:numFmt w:val="bullet"/>
      <w:lvlText w:val=""/>
      <w:lvlJc w:val="left"/>
      <w:pPr>
        <w:ind w:left="2160" w:hanging="360"/>
      </w:pPr>
      <w:rPr>
        <w:rFonts w:ascii="Wingdings" w:hAnsi="Wingdings" w:hint="default"/>
      </w:rPr>
    </w:lvl>
    <w:lvl w:ilvl="3" w:tplc="C56EA684" w:tentative="1">
      <w:start w:val="1"/>
      <w:numFmt w:val="bullet"/>
      <w:lvlText w:val=""/>
      <w:lvlJc w:val="left"/>
      <w:pPr>
        <w:ind w:left="2880" w:hanging="360"/>
      </w:pPr>
      <w:rPr>
        <w:rFonts w:ascii="Symbol" w:hAnsi="Symbol" w:hint="default"/>
      </w:rPr>
    </w:lvl>
    <w:lvl w:ilvl="4" w:tplc="AFD4E06C" w:tentative="1">
      <w:start w:val="1"/>
      <w:numFmt w:val="bullet"/>
      <w:lvlText w:val="o"/>
      <w:lvlJc w:val="left"/>
      <w:pPr>
        <w:ind w:left="3600" w:hanging="360"/>
      </w:pPr>
      <w:rPr>
        <w:rFonts w:ascii="Courier New" w:hAnsi="Courier New" w:cs="Courier New" w:hint="default"/>
      </w:rPr>
    </w:lvl>
    <w:lvl w:ilvl="5" w:tplc="515A446C" w:tentative="1">
      <w:start w:val="1"/>
      <w:numFmt w:val="bullet"/>
      <w:lvlText w:val=""/>
      <w:lvlJc w:val="left"/>
      <w:pPr>
        <w:ind w:left="4320" w:hanging="360"/>
      </w:pPr>
      <w:rPr>
        <w:rFonts w:ascii="Wingdings" w:hAnsi="Wingdings" w:hint="default"/>
      </w:rPr>
    </w:lvl>
    <w:lvl w:ilvl="6" w:tplc="6624C952" w:tentative="1">
      <w:start w:val="1"/>
      <w:numFmt w:val="bullet"/>
      <w:lvlText w:val=""/>
      <w:lvlJc w:val="left"/>
      <w:pPr>
        <w:ind w:left="5040" w:hanging="360"/>
      </w:pPr>
      <w:rPr>
        <w:rFonts w:ascii="Symbol" w:hAnsi="Symbol" w:hint="default"/>
      </w:rPr>
    </w:lvl>
    <w:lvl w:ilvl="7" w:tplc="E5268858" w:tentative="1">
      <w:start w:val="1"/>
      <w:numFmt w:val="bullet"/>
      <w:lvlText w:val="o"/>
      <w:lvlJc w:val="left"/>
      <w:pPr>
        <w:ind w:left="5760" w:hanging="360"/>
      </w:pPr>
      <w:rPr>
        <w:rFonts w:ascii="Courier New" w:hAnsi="Courier New" w:cs="Courier New" w:hint="default"/>
      </w:rPr>
    </w:lvl>
    <w:lvl w:ilvl="8" w:tplc="4094EBFA" w:tentative="1">
      <w:start w:val="1"/>
      <w:numFmt w:val="bullet"/>
      <w:lvlText w:val=""/>
      <w:lvlJc w:val="left"/>
      <w:pPr>
        <w:ind w:left="6480" w:hanging="360"/>
      </w:pPr>
      <w:rPr>
        <w:rFonts w:ascii="Wingdings" w:hAnsi="Wingdings" w:hint="default"/>
      </w:rPr>
    </w:lvl>
  </w:abstractNum>
  <w:abstractNum w:abstractNumId="32" w15:restartNumberingAfterBreak="0">
    <w:nsid w:val="5CA209C3"/>
    <w:multiLevelType w:val="hybridMultilevel"/>
    <w:tmpl w:val="56289A50"/>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5DD04010"/>
    <w:multiLevelType w:val="multilevel"/>
    <w:tmpl w:val="B2C021C0"/>
    <w:lvl w:ilvl="0">
      <w:start w:val="1"/>
      <w:numFmt w:val="lowerLetter"/>
      <w:lvlText w:val="(%1)"/>
      <w:lvlJc w:val="left"/>
      <w:pPr>
        <w:tabs>
          <w:tab w:val="num" w:pos="340"/>
        </w:tabs>
        <w:ind w:left="340" w:hanging="340"/>
      </w:pPr>
      <w:rPr>
        <w:rFonts w:ascii="Univers 45 Light" w:hAnsi="Univers 45 Light" w:hint="default"/>
        <w:b w:val="0"/>
        <w:i w:val="0"/>
        <w:sz w:val="19"/>
      </w:rPr>
    </w:lvl>
    <w:lvl w:ilvl="1">
      <w:start w:val="1"/>
      <w:numFmt w:val="lowerLetter"/>
      <w:lvlText w:val="—"/>
      <w:lvlJc w:val="left"/>
      <w:pPr>
        <w:tabs>
          <w:tab w:val="num" w:pos="680"/>
        </w:tabs>
        <w:ind w:left="680" w:hanging="340"/>
      </w:pPr>
      <w:rPr>
        <w:rFonts w:ascii="Arial" w:hAnsi="Arial" w:cs="Arial"/>
        <w:sz w:val="24"/>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34" w15:restartNumberingAfterBreak="0">
    <w:nsid w:val="5EA365BA"/>
    <w:multiLevelType w:val="hybridMultilevel"/>
    <w:tmpl w:val="61567BE2"/>
    <w:lvl w:ilvl="0" w:tplc="0C090001">
      <w:start w:val="1"/>
      <w:numFmt w:val="bullet"/>
      <w:pStyle w:val="CVdetail"/>
      <w:lvlText w:val="■"/>
      <w:lvlJc w:val="left"/>
      <w:pPr>
        <w:tabs>
          <w:tab w:val="num" w:pos="340"/>
        </w:tabs>
        <w:ind w:left="340" w:hanging="340"/>
      </w:pPr>
      <w:rPr>
        <w:rFonts w:ascii="Arial" w:hAnsi="Arial" w:hint="default"/>
        <w:color w:val="auto"/>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1EF6994"/>
    <w:multiLevelType w:val="multilevel"/>
    <w:tmpl w:val="13E8EE76"/>
    <w:lvl w:ilvl="0">
      <w:start w:val="1"/>
      <w:numFmt w:val="decimal"/>
      <w:lvlText w:val="%1"/>
      <w:lvlJc w:val="left"/>
      <w:pPr>
        <w:tabs>
          <w:tab w:val="num" w:pos="340"/>
        </w:tabs>
        <w:ind w:left="340" w:hanging="340"/>
      </w:pPr>
      <w:rPr>
        <w:rFonts w:ascii="Arial" w:hAnsi="Arial" w:cs="Arial"/>
      </w:rPr>
    </w:lvl>
    <w:lvl w:ilvl="1">
      <w:start w:val="1"/>
      <w:numFmt w:val="lowerLetter"/>
      <w:lvlText w:val="—"/>
      <w:lvlJc w:val="left"/>
      <w:pPr>
        <w:tabs>
          <w:tab w:val="num" w:pos="680"/>
        </w:tabs>
        <w:ind w:left="680" w:hanging="340"/>
      </w:pPr>
      <w:rPr>
        <w:rFonts w:ascii="Arial" w:hAnsi="Arial" w:cs="Arial"/>
        <w:sz w:val="24"/>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36" w15:restartNumberingAfterBreak="0">
    <w:nsid w:val="7D3A5DD7"/>
    <w:multiLevelType w:val="hybridMultilevel"/>
    <w:tmpl w:val="682E38D8"/>
    <w:lvl w:ilvl="0" w:tplc="3072E5BE">
      <w:start w:val="1"/>
      <w:numFmt w:val="bullet"/>
      <w:lvlText w:val=""/>
      <w:lvlJc w:val="left"/>
      <w:pPr>
        <w:tabs>
          <w:tab w:val="num" w:pos="340"/>
        </w:tabs>
        <w:ind w:left="340" w:hanging="340"/>
      </w:pPr>
      <w:rPr>
        <w:rFonts w:ascii="Symbol" w:hAnsi="Symbol" w:hint="default"/>
        <w:color w:val="FFFFFF" w:themeColor="background1"/>
        <w:sz w:val="22"/>
      </w:rPr>
    </w:lvl>
    <w:lvl w:ilvl="1" w:tplc="7158B2C2">
      <w:start w:val="1"/>
      <w:numFmt w:val="bullet"/>
      <w:lvlText w:val="o"/>
      <w:lvlJc w:val="left"/>
      <w:pPr>
        <w:ind w:left="1440" w:hanging="360"/>
      </w:pPr>
      <w:rPr>
        <w:rFonts w:ascii="Courier New" w:hAnsi="Courier New" w:cs="Courier New" w:hint="default"/>
      </w:rPr>
    </w:lvl>
    <w:lvl w:ilvl="2" w:tplc="33B066A2" w:tentative="1">
      <w:start w:val="1"/>
      <w:numFmt w:val="bullet"/>
      <w:lvlText w:val=""/>
      <w:lvlJc w:val="left"/>
      <w:pPr>
        <w:ind w:left="2160" w:hanging="360"/>
      </w:pPr>
      <w:rPr>
        <w:rFonts w:ascii="Wingdings" w:hAnsi="Wingdings" w:hint="default"/>
      </w:rPr>
    </w:lvl>
    <w:lvl w:ilvl="3" w:tplc="C56EA684" w:tentative="1">
      <w:start w:val="1"/>
      <w:numFmt w:val="bullet"/>
      <w:lvlText w:val=""/>
      <w:lvlJc w:val="left"/>
      <w:pPr>
        <w:ind w:left="2880" w:hanging="360"/>
      </w:pPr>
      <w:rPr>
        <w:rFonts w:ascii="Symbol" w:hAnsi="Symbol" w:hint="default"/>
      </w:rPr>
    </w:lvl>
    <w:lvl w:ilvl="4" w:tplc="AFD4E06C" w:tentative="1">
      <w:start w:val="1"/>
      <w:numFmt w:val="bullet"/>
      <w:lvlText w:val="o"/>
      <w:lvlJc w:val="left"/>
      <w:pPr>
        <w:ind w:left="3600" w:hanging="360"/>
      </w:pPr>
      <w:rPr>
        <w:rFonts w:ascii="Courier New" w:hAnsi="Courier New" w:cs="Courier New" w:hint="default"/>
      </w:rPr>
    </w:lvl>
    <w:lvl w:ilvl="5" w:tplc="515A446C" w:tentative="1">
      <w:start w:val="1"/>
      <w:numFmt w:val="bullet"/>
      <w:lvlText w:val=""/>
      <w:lvlJc w:val="left"/>
      <w:pPr>
        <w:ind w:left="4320" w:hanging="360"/>
      </w:pPr>
      <w:rPr>
        <w:rFonts w:ascii="Wingdings" w:hAnsi="Wingdings" w:hint="default"/>
      </w:rPr>
    </w:lvl>
    <w:lvl w:ilvl="6" w:tplc="6624C952" w:tentative="1">
      <w:start w:val="1"/>
      <w:numFmt w:val="bullet"/>
      <w:lvlText w:val=""/>
      <w:lvlJc w:val="left"/>
      <w:pPr>
        <w:ind w:left="5040" w:hanging="360"/>
      </w:pPr>
      <w:rPr>
        <w:rFonts w:ascii="Symbol" w:hAnsi="Symbol" w:hint="default"/>
      </w:rPr>
    </w:lvl>
    <w:lvl w:ilvl="7" w:tplc="E5268858" w:tentative="1">
      <w:start w:val="1"/>
      <w:numFmt w:val="bullet"/>
      <w:lvlText w:val="o"/>
      <w:lvlJc w:val="left"/>
      <w:pPr>
        <w:ind w:left="5760" w:hanging="360"/>
      </w:pPr>
      <w:rPr>
        <w:rFonts w:ascii="Courier New" w:hAnsi="Courier New" w:cs="Courier New" w:hint="default"/>
      </w:rPr>
    </w:lvl>
    <w:lvl w:ilvl="8" w:tplc="4094EBFA" w:tentative="1">
      <w:start w:val="1"/>
      <w:numFmt w:val="bullet"/>
      <w:lvlText w:val=""/>
      <w:lvlJc w:val="left"/>
      <w:pPr>
        <w:ind w:left="6480" w:hanging="360"/>
      </w:pPr>
      <w:rPr>
        <w:rFonts w:ascii="Wingdings" w:hAnsi="Wingdings" w:hint="default"/>
      </w:rPr>
    </w:lvl>
  </w:abstractNum>
  <w:abstractNum w:abstractNumId="37" w15:restartNumberingAfterBreak="0">
    <w:nsid w:val="7F250DDA"/>
    <w:multiLevelType w:val="hybridMultilevel"/>
    <w:tmpl w:val="F8D24342"/>
    <w:lvl w:ilvl="0" w:tplc="0C090001">
      <w:start w:val="1"/>
      <w:numFmt w:val="bullet"/>
      <w:pStyle w:val="CVname"/>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2"/>
  </w:num>
  <w:num w:numId="2">
    <w:abstractNumId w:val="34"/>
  </w:num>
  <w:num w:numId="3">
    <w:abstractNumId w:val="21"/>
  </w:num>
  <w:num w:numId="4">
    <w:abstractNumId w:val="29"/>
  </w:num>
  <w:num w:numId="5">
    <w:abstractNumId w:val="31"/>
  </w:num>
  <w:num w:numId="6">
    <w:abstractNumId w:val="26"/>
  </w:num>
  <w:num w:numId="7">
    <w:abstractNumId w:val="9"/>
  </w:num>
  <w:num w:numId="8">
    <w:abstractNumId w:val="7"/>
  </w:num>
  <w:num w:numId="9">
    <w:abstractNumId w:val="6"/>
  </w:num>
  <w:num w:numId="10">
    <w:abstractNumId w:val="25"/>
  </w:num>
  <w:num w:numId="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num>
  <w:num w:numId="13">
    <w:abstractNumId w:val="37"/>
  </w:num>
  <w:num w:numId="14">
    <w:abstractNumId w:val="32"/>
  </w:num>
  <w:num w:numId="15">
    <w:abstractNumId w:val="13"/>
  </w:num>
  <w:num w:numId="16">
    <w:abstractNumId w:val="16"/>
  </w:num>
  <w:num w:numId="17">
    <w:abstractNumId w:val="33"/>
  </w:num>
  <w:num w:numId="18">
    <w:abstractNumId w:val="19"/>
  </w:num>
  <w:num w:numId="19">
    <w:abstractNumId w:val="15"/>
  </w:num>
  <w:num w:numId="20">
    <w:abstractNumId w:val="36"/>
  </w:num>
  <w:num w:numId="21">
    <w:abstractNumId w:val="23"/>
  </w:num>
  <w:num w:numId="22">
    <w:abstractNumId w:val="22"/>
  </w:num>
  <w:num w:numId="23">
    <w:abstractNumId w:val="5"/>
  </w:num>
  <w:num w:numId="24">
    <w:abstractNumId w:val="4"/>
  </w:num>
  <w:num w:numId="25">
    <w:abstractNumId w:val="8"/>
  </w:num>
  <w:num w:numId="26">
    <w:abstractNumId w:val="2"/>
  </w:num>
  <w:num w:numId="27">
    <w:abstractNumId w:val="1"/>
  </w:num>
  <w:num w:numId="28">
    <w:abstractNumId w:val="0"/>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
  </w:num>
  <w:num w:numId="32">
    <w:abstractNumId w:val="28"/>
  </w:num>
  <w:num w:numId="33">
    <w:abstractNumId w:val="18"/>
  </w:num>
  <w:num w:numId="34">
    <w:abstractNumId w:val="2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7"/>
  </w:num>
  <w:num w:numId="37">
    <w:abstractNumId w:val="17"/>
  </w:num>
  <w:num w:numId="38">
    <w:abstractNumId w:val="11"/>
  </w:num>
  <w:num w:numId="39">
    <w:abstractNumId w:val="35"/>
  </w:num>
  <w:num w:numId="40">
    <w:abstractNumId w:val="30"/>
  </w:num>
  <w:num w:numId="41">
    <w:abstractNumId w:val="20"/>
  </w:num>
  <w:num w:numId="42">
    <w:abstractNumId w:val="14"/>
  </w:num>
  <w:num w:numId="43">
    <w:abstractNumId w:val="24"/>
  </w:num>
  <w:num w:numId="44">
    <w:abstractNumId w:val="2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75"/>
  <w:displayBackgroundShape/>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7AwNDUyNDYzsDQwMTFQ0lEKTi0uzszPAykwNKkFANRGI74tAAAA"/>
  </w:docVars>
  <w:rsids>
    <w:rsidRoot w:val="00CC2227"/>
    <w:rsid w:val="000001C1"/>
    <w:rsid w:val="00000305"/>
    <w:rsid w:val="00000346"/>
    <w:rsid w:val="0000039E"/>
    <w:rsid w:val="000003BF"/>
    <w:rsid w:val="000005AC"/>
    <w:rsid w:val="000005D8"/>
    <w:rsid w:val="00000670"/>
    <w:rsid w:val="00000860"/>
    <w:rsid w:val="00000B3B"/>
    <w:rsid w:val="00000B89"/>
    <w:rsid w:val="00000D94"/>
    <w:rsid w:val="000011D2"/>
    <w:rsid w:val="000013AA"/>
    <w:rsid w:val="0000140C"/>
    <w:rsid w:val="0000155A"/>
    <w:rsid w:val="000016D8"/>
    <w:rsid w:val="00001826"/>
    <w:rsid w:val="00001CF6"/>
    <w:rsid w:val="00001D43"/>
    <w:rsid w:val="0000206B"/>
    <w:rsid w:val="00002103"/>
    <w:rsid w:val="00002219"/>
    <w:rsid w:val="000022FB"/>
    <w:rsid w:val="0000236B"/>
    <w:rsid w:val="00002378"/>
    <w:rsid w:val="000024E1"/>
    <w:rsid w:val="0000251E"/>
    <w:rsid w:val="000028F3"/>
    <w:rsid w:val="000028FE"/>
    <w:rsid w:val="00002A28"/>
    <w:rsid w:val="00002B11"/>
    <w:rsid w:val="00002D43"/>
    <w:rsid w:val="00002F84"/>
    <w:rsid w:val="00002FB1"/>
    <w:rsid w:val="0000326B"/>
    <w:rsid w:val="0000340E"/>
    <w:rsid w:val="0000353B"/>
    <w:rsid w:val="00003901"/>
    <w:rsid w:val="000039FD"/>
    <w:rsid w:val="00003A32"/>
    <w:rsid w:val="00003BE3"/>
    <w:rsid w:val="00003DBB"/>
    <w:rsid w:val="00003DD5"/>
    <w:rsid w:val="00004154"/>
    <w:rsid w:val="0000430A"/>
    <w:rsid w:val="00004473"/>
    <w:rsid w:val="0000486B"/>
    <w:rsid w:val="00004988"/>
    <w:rsid w:val="000049FA"/>
    <w:rsid w:val="00004B38"/>
    <w:rsid w:val="00004B48"/>
    <w:rsid w:val="00004D1E"/>
    <w:rsid w:val="00004D3E"/>
    <w:rsid w:val="00005058"/>
    <w:rsid w:val="0000508E"/>
    <w:rsid w:val="000056EB"/>
    <w:rsid w:val="00005719"/>
    <w:rsid w:val="00005CC6"/>
    <w:rsid w:val="00005CF0"/>
    <w:rsid w:val="00005E6E"/>
    <w:rsid w:val="00006052"/>
    <w:rsid w:val="0000617D"/>
    <w:rsid w:val="000062A3"/>
    <w:rsid w:val="00006301"/>
    <w:rsid w:val="00006833"/>
    <w:rsid w:val="00006948"/>
    <w:rsid w:val="0000697D"/>
    <w:rsid w:val="00006AA9"/>
    <w:rsid w:val="00006F14"/>
    <w:rsid w:val="00007319"/>
    <w:rsid w:val="0000745D"/>
    <w:rsid w:val="0000757E"/>
    <w:rsid w:val="00007692"/>
    <w:rsid w:val="0000770C"/>
    <w:rsid w:val="00007A4C"/>
    <w:rsid w:val="00007A82"/>
    <w:rsid w:val="00007D1D"/>
    <w:rsid w:val="00007E2C"/>
    <w:rsid w:val="00007EDB"/>
    <w:rsid w:val="0001000B"/>
    <w:rsid w:val="0001009F"/>
    <w:rsid w:val="000101CA"/>
    <w:rsid w:val="0001027C"/>
    <w:rsid w:val="00010499"/>
    <w:rsid w:val="0001054A"/>
    <w:rsid w:val="000106AB"/>
    <w:rsid w:val="00010789"/>
    <w:rsid w:val="00010975"/>
    <w:rsid w:val="00010B00"/>
    <w:rsid w:val="00010B7E"/>
    <w:rsid w:val="00010C2D"/>
    <w:rsid w:val="00010DD0"/>
    <w:rsid w:val="00010F0D"/>
    <w:rsid w:val="00011008"/>
    <w:rsid w:val="00011284"/>
    <w:rsid w:val="0001164D"/>
    <w:rsid w:val="000116EB"/>
    <w:rsid w:val="00011723"/>
    <w:rsid w:val="000119C4"/>
    <w:rsid w:val="000119D4"/>
    <w:rsid w:val="00011AC5"/>
    <w:rsid w:val="00011C4D"/>
    <w:rsid w:val="00011E63"/>
    <w:rsid w:val="00012238"/>
    <w:rsid w:val="000122BB"/>
    <w:rsid w:val="000124E4"/>
    <w:rsid w:val="00012514"/>
    <w:rsid w:val="00012535"/>
    <w:rsid w:val="00012865"/>
    <w:rsid w:val="00012932"/>
    <w:rsid w:val="00012B31"/>
    <w:rsid w:val="00012C16"/>
    <w:rsid w:val="00012D07"/>
    <w:rsid w:val="00012F7D"/>
    <w:rsid w:val="00013110"/>
    <w:rsid w:val="000131B8"/>
    <w:rsid w:val="0001328E"/>
    <w:rsid w:val="00013323"/>
    <w:rsid w:val="0001359E"/>
    <w:rsid w:val="000135BE"/>
    <w:rsid w:val="000137CA"/>
    <w:rsid w:val="00013816"/>
    <w:rsid w:val="00013847"/>
    <w:rsid w:val="000139F0"/>
    <w:rsid w:val="00013AF2"/>
    <w:rsid w:val="00013B77"/>
    <w:rsid w:val="00013C5C"/>
    <w:rsid w:val="00013EDF"/>
    <w:rsid w:val="00014001"/>
    <w:rsid w:val="0001446D"/>
    <w:rsid w:val="00014A6E"/>
    <w:rsid w:val="00014A9F"/>
    <w:rsid w:val="00014E1B"/>
    <w:rsid w:val="00014E6A"/>
    <w:rsid w:val="00014FC5"/>
    <w:rsid w:val="00014FD6"/>
    <w:rsid w:val="00015398"/>
    <w:rsid w:val="0001545F"/>
    <w:rsid w:val="00015500"/>
    <w:rsid w:val="00015837"/>
    <w:rsid w:val="0001593A"/>
    <w:rsid w:val="00015B54"/>
    <w:rsid w:val="00015CD6"/>
    <w:rsid w:val="000160E5"/>
    <w:rsid w:val="00016103"/>
    <w:rsid w:val="0001615B"/>
    <w:rsid w:val="00016383"/>
    <w:rsid w:val="000164BF"/>
    <w:rsid w:val="00016C48"/>
    <w:rsid w:val="00016D37"/>
    <w:rsid w:val="00016DA8"/>
    <w:rsid w:val="00016E14"/>
    <w:rsid w:val="00017097"/>
    <w:rsid w:val="000170F4"/>
    <w:rsid w:val="0001765F"/>
    <w:rsid w:val="00017678"/>
    <w:rsid w:val="0001772F"/>
    <w:rsid w:val="000178F3"/>
    <w:rsid w:val="00017944"/>
    <w:rsid w:val="00017A20"/>
    <w:rsid w:val="00017B9E"/>
    <w:rsid w:val="00017BAA"/>
    <w:rsid w:val="00017DA7"/>
    <w:rsid w:val="00017E07"/>
    <w:rsid w:val="00017EC5"/>
    <w:rsid w:val="00017EFD"/>
    <w:rsid w:val="00020086"/>
    <w:rsid w:val="00020213"/>
    <w:rsid w:val="000202B9"/>
    <w:rsid w:val="00020423"/>
    <w:rsid w:val="00020431"/>
    <w:rsid w:val="00020655"/>
    <w:rsid w:val="00020879"/>
    <w:rsid w:val="00020A54"/>
    <w:rsid w:val="00020B67"/>
    <w:rsid w:val="00020BCB"/>
    <w:rsid w:val="00020C06"/>
    <w:rsid w:val="00020CCB"/>
    <w:rsid w:val="00020D11"/>
    <w:rsid w:val="00020E1D"/>
    <w:rsid w:val="00020F6E"/>
    <w:rsid w:val="000210EB"/>
    <w:rsid w:val="0002143D"/>
    <w:rsid w:val="0002151F"/>
    <w:rsid w:val="00021570"/>
    <w:rsid w:val="000215B7"/>
    <w:rsid w:val="00021614"/>
    <w:rsid w:val="00021720"/>
    <w:rsid w:val="0002175D"/>
    <w:rsid w:val="000218E9"/>
    <w:rsid w:val="00021B3D"/>
    <w:rsid w:val="00021BA2"/>
    <w:rsid w:val="00021DAF"/>
    <w:rsid w:val="00021DC2"/>
    <w:rsid w:val="00022042"/>
    <w:rsid w:val="0002217C"/>
    <w:rsid w:val="0002220F"/>
    <w:rsid w:val="00022287"/>
    <w:rsid w:val="000224E2"/>
    <w:rsid w:val="000224F0"/>
    <w:rsid w:val="0002285A"/>
    <w:rsid w:val="000229B4"/>
    <w:rsid w:val="00022B8A"/>
    <w:rsid w:val="00022DAE"/>
    <w:rsid w:val="0002300B"/>
    <w:rsid w:val="00023457"/>
    <w:rsid w:val="00023BA0"/>
    <w:rsid w:val="00023BCE"/>
    <w:rsid w:val="00023D5A"/>
    <w:rsid w:val="00023F33"/>
    <w:rsid w:val="00023F7A"/>
    <w:rsid w:val="00024138"/>
    <w:rsid w:val="000243CE"/>
    <w:rsid w:val="000246A0"/>
    <w:rsid w:val="00024774"/>
    <w:rsid w:val="000249D7"/>
    <w:rsid w:val="00024AE5"/>
    <w:rsid w:val="00024CF2"/>
    <w:rsid w:val="00024DFA"/>
    <w:rsid w:val="000251F4"/>
    <w:rsid w:val="000256A1"/>
    <w:rsid w:val="0002578E"/>
    <w:rsid w:val="000257E1"/>
    <w:rsid w:val="00025802"/>
    <w:rsid w:val="0002583B"/>
    <w:rsid w:val="00025879"/>
    <w:rsid w:val="0002588F"/>
    <w:rsid w:val="000258C3"/>
    <w:rsid w:val="000258D9"/>
    <w:rsid w:val="00025A30"/>
    <w:rsid w:val="00025B7C"/>
    <w:rsid w:val="00025D11"/>
    <w:rsid w:val="00025D6C"/>
    <w:rsid w:val="00025E30"/>
    <w:rsid w:val="00025E88"/>
    <w:rsid w:val="000263B7"/>
    <w:rsid w:val="00026477"/>
    <w:rsid w:val="00026A40"/>
    <w:rsid w:val="00026C04"/>
    <w:rsid w:val="00027107"/>
    <w:rsid w:val="00027177"/>
    <w:rsid w:val="0002740F"/>
    <w:rsid w:val="00027438"/>
    <w:rsid w:val="00027815"/>
    <w:rsid w:val="000279B4"/>
    <w:rsid w:val="00027CCD"/>
    <w:rsid w:val="00027CF1"/>
    <w:rsid w:val="00027E0B"/>
    <w:rsid w:val="00027E3C"/>
    <w:rsid w:val="000301E0"/>
    <w:rsid w:val="0003021F"/>
    <w:rsid w:val="00030412"/>
    <w:rsid w:val="00030423"/>
    <w:rsid w:val="0003048B"/>
    <w:rsid w:val="00030520"/>
    <w:rsid w:val="0003065F"/>
    <w:rsid w:val="000306DC"/>
    <w:rsid w:val="000308B6"/>
    <w:rsid w:val="00030B90"/>
    <w:rsid w:val="00030DCC"/>
    <w:rsid w:val="00031181"/>
    <w:rsid w:val="00031244"/>
    <w:rsid w:val="000313CC"/>
    <w:rsid w:val="00031616"/>
    <w:rsid w:val="000316E9"/>
    <w:rsid w:val="00031738"/>
    <w:rsid w:val="000318A7"/>
    <w:rsid w:val="000318A9"/>
    <w:rsid w:val="00031960"/>
    <w:rsid w:val="00031A27"/>
    <w:rsid w:val="00031BD5"/>
    <w:rsid w:val="00031CBD"/>
    <w:rsid w:val="00031D54"/>
    <w:rsid w:val="00031D9E"/>
    <w:rsid w:val="00031DCE"/>
    <w:rsid w:val="00031DF4"/>
    <w:rsid w:val="00031F29"/>
    <w:rsid w:val="000322E6"/>
    <w:rsid w:val="000323B1"/>
    <w:rsid w:val="000325D5"/>
    <w:rsid w:val="0003269A"/>
    <w:rsid w:val="00032746"/>
    <w:rsid w:val="00032927"/>
    <w:rsid w:val="000329F0"/>
    <w:rsid w:val="00032C9B"/>
    <w:rsid w:val="00032D2D"/>
    <w:rsid w:val="00032EE0"/>
    <w:rsid w:val="00032F69"/>
    <w:rsid w:val="00033116"/>
    <w:rsid w:val="0003347D"/>
    <w:rsid w:val="0003373D"/>
    <w:rsid w:val="00033A97"/>
    <w:rsid w:val="00033D7A"/>
    <w:rsid w:val="00033DD3"/>
    <w:rsid w:val="00033E08"/>
    <w:rsid w:val="00033E4D"/>
    <w:rsid w:val="00033ED7"/>
    <w:rsid w:val="0003408D"/>
    <w:rsid w:val="00034105"/>
    <w:rsid w:val="00034158"/>
    <w:rsid w:val="00034170"/>
    <w:rsid w:val="0003448B"/>
    <w:rsid w:val="000344B9"/>
    <w:rsid w:val="0003450E"/>
    <w:rsid w:val="00034563"/>
    <w:rsid w:val="000345C1"/>
    <w:rsid w:val="00034BD8"/>
    <w:rsid w:val="00034C3B"/>
    <w:rsid w:val="00034CA9"/>
    <w:rsid w:val="00034EE1"/>
    <w:rsid w:val="00034F89"/>
    <w:rsid w:val="0003501B"/>
    <w:rsid w:val="000350E6"/>
    <w:rsid w:val="000352B4"/>
    <w:rsid w:val="000353D5"/>
    <w:rsid w:val="000355EE"/>
    <w:rsid w:val="00035745"/>
    <w:rsid w:val="00035801"/>
    <w:rsid w:val="00035CFD"/>
    <w:rsid w:val="00035D81"/>
    <w:rsid w:val="00035E51"/>
    <w:rsid w:val="00035FB2"/>
    <w:rsid w:val="0003607A"/>
    <w:rsid w:val="00036133"/>
    <w:rsid w:val="00036171"/>
    <w:rsid w:val="00036267"/>
    <w:rsid w:val="0003628C"/>
    <w:rsid w:val="0003632E"/>
    <w:rsid w:val="0003640C"/>
    <w:rsid w:val="0003651E"/>
    <w:rsid w:val="00036680"/>
    <w:rsid w:val="00036953"/>
    <w:rsid w:val="00036CC7"/>
    <w:rsid w:val="00036E45"/>
    <w:rsid w:val="00036F7E"/>
    <w:rsid w:val="00036FF1"/>
    <w:rsid w:val="00037138"/>
    <w:rsid w:val="0003728F"/>
    <w:rsid w:val="000372E3"/>
    <w:rsid w:val="00037479"/>
    <w:rsid w:val="00037496"/>
    <w:rsid w:val="000374C6"/>
    <w:rsid w:val="000375FD"/>
    <w:rsid w:val="00037628"/>
    <w:rsid w:val="00037642"/>
    <w:rsid w:val="000377DC"/>
    <w:rsid w:val="00037939"/>
    <w:rsid w:val="00037A06"/>
    <w:rsid w:val="00037A6B"/>
    <w:rsid w:val="00037AC0"/>
    <w:rsid w:val="00037B05"/>
    <w:rsid w:val="00037B20"/>
    <w:rsid w:val="00037C83"/>
    <w:rsid w:val="00037EBD"/>
    <w:rsid w:val="0004020F"/>
    <w:rsid w:val="000403CF"/>
    <w:rsid w:val="00040857"/>
    <w:rsid w:val="000408FE"/>
    <w:rsid w:val="0004094C"/>
    <w:rsid w:val="00040B08"/>
    <w:rsid w:val="00040C6D"/>
    <w:rsid w:val="00040E5D"/>
    <w:rsid w:val="00040F0F"/>
    <w:rsid w:val="00040FB2"/>
    <w:rsid w:val="000411B5"/>
    <w:rsid w:val="000412DA"/>
    <w:rsid w:val="0004151D"/>
    <w:rsid w:val="000415E5"/>
    <w:rsid w:val="00041744"/>
    <w:rsid w:val="000417AF"/>
    <w:rsid w:val="00041877"/>
    <w:rsid w:val="000418BC"/>
    <w:rsid w:val="00041C2E"/>
    <w:rsid w:val="00041E6A"/>
    <w:rsid w:val="0004203E"/>
    <w:rsid w:val="0004218F"/>
    <w:rsid w:val="000422A8"/>
    <w:rsid w:val="000425C9"/>
    <w:rsid w:val="000426C3"/>
    <w:rsid w:val="00042959"/>
    <w:rsid w:val="00042A57"/>
    <w:rsid w:val="00042B52"/>
    <w:rsid w:val="00042FD1"/>
    <w:rsid w:val="00042FE2"/>
    <w:rsid w:val="000430B3"/>
    <w:rsid w:val="00043222"/>
    <w:rsid w:val="0004345A"/>
    <w:rsid w:val="00043481"/>
    <w:rsid w:val="00043507"/>
    <w:rsid w:val="0004371B"/>
    <w:rsid w:val="00043788"/>
    <w:rsid w:val="0004380C"/>
    <w:rsid w:val="00043ACC"/>
    <w:rsid w:val="00043B38"/>
    <w:rsid w:val="00043BC1"/>
    <w:rsid w:val="00043D70"/>
    <w:rsid w:val="00043F19"/>
    <w:rsid w:val="00043FBD"/>
    <w:rsid w:val="0004406A"/>
    <w:rsid w:val="0004407D"/>
    <w:rsid w:val="000442B6"/>
    <w:rsid w:val="00044448"/>
    <w:rsid w:val="00044690"/>
    <w:rsid w:val="0004471C"/>
    <w:rsid w:val="00044A10"/>
    <w:rsid w:val="00044BFF"/>
    <w:rsid w:val="00044DDF"/>
    <w:rsid w:val="00044E5B"/>
    <w:rsid w:val="00044F6A"/>
    <w:rsid w:val="00045426"/>
    <w:rsid w:val="0004543D"/>
    <w:rsid w:val="000456F2"/>
    <w:rsid w:val="00045913"/>
    <w:rsid w:val="00045923"/>
    <w:rsid w:val="00045AF6"/>
    <w:rsid w:val="00045B23"/>
    <w:rsid w:val="00045C01"/>
    <w:rsid w:val="00045C2C"/>
    <w:rsid w:val="00045CA1"/>
    <w:rsid w:val="00045D21"/>
    <w:rsid w:val="00045D4C"/>
    <w:rsid w:val="00045F55"/>
    <w:rsid w:val="0004601D"/>
    <w:rsid w:val="00046072"/>
    <w:rsid w:val="0004619C"/>
    <w:rsid w:val="000463F2"/>
    <w:rsid w:val="00046B3E"/>
    <w:rsid w:val="00046C96"/>
    <w:rsid w:val="00046CCF"/>
    <w:rsid w:val="00046CFA"/>
    <w:rsid w:val="00046D0A"/>
    <w:rsid w:val="00046D12"/>
    <w:rsid w:val="00046E5C"/>
    <w:rsid w:val="00046FC3"/>
    <w:rsid w:val="000472B0"/>
    <w:rsid w:val="0004739E"/>
    <w:rsid w:val="000473EB"/>
    <w:rsid w:val="00047459"/>
    <w:rsid w:val="000476AC"/>
    <w:rsid w:val="0004780D"/>
    <w:rsid w:val="00047B66"/>
    <w:rsid w:val="00047B89"/>
    <w:rsid w:val="00047DB8"/>
    <w:rsid w:val="0005007D"/>
    <w:rsid w:val="0005045D"/>
    <w:rsid w:val="00050856"/>
    <w:rsid w:val="00050E34"/>
    <w:rsid w:val="00050EE0"/>
    <w:rsid w:val="00050F39"/>
    <w:rsid w:val="0005104C"/>
    <w:rsid w:val="00051540"/>
    <w:rsid w:val="00051731"/>
    <w:rsid w:val="00051949"/>
    <w:rsid w:val="00051A6E"/>
    <w:rsid w:val="00051B85"/>
    <w:rsid w:val="00051CF2"/>
    <w:rsid w:val="00051D2B"/>
    <w:rsid w:val="00051FC8"/>
    <w:rsid w:val="00052328"/>
    <w:rsid w:val="000523EB"/>
    <w:rsid w:val="00052604"/>
    <w:rsid w:val="00052818"/>
    <w:rsid w:val="00052845"/>
    <w:rsid w:val="0005287F"/>
    <w:rsid w:val="00052A42"/>
    <w:rsid w:val="00052B02"/>
    <w:rsid w:val="00052D0C"/>
    <w:rsid w:val="000531A0"/>
    <w:rsid w:val="00053913"/>
    <w:rsid w:val="00053A1E"/>
    <w:rsid w:val="00053A68"/>
    <w:rsid w:val="00053AA7"/>
    <w:rsid w:val="00053C1F"/>
    <w:rsid w:val="00053EA4"/>
    <w:rsid w:val="00053ECC"/>
    <w:rsid w:val="00053F54"/>
    <w:rsid w:val="00053FC1"/>
    <w:rsid w:val="00054262"/>
    <w:rsid w:val="000542D5"/>
    <w:rsid w:val="00054458"/>
    <w:rsid w:val="00054559"/>
    <w:rsid w:val="00054A79"/>
    <w:rsid w:val="00055089"/>
    <w:rsid w:val="0005517F"/>
    <w:rsid w:val="0005520F"/>
    <w:rsid w:val="00055299"/>
    <w:rsid w:val="000552EF"/>
    <w:rsid w:val="0005554E"/>
    <w:rsid w:val="00055832"/>
    <w:rsid w:val="00055A5A"/>
    <w:rsid w:val="00055BB0"/>
    <w:rsid w:val="00055DBC"/>
    <w:rsid w:val="00055FEF"/>
    <w:rsid w:val="00056171"/>
    <w:rsid w:val="00056396"/>
    <w:rsid w:val="0005642A"/>
    <w:rsid w:val="00056455"/>
    <w:rsid w:val="00056562"/>
    <w:rsid w:val="0005659E"/>
    <w:rsid w:val="00056690"/>
    <w:rsid w:val="0005671B"/>
    <w:rsid w:val="000567E6"/>
    <w:rsid w:val="0005682E"/>
    <w:rsid w:val="0005684D"/>
    <w:rsid w:val="00056966"/>
    <w:rsid w:val="00056A7C"/>
    <w:rsid w:val="00056B07"/>
    <w:rsid w:val="0005701F"/>
    <w:rsid w:val="000570C5"/>
    <w:rsid w:val="00057155"/>
    <w:rsid w:val="000573EA"/>
    <w:rsid w:val="0005757D"/>
    <w:rsid w:val="00057837"/>
    <w:rsid w:val="00057845"/>
    <w:rsid w:val="000578F5"/>
    <w:rsid w:val="000579EA"/>
    <w:rsid w:val="00057B13"/>
    <w:rsid w:val="00057C65"/>
    <w:rsid w:val="00057CA6"/>
    <w:rsid w:val="00057D93"/>
    <w:rsid w:val="00057EF7"/>
    <w:rsid w:val="00057FDB"/>
    <w:rsid w:val="0006009E"/>
    <w:rsid w:val="00060327"/>
    <w:rsid w:val="00060621"/>
    <w:rsid w:val="0006083F"/>
    <w:rsid w:val="00060B10"/>
    <w:rsid w:val="00060B89"/>
    <w:rsid w:val="00060E05"/>
    <w:rsid w:val="00060E84"/>
    <w:rsid w:val="00060F0C"/>
    <w:rsid w:val="00061011"/>
    <w:rsid w:val="000611DB"/>
    <w:rsid w:val="000613BA"/>
    <w:rsid w:val="00061B29"/>
    <w:rsid w:val="00061B36"/>
    <w:rsid w:val="00061C16"/>
    <w:rsid w:val="00061C67"/>
    <w:rsid w:val="00061D19"/>
    <w:rsid w:val="00061D1A"/>
    <w:rsid w:val="00061DDB"/>
    <w:rsid w:val="00062332"/>
    <w:rsid w:val="00062414"/>
    <w:rsid w:val="00062424"/>
    <w:rsid w:val="00062983"/>
    <w:rsid w:val="00062E68"/>
    <w:rsid w:val="00062EB1"/>
    <w:rsid w:val="00063385"/>
    <w:rsid w:val="000635E7"/>
    <w:rsid w:val="000637B6"/>
    <w:rsid w:val="00063908"/>
    <w:rsid w:val="00063C82"/>
    <w:rsid w:val="00063CC4"/>
    <w:rsid w:val="00064016"/>
    <w:rsid w:val="00064140"/>
    <w:rsid w:val="00064260"/>
    <w:rsid w:val="000644C4"/>
    <w:rsid w:val="0006471C"/>
    <w:rsid w:val="0006485B"/>
    <w:rsid w:val="0006487C"/>
    <w:rsid w:val="00064B07"/>
    <w:rsid w:val="00064C3F"/>
    <w:rsid w:val="00064C47"/>
    <w:rsid w:val="00064E4B"/>
    <w:rsid w:val="000653F2"/>
    <w:rsid w:val="0006550E"/>
    <w:rsid w:val="000655AF"/>
    <w:rsid w:val="000656C0"/>
    <w:rsid w:val="000656E5"/>
    <w:rsid w:val="0006579D"/>
    <w:rsid w:val="000657B6"/>
    <w:rsid w:val="00065813"/>
    <w:rsid w:val="000658D0"/>
    <w:rsid w:val="00065989"/>
    <w:rsid w:val="00065A56"/>
    <w:rsid w:val="00065B42"/>
    <w:rsid w:val="00066057"/>
    <w:rsid w:val="0006629E"/>
    <w:rsid w:val="0006634F"/>
    <w:rsid w:val="0006636E"/>
    <w:rsid w:val="00066468"/>
    <w:rsid w:val="000664B4"/>
    <w:rsid w:val="0006661E"/>
    <w:rsid w:val="00066643"/>
    <w:rsid w:val="000666A7"/>
    <w:rsid w:val="000667D1"/>
    <w:rsid w:val="0006691B"/>
    <w:rsid w:val="00066B5C"/>
    <w:rsid w:val="00066B64"/>
    <w:rsid w:val="0006710D"/>
    <w:rsid w:val="00067267"/>
    <w:rsid w:val="00067537"/>
    <w:rsid w:val="0006757C"/>
    <w:rsid w:val="0006769B"/>
    <w:rsid w:val="00067744"/>
    <w:rsid w:val="000677E1"/>
    <w:rsid w:val="00067871"/>
    <w:rsid w:val="00067A91"/>
    <w:rsid w:val="00067BDC"/>
    <w:rsid w:val="00067D1B"/>
    <w:rsid w:val="00067D51"/>
    <w:rsid w:val="00067E42"/>
    <w:rsid w:val="00067FDD"/>
    <w:rsid w:val="00067FE1"/>
    <w:rsid w:val="00070050"/>
    <w:rsid w:val="00070089"/>
    <w:rsid w:val="0007010C"/>
    <w:rsid w:val="000701B3"/>
    <w:rsid w:val="00070546"/>
    <w:rsid w:val="00070598"/>
    <w:rsid w:val="000706F8"/>
    <w:rsid w:val="00070897"/>
    <w:rsid w:val="000709BE"/>
    <w:rsid w:val="00070D7B"/>
    <w:rsid w:val="0007110D"/>
    <w:rsid w:val="00071141"/>
    <w:rsid w:val="00071170"/>
    <w:rsid w:val="000714A3"/>
    <w:rsid w:val="000714FD"/>
    <w:rsid w:val="0007167D"/>
    <w:rsid w:val="0007175A"/>
    <w:rsid w:val="00071994"/>
    <w:rsid w:val="000719A3"/>
    <w:rsid w:val="00071B33"/>
    <w:rsid w:val="00071B63"/>
    <w:rsid w:val="00071C01"/>
    <w:rsid w:val="00072274"/>
    <w:rsid w:val="0007237A"/>
    <w:rsid w:val="00072588"/>
    <w:rsid w:val="000725B5"/>
    <w:rsid w:val="00072601"/>
    <w:rsid w:val="00072613"/>
    <w:rsid w:val="00072627"/>
    <w:rsid w:val="00072782"/>
    <w:rsid w:val="000727B1"/>
    <w:rsid w:val="000727F1"/>
    <w:rsid w:val="000729F0"/>
    <w:rsid w:val="00072AA6"/>
    <w:rsid w:val="00072B99"/>
    <w:rsid w:val="00072F11"/>
    <w:rsid w:val="00072FA0"/>
    <w:rsid w:val="0007300A"/>
    <w:rsid w:val="0007303F"/>
    <w:rsid w:val="00073159"/>
    <w:rsid w:val="000733D5"/>
    <w:rsid w:val="00073411"/>
    <w:rsid w:val="00073517"/>
    <w:rsid w:val="00073632"/>
    <w:rsid w:val="000738B2"/>
    <w:rsid w:val="00073A77"/>
    <w:rsid w:val="00073BBE"/>
    <w:rsid w:val="00073C9E"/>
    <w:rsid w:val="00073CD1"/>
    <w:rsid w:val="00073CE5"/>
    <w:rsid w:val="000742E7"/>
    <w:rsid w:val="000743A2"/>
    <w:rsid w:val="00074435"/>
    <w:rsid w:val="0007477B"/>
    <w:rsid w:val="000748D8"/>
    <w:rsid w:val="000748F4"/>
    <w:rsid w:val="00074BDA"/>
    <w:rsid w:val="00074CAF"/>
    <w:rsid w:val="00074CD1"/>
    <w:rsid w:val="00074FFF"/>
    <w:rsid w:val="0007508F"/>
    <w:rsid w:val="00075285"/>
    <w:rsid w:val="000752EB"/>
    <w:rsid w:val="000759FF"/>
    <w:rsid w:val="00075B2A"/>
    <w:rsid w:val="00075C45"/>
    <w:rsid w:val="00075DC6"/>
    <w:rsid w:val="00075DF0"/>
    <w:rsid w:val="000765E3"/>
    <w:rsid w:val="00076651"/>
    <w:rsid w:val="00076859"/>
    <w:rsid w:val="00076995"/>
    <w:rsid w:val="00076A15"/>
    <w:rsid w:val="00076B2A"/>
    <w:rsid w:val="00076C40"/>
    <w:rsid w:val="00076D59"/>
    <w:rsid w:val="00077032"/>
    <w:rsid w:val="000770CD"/>
    <w:rsid w:val="00077219"/>
    <w:rsid w:val="0007744A"/>
    <w:rsid w:val="000774EC"/>
    <w:rsid w:val="00077990"/>
    <w:rsid w:val="000779ED"/>
    <w:rsid w:val="00077D11"/>
    <w:rsid w:val="0008012A"/>
    <w:rsid w:val="0008024D"/>
    <w:rsid w:val="00080409"/>
    <w:rsid w:val="000804FB"/>
    <w:rsid w:val="0008051A"/>
    <w:rsid w:val="0008052B"/>
    <w:rsid w:val="0008061C"/>
    <w:rsid w:val="000806B8"/>
    <w:rsid w:val="00080998"/>
    <w:rsid w:val="00080A6C"/>
    <w:rsid w:val="00080B3A"/>
    <w:rsid w:val="00080B93"/>
    <w:rsid w:val="00080C85"/>
    <w:rsid w:val="00080DED"/>
    <w:rsid w:val="00080E35"/>
    <w:rsid w:val="00080ED0"/>
    <w:rsid w:val="00081118"/>
    <w:rsid w:val="00081149"/>
    <w:rsid w:val="0008116B"/>
    <w:rsid w:val="00081342"/>
    <w:rsid w:val="000814C2"/>
    <w:rsid w:val="000814E6"/>
    <w:rsid w:val="00081634"/>
    <w:rsid w:val="0008167F"/>
    <w:rsid w:val="00081723"/>
    <w:rsid w:val="000818B7"/>
    <w:rsid w:val="00081C3A"/>
    <w:rsid w:val="00081E00"/>
    <w:rsid w:val="00082205"/>
    <w:rsid w:val="00082302"/>
    <w:rsid w:val="0008255A"/>
    <w:rsid w:val="00082567"/>
    <w:rsid w:val="000826A5"/>
    <w:rsid w:val="000827D9"/>
    <w:rsid w:val="000829E5"/>
    <w:rsid w:val="00082B8A"/>
    <w:rsid w:val="00082C86"/>
    <w:rsid w:val="00082CA4"/>
    <w:rsid w:val="00082DB6"/>
    <w:rsid w:val="00083507"/>
    <w:rsid w:val="000835FE"/>
    <w:rsid w:val="0008362A"/>
    <w:rsid w:val="0008362D"/>
    <w:rsid w:val="00083773"/>
    <w:rsid w:val="000837D9"/>
    <w:rsid w:val="00083B91"/>
    <w:rsid w:val="00083BD4"/>
    <w:rsid w:val="00083C2A"/>
    <w:rsid w:val="00083E3D"/>
    <w:rsid w:val="00083E90"/>
    <w:rsid w:val="00083F1D"/>
    <w:rsid w:val="00083F31"/>
    <w:rsid w:val="00084035"/>
    <w:rsid w:val="000841C4"/>
    <w:rsid w:val="0008446C"/>
    <w:rsid w:val="000845E7"/>
    <w:rsid w:val="00084864"/>
    <w:rsid w:val="00084CB4"/>
    <w:rsid w:val="00084D35"/>
    <w:rsid w:val="000850AF"/>
    <w:rsid w:val="000850D6"/>
    <w:rsid w:val="0008515D"/>
    <w:rsid w:val="00085244"/>
    <w:rsid w:val="000859B0"/>
    <w:rsid w:val="00085ABB"/>
    <w:rsid w:val="00085B2B"/>
    <w:rsid w:val="00085B39"/>
    <w:rsid w:val="00085E00"/>
    <w:rsid w:val="00085FBE"/>
    <w:rsid w:val="00085FBF"/>
    <w:rsid w:val="0008621D"/>
    <w:rsid w:val="000865EA"/>
    <w:rsid w:val="000865F8"/>
    <w:rsid w:val="00086A31"/>
    <w:rsid w:val="00086C9F"/>
    <w:rsid w:val="00086DB9"/>
    <w:rsid w:val="00086DDE"/>
    <w:rsid w:val="00086DF2"/>
    <w:rsid w:val="00086E21"/>
    <w:rsid w:val="00086F36"/>
    <w:rsid w:val="00086FCF"/>
    <w:rsid w:val="00086FEC"/>
    <w:rsid w:val="00087226"/>
    <w:rsid w:val="0008731A"/>
    <w:rsid w:val="000873C9"/>
    <w:rsid w:val="000874B0"/>
    <w:rsid w:val="000875B0"/>
    <w:rsid w:val="000875E4"/>
    <w:rsid w:val="0008779B"/>
    <w:rsid w:val="000878CC"/>
    <w:rsid w:val="00087D25"/>
    <w:rsid w:val="000903DA"/>
    <w:rsid w:val="000904A8"/>
    <w:rsid w:val="0009050A"/>
    <w:rsid w:val="00090740"/>
    <w:rsid w:val="000909ED"/>
    <w:rsid w:val="00090B9D"/>
    <w:rsid w:val="00090D42"/>
    <w:rsid w:val="00090E92"/>
    <w:rsid w:val="00090EC7"/>
    <w:rsid w:val="00091109"/>
    <w:rsid w:val="0009114D"/>
    <w:rsid w:val="00091190"/>
    <w:rsid w:val="00091211"/>
    <w:rsid w:val="00091218"/>
    <w:rsid w:val="000916F0"/>
    <w:rsid w:val="00091716"/>
    <w:rsid w:val="000917D4"/>
    <w:rsid w:val="000917EA"/>
    <w:rsid w:val="00091A47"/>
    <w:rsid w:val="00091A55"/>
    <w:rsid w:val="00091AB7"/>
    <w:rsid w:val="00091BE8"/>
    <w:rsid w:val="00091CE4"/>
    <w:rsid w:val="00091DE8"/>
    <w:rsid w:val="00091E74"/>
    <w:rsid w:val="00091EF7"/>
    <w:rsid w:val="00091FF5"/>
    <w:rsid w:val="00092024"/>
    <w:rsid w:val="00092161"/>
    <w:rsid w:val="00092558"/>
    <w:rsid w:val="00092692"/>
    <w:rsid w:val="000926C7"/>
    <w:rsid w:val="00092796"/>
    <w:rsid w:val="00092A22"/>
    <w:rsid w:val="00092A40"/>
    <w:rsid w:val="00092BC9"/>
    <w:rsid w:val="00092E4B"/>
    <w:rsid w:val="00092E7E"/>
    <w:rsid w:val="00092F15"/>
    <w:rsid w:val="00092FBD"/>
    <w:rsid w:val="000930F1"/>
    <w:rsid w:val="0009321A"/>
    <w:rsid w:val="0009359B"/>
    <w:rsid w:val="0009374C"/>
    <w:rsid w:val="000938FC"/>
    <w:rsid w:val="0009394A"/>
    <w:rsid w:val="00093C34"/>
    <w:rsid w:val="00093F70"/>
    <w:rsid w:val="00093FBB"/>
    <w:rsid w:val="00094157"/>
    <w:rsid w:val="00094372"/>
    <w:rsid w:val="000943A8"/>
    <w:rsid w:val="0009453E"/>
    <w:rsid w:val="0009460A"/>
    <w:rsid w:val="000947A3"/>
    <w:rsid w:val="00094840"/>
    <w:rsid w:val="000948DF"/>
    <w:rsid w:val="0009490D"/>
    <w:rsid w:val="00094E01"/>
    <w:rsid w:val="00094FEC"/>
    <w:rsid w:val="000951EE"/>
    <w:rsid w:val="000953BC"/>
    <w:rsid w:val="00095833"/>
    <w:rsid w:val="000959EE"/>
    <w:rsid w:val="00095C79"/>
    <w:rsid w:val="00095DD3"/>
    <w:rsid w:val="00095E75"/>
    <w:rsid w:val="00095F12"/>
    <w:rsid w:val="00095F43"/>
    <w:rsid w:val="000961D5"/>
    <w:rsid w:val="00096505"/>
    <w:rsid w:val="00096822"/>
    <w:rsid w:val="000968A9"/>
    <w:rsid w:val="000968FA"/>
    <w:rsid w:val="00096D31"/>
    <w:rsid w:val="00096D72"/>
    <w:rsid w:val="00096DAB"/>
    <w:rsid w:val="00096E36"/>
    <w:rsid w:val="00096E3F"/>
    <w:rsid w:val="00096F87"/>
    <w:rsid w:val="00097069"/>
    <w:rsid w:val="00097085"/>
    <w:rsid w:val="00097112"/>
    <w:rsid w:val="0009715E"/>
    <w:rsid w:val="00097327"/>
    <w:rsid w:val="00097590"/>
    <w:rsid w:val="000976D3"/>
    <w:rsid w:val="0009770F"/>
    <w:rsid w:val="00097772"/>
    <w:rsid w:val="00097945"/>
    <w:rsid w:val="00097A0A"/>
    <w:rsid w:val="00097C4E"/>
    <w:rsid w:val="00097EBA"/>
    <w:rsid w:val="000A0027"/>
    <w:rsid w:val="000A0286"/>
    <w:rsid w:val="000A02CB"/>
    <w:rsid w:val="000A0317"/>
    <w:rsid w:val="000A0470"/>
    <w:rsid w:val="000A06C4"/>
    <w:rsid w:val="000A0823"/>
    <w:rsid w:val="000A0A26"/>
    <w:rsid w:val="000A0A44"/>
    <w:rsid w:val="000A0C00"/>
    <w:rsid w:val="000A0C82"/>
    <w:rsid w:val="000A0EFC"/>
    <w:rsid w:val="000A1260"/>
    <w:rsid w:val="000A12B9"/>
    <w:rsid w:val="000A1490"/>
    <w:rsid w:val="000A14BE"/>
    <w:rsid w:val="000A1556"/>
    <w:rsid w:val="000A1765"/>
    <w:rsid w:val="000A17B5"/>
    <w:rsid w:val="000A1BDE"/>
    <w:rsid w:val="000A1C00"/>
    <w:rsid w:val="000A1C55"/>
    <w:rsid w:val="000A1D56"/>
    <w:rsid w:val="000A1DF9"/>
    <w:rsid w:val="000A1EBF"/>
    <w:rsid w:val="000A1F04"/>
    <w:rsid w:val="000A21D4"/>
    <w:rsid w:val="000A2203"/>
    <w:rsid w:val="000A221E"/>
    <w:rsid w:val="000A237E"/>
    <w:rsid w:val="000A2552"/>
    <w:rsid w:val="000A25B3"/>
    <w:rsid w:val="000A26FE"/>
    <w:rsid w:val="000A295C"/>
    <w:rsid w:val="000A2BAF"/>
    <w:rsid w:val="000A2CBC"/>
    <w:rsid w:val="000A2DFF"/>
    <w:rsid w:val="000A31AE"/>
    <w:rsid w:val="000A32E7"/>
    <w:rsid w:val="000A3396"/>
    <w:rsid w:val="000A33C2"/>
    <w:rsid w:val="000A3459"/>
    <w:rsid w:val="000A385E"/>
    <w:rsid w:val="000A3907"/>
    <w:rsid w:val="000A3A14"/>
    <w:rsid w:val="000A3B17"/>
    <w:rsid w:val="000A3C0A"/>
    <w:rsid w:val="000A4260"/>
    <w:rsid w:val="000A446D"/>
    <w:rsid w:val="000A44FF"/>
    <w:rsid w:val="000A4579"/>
    <w:rsid w:val="000A47CD"/>
    <w:rsid w:val="000A48F3"/>
    <w:rsid w:val="000A49EF"/>
    <w:rsid w:val="000A4A1B"/>
    <w:rsid w:val="000A4D20"/>
    <w:rsid w:val="000A4DCA"/>
    <w:rsid w:val="000A4DD1"/>
    <w:rsid w:val="000A4DFD"/>
    <w:rsid w:val="000A50B4"/>
    <w:rsid w:val="000A519D"/>
    <w:rsid w:val="000A521C"/>
    <w:rsid w:val="000A52D8"/>
    <w:rsid w:val="000A5323"/>
    <w:rsid w:val="000A55A1"/>
    <w:rsid w:val="000A5799"/>
    <w:rsid w:val="000A57A7"/>
    <w:rsid w:val="000A59D6"/>
    <w:rsid w:val="000A5A92"/>
    <w:rsid w:val="000A5CFD"/>
    <w:rsid w:val="000A600C"/>
    <w:rsid w:val="000A611D"/>
    <w:rsid w:val="000A61E0"/>
    <w:rsid w:val="000A61E4"/>
    <w:rsid w:val="000A631A"/>
    <w:rsid w:val="000A631E"/>
    <w:rsid w:val="000A63D6"/>
    <w:rsid w:val="000A6733"/>
    <w:rsid w:val="000A6785"/>
    <w:rsid w:val="000A6814"/>
    <w:rsid w:val="000A6AA8"/>
    <w:rsid w:val="000A6F9E"/>
    <w:rsid w:val="000A727C"/>
    <w:rsid w:val="000A72C0"/>
    <w:rsid w:val="000A7323"/>
    <w:rsid w:val="000A7466"/>
    <w:rsid w:val="000A7CC6"/>
    <w:rsid w:val="000A7DAA"/>
    <w:rsid w:val="000A7DE2"/>
    <w:rsid w:val="000B01F0"/>
    <w:rsid w:val="000B0247"/>
    <w:rsid w:val="000B0588"/>
    <w:rsid w:val="000B06EB"/>
    <w:rsid w:val="000B0707"/>
    <w:rsid w:val="000B0757"/>
    <w:rsid w:val="000B09FE"/>
    <w:rsid w:val="000B0B5C"/>
    <w:rsid w:val="000B0BD2"/>
    <w:rsid w:val="000B0C41"/>
    <w:rsid w:val="000B0C8D"/>
    <w:rsid w:val="000B0D14"/>
    <w:rsid w:val="000B0DA3"/>
    <w:rsid w:val="000B0DDE"/>
    <w:rsid w:val="000B0FE3"/>
    <w:rsid w:val="000B10CD"/>
    <w:rsid w:val="000B1354"/>
    <w:rsid w:val="000B13A5"/>
    <w:rsid w:val="000B1428"/>
    <w:rsid w:val="000B14E2"/>
    <w:rsid w:val="000B15D3"/>
    <w:rsid w:val="000B160E"/>
    <w:rsid w:val="000B16CE"/>
    <w:rsid w:val="000B1742"/>
    <w:rsid w:val="000B194F"/>
    <w:rsid w:val="000B1A07"/>
    <w:rsid w:val="000B1A4D"/>
    <w:rsid w:val="000B1A81"/>
    <w:rsid w:val="000B1B63"/>
    <w:rsid w:val="000B1C44"/>
    <w:rsid w:val="000B1E23"/>
    <w:rsid w:val="000B1FCB"/>
    <w:rsid w:val="000B21A6"/>
    <w:rsid w:val="000B22E8"/>
    <w:rsid w:val="000B2437"/>
    <w:rsid w:val="000B2879"/>
    <w:rsid w:val="000B2B3C"/>
    <w:rsid w:val="000B2D62"/>
    <w:rsid w:val="000B2E57"/>
    <w:rsid w:val="000B3086"/>
    <w:rsid w:val="000B3166"/>
    <w:rsid w:val="000B3241"/>
    <w:rsid w:val="000B3384"/>
    <w:rsid w:val="000B3494"/>
    <w:rsid w:val="000B34C8"/>
    <w:rsid w:val="000B359E"/>
    <w:rsid w:val="000B35FD"/>
    <w:rsid w:val="000B3601"/>
    <w:rsid w:val="000B3830"/>
    <w:rsid w:val="000B3849"/>
    <w:rsid w:val="000B38DD"/>
    <w:rsid w:val="000B3B58"/>
    <w:rsid w:val="000B3B66"/>
    <w:rsid w:val="000B3C25"/>
    <w:rsid w:val="000B3C5E"/>
    <w:rsid w:val="000B3D37"/>
    <w:rsid w:val="000B3DE8"/>
    <w:rsid w:val="000B3E20"/>
    <w:rsid w:val="000B3F3B"/>
    <w:rsid w:val="000B42A3"/>
    <w:rsid w:val="000B42AC"/>
    <w:rsid w:val="000B44F5"/>
    <w:rsid w:val="000B44F9"/>
    <w:rsid w:val="000B45A3"/>
    <w:rsid w:val="000B46EB"/>
    <w:rsid w:val="000B4707"/>
    <w:rsid w:val="000B47CB"/>
    <w:rsid w:val="000B4BAA"/>
    <w:rsid w:val="000B4C74"/>
    <w:rsid w:val="000B4DAA"/>
    <w:rsid w:val="000B4F38"/>
    <w:rsid w:val="000B4F73"/>
    <w:rsid w:val="000B5223"/>
    <w:rsid w:val="000B5224"/>
    <w:rsid w:val="000B52EE"/>
    <w:rsid w:val="000B5362"/>
    <w:rsid w:val="000B55D6"/>
    <w:rsid w:val="000B5615"/>
    <w:rsid w:val="000B5728"/>
    <w:rsid w:val="000B57F3"/>
    <w:rsid w:val="000B5A12"/>
    <w:rsid w:val="000B5AA5"/>
    <w:rsid w:val="000B5D34"/>
    <w:rsid w:val="000B5FDB"/>
    <w:rsid w:val="000B646C"/>
    <w:rsid w:val="000B65AD"/>
    <w:rsid w:val="000B65B5"/>
    <w:rsid w:val="000B65C0"/>
    <w:rsid w:val="000B6722"/>
    <w:rsid w:val="000B68E9"/>
    <w:rsid w:val="000B6974"/>
    <w:rsid w:val="000B6AC1"/>
    <w:rsid w:val="000B6D16"/>
    <w:rsid w:val="000B6D4A"/>
    <w:rsid w:val="000B6DA0"/>
    <w:rsid w:val="000B6F0A"/>
    <w:rsid w:val="000B7019"/>
    <w:rsid w:val="000B7046"/>
    <w:rsid w:val="000B7213"/>
    <w:rsid w:val="000B7229"/>
    <w:rsid w:val="000B72AE"/>
    <w:rsid w:val="000B7336"/>
    <w:rsid w:val="000B7513"/>
    <w:rsid w:val="000B7823"/>
    <w:rsid w:val="000B7876"/>
    <w:rsid w:val="000B7895"/>
    <w:rsid w:val="000B7A5C"/>
    <w:rsid w:val="000B7AE1"/>
    <w:rsid w:val="000B7B58"/>
    <w:rsid w:val="000B7E97"/>
    <w:rsid w:val="000B7FBD"/>
    <w:rsid w:val="000B7FD6"/>
    <w:rsid w:val="000C012B"/>
    <w:rsid w:val="000C02B0"/>
    <w:rsid w:val="000C04F8"/>
    <w:rsid w:val="000C04FE"/>
    <w:rsid w:val="000C07E7"/>
    <w:rsid w:val="000C080A"/>
    <w:rsid w:val="000C0952"/>
    <w:rsid w:val="000C0D90"/>
    <w:rsid w:val="000C0DE8"/>
    <w:rsid w:val="000C0E13"/>
    <w:rsid w:val="000C0F12"/>
    <w:rsid w:val="000C0F43"/>
    <w:rsid w:val="000C0F77"/>
    <w:rsid w:val="000C0FF0"/>
    <w:rsid w:val="000C10E7"/>
    <w:rsid w:val="000C1277"/>
    <w:rsid w:val="000C149C"/>
    <w:rsid w:val="000C1761"/>
    <w:rsid w:val="000C1D50"/>
    <w:rsid w:val="000C1DB8"/>
    <w:rsid w:val="000C1E27"/>
    <w:rsid w:val="000C1FD5"/>
    <w:rsid w:val="000C200D"/>
    <w:rsid w:val="000C20C4"/>
    <w:rsid w:val="000C2187"/>
    <w:rsid w:val="000C2688"/>
    <w:rsid w:val="000C26C3"/>
    <w:rsid w:val="000C27FD"/>
    <w:rsid w:val="000C2D72"/>
    <w:rsid w:val="000C2FFE"/>
    <w:rsid w:val="000C3090"/>
    <w:rsid w:val="000C32BD"/>
    <w:rsid w:val="000C3323"/>
    <w:rsid w:val="000C33A9"/>
    <w:rsid w:val="000C33EF"/>
    <w:rsid w:val="000C3534"/>
    <w:rsid w:val="000C3558"/>
    <w:rsid w:val="000C35DD"/>
    <w:rsid w:val="000C3725"/>
    <w:rsid w:val="000C3A4E"/>
    <w:rsid w:val="000C426E"/>
    <w:rsid w:val="000C45DB"/>
    <w:rsid w:val="000C4673"/>
    <w:rsid w:val="000C46D4"/>
    <w:rsid w:val="000C46FE"/>
    <w:rsid w:val="000C482A"/>
    <w:rsid w:val="000C4EF6"/>
    <w:rsid w:val="000C50AD"/>
    <w:rsid w:val="000C516B"/>
    <w:rsid w:val="000C51E7"/>
    <w:rsid w:val="000C53FA"/>
    <w:rsid w:val="000C5567"/>
    <w:rsid w:val="000C558C"/>
    <w:rsid w:val="000C581A"/>
    <w:rsid w:val="000C5A1A"/>
    <w:rsid w:val="000C5A8A"/>
    <w:rsid w:val="000C5B5D"/>
    <w:rsid w:val="000C5C4A"/>
    <w:rsid w:val="000C5DD5"/>
    <w:rsid w:val="000C5ED7"/>
    <w:rsid w:val="000C5EEE"/>
    <w:rsid w:val="000C5F13"/>
    <w:rsid w:val="000C5FEE"/>
    <w:rsid w:val="000C60F2"/>
    <w:rsid w:val="000C60F4"/>
    <w:rsid w:val="000C6162"/>
    <w:rsid w:val="000C616D"/>
    <w:rsid w:val="000C616F"/>
    <w:rsid w:val="000C67AD"/>
    <w:rsid w:val="000C684D"/>
    <w:rsid w:val="000C6AA5"/>
    <w:rsid w:val="000C6AD8"/>
    <w:rsid w:val="000C6CEF"/>
    <w:rsid w:val="000C6DA1"/>
    <w:rsid w:val="000C6DFA"/>
    <w:rsid w:val="000C6F6B"/>
    <w:rsid w:val="000C7150"/>
    <w:rsid w:val="000C717B"/>
    <w:rsid w:val="000C722B"/>
    <w:rsid w:val="000C768E"/>
    <w:rsid w:val="000C7881"/>
    <w:rsid w:val="000C797B"/>
    <w:rsid w:val="000C7A07"/>
    <w:rsid w:val="000C7A69"/>
    <w:rsid w:val="000C7A6B"/>
    <w:rsid w:val="000C7AEE"/>
    <w:rsid w:val="000C7B57"/>
    <w:rsid w:val="000C7D0B"/>
    <w:rsid w:val="000C7F1D"/>
    <w:rsid w:val="000C7F46"/>
    <w:rsid w:val="000D008C"/>
    <w:rsid w:val="000D01A7"/>
    <w:rsid w:val="000D01BA"/>
    <w:rsid w:val="000D01D4"/>
    <w:rsid w:val="000D01FB"/>
    <w:rsid w:val="000D026C"/>
    <w:rsid w:val="000D04B1"/>
    <w:rsid w:val="000D04F8"/>
    <w:rsid w:val="000D0674"/>
    <w:rsid w:val="000D07B3"/>
    <w:rsid w:val="000D0877"/>
    <w:rsid w:val="000D0988"/>
    <w:rsid w:val="000D0ACC"/>
    <w:rsid w:val="000D0C51"/>
    <w:rsid w:val="000D0D04"/>
    <w:rsid w:val="000D0F24"/>
    <w:rsid w:val="000D10DA"/>
    <w:rsid w:val="000D13D6"/>
    <w:rsid w:val="000D17B0"/>
    <w:rsid w:val="000D186E"/>
    <w:rsid w:val="000D1951"/>
    <w:rsid w:val="000D1A77"/>
    <w:rsid w:val="000D1AE4"/>
    <w:rsid w:val="000D1C91"/>
    <w:rsid w:val="000D1E07"/>
    <w:rsid w:val="000D1F8A"/>
    <w:rsid w:val="000D2079"/>
    <w:rsid w:val="000D24EB"/>
    <w:rsid w:val="000D284B"/>
    <w:rsid w:val="000D288C"/>
    <w:rsid w:val="000D2A45"/>
    <w:rsid w:val="000D2B34"/>
    <w:rsid w:val="000D2DB0"/>
    <w:rsid w:val="000D2E2F"/>
    <w:rsid w:val="000D2F17"/>
    <w:rsid w:val="000D31ED"/>
    <w:rsid w:val="000D3635"/>
    <w:rsid w:val="000D37E0"/>
    <w:rsid w:val="000D3856"/>
    <w:rsid w:val="000D398A"/>
    <w:rsid w:val="000D39BD"/>
    <w:rsid w:val="000D3A24"/>
    <w:rsid w:val="000D3EC5"/>
    <w:rsid w:val="000D3F38"/>
    <w:rsid w:val="000D403B"/>
    <w:rsid w:val="000D4251"/>
    <w:rsid w:val="000D4262"/>
    <w:rsid w:val="000D43E3"/>
    <w:rsid w:val="000D4A0D"/>
    <w:rsid w:val="000D4C58"/>
    <w:rsid w:val="000D4C8A"/>
    <w:rsid w:val="000D5034"/>
    <w:rsid w:val="000D55E7"/>
    <w:rsid w:val="000D5A5E"/>
    <w:rsid w:val="000D5AAD"/>
    <w:rsid w:val="000D5B70"/>
    <w:rsid w:val="000D5BD4"/>
    <w:rsid w:val="000D5DD6"/>
    <w:rsid w:val="000D6008"/>
    <w:rsid w:val="000D60C1"/>
    <w:rsid w:val="000D6181"/>
    <w:rsid w:val="000D63BC"/>
    <w:rsid w:val="000D63FF"/>
    <w:rsid w:val="000D65FE"/>
    <w:rsid w:val="000D6807"/>
    <w:rsid w:val="000D6915"/>
    <w:rsid w:val="000D69BC"/>
    <w:rsid w:val="000D6C15"/>
    <w:rsid w:val="000D6D57"/>
    <w:rsid w:val="000D6E71"/>
    <w:rsid w:val="000D6EB2"/>
    <w:rsid w:val="000D6F11"/>
    <w:rsid w:val="000D72B1"/>
    <w:rsid w:val="000D7387"/>
    <w:rsid w:val="000D768D"/>
    <w:rsid w:val="000D782D"/>
    <w:rsid w:val="000D7D3F"/>
    <w:rsid w:val="000D7E61"/>
    <w:rsid w:val="000D7E93"/>
    <w:rsid w:val="000D7EFE"/>
    <w:rsid w:val="000D7FE8"/>
    <w:rsid w:val="000E01A9"/>
    <w:rsid w:val="000E033B"/>
    <w:rsid w:val="000E03AB"/>
    <w:rsid w:val="000E05DE"/>
    <w:rsid w:val="000E089D"/>
    <w:rsid w:val="000E099B"/>
    <w:rsid w:val="000E0B00"/>
    <w:rsid w:val="000E0B2A"/>
    <w:rsid w:val="000E0B74"/>
    <w:rsid w:val="000E0EE1"/>
    <w:rsid w:val="000E0F4F"/>
    <w:rsid w:val="000E104F"/>
    <w:rsid w:val="000E127F"/>
    <w:rsid w:val="000E130B"/>
    <w:rsid w:val="000E1546"/>
    <w:rsid w:val="000E1562"/>
    <w:rsid w:val="000E176A"/>
    <w:rsid w:val="000E1799"/>
    <w:rsid w:val="000E1924"/>
    <w:rsid w:val="000E19EF"/>
    <w:rsid w:val="000E19FA"/>
    <w:rsid w:val="000E1A65"/>
    <w:rsid w:val="000E1CA6"/>
    <w:rsid w:val="000E1D1B"/>
    <w:rsid w:val="000E234C"/>
    <w:rsid w:val="000E2451"/>
    <w:rsid w:val="000E2515"/>
    <w:rsid w:val="000E2572"/>
    <w:rsid w:val="000E2640"/>
    <w:rsid w:val="000E2983"/>
    <w:rsid w:val="000E2B6A"/>
    <w:rsid w:val="000E2BBD"/>
    <w:rsid w:val="000E2C25"/>
    <w:rsid w:val="000E2EEE"/>
    <w:rsid w:val="000E30FB"/>
    <w:rsid w:val="000E31CB"/>
    <w:rsid w:val="000E332D"/>
    <w:rsid w:val="000E3503"/>
    <w:rsid w:val="000E3585"/>
    <w:rsid w:val="000E358F"/>
    <w:rsid w:val="000E3592"/>
    <w:rsid w:val="000E37B8"/>
    <w:rsid w:val="000E395F"/>
    <w:rsid w:val="000E39C3"/>
    <w:rsid w:val="000E3BF5"/>
    <w:rsid w:val="000E3F0E"/>
    <w:rsid w:val="000E40D7"/>
    <w:rsid w:val="000E40FA"/>
    <w:rsid w:val="000E42F1"/>
    <w:rsid w:val="000E48AA"/>
    <w:rsid w:val="000E4900"/>
    <w:rsid w:val="000E4B41"/>
    <w:rsid w:val="000E4BC5"/>
    <w:rsid w:val="000E4D22"/>
    <w:rsid w:val="000E4E9F"/>
    <w:rsid w:val="000E4ECB"/>
    <w:rsid w:val="000E5079"/>
    <w:rsid w:val="000E50FA"/>
    <w:rsid w:val="000E5177"/>
    <w:rsid w:val="000E5314"/>
    <w:rsid w:val="000E566F"/>
    <w:rsid w:val="000E57FD"/>
    <w:rsid w:val="000E583A"/>
    <w:rsid w:val="000E58B0"/>
    <w:rsid w:val="000E58B6"/>
    <w:rsid w:val="000E58CD"/>
    <w:rsid w:val="000E5B4C"/>
    <w:rsid w:val="000E5C51"/>
    <w:rsid w:val="000E5ECD"/>
    <w:rsid w:val="000E5F07"/>
    <w:rsid w:val="000E605F"/>
    <w:rsid w:val="000E60B3"/>
    <w:rsid w:val="000E614A"/>
    <w:rsid w:val="000E6265"/>
    <w:rsid w:val="000E6688"/>
    <w:rsid w:val="000E6AB9"/>
    <w:rsid w:val="000E6B5E"/>
    <w:rsid w:val="000E6BAF"/>
    <w:rsid w:val="000E6CB3"/>
    <w:rsid w:val="000E6D69"/>
    <w:rsid w:val="000E6DF3"/>
    <w:rsid w:val="000E7564"/>
    <w:rsid w:val="000E75AA"/>
    <w:rsid w:val="000E7820"/>
    <w:rsid w:val="000E7974"/>
    <w:rsid w:val="000E7A02"/>
    <w:rsid w:val="000E7AA1"/>
    <w:rsid w:val="000E7AFE"/>
    <w:rsid w:val="000E7B13"/>
    <w:rsid w:val="000E7BDD"/>
    <w:rsid w:val="000E7CBA"/>
    <w:rsid w:val="000E7E5D"/>
    <w:rsid w:val="000E7EAC"/>
    <w:rsid w:val="000E7ECC"/>
    <w:rsid w:val="000E7F35"/>
    <w:rsid w:val="000F006B"/>
    <w:rsid w:val="000F0369"/>
    <w:rsid w:val="000F05A6"/>
    <w:rsid w:val="000F05B3"/>
    <w:rsid w:val="000F05F1"/>
    <w:rsid w:val="000F085F"/>
    <w:rsid w:val="000F0CE8"/>
    <w:rsid w:val="000F0CEB"/>
    <w:rsid w:val="000F0D92"/>
    <w:rsid w:val="000F0F66"/>
    <w:rsid w:val="000F102B"/>
    <w:rsid w:val="000F1084"/>
    <w:rsid w:val="000F1164"/>
    <w:rsid w:val="000F12A2"/>
    <w:rsid w:val="000F12BA"/>
    <w:rsid w:val="000F13DD"/>
    <w:rsid w:val="000F13F3"/>
    <w:rsid w:val="000F1553"/>
    <w:rsid w:val="000F15CD"/>
    <w:rsid w:val="000F1614"/>
    <w:rsid w:val="000F1742"/>
    <w:rsid w:val="000F1791"/>
    <w:rsid w:val="000F198D"/>
    <w:rsid w:val="000F1AC8"/>
    <w:rsid w:val="000F1C67"/>
    <w:rsid w:val="000F1D17"/>
    <w:rsid w:val="000F1D2E"/>
    <w:rsid w:val="000F1E18"/>
    <w:rsid w:val="000F1F03"/>
    <w:rsid w:val="000F1F3A"/>
    <w:rsid w:val="000F1FE0"/>
    <w:rsid w:val="000F2218"/>
    <w:rsid w:val="000F2482"/>
    <w:rsid w:val="000F2563"/>
    <w:rsid w:val="000F2760"/>
    <w:rsid w:val="000F27AB"/>
    <w:rsid w:val="000F2D61"/>
    <w:rsid w:val="000F2EEC"/>
    <w:rsid w:val="000F31AD"/>
    <w:rsid w:val="000F3272"/>
    <w:rsid w:val="000F3349"/>
    <w:rsid w:val="000F3401"/>
    <w:rsid w:val="000F375A"/>
    <w:rsid w:val="000F37C5"/>
    <w:rsid w:val="000F39A6"/>
    <w:rsid w:val="000F39A8"/>
    <w:rsid w:val="000F3A5F"/>
    <w:rsid w:val="000F3DB2"/>
    <w:rsid w:val="000F3DBB"/>
    <w:rsid w:val="000F3E11"/>
    <w:rsid w:val="000F3EE8"/>
    <w:rsid w:val="000F4012"/>
    <w:rsid w:val="000F4020"/>
    <w:rsid w:val="000F409B"/>
    <w:rsid w:val="000F416C"/>
    <w:rsid w:val="000F47B5"/>
    <w:rsid w:val="000F47FE"/>
    <w:rsid w:val="000F487E"/>
    <w:rsid w:val="000F4927"/>
    <w:rsid w:val="000F4B11"/>
    <w:rsid w:val="000F4B88"/>
    <w:rsid w:val="000F4E00"/>
    <w:rsid w:val="000F4F20"/>
    <w:rsid w:val="000F546D"/>
    <w:rsid w:val="000F570A"/>
    <w:rsid w:val="000F5A16"/>
    <w:rsid w:val="000F5AC7"/>
    <w:rsid w:val="000F604E"/>
    <w:rsid w:val="000F61EE"/>
    <w:rsid w:val="000F6322"/>
    <w:rsid w:val="000F637B"/>
    <w:rsid w:val="000F63D7"/>
    <w:rsid w:val="000F66BB"/>
    <w:rsid w:val="000F6756"/>
    <w:rsid w:val="000F6764"/>
    <w:rsid w:val="000F67DD"/>
    <w:rsid w:val="000F6914"/>
    <w:rsid w:val="000F698A"/>
    <w:rsid w:val="000F69CC"/>
    <w:rsid w:val="000F6AEE"/>
    <w:rsid w:val="000F6B1B"/>
    <w:rsid w:val="000F6C8C"/>
    <w:rsid w:val="000F6E8B"/>
    <w:rsid w:val="000F6F11"/>
    <w:rsid w:val="000F7092"/>
    <w:rsid w:val="000F7255"/>
    <w:rsid w:val="000F754C"/>
    <w:rsid w:val="000F7666"/>
    <w:rsid w:val="000F7881"/>
    <w:rsid w:val="000F7A45"/>
    <w:rsid w:val="000F7AC6"/>
    <w:rsid w:val="000F7EC6"/>
    <w:rsid w:val="000F7F13"/>
    <w:rsid w:val="000F7F14"/>
    <w:rsid w:val="000F7F29"/>
    <w:rsid w:val="000F7F9F"/>
    <w:rsid w:val="00100011"/>
    <w:rsid w:val="0010002D"/>
    <w:rsid w:val="00100054"/>
    <w:rsid w:val="00100059"/>
    <w:rsid w:val="0010005F"/>
    <w:rsid w:val="001003F7"/>
    <w:rsid w:val="00100453"/>
    <w:rsid w:val="00100745"/>
    <w:rsid w:val="00100C2C"/>
    <w:rsid w:val="00100CB2"/>
    <w:rsid w:val="00100DCE"/>
    <w:rsid w:val="00100DDC"/>
    <w:rsid w:val="00100DF5"/>
    <w:rsid w:val="001011BC"/>
    <w:rsid w:val="001011D0"/>
    <w:rsid w:val="001012DE"/>
    <w:rsid w:val="00101645"/>
    <w:rsid w:val="00101F88"/>
    <w:rsid w:val="00102280"/>
    <w:rsid w:val="0010231D"/>
    <w:rsid w:val="00102502"/>
    <w:rsid w:val="0010295B"/>
    <w:rsid w:val="00102A8E"/>
    <w:rsid w:val="00102C79"/>
    <w:rsid w:val="00102DA1"/>
    <w:rsid w:val="00102E01"/>
    <w:rsid w:val="0010330D"/>
    <w:rsid w:val="001033C2"/>
    <w:rsid w:val="0010347F"/>
    <w:rsid w:val="001034BC"/>
    <w:rsid w:val="001034EF"/>
    <w:rsid w:val="0010365D"/>
    <w:rsid w:val="00103677"/>
    <w:rsid w:val="00103A64"/>
    <w:rsid w:val="00103E82"/>
    <w:rsid w:val="001043C3"/>
    <w:rsid w:val="001043EF"/>
    <w:rsid w:val="001046E3"/>
    <w:rsid w:val="001048B6"/>
    <w:rsid w:val="00104959"/>
    <w:rsid w:val="00104995"/>
    <w:rsid w:val="00104A4E"/>
    <w:rsid w:val="00104D60"/>
    <w:rsid w:val="00104E98"/>
    <w:rsid w:val="00104EA3"/>
    <w:rsid w:val="00104FB0"/>
    <w:rsid w:val="001050C1"/>
    <w:rsid w:val="001051E9"/>
    <w:rsid w:val="0010520A"/>
    <w:rsid w:val="001052B5"/>
    <w:rsid w:val="001052DB"/>
    <w:rsid w:val="00105324"/>
    <w:rsid w:val="001054CE"/>
    <w:rsid w:val="00105550"/>
    <w:rsid w:val="0010563D"/>
    <w:rsid w:val="00105868"/>
    <w:rsid w:val="001058A1"/>
    <w:rsid w:val="00105B42"/>
    <w:rsid w:val="00105BD8"/>
    <w:rsid w:val="00105D3D"/>
    <w:rsid w:val="00105F6B"/>
    <w:rsid w:val="00105F86"/>
    <w:rsid w:val="00106052"/>
    <w:rsid w:val="0010636E"/>
    <w:rsid w:val="001063AA"/>
    <w:rsid w:val="001063FA"/>
    <w:rsid w:val="0010682B"/>
    <w:rsid w:val="001069DA"/>
    <w:rsid w:val="00106ACE"/>
    <w:rsid w:val="00106EAF"/>
    <w:rsid w:val="00106F59"/>
    <w:rsid w:val="00107327"/>
    <w:rsid w:val="0010736A"/>
    <w:rsid w:val="0010750A"/>
    <w:rsid w:val="00107600"/>
    <w:rsid w:val="0010764A"/>
    <w:rsid w:val="00107A64"/>
    <w:rsid w:val="00107B69"/>
    <w:rsid w:val="00107EE3"/>
    <w:rsid w:val="00107F42"/>
    <w:rsid w:val="00110007"/>
    <w:rsid w:val="001100A0"/>
    <w:rsid w:val="00110134"/>
    <w:rsid w:val="001102AB"/>
    <w:rsid w:val="00110653"/>
    <w:rsid w:val="00110674"/>
    <w:rsid w:val="0011067C"/>
    <w:rsid w:val="001106A1"/>
    <w:rsid w:val="001106D3"/>
    <w:rsid w:val="00110772"/>
    <w:rsid w:val="00110883"/>
    <w:rsid w:val="00110B11"/>
    <w:rsid w:val="00110BF6"/>
    <w:rsid w:val="00110DB1"/>
    <w:rsid w:val="00110ECE"/>
    <w:rsid w:val="00110F08"/>
    <w:rsid w:val="001114EB"/>
    <w:rsid w:val="001115DE"/>
    <w:rsid w:val="00111780"/>
    <w:rsid w:val="001117BE"/>
    <w:rsid w:val="00111899"/>
    <w:rsid w:val="001119A6"/>
    <w:rsid w:val="001119FD"/>
    <w:rsid w:val="00111B42"/>
    <w:rsid w:val="001120FA"/>
    <w:rsid w:val="00112107"/>
    <w:rsid w:val="0011212A"/>
    <w:rsid w:val="00112154"/>
    <w:rsid w:val="0011217A"/>
    <w:rsid w:val="001121BA"/>
    <w:rsid w:val="0011232E"/>
    <w:rsid w:val="0011277C"/>
    <w:rsid w:val="00112804"/>
    <w:rsid w:val="00112A33"/>
    <w:rsid w:val="00112ABE"/>
    <w:rsid w:val="00112BD4"/>
    <w:rsid w:val="00112D63"/>
    <w:rsid w:val="00113076"/>
    <w:rsid w:val="00113400"/>
    <w:rsid w:val="001136C1"/>
    <w:rsid w:val="00113813"/>
    <w:rsid w:val="001139F7"/>
    <w:rsid w:val="0011419A"/>
    <w:rsid w:val="00114382"/>
    <w:rsid w:val="001145CC"/>
    <w:rsid w:val="00114614"/>
    <w:rsid w:val="001147FE"/>
    <w:rsid w:val="00114AB8"/>
    <w:rsid w:val="00114B02"/>
    <w:rsid w:val="00114C74"/>
    <w:rsid w:val="0011510E"/>
    <w:rsid w:val="001153E5"/>
    <w:rsid w:val="0011540A"/>
    <w:rsid w:val="001156AD"/>
    <w:rsid w:val="00115861"/>
    <w:rsid w:val="00115A06"/>
    <w:rsid w:val="00115B35"/>
    <w:rsid w:val="00115D6C"/>
    <w:rsid w:val="00115D7B"/>
    <w:rsid w:val="00115F2B"/>
    <w:rsid w:val="00115F6F"/>
    <w:rsid w:val="00115FB2"/>
    <w:rsid w:val="001163F0"/>
    <w:rsid w:val="00116658"/>
    <w:rsid w:val="0011671D"/>
    <w:rsid w:val="00116908"/>
    <w:rsid w:val="001169DE"/>
    <w:rsid w:val="001170C8"/>
    <w:rsid w:val="001170D0"/>
    <w:rsid w:val="001171E4"/>
    <w:rsid w:val="00117310"/>
    <w:rsid w:val="00117389"/>
    <w:rsid w:val="001175BB"/>
    <w:rsid w:val="0011787D"/>
    <w:rsid w:val="00117A5F"/>
    <w:rsid w:val="00117B7F"/>
    <w:rsid w:val="00117D11"/>
    <w:rsid w:val="00117EF6"/>
    <w:rsid w:val="00120182"/>
    <w:rsid w:val="00120262"/>
    <w:rsid w:val="001202E6"/>
    <w:rsid w:val="00120313"/>
    <w:rsid w:val="0012034F"/>
    <w:rsid w:val="0012044B"/>
    <w:rsid w:val="001204E8"/>
    <w:rsid w:val="00120556"/>
    <w:rsid w:val="0012077B"/>
    <w:rsid w:val="001207E6"/>
    <w:rsid w:val="001208B4"/>
    <w:rsid w:val="00120A0B"/>
    <w:rsid w:val="00120DFC"/>
    <w:rsid w:val="0012118A"/>
    <w:rsid w:val="001212FF"/>
    <w:rsid w:val="0012139E"/>
    <w:rsid w:val="001214F1"/>
    <w:rsid w:val="00121518"/>
    <w:rsid w:val="0012153A"/>
    <w:rsid w:val="0012175D"/>
    <w:rsid w:val="0012181B"/>
    <w:rsid w:val="00121830"/>
    <w:rsid w:val="00121D39"/>
    <w:rsid w:val="001223A7"/>
    <w:rsid w:val="00122428"/>
    <w:rsid w:val="00122480"/>
    <w:rsid w:val="00122693"/>
    <w:rsid w:val="0012272A"/>
    <w:rsid w:val="00122895"/>
    <w:rsid w:val="00122A56"/>
    <w:rsid w:val="00122A7A"/>
    <w:rsid w:val="00122ACF"/>
    <w:rsid w:val="00122B6B"/>
    <w:rsid w:val="00122D23"/>
    <w:rsid w:val="00122E0F"/>
    <w:rsid w:val="00123157"/>
    <w:rsid w:val="001231B7"/>
    <w:rsid w:val="00123226"/>
    <w:rsid w:val="001232BF"/>
    <w:rsid w:val="0012385B"/>
    <w:rsid w:val="00123894"/>
    <w:rsid w:val="001238F9"/>
    <w:rsid w:val="00123945"/>
    <w:rsid w:val="00124093"/>
    <w:rsid w:val="00124259"/>
    <w:rsid w:val="001242D8"/>
    <w:rsid w:val="00124485"/>
    <w:rsid w:val="001244EA"/>
    <w:rsid w:val="00124579"/>
    <w:rsid w:val="00124624"/>
    <w:rsid w:val="00124637"/>
    <w:rsid w:val="00124641"/>
    <w:rsid w:val="0012472C"/>
    <w:rsid w:val="001247C4"/>
    <w:rsid w:val="001247C7"/>
    <w:rsid w:val="001247FB"/>
    <w:rsid w:val="001248A5"/>
    <w:rsid w:val="0012495B"/>
    <w:rsid w:val="00124A17"/>
    <w:rsid w:val="00124C5B"/>
    <w:rsid w:val="00124D32"/>
    <w:rsid w:val="00124E5E"/>
    <w:rsid w:val="00125014"/>
    <w:rsid w:val="001251A6"/>
    <w:rsid w:val="00125992"/>
    <w:rsid w:val="00125E39"/>
    <w:rsid w:val="00125E42"/>
    <w:rsid w:val="00125E98"/>
    <w:rsid w:val="00126123"/>
    <w:rsid w:val="001263F3"/>
    <w:rsid w:val="001265FA"/>
    <w:rsid w:val="0012661B"/>
    <w:rsid w:val="001266D2"/>
    <w:rsid w:val="001267A1"/>
    <w:rsid w:val="00126808"/>
    <w:rsid w:val="00126850"/>
    <w:rsid w:val="00126992"/>
    <w:rsid w:val="00126A84"/>
    <w:rsid w:val="00126AB2"/>
    <w:rsid w:val="00126B00"/>
    <w:rsid w:val="00126C21"/>
    <w:rsid w:val="00126D57"/>
    <w:rsid w:val="00126E04"/>
    <w:rsid w:val="00126EEE"/>
    <w:rsid w:val="001270E4"/>
    <w:rsid w:val="00127208"/>
    <w:rsid w:val="001273BE"/>
    <w:rsid w:val="00127462"/>
    <w:rsid w:val="001277ED"/>
    <w:rsid w:val="00127929"/>
    <w:rsid w:val="001279F1"/>
    <w:rsid w:val="00127B63"/>
    <w:rsid w:val="00127CEF"/>
    <w:rsid w:val="00127D7A"/>
    <w:rsid w:val="00127E35"/>
    <w:rsid w:val="00127E58"/>
    <w:rsid w:val="00127F4D"/>
    <w:rsid w:val="0013010A"/>
    <w:rsid w:val="0013014B"/>
    <w:rsid w:val="00130224"/>
    <w:rsid w:val="00130258"/>
    <w:rsid w:val="0013027E"/>
    <w:rsid w:val="0013035C"/>
    <w:rsid w:val="00130A0F"/>
    <w:rsid w:val="00130A92"/>
    <w:rsid w:val="00130C39"/>
    <w:rsid w:val="00130C94"/>
    <w:rsid w:val="00130D9B"/>
    <w:rsid w:val="00130DF5"/>
    <w:rsid w:val="00130EE4"/>
    <w:rsid w:val="00130FD2"/>
    <w:rsid w:val="0013119E"/>
    <w:rsid w:val="001312D2"/>
    <w:rsid w:val="001312F2"/>
    <w:rsid w:val="001315BB"/>
    <w:rsid w:val="00131636"/>
    <w:rsid w:val="00131936"/>
    <w:rsid w:val="00131BD7"/>
    <w:rsid w:val="00131CE1"/>
    <w:rsid w:val="0013279C"/>
    <w:rsid w:val="00132909"/>
    <w:rsid w:val="001329F4"/>
    <w:rsid w:val="00132B39"/>
    <w:rsid w:val="00132D6F"/>
    <w:rsid w:val="00132E91"/>
    <w:rsid w:val="00132E98"/>
    <w:rsid w:val="00133048"/>
    <w:rsid w:val="001333F2"/>
    <w:rsid w:val="00133593"/>
    <w:rsid w:val="00133611"/>
    <w:rsid w:val="00133752"/>
    <w:rsid w:val="00133843"/>
    <w:rsid w:val="001338EB"/>
    <w:rsid w:val="00133A5E"/>
    <w:rsid w:val="00133A9B"/>
    <w:rsid w:val="00133B2E"/>
    <w:rsid w:val="00133BCB"/>
    <w:rsid w:val="00133D79"/>
    <w:rsid w:val="00133DF7"/>
    <w:rsid w:val="00133EE1"/>
    <w:rsid w:val="00134076"/>
    <w:rsid w:val="001340B7"/>
    <w:rsid w:val="001341F3"/>
    <w:rsid w:val="0013421D"/>
    <w:rsid w:val="001342ED"/>
    <w:rsid w:val="001346D2"/>
    <w:rsid w:val="001348EE"/>
    <w:rsid w:val="00134B41"/>
    <w:rsid w:val="00134DA6"/>
    <w:rsid w:val="00134EB1"/>
    <w:rsid w:val="00134F5F"/>
    <w:rsid w:val="001350FC"/>
    <w:rsid w:val="00135214"/>
    <w:rsid w:val="00135216"/>
    <w:rsid w:val="001355A2"/>
    <w:rsid w:val="001355CD"/>
    <w:rsid w:val="001357C6"/>
    <w:rsid w:val="00135884"/>
    <w:rsid w:val="00135A4E"/>
    <w:rsid w:val="00135A81"/>
    <w:rsid w:val="00135AC2"/>
    <w:rsid w:val="00135CB1"/>
    <w:rsid w:val="00135DA0"/>
    <w:rsid w:val="00135E29"/>
    <w:rsid w:val="001361B0"/>
    <w:rsid w:val="001361D0"/>
    <w:rsid w:val="001362DC"/>
    <w:rsid w:val="00136640"/>
    <w:rsid w:val="0013680F"/>
    <w:rsid w:val="00136A69"/>
    <w:rsid w:val="00136A9F"/>
    <w:rsid w:val="00136C7A"/>
    <w:rsid w:val="00136D69"/>
    <w:rsid w:val="00136D7C"/>
    <w:rsid w:val="00136DD9"/>
    <w:rsid w:val="00136E77"/>
    <w:rsid w:val="00136F17"/>
    <w:rsid w:val="00136FAD"/>
    <w:rsid w:val="00136FB5"/>
    <w:rsid w:val="00136FB9"/>
    <w:rsid w:val="001372F9"/>
    <w:rsid w:val="001373E5"/>
    <w:rsid w:val="0013755D"/>
    <w:rsid w:val="00137567"/>
    <w:rsid w:val="00137593"/>
    <w:rsid w:val="00137608"/>
    <w:rsid w:val="001379FA"/>
    <w:rsid w:val="00137B16"/>
    <w:rsid w:val="0014012B"/>
    <w:rsid w:val="00140644"/>
    <w:rsid w:val="00140749"/>
    <w:rsid w:val="00140821"/>
    <w:rsid w:val="0014095D"/>
    <w:rsid w:val="00140EBD"/>
    <w:rsid w:val="00141345"/>
    <w:rsid w:val="0014140B"/>
    <w:rsid w:val="001416C1"/>
    <w:rsid w:val="00141700"/>
    <w:rsid w:val="00141BDE"/>
    <w:rsid w:val="00141D9B"/>
    <w:rsid w:val="00141DFA"/>
    <w:rsid w:val="00141F65"/>
    <w:rsid w:val="00142162"/>
    <w:rsid w:val="00142175"/>
    <w:rsid w:val="001421EF"/>
    <w:rsid w:val="00142264"/>
    <w:rsid w:val="0014234A"/>
    <w:rsid w:val="001424F0"/>
    <w:rsid w:val="0014253B"/>
    <w:rsid w:val="00142549"/>
    <w:rsid w:val="00142683"/>
    <w:rsid w:val="001426DB"/>
    <w:rsid w:val="00142773"/>
    <w:rsid w:val="00142967"/>
    <w:rsid w:val="00142CAE"/>
    <w:rsid w:val="00142E8E"/>
    <w:rsid w:val="001432EF"/>
    <w:rsid w:val="001433BC"/>
    <w:rsid w:val="00143673"/>
    <w:rsid w:val="0014391A"/>
    <w:rsid w:val="001439E5"/>
    <w:rsid w:val="00143A9A"/>
    <w:rsid w:val="00143DEA"/>
    <w:rsid w:val="00143DED"/>
    <w:rsid w:val="00143EE2"/>
    <w:rsid w:val="00144136"/>
    <w:rsid w:val="00144211"/>
    <w:rsid w:val="001442A3"/>
    <w:rsid w:val="0014436C"/>
    <w:rsid w:val="001445A2"/>
    <w:rsid w:val="00144880"/>
    <w:rsid w:val="001449BC"/>
    <w:rsid w:val="00144DF9"/>
    <w:rsid w:val="00144ED2"/>
    <w:rsid w:val="00144FEB"/>
    <w:rsid w:val="00145186"/>
    <w:rsid w:val="00145195"/>
    <w:rsid w:val="00145278"/>
    <w:rsid w:val="00145335"/>
    <w:rsid w:val="00145386"/>
    <w:rsid w:val="001454BF"/>
    <w:rsid w:val="0014553E"/>
    <w:rsid w:val="0014570C"/>
    <w:rsid w:val="00145715"/>
    <w:rsid w:val="001458E7"/>
    <w:rsid w:val="00145AA7"/>
    <w:rsid w:val="00145CFF"/>
    <w:rsid w:val="00145D24"/>
    <w:rsid w:val="00145DC6"/>
    <w:rsid w:val="00145DD1"/>
    <w:rsid w:val="00145EE4"/>
    <w:rsid w:val="00145F93"/>
    <w:rsid w:val="0014602F"/>
    <w:rsid w:val="0014609C"/>
    <w:rsid w:val="0014612B"/>
    <w:rsid w:val="00146B5A"/>
    <w:rsid w:val="00146C7F"/>
    <w:rsid w:val="00146DB6"/>
    <w:rsid w:val="0014709C"/>
    <w:rsid w:val="001470D5"/>
    <w:rsid w:val="00147409"/>
    <w:rsid w:val="00147517"/>
    <w:rsid w:val="0014751D"/>
    <w:rsid w:val="0014754F"/>
    <w:rsid w:val="00147BFE"/>
    <w:rsid w:val="00147DFD"/>
    <w:rsid w:val="00147FEF"/>
    <w:rsid w:val="001505A0"/>
    <w:rsid w:val="00150625"/>
    <w:rsid w:val="00150B01"/>
    <w:rsid w:val="00150B48"/>
    <w:rsid w:val="00150C1C"/>
    <w:rsid w:val="00151087"/>
    <w:rsid w:val="00151115"/>
    <w:rsid w:val="001512A9"/>
    <w:rsid w:val="0015144B"/>
    <w:rsid w:val="0015166E"/>
    <w:rsid w:val="00151A3E"/>
    <w:rsid w:val="00151A56"/>
    <w:rsid w:val="00151ADD"/>
    <w:rsid w:val="00151B29"/>
    <w:rsid w:val="00151B2F"/>
    <w:rsid w:val="00151C58"/>
    <w:rsid w:val="00151C99"/>
    <w:rsid w:val="00151CDD"/>
    <w:rsid w:val="00151DEF"/>
    <w:rsid w:val="00152095"/>
    <w:rsid w:val="00152126"/>
    <w:rsid w:val="001521FA"/>
    <w:rsid w:val="0015225A"/>
    <w:rsid w:val="00152374"/>
    <w:rsid w:val="001525DC"/>
    <w:rsid w:val="00152684"/>
    <w:rsid w:val="00152AF0"/>
    <w:rsid w:val="00152B7C"/>
    <w:rsid w:val="00152B90"/>
    <w:rsid w:val="00152CED"/>
    <w:rsid w:val="00152D93"/>
    <w:rsid w:val="00152E8C"/>
    <w:rsid w:val="00152F6D"/>
    <w:rsid w:val="00152FC8"/>
    <w:rsid w:val="00152FE5"/>
    <w:rsid w:val="0015324A"/>
    <w:rsid w:val="001533B4"/>
    <w:rsid w:val="0015347C"/>
    <w:rsid w:val="0015393A"/>
    <w:rsid w:val="0015398E"/>
    <w:rsid w:val="001539D3"/>
    <w:rsid w:val="00153A5E"/>
    <w:rsid w:val="00153AA7"/>
    <w:rsid w:val="00153AE3"/>
    <w:rsid w:val="00153E2F"/>
    <w:rsid w:val="00153FC4"/>
    <w:rsid w:val="0015474D"/>
    <w:rsid w:val="0015481D"/>
    <w:rsid w:val="0015482E"/>
    <w:rsid w:val="001548BA"/>
    <w:rsid w:val="00154A56"/>
    <w:rsid w:val="00154A6A"/>
    <w:rsid w:val="00154CE8"/>
    <w:rsid w:val="00154E33"/>
    <w:rsid w:val="001552B6"/>
    <w:rsid w:val="00155566"/>
    <w:rsid w:val="0015567E"/>
    <w:rsid w:val="00155809"/>
    <w:rsid w:val="0015587C"/>
    <w:rsid w:val="0015593C"/>
    <w:rsid w:val="00155989"/>
    <w:rsid w:val="001559C9"/>
    <w:rsid w:val="00155BC9"/>
    <w:rsid w:val="00155C4F"/>
    <w:rsid w:val="00155C5B"/>
    <w:rsid w:val="00155CFC"/>
    <w:rsid w:val="00155E93"/>
    <w:rsid w:val="00156010"/>
    <w:rsid w:val="0015607A"/>
    <w:rsid w:val="0015627E"/>
    <w:rsid w:val="0015690B"/>
    <w:rsid w:val="00156A55"/>
    <w:rsid w:val="00156E26"/>
    <w:rsid w:val="00156E76"/>
    <w:rsid w:val="00156E87"/>
    <w:rsid w:val="001570FC"/>
    <w:rsid w:val="001572C0"/>
    <w:rsid w:val="001572D8"/>
    <w:rsid w:val="0015739C"/>
    <w:rsid w:val="00157462"/>
    <w:rsid w:val="0015777D"/>
    <w:rsid w:val="00157A3F"/>
    <w:rsid w:val="00157AD4"/>
    <w:rsid w:val="00157E2A"/>
    <w:rsid w:val="00157EA9"/>
    <w:rsid w:val="00157EF9"/>
    <w:rsid w:val="00157F89"/>
    <w:rsid w:val="00157FA5"/>
    <w:rsid w:val="001600D7"/>
    <w:rsid w:val="001600EE"/>
    <w:rsid w:val="001601CB"/>
    <w:rsid w:val="001603CF"/>
    <w:rsid w:val="001605D3"/>
    <w:rsid w:val="00160856"/>
    <w:rsid w:val="00160B80"/>
    <w:rsid w:val="00160C3F"/>
    <w:rsid w:val="00160DFA"/>
    <w:rsid w:val="00161064"/>
    <w:rsid w:val="001610C1"/>
    <w:rsid w:val="00161115"/>
    <w:rsid w:val="001611EC"/>
    <w:rsid w:val="00161292"/>
    <w:rsid w:val="001613B7"/>
    <w:rsid w:val="00161505"/>
    <w:rsid w:val="00161601"/>
    <w:rsid w:val="00161622"/>
    <w:rsid w:val="0016168D"/>
    <w:rsid w:val="00161701"/>
    <w:rsid w:val="00161766"/>
    <w:rsid w:val="00161769"/>
    <w:rsid w:val="0016196D"/>
    <w:rsid w:val="001619D9"/>
    <w:rsid w:val="00161A50"/>
    <w:rsid w:val="00161A82"/>
    <w:rsid w:val="00161E9A"/>
    <w:rsid w:val="00161EE0"/>
    <w:rsid w:val="001622DE"/>
    <w:rsid w:val="0016232D"/>
    <w:rsid w:val="001623A3"/>
    <w:rsid w:val="001623C9"/>
    <w:rsid w:val="00162812"/>
    <w:rsid w:val="00162B32"/>
    <w:rsid w:val="00162C48"/>
    <w:rsid w:val="00162EC2"/>
    <w:rsid w:val="001631D6"/>
    <w:rsid w:val="001632B5"/>
    <w:rsid w:val="001639BF"/>
    <w:rsid w:val="00163B7E"/>
    <w:rsid w:val="00163C13"/>
    <w:rsid w:val="001640BC"/>
    <w:rsid w:val="001641A3"/>
    <w:rsid w:val="00164792"/>
    <w:rsid w:val="00164890"/>
    <w:rsid w:val="00164A5B"/>
    <w:rsid w:val="00164A78"/>
    <w:rsid w:val="00164A96"/>
    <w:rsid w:val="00164C35"/>
    <w:rsid w:val="00164D3F"/>
    <w:rsid w:val="00164DCE"/>
    <w:rsid w:val="00164F34"/>
    <w:rsid w:val="00164F96"/>
    <w:rsid w:val="0016507D"/>
    <w:rsid w:val="00165087"/>
    <w:rsid w:val="001650C5"/>
    <w:rsid w:val="001650D1"/>
    <w:rsid w:val="001651F0"/>
    <w:rsid w:val="001651FD"/>
    <w:rsid w:val="00165292"/>
    <w:rsid w:val="00165412"/>
    <w:rsid w:val="00165478"/>
    <w:rsid w:val="0016554A"/>
    <w:rsid w:val="00165636"/>
    <w:rsid w:val="00165708"/>
    <w:rsid w:val="00165D7B"/>
    <w:rsid w:val="00165EC4"/>
    <w:rsid w:val="001667E9"/>
    <w:rsid w:val="0016682F"/>
    <w:rsid w:val="00166F15"/>
    <w:rsid w:val="00166FA1"/>
    <w:rsid w:val="0016701C"/>
    <w:rsid w:val="00167048"/>
    <w:rsid w:val="00167163"/>
    <w:rsid w:val="00167178"/>
    <w:rsid w:val="00167200"/>
    <w:rsid w:val="00167262"/>
    <w:rsid w:val="001672B4"/>
    <w:rsid w:val="001675D2"/>
    <w:rsid w:val="001678F0"/>
    <w:rsid w:val="00167D56"/>
    <w:rsid w:val="00167F1F"/>
    <w:rsid w:val="00167F7B"/>
    <w:rsid w:val="00167FB3"/>
    <w:rsid w:val="00167FF5"/>
    <w:rsid w:val="001700E3"/>
    <w:rsid w:val="00170267"/>
    <w:rsid w:val="00170C2B"/>
    <w:rsid w:val="00170CCA"/>
    <w:rsid w:val="00170D54"/>
    <w:rsid w:val="00170F04"/>
    <w:rsid w:val="00170FC3"/>
    <w:rsid w:val="00171000"/>
    <w:rsid w:val="00171322"/>
    <w:rsid w:val="00171372"/>
    <w:rsid w:val="001714F9"/>
    <w:rsid w:val="00171523"/>
    <w:rsid w:val="0017171F"/>
    <w:rsid w:val="001717BB"/>
    <w:rsid w:val="00171979"/>
    <w:rsid w:val="00171AAA"/>
    <w:rsid w:val="00171B52"/>
    <w:rsid w:val="00171D05"/>
    <w:rsid w:val="00171EFA"/>
    <w:rsid w:val="00171F5D"/>
    <w:rsid w:val="00172139"/>
    <w:rsid w:val="001724F3"/>
    <w:rsid w:val="00172536"/>
    <w:rsid w:val="0017272A"/>
    <w:rsid w:val="0017277B"/>
    <w:rsid w:val="00172950"/>
    <w:rsid w:val="00172BEE"/>
    <w:rsid w:val="00172CB1"/>
    <w:rsid w:val="00172DEB"/>
    <w:rsid w:val="00172E82"/>
    <w:rsid w:val="00172EC4"/>
    <w:rsid w:val="001731BF"/>
    <w:rsid w:val="00173208"/>
    <w:rsid w:val="00173215"/>
    <w:rsid w:val="0017340B"/>
    <w:rsid w:val="001738C2"/>
    <w:rsid w:val="001739E0"/>
    <w:rsid w:val="00173C3D"/>
    <w:rsid w:val="00173E4E"/>
    <w:rsid w:val="00173FF7"/>
    <w:rsid w:val="0017415C"/>
    <w:rsid w:val="001743C4"/>
    <w:rsid w:val="001746B1"/>
    <w:rsid w:val="001749F4"/>
    <w:rsid w:val="00174ED5"/>
    <w:rsid w:val="00175472"/>
    <w:rsid w:val="00175496"/>
    <w:rsid w:val="001754CC"/>
    <w:rsid w:val="00175641"/>
    <w:rsid w:val="0017594B"/>
    <w:rsid w:val="00175AD1"/>
    <w:rsid w:val="00175AF1"/>
    <w:rsid w:val="00175F4B"/>
    <w:rsid w:val="0017668E"/>
    <w:rsid w:val="00176A3A"/>
    <w:rsid w:val="00176A3F"/>
    <w:rsid w:val="00176CC1"/>
    <w:rsid w:val="00176CEF"/>
    <w:rsid w:val="00176DD2"/>
    <w:rsid w:val="00176ED9"/>
    <w:rsid w:val="00176FAB"/>
    <w:rsid w:val="00176FCE"/>
    <w:rsid w:val="0017702B"/>
    <w:rsid w:val="00177059"/>
    <w:rsid w:val="00177099"/>
    <w:rsid w:val="00177157"/>
    <w:rsid w:val="00177544"/>
    <w:rsid w:val="00177837"/>
    <w:rsid w:val="00177AB6"/>
    <w:rsid w:val="00177F57"/>
    <w:rsid w:val="00180166"/>
    <w:rsid w:val="0018020B"/>
    <w:rsid w:val="0018031E"/>
    <w:rsid w:val="00180359"/>
    <w:rsid w:val="00180654"/>
    <w:rsid w:val="0018072B"/>
    <w:rsid w:val="0018089A"/>
    <w:rsid w:val="001809A0"/>
    <w:rsid w:val="00180B9F"/>
    <w:rsid w:val="00180BF1"/>
    <w:rsid w:val="00180E04"/>
    <w:rsid w:val="00180F82"/>
    <w:rsid w:val="001811F2"/>
    <w:rsid w:val="001812DF"/>
    <w:rsid w:val="0018132D"/>
    <w:rsid w:val="001814D1"/>
    <w:rsid w:val="00181551"/>
    <w:rsid w:val="001816BD"/>
    <w:rsid w:val="0018185D"/>
    <w:rsid w:val="00181960"/>
    <w:rsid w:val="00181DF3"/>
    <w:rsid w:val="00181ED6"/>
    <w:rsid w:val="00181FDD"/>
    <w:rsid w:val="001820DE"/>
    <w:rsid w:val="00182657"/>
    <w:rsid w:val="00182671"/>
    <w:rsid w:val="001829F4"/>
    <w:rsid w:val="00182AFF"/>
    <w:rsid w:val="00182BA1"/>
    <w:rsid w:val="00182EEF"/>
    <w:rsid w:val="001831D1"/>
    <w:rsid w:val="001835A5"/>
    <w:rsid w:val="0018369D"/>
    <w:rsid w:val="001836C8"/>
    <w:rsid w:val="00183A2B"/>
    <w:rsid w:val="00183A36"/>
    <w:rsid w:val="00183A5E"/>
    <w:rsid w:val="00183AFC"/>
    <w:rsid w:val="00183B65"/>
    <w:rsid w:val="00183B94"/>
    <w:rsid w:val="00183CE4"/>
    <w:rsid w:val="001844F6"/>
    <w:rsid w:val="00184A87"/>
    <w:rsid w:val="0018503F"/>
    <w:rsid w:val="001850BC"/>
    <w:rsid w:val="0018520A"/>
    <w:rsid w:val="00185413"/>
    <w:rsid w:val="00185469"/>
    <w:rsid w:val="0018550A"/>
    <w:rsid w:val="001855C6"/>
    <w:rsid w:val="00185750"/>
    <w:rsid w:val="00185D6D"/>
    <w:rsid w:val="00185D97"/>
    <w:rsid w:val="00185FD8"/>
    <w:rsid w:val="00186191"/>
    <w:rsid w:val="00186292"/>
    <w:rsid w:val="0018646F"/>
    <w:rsid w:val="001867EB"/>
    <w:rsid w:val="001869AC"/>
    <w:rsid w:val="00186CC5"/>
    <w:rsid w:val="00186DD7"/>
    <w:rsid w:val="00186E91"/>
    <w:rsid w:val="00186FC2"/>
    <w:rsid w:val="00186FD1"/>
    <w:rsid w:val="001870D2"/>
    <w:rsid w:val="0018729A"/>
    <w:rsid w:val="0018732E"/>
    <w:rsid w:val="0018737F"/>
    <w:rsid w:val="001873F2"/>
    <w:rsid w:val="00187491"/>
    <w:rsid w:val="001876D2"/>
    <w:rsid w:val="0018772C"/>
    <w:rsid w:val="00187787"/>
    <w:rsid w:val="001877F1"/>
    <w:rsid w:val="001878A4"/>
    <w:rsid w:val="00187937"/>
    <w:rsid w:val="00187A50"/>
    <w:rsid w:val="00187B11"/>
    <w:rsid w:val="00187C1C"/>
    <w:rsid w:val="00187D6D"/>
    <w:rsid w:val="00187F21"/>
    <w:rsid w:val="00187F3C"/>
    <w:rsid w:val="00190084"/>
    <w:rsid w:val="001901BE"/>
    <w:rsid w:val="001903DC"/>
    <w:rsid w:val="00190741"/>
    <w:rsid w:val="001908E9"/>
    <w:rsid w:val="00190CAB"/>
    <w:rsid w:val="00190E19"/>
    <w:rsid w:val="00190EAA"/>
    <w:rsid w:val="00190EC6"/>
    <w:rsid w:val="001911E1"/>
    <w:rsid w:val="0019140D"/>
    <w:rsid w:val="0019176A"/>
    <w:rsid w:val="0019192A"/>
    <w:rsid w:val="00191B11"/>
    <w:rsid w:val="00191D54"/>
    <w:rsid w:val="00192106"/>
    <w:rsid w:val="0019219A"/>
    <w:rsid w:val="001922BE"/>
    <w:rsid w:val="00192519"/>
    <w:rsid w:val="00192576"/>
    <w:rsid w:val="001926F3"/>
    <w:rsid w:val="001927E6"/>
    <w:rsid w:val="0019287C"/>
    <w:rsid w:val="001929DC"/>
    <w:rsid w:val="00192A61"/>
    <w:rsid w:val="00192CA7"/>
    <w:rsid w:val="00192CB4"/>
    <w:rsid w:val="00192E73"/>
    <w:rsid w:val="00192E9B"/>
    <w:rsid w:val="00193064"/>
    <w:rsid w:val="001930AA"/>
    <w:rsid w:val="00193198"/>
    <w:rsid w:val="00193227"/>
    <w:rsid w:val="001935A7"/>
    <w:rsid w:val="00193810"/>
    <w:rsid w:val="0019385C"/>
    <w:rsid w:val="00193917"/>
    <w:rsid w:val="00193992"/>
    <w:rsid w:val="00193AEC"/>
    <w:rsid w:val="00193E96"/>
    <w:rsid w:val="00193EB9"/>
    <w:rsid w:val="00193FF8"/>
    <w:rsid w:val="001940B1"/>
    <w:rsid w:val="0019414F"/>
    <w:rsid w:val="001941C3"/>
    <w:rsid w:val="00194412"/>
    <w:rsid w:val="00194746"/>
    <w:rsid w:val="001947F1"/>
    <w:rsid w:val="0019484D"/>
    <w:rsid w:val="001948B3"/>
    <w:rsid w:val="001949AA"/>
    <w:rsid w:val="00194EA9"/>
    <w:rsid w:val="00194EFE"/>
    <w:rsid w:val="00194F6D"/>
    <w:rsid w:val="00194FDD"/>
    <w:rsid w:val="00194FFC"/>
    <w:rsid w:val="00195060"/>
    <w:rsid w:val="0019518E"/>
    <w:rsid w:val="001954EA"/>
    <w:rsid w:val="00195552"/>
    <w:rsid w:val="001955CD"/>
    <w:rsid w:val="00195921"/>
    <w:rsid w:val="00195DC7"/>
    <w:rsid w:val="00195FA7"/>
    <w:rsid w:val="001960F9"/>
    <w:rsid w:val="00196136"/>
    <w:rsid w:val="001966C3"/>
    <w:rsid w:val="001966F4"/>
    <w:rsid w:val="00196784"/>
    <w:rsid w:val="00196859"/>
    <w:rsid w:val="001969C3"/>
    <w:rsid w:val="001969CF"/>
    <w:rsid w:val="00196E2D"/>
    <w:rsid w:val="00196E75"/>
    <w:rsid w:val="00196ECA"/>
    <w:rsid w:val="001970EE"/>
    <w:rsid w:val="001975EC"/>
    <w:rsid w:val="00197680"/>
    <w:rsid w:val="00197697"/>
    <w:rsid w:val="0019774B"/>
    <w:rsid w:val="001977E8"/>
    <w:rsid w:val="001978BA"/>
    <w:rsid w:val="0019795F"/>
    <w:rsid w:val="00197B1A"/>
    <w:rsid w:val="00197D30"/>
    <w:rsid w:val="00197D6C"/>
    <w:rsid w:val="00197EAB"/>
    <w:rsid w:val="001A0126"/>
    <w:rsid w:val="001A014C"/>
    <w:rsid w:val="001A048E"/>
    <w:rsid w:val="001A08BF"/>
    <w:rsid w:val="001A0A4B"/>
    <w:rsid w:val="001A0E41"/>
    <w:rsid w:val="001A0F64"/>
    <w:rsid w:val="001A0FD6"/>
    <w:rsid w:val="001A12DE"/>
    <w:rsid w:val="001A1352"/>
    <w:rsid w:val="001A1403"/>
    <w:rsid w:val="001A15B2"/>
    <w:rsid w:val="001A1837"/>
    <w:rsid w:val="001A1895"/>
    <w:rsid w:val="001A1987"/>
    <w:rsid w:val="001A19E4"/>
    <w:rsid w:val="001A1A29"/>
    <w:rsid w:val="001A1BF3"/>
    <w:rsid w:val="001A1EE5"/>
    <w:rsid w:val="001A229C"/>
    <w:rsid w:val="001A2384"/>
    <w:rsid w:val="001A2649"/>
    <w:rsid w:val="001A2784"/>
    <w:rsid w:val="001A28B1"/>
    <w:rsid w:val="001A294E"/>
    <w:rsid w:val="001A2A3F"/>
    <w:rsid w:val="001A2B6D"/>
    <w:rsid w:val="001A2E66"/>
    <w:rsid w:val="001A329C"/>
    <w:rsid w:val="001A32D3"/>
    <w:rsid w:val="001A3396"/>
    <w:rsid w:val="001A35E3"/>
    <w:rsid w:val="001A37ED"/>
    <w:rsid w:val="001A382F"/>
    <w:rsid w:val="001A3A03"/>
    <w:rsid w:val="001A3B54"/>
    <w:rsid w:val="001A3CB2"/>
    <w:rsid w:val="001A3CE4"/>
    <w:rsid w:val="001A3E0E"/>
    <w:rsid w:val="001A3E73"/>
    <w:rsid w:val="001A41B3"/>
    <w:rsid w:val="001A426E"/>
    <w:rsid w:val="001A4286"/>
    <w:rsid w:val="001A439B"/>
    <w:rsid w:val="001A4474"/>
    <w:rsid w:val="001A45DB"/>
    <w:rsid w:val="001A4955"/>
    <w:rsid w:val="001A4A8C"/>
    <w:rsid w:val="001A4BBC"/>
    <w:rsid w:val="001A4C7B"/>
    <w:rsid w:val="001A4DC8"/>
    <w:rsid w:val="001A4E27"/>
    <w:rsid w:val="001A5058"/>
    <w:rsid w:val="001A532B"/>
    <w:rsid w:val="001A5459"/>
    <w:rsid w:val="001A5942"/>
    <w:rsid w:val="001A5AC7"/>
    <w:rsid w:val="001A5B5F"/>
    <w:rsid w:val="001A5CBB"/>
    <w:rsid w:val="001A5DF4"/>
    <w:rsid w:val="001A5E2A"/>
    <w:rsid w:val="001A5E88"/>
    <w:rsid w:val="001A5EA4"/>
    <w:rsid w:val="001A63CF"/>
    <w:rsid w:val="001A6542"/>
    <w:rsid w:val="001A65DE"/>
    <w:rsid w:val="001A6981"/>
    <w:rsid w:val="001A6A8A"/>
    <w:rsid w:val="001A6CEF"/>
    <w:rsid w:val="001A6E87"/>
    <w:rsid w:val="001A7037"/>
    <w:rsid w:val="001A70E0"/>
    <w:rsid w:val="001A7277"/>
    <w:rsid w:val="001A72A2"/>
    <w:rsid w:val="001A73C1"/>
    <w:rsid w:val="001A75D3"/>
    <w:rsid w:val="001A7BC3"/>
    <w:rsid w:val="001A7C29"/>
    <w:rsid w:val="001A7DAA"/>
    <w:rsid w:val="001A7DB2"/>
    <w:rsid w:val="001A7E59"/>
    <w:rsid w:val="001A7EFB"/>
    <w:rsid w:val="001A7F43"/>
    <w:rsid w:val="001A7F66"/>
    <w:rsid w:val="001B005F"/>
    <w:rsid w:val="001B0071"/>
    <w:rsid w:val="001B0122"/>
    <w:rsid w:val="001B0253"/>
    <w:rsid w:val="001B0322"/>
    <w:rsid w:val="001B0564"/>
    <w:rsid w:val="001B099C"/>
    <w:rsid w:val="001B0B5D"/>
    <w:rsid w:val="001B0C20"/>
    <w:rsid w:val="001B0C9C"/>
    <w:rsid w:val="001B0D01"/>
    <w:rsid w:val="001B0F81"/>
    <w:rsid w:val="001B11DB"/>
    <w:rsid w:val="001B1260"/>
    <w:rsid w:val="001B17DA"/>
    <w:rsid w:val="001B1B99"/>
    <w:rsid w:val="001B1DDD"/>
    <w:rsid w:val="001B1E06"/>
    <w:rsid w:val="001B1E58"/>
    <w:rsid w:val="001B1F31"/>
    <w:rsid w:val="001B20FA"/>
    <w:rsid w:val="001B2306"/>
    <w:rsid w:val="001B234E"/>
    <w:rsid w:val="001B236E"/>
    <w:rsid w:val="001B2448"/>
    <w:rsid w:val="001B2524"/>
    <w:rsid w:val="001B265B"/>
    <w:rsid w:val="001B279A"/>
    <w:rsid w:val="001B2820"/>
    <w:rsid w:val="001B2893"/>
    <w:rsid w:val="001B292E"/>
    <w:rsid w:val="001B2BF5"/>
    <w:rsid w:val="001B2C8C"/>
    <w:rsid w:val="001B2D1D"/>
    <w:rsid w:val="001B32AC"/>
    <w:rsid w:val="001B335A"/>
    <w:rsid w:val="001B3404"/>
    <w:rsid w:val="001B344C"/>
    <w:rsid w:val="001B347C"/>
    <w:rsid w:val="001B38CB"/>
    <w:rsid w:val="001B3A21"/>
    <w:rsid w:val="001B3BBD"/>
    <w:rsid w:val="001B3ECD"/>
    <w:rsid w:val="001B3EFF"/>
    <w:rsid w:val="001B41A0"/>
    <w:rsid w:val="001B4284"/>
    <w:rsid w:val="001B428D"/>
    <w:rsid w:val="001B42C9"/>
    <w:rsid w:val="001B44D4"/>
    <w:rsid w:val="001B45D5"/>
    <w:rsid w:val="001B48FE"/>
    <w:rsid w:val="001B491F"/>
    <w:rsid w:val="001B4992"/>
    <w:rsid w:val="001B4AE3"/>
    <w:rsid w:val="001B4D4A"/>
    <w:rsid w:val="001B4D97"/>
    <w:rsid w:val="001B4DBA"/>
    <w:rsid w:val="001B4DBD"/>
    <w:rsid w:val="001B4E93"/>
    <w:rsid w:val="001B4F7F"/>
    <w:rsid w:val="001B50D2"/>
    <w:rsid w:val="001B51C0"/>
    <w:rsid w:val="001B5662"/>
    <w:rsid w:val="001B57D4"/>
    <w:rsid w:val="001B5B22"/>
    <w:rsid w:val="001B6058"/>
    <w:rsid w:val="001B6087"/>
    <w:rsid w:val="001B62BF"/>
    <w:rsid w:val="001B64BE"/>
    <w:rsid w:val="001B688E"/>
    <w:rsid w:val="001B6A57"/>
    <w:rsid w:val="001B6AD2"/>
    <w:rsid w:val="001B6CB9"/>
    <w:rsid w:val="001B6E8A"/>
    <w:rsid w:val="001B7158"/>
    <w:rsid w:val="001B72C2"/>
    <w:rsid w:val="001B7327"/>
    <w:rsid w:val="001B762E"/>
    <w:rsid w:val="001B777F"/>
    <w:rsid w:val="001B79CC"/>
    <w:rsid w:val="001B7C11"/>
    <w:rsid w:val="001B7C12"/>
    <w:rsid w:val="001B7D9A"/>
    <w:rsid w:val="001B7E37"/>
    <w:rsid w:val="001B7F5F"/>
    <w:rsid w:val="001B7FED"/>
    <w:rsid w:val="001C0041"/>
    <w:rsid w:val="001C004C"/>
    <w:rsid w:val="001C025C"/>
    <w:rsid w:val="001C05EF"/>
    <w:rsid w:val="001C073A"/>
    <w:rsid w:val="001C0928"/>
    <w:rsid w:val="001C0970"/>
    <w:rsid w:val="001C0AC0"/>
    <w:rsid w:val="001C0C67"/>
    <w:rsid w:val="001C0CFD"/>
    <w:rsid w:val="001C0D9B"/>
    <w:rsid w:val="001C117A"/>
    <w:rsid w:val="001C13AD"/>
    <w:rsid w:val="001C18C7"/>
    <w:rsid w:val="001C18DF"/>
    <w:rsid w:val="001C198E"/>
    <w:rsid w:val="001C1BBD"/>
    <w:rsid w:val="001C1DC3"/>
    <w:rsid w:val="001C210E"/>
    <w:rsid w:val="001C21A1"/>
    <w:rsid w:val="001C2342"/>
    <w:rsid w:val="001C2353"/>
    <w:rsid w:val="001C23BD"/>
    <w:rsid w:val="001C25CC"/>
    <w:rsid w:val="001C2680"/>
    <w:rsid w:val="001C268C"/>
    <w:rsid w:val="001C2848"/>
    <w:rsid w:val="001C2962"/>
    <w:rsid w:val="001C2AE2"/>
    <w:rsid w:val="001C2BFC"/>
    <w:rsid w:val="001C2CD0"/>
    <w:rsid w:val="001C2FB6"/>
    <w:rsid w:val="001C308D"/>
    <w:rsid w:val="001C32B4"/>
    <w:rsid w:val="001C33E8"/>
    <w:rsid w:val="001C34CE"/>
    <w:rsid w:val="001C3687"/>
    <w:rsid w:val="001C3789"/>
    <w:rsid w:val="001C37D7"/>
    <w:rsid w:val="001C3801"/>
    <w:rsid w:val="001C3948"/>
    <w:rsid w:val="001C3CDC"/>
    <w:rsid w:val="001C3D44"/>
    <w:rsid w:val="001C3F93"/>
    <w:rsid w:val="001C422D"/>
    <w:rsid w:val="001C432D"/>
    <w:rsid w:val="001C440C"/>
    <w:rsid w:val="001C44AF"/>
    <w:rsid w:val="001C45CB"/>
    <w:rsid w:val="001C46E5"/>
    <w:rsid w:val="001C47D6"/>
    <w:rsid w:val="001C47E7"/>
    <w:rsid w:val="001C4800"/>
    <w:rsid w:val="001C4928"/>
    <w:rsid w:val="001C4A41"/>
    <w:rsid w:val="001C4C4F"/>
    <w:rsid w:val="001C4C5E"/>
    <w:rsid w:val="001C4C9A"/>
    <w:rsid w:val="001C4EFB"/>
    <w:rsid w:val="001C4F19"/>
    <w:rsid w:val="001C4FE0"/>
    <w:rsid w:val="001C50A3"/>
    <w:rsid w:val="001C52C1"/>
    <w:rsid w:val="001C53C7"/>
    <w:rsid w:val="001C586F"/>
    <w:rsid w:val="001C594C"/>
    <w:rsid w:val="001C5CC5"/>
    <w:rsid w:val="001C5DAC"/>
    <w:rsid w:val="001C603E"/>
    <w:rsid w:val="001C62CC"/>
    <w:rsid w:val="001C6367"/>
    <w:rsid w:val="001C639F"/>
    <w:rsid w:val="001C64FE"/>
    <w:rsid w:val="001C6621"/>
    <w:rsid w:val="001C6882"/>
    <w:rsid w:val="001C68A2"/>
    <w:rsid w:val="001C68FA"/>
    <w:rsid w:val="001C6987"/>
    <w:rsid w:val="001C6B45"/>
    <w:rsid w:val="001C6BFD"/>
    <w:rsid w:val="001C6E2D"/>
    <w:rsid w:val="001C729C"/>
    <w:rsid w:val="001C72D3"/>
    <w:rsid w:val="001C755F"/>
    <w:rsid w:val="001C7700"/>
    <w:rsid w:val="001C7842"/>
    <w:rsid w:val="001C7876"/>
    <w:rsid w:val="001C7907"/>
    <w:rsid w:val="001C7984"/>
    <w:rsid w:val="001C7AA1"/>
    <w:rsid w:val="001C7E8F"/>
    <w:rsid w:val="001C7F29"/>
    <w:rsid w:val="001D0318"/>
    <w:rsid w:val="001D0497"/>
    <w:rsid w:val="001D0514"/>
    <w:rsid w:val="001D05AB"/>
    <w:rsid w:val="001D06C4"/>
    <w:rsid w:val="001D0761"/>
    <w:rsid w:val="001D07E7"/>
    <w:rsid w:val="001D09F5"/>
    <w:rsid w:val="001D0AE6"/>
    <w:rsid w:val="001D0CC0"/>
    <w:rsid w:val="001D0D97"/>
    <w:rsid w:val="001D0E26"/>
    <w:rsid w:val="001D0E97"/>
    <w:rsid w:val="001D0F58"/>
    <w:rsid w:val="001D10AE"/>
    <w:rsid w:val="001D1188"/>
    <w:rsid w:val="001D1195"/>
    <w:rsid w:val="001D128F"/>
    <w:rsid w:val="001D130B"/>
    <w:rsid w:val="001D15A9"/>
    <w:rsid w:val="001D162F"/>
    <w:rsid w:val="001D181D"/>
    <w:rsid w:val="001D199B"/>
    <w:rsid w:val="001D1AA2"/>
    <w:rsid w:val="001D207D"/>
    <w:rsid w:val="001D2160"/>
    <w:rsid w:val="001D2198"/>
    <w:rsid w:val="001D21E7"/>
    <w:rsid w:val="001D2341"/>
    <w:rsid w:val="001D2356"/>
    <w:rsid w:val="001D2655"/>
    <w:rsid w:val="001D2B04"/>
    <w:rsid w:val="001D2D2B"/>
    <w:rsid w:val="001D2EE7"/>
    <w:rsid w:val="001D3118"/>
    <w:rsid w:val="001D31FA"/>
    <w:rsid w:val="001D37EB"/>
    <w:rsid w:val="001D39C2"/>
    <w:rsid w:val="001D3AA2"/>
    <w:rsid w:val="001D3B1A"/>
    <w:rsid w:val="001D3C4A"/>
    <w:rsid w:val="001D3CA0"/>
    <w:rsid w:val="001D3CCD"/>
    <w:rsid w:val="001D3DC5"/>
    <w:rsid w:val="001D3E75"/>
    <w:rsid w:val="001D4030"/>
    <w:rsid w:val="001D42B7"/>
    <w:rsid w:val="001D42F9"/>
    <w:rsid w:val="001D4361"/>
    <w:rsid w:val="001D43E7"/>
    <w:rsid w:val="001D454A"/>
    <w:rsid w:val="001D487A"/>
    <w:rsid w:val="001D49FD"/>
    <w:rsid w:val="001D4F42"/>
    <w:rsid w:val="001D4F93"/>
    <w:rsid w:val="001D50D3"/>
    <w:rsid w:val="001D52BB"/>
    <w:rsid w:val="001D5B00"/>
    <w:rsid w:val="001D5BB4"/>
    <w:rsid w:val="001D5C79"/>
    <w:rsid w:val="001D5CAB"/>
    <w:rsid w:val="001D5D1D"/>
    <w:rsid w:val="001D5E52"/>
    <w:rsid w:val="001D5EFD"/>
    <w:rsid w:val="001D614B"/>
    <w:rsid w:val="001D61E2"/>
    <w:rsid w:val="001D6222"/>
    <w:rsid w:val="001D6286"/>
    <w:rsid w:val="001D633B"/>
    <w:rsid w:val="001D6637"/>
    <w:rsid w:val="001D663A"/>
    <w:rsid w:val="001D6668"/>
    <w:rsid w:val="001D6712"/>
    <w:rsid w:val="001D69CC"/>
    <w:rsid w:val="001D6EAD"/>
    <w:rsid w:val="001D73AD"/>
    <w:rsid w:val="001D73CB"/>
    <w:rsid w:val="001D7636"/>
    <w:rsid w:val="001D7839"/>
    <w:rsid w:val="001D7972"/>
    <w:rsid w:val="001D7B4E"/>
    <w:rsid w:val="001D7BD8"/>
    <w:rsid w:val="001D7C55"/>
    <w:rsid w:val="001D7CAF"/>
    <w:rsid w:val="001D7F09"/>
    <w:rsid w:val="001E021D"/>
    <w:rsid w:val="001E05F6"/>
    <w:rsid w:val="001E0934"/>
    <w:rsid w:val="001E0BAB"/>
    <w:rsid w:val="001E0BC9"/>
    <w:rsid w:val="001E0C78"/>
    <w:rsid w:val="001E0DE2"/>
    <w:rsid w:val="001E0EA6"/>
    <w:rsid w:val="001E1057"/>
    <w:rsid w:val="001E10B4"/>
    <w:rsid w:val="001E1496"/>
    <w:rsid w:val="001E1645"/>
    <w:rsid w:val="001E1769"/>
    <w:rsid w:val="001E17CA"/>
    <w:rsid w:val="001E194D"/>
    <w:rsid w:val="001E1A58"/>
    <w:rsid w:val="001E1A60"/>
    <w:rsid w:val="001E1AFC"/>
    <w:rsid w:val="001E1C37"/>
    <w:rsid w:val="001E1C4C"/>
    <w:rsid w:val="001E1D44"/>
    <w:rsid w:val="001E22CB"/>
    <w:rsid w:val="001E23F8"/>
    <w:rsid w:val="001E2480"/>
    <w:rsid w:val="001E2519"/>
    <w:rsid w:val="001E25A2"/>
    <w:rsid w:val="001E25EE"/>
    <w:rsid w:val="001E2934"/>
    <w:rsid w:val="001E2993"/>
    <w:rsid w:val="001E29A0"/>
    <w:rsid w:val="001E2B21"/>
    <w:rsid w:val="001E2BDD"/>
    <w:rsid w:val="001E2E31"/>
    <w:rsid w:val="001E2E78"/>
    <w:rsid w:val="001E325B"/>
    <w:rsid w:val="001E3326"/>
    <w:rsid w:val="001E34D8"/>
    <w:rsid w:val="001E350F"/>
    <w:rsid w:val="001E353C"/>
    <w:rsid w:val="001E35E3"/>
    <w:rsid w:val="001E37E2"/>
    <w:rsid w:val="001E3ED7"/>
    <w:rsid w:val="001E3F21"/>
    <w:rsid w:val="001E3FD9"/>
    <w:rsid w:val="001E40B2"/>
    <w:rsid w:val="001E4175"/>
    <w:rsid w:val="001E4598"/>
    <w:rsid w:val="001E479D"/>
    <w:rsid w:val="001E49C8"/>
    <w:rsid w:val="001E4A0E"/>
    <w:rsid w:val="001E4ADF"/>
    <w:rsid w:val="001E4D8C"/>
    <w:rsid w:val="001E4F16"/>
    <w:rsid w:val="001E4F49"/>
    <w:rsid w:val="001E52D3"/>
    <w:rsid w:val="001E53FB"/>
    <w:rsid w:val="001E55B2"/>
    <w:rsid w:val="001E56A4"/>
    <w:rsid w:val="001E5758"/>
    <w:rsid w:val="001E57FB"/>
    <w:rsid w:val="001E5A03"/>
    <w:rsid w:val="001E5B66"/>
    <w:rsid w:val="001E5C71"/>
    <w:rsid w:val="001E5D73"/>
    <w:rsid w:val="001E6091"/>
    <w:rsid w:val="001E628D"/>
    <w:rsid w:val="001E631F"/>
    <w:rsid w:val="001E635C"/>
    <w:rsid w:val="001E648C"/>
    <w:rsid w:val="001E6515"/>
    <w:rsid w:val="001E68CB"/>
    <w:rsid w:val="001E6916"/>
    <w:rsid w:val="001E69FE"/>
    <w:rsid w:val="001E6ADC"/>
    <w:rsid w:val="001E6F3D"/>
    <w:rsid w:val="001E6FDA"/>
    <w:rsid w:val="001E7208"/>
    <w:rsid w:val="001E720F"/>
    <w:rsid w:val="001E7541"/>
    <w:rsid w:val="001E755C"/>
    <w:rsid w:val="001E7590"/>
    <w:rsid w:val="001E7662"/>
    <w:rsid w:val="001E7C70"/>
    <w:rsid w:val="001E7CBE"/>
    <w:rsid w:val="001E7DBF"/>
    <w:rsid w:val="001E7E8C"/>
    <w:rsid w:val="001F0167"/>
    <w:rsid w:val="001F02C1"/>
    <w:rsid w:val="001F0304"/>
    <w:rsid w:val="001F03E7"/>
    <w:rsid w:val="001F04EC"/>
    <w:rsid w:val="001F054B"/>
    <w:rsid w:val="001F05B5"/>
    <w:rsid w:val="001F0609"/>
    <w:rsid w:val="001F0739"/>
    <w:rsid w:val="001F0787"/>
    <w:rsid w:val="001F0F61"/>
    <w:rsid w:val="001F0FFE"/>
    <w:rsid w:val="001F1028"/>
    <w:rsid w:val="001F1361"/>
    <w:rsid w:val="001F1799"/>
    <w:rsid w:val="001F1A4A"/>
    <w:rsid w:val="001F1AC9"/>
    <w:rsid w:val="001F1BE7"/>
    <w:rsid w:val="001F1C44"/>
    <w:rsid w:val="001F1C54"/>
    <w:rsid w:val="001F1C6A"/>
    <w:rsid w:val="001F1CB2"/>
    <w:rsid w:val="001F1CEC"/>
    <w:rsid w:val="001F2033"/>
    <w:rsid w:val="001F2062"/>
    <w:rsid w:val="001F2181"/>
    <w:rsid w:val="001F21B7"/>
    <w:rsid w:val="001F22D9"/>
    <w:rsid w:val="001F23A7"/>
    <w:rsid w:val="001F246D"/>
    <w:rsid w:val="001F25A6"/>
    <w:rsid w:val="001F2620"/>
    <w:rsid w:val="001F294B"/>
    <w:rsid w:val="001F2998"/>
    <w:rsid w:val="001F29EA"/>
    <w:rsid w:val="001F2AB1"/>
    <w:rsid w:val="001F2C41"/>
    <w:rsid w:val="001F2CE9"/>
    <w:rsid w:val="001F2DD9"/>
    <w:rsid w:val="001F2EB9"/>
    <w:rsid w:val="001F312C"/>
    <w:rsid w:val="001F37DE"/>
    <w:rsid w:val="001F380B"/>
    <w:rsid w:val="001F38C4"/>
    <w:rsid w:val="001F3BD7"/>
    <w:rsid w:val="001F3C02"/>
    <w:rsid w:val="001F3D20"/>
    <w:rsid w:val="001F3E5E"/>
    <w:rsid w:val="001F3F23"/>
    <w:rsid w:val="001F4139"/>
    <w:rsid w:val="001F420E"/>
    <w:rsid w:val="001F448B"/>
    <w:rsid w:val="001F45F4"/>
    <w:rsid w:val="001F4804"/>
    <w:rsid w:val="001F49FE"/>
    <w:rsid w:val="001F4A7D"/>
    <w:rsid w:val="001F4BCE"/>
    <w:rsid w:val="001F4CFC"/>
    <w:rsid w:val="001F4D70"/>
    <w:rsid w:val="001F4FF4"/>
    <w:rsid w:val="001F503A"/>
    <w:rsid w:val="001F508D"/>
    <w:rsid w:val="001F5355"/>
    <w:rsid w:val="001F5416"/>
    <w:rsid w:val="001F556C"/>
    <w:rsid w:val="001F55EC"/>
    <w:rsid w:val="001F56C4"/>
    <w:rsid w:val="001F5B16"/>
    <w:rsid w:val="001F5BAC"/>
    <w:rsid w:val="001F5FCD"/>
    <w:rsid w:val="001F656E"/>
    <w:rsid w:val="001F6636"/>
    <w:rsid w:val="001F66A5"/>
    <w:rsid w:val="001F6911"/>
    <w:rsid w:val="001F6994"/>
    <w:rsid w:val="001F6A76"/>
    <w:rsid w:val="001F6AF4"/>
    <w:rsid w:val="001F6B89"/>
    <w:rsid w:val="001F6C11"/>
    <w:rsid w:val="001F6CB9"/>
    <w:rsid w:val="001F6DA4"/>
    <w:rsid w:val="001F6E91"/>
    <w:rsid w:val="001F6EDD"/>
    <w:rsid w:val="001F7058"/>
    <w:rsid w:val="001F71DE"/>
    <w:rsid w:val="001F7295"/>
    <w:rsid w:val="001F7428"/>
    <w:rsid w:val="001F75A7"/>
    <w:rsid w:val="001F763A"/>
    <w:rsid w:val="001F7709"/>
    <w:rsid w:val="001F77C0"/>
    <w:rsid w:val="001F7B04"/>
    <w:rsid w:val="001F7BB6"/>
    <w:rsid w:val="001F7BC8"/>
    <w:rsid w:val="002002EB"/>
    <w:rsid w:val="002002F3"/>
    <w:rsid w:val="00200422"/>
    <w:rsid w:val="002006D0"/>
    <w:rsid w:val="00200751"/>
    <w:rsid w:val="002009B3"/>
    <w:rsid w:val="00200B45"/>
    <w:rsid w:val="00201153"/>
    <w:rsid w:val="00201265"/>
    <w:rsid w:val="0020134E"/>
    <w:rsid w:val="002015C1"/>
    <w:rsid w:val="00201660"/>
    <w:rsid w:val="00201688"/>
    <w:rsid w:val="002016D2"/>
    <w:rsid w:val="002018E7"/>
    <w:rsid w:val="0020192D"/>
    <w:rsid w:val="00201973"/>
    <w:rsid w:val="00201A90"/>
    <w:rsid w:val="00201F56"/>
    <w:rsid w:val="00201F8F"/>
    <w:rsid w:val="00201FB4"/>
    <w:rsid w:val="0020229F"/>
    <w:rsid w:val="002022C2"/>
    <w:rsid w:val="002022FA"/>
    <w:rsid w:val="002023CE"/>
    <w:rsid w:val="00202481"/>
    <w:rsid w:val="00202613"/>
    <w:rsid w:val="0020269B"/>
    <w:rsid w:val="00202764"/>
    <w:rsid w:val="00202AA0"/>
    <w:rsid w:val="00202AE8"/>
    <w:rsid w:val="00202EC4"/>
    <w:rsid w:val="0020306D"/>
    <w:rsid w:val="00203243"/>
    <w:rsid w:val="002037E2"/>
    <w:rsid w:val="002038AC"/>
    <w:rsid w:val="002039D1"/>
    <w:rsid w:val="00203A68"/>
    <w:rsid w:val="00203DA4"/>
    <w:rsid w:val="00203DF7"/>
    <w:rsid w:val="00203E3D"/>
    <w:rsid w:val="00203E9B"/>
    <w:rsid w:val="00203EC5"/>
    <w:rsid w:val="00203EED"/>
    <w:rsid w:val="00204128"/>
    <w:rsid w:val="002042C7"/>
    <w:rsid w:val="00204346"/>
    <w:rsid w:val="00204545"/>
    <w:rsid w:val="002046F2"/>
    <w:rsid w:val="0020491D"/>
    <w:rsid w:val="002049BD"/>
    <w:rsid w:val="00204AF2"/>
    <w:rsid w:val="00204B8B"/>
    <w:rsid w:val="00204D31"/>
    <w:rsid w:val="00204DD3"/>
    <w:rsid w:val="00204DDE"/>
    <w:rsid w:val="00204EC2"/>
    <w:rsid w:val="00204F12"/>
    <w:rsid w:val="00204F50"/>
    <w:rsid w:val="002051AE"/>
    <w:rsid w:val="00205656"/>
    <w:rsid w:val="00205E7F"/>
    <w:rsid w:val="00205F46"/>
    <w:rsid w:val="00206199"/>
    <w:rsid w:val="00206524"/>
    <w:rsid w:val="002066CA"/>
    <w:rsid w:val="0020670F"/>
    <w:rsid w:val="002068D8"/>
    <w:rsid w:val="0020697D"/>
    <w:rsid w:val="002069D4"/>
    <w:rsid w:val="00206DAE"/>
    <w:rsid w:val="0020730B"/>
    <w:rsid w:val="002075DD"/>
    <w:rsid w:val="002075F2"/>
    <w:rsid w:val="002079CF"/>
    <w:rsid w:val="00207AF9"/>
    <w:rsid w:val="00207B03"/>
    <w:rsid w:val="00207B54"/>
    <w:rsid w:val="00207BED"/>
    <w:rsid w:val="00207C44"/>
    <w:rsid w:val="00207EFD"/>
    <w:rsid w:val="00210425"/>
    <w:rsid w:val="00210605"/>
    <w:rsid w:val="00210A2C"/>
    <w:rsid w:val="00210A78"/>
    <w:rsid w:val="00210C9A"/>
    <w:rsid w:val="00210D17"/>
    <w:rsid w:val="00210DFD"/>
    <w:rsid w:val="00210E3C"/>
    <w:rsid w:val="00210F05"/>
    <w:rsid w:val="00211327"/>
    <w:rsid w:val="002114E3"/>
    <w:rsid w:val="00211577"/>
    <w:rsid w:val="00211767"/>
    <w:rsid w:val="00211786"/>
    <w:rsid w:val="002117D2"/>
    <w:rsid w:val="00211868"/>
    <w:rsid w:val="00211994"/>
    <w:rsid w:val="00211C38"/>
    <w:rsid w:val="00211CDE"/>
    <w:rsid w:val="0021202A"/>
    <w:rsid w:val="00212F58"/>
    <w:rsid w:val="00213505"/>
    <w:rsid w:val="002135FE"/>
    <w:rsid w:val="00213625"/>
    <w:rsid w:val="002137A0"/>
    <w:rsid w:val="00213BA5"/>
    <w:rsid w:val="00213C6D"/>
    <w:rsid w:val="00213CA5"/>
    <w:rsid w:val="00213E54"/>
    <w:rsid w:val="00213F0E"/>
    <w:rsid w:val="00213F88"/>
    <w:rsid w:val="00213FAD"/>
    <w:rsid w:val="00214042"/>
    <w:rsid w:val="0021429C"/>
    <w:rsid w:val="002142F7"/>
    <w:rsid w:val="0021459F"/>
    <w:rsid w:val="0021461C"/>
    <w:rsid w:val="0021466C"/>
    <w:rsid w:val="002146AA"/>
    <w:rsid w:val="00214890"/>
    <w:rsid w:val="00214A22"/>
    <w:rsid w:val="00214A3D"/>
    <w:rsid w:val="00214BC4"/>
    <w:rsid w:val="00214D56"/>
    <w:rsid w:val="00214D5A"/>
    <w:rsid w:val="00214E22"/>
    <w:rsid w:val="0021506B"/>
    <w:rsid w:val="00215208"/>
    <w:rsid w:val="002152C9"/>
    <w:rsid w:val="00215BE4"/>
    <w:rsid w:val="00215BFC"/>
    <w:rsid w:val="002160E8"/>
    <w:rsid w:val="0021612B"/>
    <w:rsid w:val="002161CC"/>
    <w:rsid w:val="0021631C"/>
    <w:rsid w:val="002163FF"/>
    <w:rsid w:val="00216849"/>
    <w:rsid w:val="00216976"/>
    <w:rsid w:val="00216A62"/>
    <w:rsid w:val="00216C59"/>
    <w:rsid w:val="00216D76"/>
    <w:rsid w:val="00216E1C"/>
    <w:rsid w:val="002176A1"/>
    <w:rsid w:val="002176B6"/>
    <w:rsid w:val="00217841"/>
    <w:rsid w:val="0021785B"/>
    <w:rsid w:val="0021785E"/>
    <w:rsid w:val="00217ADB"/>
    <w:rsid w:val="00217B9F"/>
    <w:rsid w:val="00217D9D"/>
    <w:rsid w:val="00217DD9"/>
    <w:rsid w:val="00217E1A"/>
    <w:rsid w:val="002200B7"/>
    <w:rsid w:val="0022013D"/>
    <w:rsid w:val="00220242"/>
    <w:rsid w:val="002203B7"/>
    <w:rsid w:val="00220563"/>
    <w:rsid w:val="00220655"/>
    <w:rsid w:val="00220853"/>
    <w:rsid w:val="0022085D"/>
    <w:rsid w:val="00220874"/>
    <w:rsid w:val="002208B2"/>
    <w:rsid w:val="00220ABB"/>
    <w:rsid w:val="00220AC3"/>
    <w:rsid w:val="00220F0A"/>
    <w:rsid w:val="002210E3"/>
    <w:rsid w:val="00221112"/>
    <w:rsid w:val="002211D0"/>
    <w:rsid w:val="002214A6"/>
    <w:rsid w:val="0022163A"/>
    <w:rsid w:val="0022175D"/>
    <w:rsid w:val="00221923"/>
    <w:rsid w:val="00221A1F"/>
    <w:rsid w:val="00221E0E"/>
    <w:rsid w:val="00221FF5"/>
    <w:rsid w:val="0022213C"/>
    <w:rsid w:val="002221F7"/>
    <w:rsid w:val="00222245"/>
    <w:rsid w:val="00222352"/>
    <w:rsid w:val="0022242F"/>
    <w:rsid w:val="00222677"/>
    <w:rsid w:val="002227CE"/>
    <w:rsid w:val="0022292B"/>
    <w:rsid w:val="00222DBA"/>
    <w:rsid w:val="00222EBE"/>
    <w:rsid w:val="00222EE2"/>
    <w:rsid w:val="0022317E"/>
    <w:rsid w:val="002231E2"/>
    <w:rsid w:val="00223259"/>
    <w:rsid w:val="0022348D"/>
    <w:rsid w:val="00223620"/>
    <w:rsid w:val="00223C4A"/>
    <w:rsid w:val="00223CE0"/>
    <w:rsid w:val="00223CF0"/>
    <w:rsid w:val="00223D18"/>
    <w:rsid w:val="00223E95"/>
    <w:rsid w:val="00223EBE"/>
    <w:rsid w:val="00224347"/>
    <w:rsid w:val="00224398"/>
    <w:rsid w:val="00224418"/>
    <w:rsid w:val="002246E2"/>
    <w:rsid w:val="002247D4"/>
    <w:rsid w:val="0022492A"/>
    <w:rsid w:val="00224A91"/>
    <w:rsid w:val="00224C25"/>
    <w:rsid w:val="00224C7A"/>
    <w:rsid w:val="00224FD1"/>
    <w:rsid w:val="0022510B"/>
    <w:rsid w:val="0022511E"/>
    <w:rsid w:val="0022522B"/>
    <w:rsid w:val="00225352"/>
    <w:rsid w:val="00225398"/>
    <w:rsid w:val="0022562B"/>
    <w:rsid w:val="002256AE"/>
    <w:rsid w:val="002256B3"/>
    <w:rsid w:val="00225B56"/>
    <w:rsid w:val="00225D14"/>
    <w:rsid w:val="00225D22"/>
    <w:rsid w:val="00226122"/>
    <w:rsid w:val="002261A8"/>
    <w:rsid w:val="0022625F"/>
    <w:rsid w:val="0022663D"/>
    <w:rsid w:val="0022670D"/>
    <w:rsid w:val="002267CC"/>
    <w:rsid w:val="00226809"/>
    <w:rsid w:val="00226B93"/>
    <w:rsid w:val="00226DAD"/>
    <w:rsid w:val="00227101"/>
    <w:rsid w:val="0022716B"/>
    <w:rsid w:val="0022735F"/>
    <w:rsid w:val="00227441"/>
    <w:rsid w:val="002274D1"/>
    <w:rsid w:val="0022768E"/>
    <w:rsid w:val="00227881"/>
    <w:rsid w:val="00227B13"/>
    <w:rsid w:val="00227C7D"/>
    <w:rsid w:val="00227E2D"/>
    <w:rsid w:val="00230483"/>
    <w:rsid w:val="002305E8"/>
    <w:rsid w:val="0023094C"/>
    <w:rsid w:val="00230AFE"/>
    <w:rsid w:val="00230B95"/>
    <w:rsid w:val="00230C91"/>
    <w:rsid w:val="00230CCD"/>
    <w:rsid w:val="00230F79"/>
    <w:rsid w:val="0023104F"/>
    <w:rsid w:val="00231149"/>
    <w:rsid w:val="00231270"/>
    <w:rsid w:val="00231509"/>
    <w:rsid w:val="00231711"/>
    <w:rsid w:val="002318EB"/>
    <w:rsid w:val="002318F7"/>
    <w:rsid w:val="002319AA"/>
    <w:rsid w:val="00231A99"/>
    <w:rsid w:val="00231B64"/>
    <w:rsid w:val="00231D06"/>
    <w:rsid w:val="00231D79"/>
    <w:rsid w:val="00231E96"/>
    <w:rsid w:val="0023204E"/>
    <w:rsid w:val="002325B1"/>
    <w:rsid w:val="00232618"/>
    <w:rsid w:val="0023291D"/>
    <w:rsid w:val="002329AA"/>
    <w:rsid w:val="00232AFD"/>
    <w:rsid w:val="00232D3E"/>
    <w:rsid w:val="00232F6F"/>
    <w:rsid w:val="00233094"/>
    <w:rsid w:val="0023327F"/>
    <w:rsid w:val="002333AE"/>
    <w:rsid w:val="0023343F"/>
    <w:rsid w:val="002335E2"/>
    <w:rsid w:val="0023371E"/>
    <w:rsid w:val="002337E5"/>
    <w:rsid w:val="0023380A"/>
    <w:rsid w:val="0023394F"/>
    <w:rsid w:val="00233A5E"/>
    <w:rsid w:val="00233A6E"/>
    <w:rsid w:val="00233B10"/>
    <w:rsid w:val="00233B76"/>
    <w:rsid w:val="00233B81"/>
    <w:rsid w:val="00233D9F"/>
    <w:rsid w:val="00233EA2"/>
    <w:rsid w:val="00233EA8"/>
    <w:rsid w:val="00234360"/>
    <w:rsid w:val="002344FF"/>
    <w:rsid w:val="00234560"/>
    <w:rsid w:val="0023456A"/>
    <w:rsid w:val="002346A3"/>
    <w:rsid w:val="002346B8"/>
    <w:rsid w:val="002348F0"/>
    <w:rsid w:val="00234935"/>
    <w:rsid w:val="00235099"/>
    <w:rsid w:val="00235259"/>
    <w:rsid w:val="00235511"/>
    <w:rsid w:val="002355CB"/>
    <w:rsid w:val="002356DB"/>
    <w:rsid w:val="002357A7"/>
    <w:rsid w:val="00235ACF"/>
    <w:rsid w:val="00235C2E"/>
    <w:rsid w:val="00235C55"/>
    <w:rsid w:val="00235CBF"/>
    <w:rsid w:val="00235CFF"/>
    <w:rsid w:val="00235D0B"/>
    <w:rsid w:val="00235F20"/>
    <w:rsid w:val="0023601F"/>
    <w:rsid w:val="00236039"/>
    <w:rsid w:val="002360FF"/>
    <w:rsid w:val="0023628B"/>
    <w:rsid w:val="00236424"/>
    <w:rsid w:val="002364C4"/>
    <w:rsid w:val="00236650"/>
    <w:rsid w:val="002366D2"/>
    <w:rsid w:val="002366F0"/>
    <w:rsid w:val="002368E5"/>
    <w:rsid w:val="00236C71"/>
    <w:rsid w:val="00236DA4"/>
    <w:rsid w:val="00236ED5"/>
    <w:rsid w:val="00236F0E"/>
    <w:rsid w:val="0023729F"/>
    <w:rsid w:val="00237422"/>
    <w:rsid w:val="0023762A"/>
    <w:rsid w:val="002376A2"/>
    <w:rsid w:val="002378DC"/>
    <w:rsid w:val="00237932"/>
    <w:rsid w:val="00237AAA"/>
    <w:rsid w:val="00237CC9"/>
    <w:rsid w:val="00237DC7"/>
    <w:rsid w:val="00237EAB"/>
    <w:rsid w:val="00237EAF"/>
    <w:rsid w:val="002404F7"/>
    <w:rsid w:val="00240652"/>
    <w:rsid w:val="00240693"/>
    <w:rsid w:val="00240795"/>
    <w:rsid w:val="0024082F"/>
    <w:rsid w:val="00240A9A"/>
    <w:rsid w:val="0024115E"/>
    <w:rsid w:val="00241238"/>
    <w:rsid w:val="002412FF"/>
    <w:rsid w:val="00241302"/>
    <w:rsid w:val="0024132C"/>
    <w:rsid w:val="002413C0"/>
    <w:rsid w:val="002414AA"/>
    <w:rsid w:val="0024155F"/>
    <w:rsid w:val="00241591"/>
    <w:rsid w:val="00241770"/>
    <w:rsid w:val="002418A6"/>
    <w:rsid w:val="00241914"/>
    <w:rsid w:val="00241B92"/>
    <w:rsid w:val="00241C53"/>
    <w:rsid w:val="00241D1C"/>
    <w:rsid w:val="00241DBD"/>
    <w:rsid w:val="00241DF0"/>
    <w:rsid w:val="00241E85"/>
    <w:rsid w:val="00241E90"/>
    <w:rsid w:val="0024226B"/>
    <w:rsid w:val="002424B9"/>
    <w:rsid w:val="00242821"/>
    <w:rsid w:val="0024292B"/>
    <w:rsid w:val="00242A22"/>
    <w:rsid w:val="00242AE1"/>
    <w:rsid w:val="00242CE0"/>
    <w:rsid w:val="00242DCD"/>
    <w:rsid w:val="00242F03"/>
    <w:rsid w:val="00243143"/>
    <w:rsid w:val="002431F8"/>
    <w:rsid w:val="00243246"/>
    <w:rsid w:val="00243314"/>
    <w:rsid w:val="00243409"/>
    <w:rsid w:val="0024353B"/>
    <w:rsid w:val="002436FF"/>
    <w:rsid w:val="00243B9D"/>
    <w:rsid w:val="00243BDA"/>
    <w:rsid w:val="00243CD3"/>
    <w:rsid w:val="00243FE3"/>
    <w:rsid w:val="00244056"/>
    <w:rsid w:val="002440D6"/>
    <w:rsid w:val="00244253"/>
    <w:rsid w:val="002446E6"/>
    <w:rsid w:val="00244882"/>
    <w:rsid w:val="00244BEB"/>
    <w:rsid w:val="00244BED"/>
    <w:rsid w:val="00244C54"/>
    <w:rsid w:val="00244C88"/>
    <w:rsid w:val="00244CC3"/>
    <w:rsid w:val="002450C6"/>
    <w:rsid w:val="002452BB"/>
    <w:rsid w:val="002453FD"/>
    <w:rsid w:val="002454F1"/>
    <w:rsid w:val="00245530"/>
    <w:rsid w:val="00245545"/>
    <w:rsid w:val="002455BD"/>
    <w:rsid w:val="002457ED"/>
    <w:rsid w:val="00245840"/>
    <w:rsid w:val="0024588C"/>
    <w:rsid w:val="00245A37"/>
    <w:rsid w:val="00245CC8"/>
    <w:rsid w:val="00245D74"/>
    <w:rsid w:val="00245ED8"/>
    <w:rsid w:val="00246111"/>
    <w:rsid w:val="00246160"/>
    <w:rsid w:val="00246172"/>
    <w:rsid w:val="002463F7"/>
    <w:rsid w:val="00246675"/>
    <w:rsid w:val="002466EA"/>
    <w:rsid w:val="002466FF"/>
    <w:rsid w:val="00246751"/>
    <w:rsid w:val="002467B0"/>
    <w:rsid w:val="00246873"/>
    <w:rsid w:val="00246908"/>
    <w:rsid w:val="0024699F"/>
    <w:rsid w:val="00246B47"/>
    <w:rsid w:val="00246B53"/>
    <w:rsid w:val="00246C0A"/>
    <w:rsid w:val="00246F35"/>
    <w:rsid w:val="002470F7"/>
    <w:rsid w:val="0024718B"/>
    <w:rsid w:val="002471C3"/>
    <w:rsid w:val="00247216"/>
    <w:rsid w:val="002474D7"/>
    <w:rsid w:val="00247539"/>
    <w:rsid w:val="0024763C"/>
    <w:rsid w:val="00247694"/>
    <w:rsid w:val="00247729"/>
    <w:rsid w:val="002477C0"/>
    <w:rsid w:val="00247A6C"/>
    <w:rsid w:val="00247ADB"/>
    <w:rsid w:val="00247E39"/>
    <w:rsid w:val="00250180"/>
    <w:rsid w:val="002502D0"/>
    <w:rsid w:val="0025043F"/>
    <w:rsid w:val="0025047C"/>
    <w:rsid w:val="002504B6"/>
    <w:rsid w:val="0025067D"/>
    <w:rsid w:val="00250834"/>
    <w:rsid w:val="00250890"/>
    <w:rsid w:val="002508B8"/>
    <w:rsid w:val="00250A84"/>
    <w:rsid w:val="00250B3B"/>
    <w:rsid w:val="00250BBB"/>
    <w:rsid w:val="00250CDB"/>
    <w:rsid w:val="00250DFD"/>
    <w:rsid w:val="00250EDC"/>
    <w:rsid w:val="00251060"/>
    <w:rsid w:val="002511F6"/>
    <w:rsid w:val="0025147F"/>
    <w:rsid w:val="0025159D"/>
    <w:rsid w:val="002518C4"/>
    <w:rsid w:val="002519EF"/>
    <w:rsid w:val="00251C2A"/>
    <w:rsid w:val="002520C3"/>
    <w:rsid w:val="00252187"/>
    <w:rsid w:val="002521E7"/>
    <w:rsid w:val="00252226"/>
    <w:rsid w:val="00252239"/>
    <w:rsid w:val="00252246"/>
    <w:rsid w:val="0025227B"/>
    <w:rsid w:val="002522D2"/>
    <w:rsid w:val="00252666"/>
    <w:rsid w:val="00252691"/>
    <w:rsid w:val="00252694"/>
    <w:rsid w:val="00252915"/>
    <w:rsid w:val="0025298D"/>
    <w:rsid w:val="00252B09"/>
    <w:rsid w:val="00252C15"/>
    <w:rsid w:val="00252C34"/>
    <w:rsid w:val="00252C44"/>
    <w:rsid w:val="00252E2A"/>
    <w:rsid w:val="00252E43"/>
    <w:rsid w:val="00252F87"/>
    <w:rsid w:val="00253048"/>
    <w:rsid w:val="002531D9"/>
    <w:rsid w:val="002532EA"/>
    <w:rsid w:val="0025333B"/>
    <w:rsid w:val="002534EF"/>
    <w:rsid w:val="00253883"/>
    <w:rsid w:val="00253949"/>
    <w:rsid w:val="00253974"/>
    <w:rsid w:val="00253B02"/>
    <w:rsid w:val="00253BFF"/>
    <w:rsid w:val="00253E09"/>
    <w:rsid w:val="00253E2E"/>
    <w:rsid w:val="00254091"/>
    <w:rsid w:val="002541A1"/>
    <w:rsid w:val="002543F4"/>
    <w:rsid w:val="002544F6"/>
    <w:rsid w:val="00254633"/>
    <w:rsid w:val="00254636"/>
    <w:rsid w:val="00254805"/>
    <w:rsid w:val="0025486A"/>
    <w:rsid w:val="002549F7"/>
    <w:rsid w:val="00254B00"/>
    <w:rsid w:val="00254D9E"/>
    <w:rsid w:val="00255019"/>
    <w:rsid w:val="002552B9"/>
    <w:rsid w:val="002552EB"/>
    <w:rsid w:val="0025544F"/>
    <w:rsid w:val="00255528"/>
    <w:rsid w:val="0025557C"/>
    <w:rsid w:val="002556FC"/>
    <w:rsid w:val="0025585C"/>
    <w:rsid w:val="002558F5"/>
    <w:rsid w:val="00255987"/>
    <w:rsid w:val="002559F3"/>
    <w:rsid w:val="00255B5A"/>
    <w:rsid w:val="00255BC3"/>
    <w:rsid w:val="00256300"/>
    <w:rsid w:val="00256436"/>
    <w:rsid w:val="00256655"/>
    <w:rsid w:val="00256CE2"/>
    <w:rsid w:val="00256CEA"/>
    <w:rsid w:val="00256EA6"/>
    <w:rsid w:val="0025716B"/>
    <w:rsid w:val="002575C3"/>
    <w:rsid w:val="00257686"/>
    <w:rsid w:val="002577AE"/>
    <w:rsid w:val="00257AD9"/>
    <w:rsid w:val="00257D42"/>
    <w:rsid w:val="00257DB8"/>
    <w:rsid w:val="00257E9F"/>
    <w:rsid w:val="00260073"/>
    <w:rsid w:val="00260204"/>
    <w:rsid w:val="00260329"/>
    <w:rsid w:val="00260BBB"/>
    <w:rsid w:val="00260C02"/>
    <w:rsid w:val="00260EA5"/>
    <w:rsid w:val="00260F64"/>
    <w:rsid w:val="00260FC4"/>
    <w:rsid w:val="002610B0"/>
    <w:rsid w:val="0026169F"/>
    <w:rsid w:val="0026171D"/>
    <w:rsid w:val="00261948"/>
    <w:rsid w:val="00261A29"/>
    <w:rsid w:val="00261C03"/>
    <w:rsid w:val="00261CAE"/>
    <w:rsid w:val="00261ECA"/>
    <w:rsid w:val="00261F84"/>
    <w:rsid w:val="00261FA2"/>
    <w:rsid w:val="0026202B"/>
    <w:rsid w:val="00262072"/>
    <w:rsid w:val="00262191"/>
    <w:rsid w:val="0026226E"/>
    <w:rsid w:val="00262381"/>
    <w:rsid w:val="002624CA"/>
    <w:rsid w:val="00262593"/>
    <w:rsid w:val="00262797"/>
    <w:rsid w:val="002629BB"/>
    <w:rsid w:val="00262B50"/>
    <w:rsid w:val="00262D5F"/>
    <w:rsid w:val="00263025"/>
    <w:rsid w:val="00263146"/>
    <w:rsid w:val="002632B1"/>
    <w:rsid w:val="0026373A"/>
    <w:rsid w:val="002637B1"/>
    <w:rsid w:val="0026392F"/>
    <w:rsid w:val="0026395E"/>
    <w:rsid w:val="00263997"/>
    <w:rsid w:val="00263B25"/>
    <w:rsid w:val="00263CB8"/>
    <w:rsid w:val="00263CC6"/>
    <w:rsid w:val="00263CEB"/>
    <w:rsid w:val="00263F1F"/>
    <w:rsid w:val="002644C0"/>
    <w:rsid w:val="00264510"/>
    <w:rsid w:val="00264841"/>
    <w:rsid w:val="002648BB"/>
    <w:rsid w:val="0026491A"/>
    <w:rsid w:val="00264B63"/>
    <w:rsid w:val="00264ED4"/>
    <w:rsid w:val="00264EDE"/>
    <w:rsid w:val="00264F9E"/>
    <w:rsid w:val="00264FF1"/>
    <w:rsid w:val="00265090"/>
    <w:rsid w:val="002650E6"/>
    <w:rsid w:val="0026519E"/>
    <w:rsid w:val="002651BE"/>
    <w:rsid w:val="0026523A"/>
    <w:rsid w:val="0026572A"/>
    <w:rsid w:val="002657CF"/>
    <w:rsid w:val="002658CD"/>
    <w:rsid w:val="00265937"/>
    <w:rsid w:val="00265AAD"/>
    <w:rsid w:val="00265BFD"/>
    <w:rsid w:val="00265C18"/>
    <w:rsid w:val="00265C5A"/>
    <w:rsid w:val="00265C86"/>
    <w:rsid w:val="00265CBC"/>
    <w:rsid w:val="00265DA6"/>
    <w:rsid w:val="00265ED0"/>
    <w:rsid w:val="00266160"/>
    <w:rsid w:val="0026623D"/>
    <w:rsid w:val="0026631B"/>
    <w:rsid w:val="0026643C"/>
    <w:rsid w:val="0026652B"/>
    <w:rsid w:val="00266672"/>
    <w:rsid w:val="0026675A"/>
    <w:rsid w:val="00266776"/>
    <w:rsid w:val="00266BA9"/>
    <w:rsid w:val="00266BFD"/>
    <w:rsid w:val="00266D32"/>
    <w:rsid w:val="00266DFE"/>
    <w:rsid w:val="00266F61"/>
    <w:rsid w:val="00266F66"/>
    <w:rsid w:val="002670D2"/>
    <w:rsid w:val="00267526"/>
    <w:rsid w:val="00267529"/>
    <w:rsid w:val="002677D9"/>
    <w:rsid w:val="0026784F"/>
    <w:rsid w:val="002678B5"/>
    <w:rsid w:val="002679DF"/>
    <w:rsid w:val="00267B42"/>
    <w:rsid w:val="00267BA6"/>
    <w:rsid w:val="00267EC0"/>
    <w:rsid w:val="00267FFC"/>
    <w:rsid w:val="0027019F"/>
    <w:rsid w:val="002702F8"/>
    <w:rsid w:val="00270667"/>
    <w:rsid w:val="00270745"/>
    <w:rsid w:val="002707D2"/>
    <w:rsid w:val="00270C0F"/>
    <w:rsid w:val="00270D03"/>
    <w:rsid w:val="00270D45"/>
    <w:rsid w:val="00270D85"/>
    <w:rsid w:val="00270F1F"/>
    <w:rsid w:val="00270F7D"/>
    <w:rsid w:val="00270FBC"/>
    <w:rsid w:val="0027115C"/>
    <w:rsid w:val="00271278"/>
    <w:rsid w:val="00271548"/>
    <w:rsid w:val="002716DE"/>
    <w:rsid w:val="0027177D"/>
    <w:rsid w:val="002719E2"/>
    <w:rsid w:val="00271ABF"/>
    <w:rsid w:val="00271B22"/>
    <w:rsid w:val="00271C71"/>
    <w:rsid w:val="00271DF0"/>
    <w:rsid w:val="00271E69"/>
    <w:rsid w:val="00271F25"/>
    <w:rsid w:val="00271FF0"/>
    <w:rsid w:val="002720E3"/>
    <w:rsid w:val="00272269"/>
    <w:rsid w:val="00272341"/>
    <w:rsid w:val="00272372"/>
    <w:rsid w:val="0027247B"/>
    <w:rsid w:val="0027254C"/>
    <w:rsid w:val="00272623"/>
    <w:rsid w:val="002727E3"/>
    <w:rsid w:val="002728B0"/>
    <w:rsid w:val="002729AC"/>
    <w:rsid w:val="00272B90"/>
    <w:rsid w:val="00272E3E"/>
    <w:rsid w:val="00272E61"/>
    <w:rsid w:val="00273112"/>
    <w:rsid w:val="00273198"/>
    <w:rsid w:val="0027336A"/>
    <w:rsid w:val="0027339C"/>
    <w:rsid w:val="00273589"/>
    <w:rsid w:val="002735EA"/>
    <w:rsid w:val="00273702"/>
    <w:rsid w:val="0027376C"/>
    <w:rsid w:val="00273947"/>
    <w:rsid w:val="00273B56"/>
    <w:rsid w:val="00273C7E"/>
    <w:rsid w:val="00273F50"/>
    <w:rsid w:val="0027400B"/>
    <w:rsid w:val="002740A5"/>
    <w:rsid w:val="002741F5"/>
    <w:rsid w:val="002742C5"/>
    <w:rsid w:val="00274483"/>
    <w:rsid w:val="0027470E"/>
    <w:rsid w:val="00274736"/>
    <w:rsid w:val="00274839"/>
    <w:rsid w:val="00274954"/>
    <w:rsid w:val="00274AEC"/>
    <w:rsid w:val="00274D0D"/>
    <w:rsid w:val="00274D90"/>
    <w:rsid w:val="00274F10"/>
    <w:rsid w:val="00275067"/>
    <w:rsid w:val="002750CE"/>
    <w:rsid w:val="0027518D"/>
    <w:rsid w:val="002751D5"/>
    <w:rsid w:val="002751DB"/>
    <w:rsid w:val="002753EE"/>
    <w:rsid w:val="00275536"/>
    <w:rsid w:val="0027575B"/>
    <w:rsid w:val="00275802"/>
    <w:rsid w:val="002758DB"/>
    <w:rsid w:val="0027594F"/>
    <w:rsid w:val="00275D40"/>
    <w:rsid w:val="00275E26"/>
    <w:rsid w:val="0027605B"/>
    <w:rsid w:val="00276064"/>
    <w:rsid w:val="002762C2"/>
    <w:rsid w:val="0027634F"/>
    <w:rsid w:val="00276554"/>
    <w:rsid w:val="00276795"/>
    <w:rsid w:val="00276A1F"/>
    <w:rsid w:val="00276B5D"/>
    <w:rsid w:val="00276C14"/>
    <w:rsid w:val="00276E15"/>
    <w:rsid w:val="00276FC2"/>
    <w:rsid w:val="00277000"/>
    <w:rsid w:val="00277149"/>
    <w:rsid w:val="002771F6"/>
    <w:rsid w:val="00277251"/>
    <w:rsid w:val="002773A5"/>
    <w:rsid w:val="002773EC"/>
    <w:rsid w:val="002777D7"/>
    <w:rsid w:val="00277B6E"/>
    <w:rsid w:val="0028032C"/>
    <w:rsid w:val="00280500"/>
    <w:rsid w:val="0028063C"/>
    <w:rsid w:val="00280B9A"/>
    <w:rsid w:val="00280C9E"/>
    <w:rsid w:val="00280D70"/>
    <w:rsid w:val="00280DC3"/>
    <w:rsid w:val="00280E0C"/>
    <w:rsid w:val="00280E20"/>
    <w:rsid w:val="0028101C"/>
    <w:rsid w:val="0028101F"/>
    <w:rsid w:val="002811FF"/>
    <w:rsid w:val="00281251"/>
    <w:rsid w:val="00281591"/>
    <w:rsid w:val="002815AF"/>
    <w:rsid w:val="00281C54"/>
    <w:rsid w:val="00281C71"/>
    <w:rsid w:val="00281C72"/>
    <w:rsid w:val="00281DB5"/>
    <w:rsid w:val="0028207B"/>
    <w:rsid w:val="002823B3"/>
    <w:rsid w:val="00282454"/>
    <w:rsid w:val="00282673"/>
    <w:rsid w:val="00282709"/>
    <w:rsid w:val="002829FD"/>
    <w:rsid w:val="00282AD9"/>
    <w:rsid w:val="00282B16"/>
    <w:rsid w:val="00282E5C"/>
    <w:rsid w:val="00282E66"/>
    <w:rsid w:val="00282EE1"/>
    <w:rsid w:val="002830D0"/>
    <w:rsid w:val="002831F6"/>
    <w:rsid w:val="00283254"/>
    <w:rsid w:val="00283423"/>
    <w:rsid w:val="002834C8"/>
    <w:rsid w:val="00283576"/>
    <w:rsid w:val="002835C9"/>
    <w:rsid w:val="002837C4"/>
    <w:rsid w:val="00283810"/>
    <w:rsid w:val="00283826"/>
    <w:rsid w:val="00283AB5"/>
    <w:rsid w:val="00283B82"/>
    <w:rsid w:val="00283C68"/>
    <w:rsid w:val="00283E7B"/>
    <w:rsid w:val="00283FA1"/>
    <w:rsid w:val="00284101"/>
    <w:rsid w:val="00284150"/>
    <w:rsid w:val="00284152"/>
    <w:rsid w:val="00284197"/>
    <w:rsid w:val="00284665"/>
    <w:rsid w:val="002847BA"/>
    <w:rsid w:val="0028488C"/>
    <w:rsid w:val="00284A3B"/>
    <w:rsid w:val="00284A65"/>
    <w:rsid w:val="00284C45"/>
    <w:rsid w:val="00284CAB"/>
    <w:rsid w:val="00284DF7"/>
    <w:rsid w:val="00284EBF"/>
    <w:rsid w:val="00284F19"/>
    <w:rsid w:val="002853AC"/>
    <w:rsid w:val="00285479"/>
    <w:rsid w:val="00285622"/>
    <w:rsid w:val="0028586E"/>
    <w:rsid w:val="00285974"/>
    <w:rsid w:val="00285B51"/>
    <w:rsid w:val="00285BA0"/>
    <w:rsid w:val="00285C70"/>
    <w:rsid w:val="00285E23"/>
    <w:rsid w:val="00285EC4"/>
    <w:rsid w:val="00285F94"/>
    <w:rsid w:val="00286083"/>
    <w:rsid w:val="002860EE"/>
    <w:rsid w:val="00286194"/>
    <w:rsid w:val="0028627F"/>
    <w:rsid w:val="00286495"/>
    <w:rsid w:val="0028651C"/>
    <w:rsid w:val="002865C0"/>
    <w:rsid w:val="00286760"/>
    <w:rsid w:val="0028681E"/>
    <w:rsid w:val="00286A76"/>
    <w:rsid w:val="00286B96"/>
    <w:rsid w:val="00286C21"/>
    <w:rsid w:val="00286DA7"/>
    <w:rsid w:val="00286E4E"/>
    <w:rsid w:val="00286ECE"/>
    <w:rsid w:val="00286FC6"/>
    <w:rsid w:val="00286FC8"/>
    <w:rsid w:val="0028709C"/>
    <w:rsid w:val="00287157"/>
    <w:rsid w:val="002875B8"/>
    <w:rsid w:val="002877DB"/>
    <w:rsid w:val="002879A6"/>
    <w:rsid w:val="00287BAD"/>
    <w:rsid w:val="00287CE1"/>
    <w:rsid w:val="00287D78"/>
    <w:rsid w:val="00287E57"/>
    <w:rsid w:val="0029002E"/>
    <w:rsid w:val="00290651"/>
    <w:rsid w:val="0029070A"/>
    <w:rsid w:val="002907B2"/>
    <w:rsid w:val="002907FA"/>
    <w:rsid w:val="00290C52"/>
    <w:rsid w:val="00290C5D"/>
    <w:rsid w:val="00290D06"/>
    <w:rsid w:val="00290D35"/>
    <w:rsid w:val="00290ED9"/>
    <w:rsid w:val="00290F25"/>
    <w:rsid w:val="00290FC9"/>
    <w:rsid w:val="00291134"/>
    <w:rsid w:val="00291289"/>
    <w:rsid w:val="002912A2"/>
    <w:rsid w:val="00291507"/>
    <w:rsid w:val="0029155E"/>
    <w:rsid w:val="002916F5"/>
    <w:rsid w:val="00291746"/>
    <w:rsid w:val="002917E5"/>
    <w:rsid w:val="00291839"/>
    <w:rsid w:val="00291975"/>
    <w:rsid w:val="00291A13"/>
    <w:rsid w:val="00291B1A"/>
    <w:rsid w:val="00291B6A"/>
    <w:rsid w:val="00291C80"/>
    <w:rsid w:val="00291EE6"/>
    <w:rsid w:val="00291F89"/>
    <w:rsid w:val="002921BA"/>
    <w:rsid w:val="002927DC"/>
    <w:rsid w:val="00292841"/>
    <w:rsid w:val="002928B4"/>
    <w:rsid w:val="00292A9C"/>
    <w:rsid w:val="00292C30"/>
    <w:rsid w:val="00292C32"/>
    <w:rsid w:val="002930C4"/>
    <w:rsid w:val="002931DB"/>
    <w:rsid w:val="0029333F"/>
    <w:rsid w:val="00293351"/>
    <w:rsid w:val="00293547"/>
    <w:rsid w:val="002937D0"/>
    <w:rsid w:val="00293AB2"/>
    <w:rsid w:val="00293ABB"/>
    <w:rsid w:val="00293C13"/>
    <w:rsid w:val="00293C84"/>
    <w:rsid w:val="00293E6C"/>
    <w:rsid w:val="00293FA0"/>
    <w:rsid w:val="00293FA3"/>
    <w:rsid w:val="002942E6"/>
    <w:rsid w:val="002945F9"/>
    <w:rsid w:val="00294ADA"/>
    <w:rsid w:val="00294B9A"/>
    <w:rsid w:val="00294EFF"/>
    <w:rsid w:val="00294F6D"/>
    <w:rsid w:val="00294FAB"/>
    <w:rsid w:val="00295135"/>
    <w:rsid w:val="0029521D"/>
    <w:rsid w:val="00295295"/>
    <w:rsid w:val="00295332"/>
    <w:rsid w:val="00295357"/>
    <w:rsid w:val="00295667"/>
    <w:rsid w:val="0029591C"/>
    <w:rsid w:val="00295A9F"/>
    <w:rsid w:val="00295BF6"/>
    <w:rsid w:val="00295C12"/>
    <w:rsid w:val="00295C87"/>
    <w:rsid w:val="00295EAA"/>
    <w:rsid w:val="00295EEA"/>
    <w:rsid w:val="002960CA"/>
    <w:rsid w:val="00296471"/>
    <w:rsid w:val="002964CA"/>
    <w:rsid w:val="002964FD"/>
    <w:rsid w:val="00296608"/>
    <w:rsid w:val="00296799"/>
    <w:rsid w:val="002968E2"/>
    <w:rsid w:val="00296C50"/>
    <w:rsid w:val="00296D8C"/>
    <w:rsid w:val="002970AB"/>
    <w:rsid w:val="00297118"/>
    <w:rsid w:val="002972F6"/>
    <w:rsid w:val="00297334"/>
    <w:rsid w:val="002974B8"/>
    <w:rsid w:val="002976D0"/>
    <w:rsid w:val="00297983"/>
    <w:rsid w:val="00297B03"/>
    <w:rsid w:val="00297B7F"/>
    <w:rsid w:val="00297EAA"/>
    <w:rsid w:val="002A02DC"/>
    <w:rsid w:val="002A043B"/>
    <w:rsid w:val="002A0809"/>
    <w:rsid w:val="002A0901"/>
    <w:rsid w:val="002A0B1A"/>
    <w:rsid w:val="002A0BC2"/>
    <w:rsid w:val="002A0CC4"/>
    <w:rsid w:val="002A0D2E"/>
    <w:rsid w:val="002A0D4B"/>
    <w:rsid w:val="002A0DCB"/>
    <w:rsid w:val="002A130A"/>
    <w:rsid w:val="002A13EA"/>
    <w:rsid w:val="002A14AC"/>
    <w:rsid w:val="002A14F4"/>
    <w:rsid w:val="002A159D"/>
    <w:rsid w:val="002A15BD"/>
    <w:rsid w:val="002A17BB"/>
    <w:rsid w:val="002A18B6"/>
    <w:rsid w:val="002A1917"/>
    <w:rsid w:val="002A1A3E"/>
    <w:rsid w:val="002A1AD0"/>
    <w:rsid w:val="002A1B85"/>
    <w:rsid w:val="002A1EDD"/>
    <w:rsid w:val="002A1EEC"/>
    <w:rsid w:val="002A22E1"/>
    <w:rsid w:val="002A251D"/>
    <w:rsid w:val="002A264C"/>
    <w:rsid w:val="002A28B9"/>
    <w:rsid w:val="002A2ACE"/>
    <w:rsid w:val="002A2B2D"/>
    <w:rsid w:val="002A2E21"/>
    <w:rsid w:val="002A2E9C"/>
    <w:rsid w:val="002A3191"/>
    <w:rsid w:val="002A319E"/>
    <w:rsid w:val="002A3439"/>
    <w:rsid w:val="002A3452"/>
    <w:rsid w:val="002A34BA"/>
    <w:rsid w:val="002A36B5"/>
    <w:rsid w:val="002A36D6"/>
    <w:rsid w:val="002A3719"/>
    <w:rsid w:val="002A387A"/>
    <w:rsid w:val="002A3E61"/>
    <w:rsid w:val="002A3E8F"/>
    <w:rsid w:val="002A3F58"/>
    <w:rsid w:val="002A4080"/>
    <w:rsid w:val="002A4193"/>
    <w:rsid w:val="002A41C5"/>
    <w:rsid w:val="002A44A9"/>
    <w:rsid w:val="002A44E7"/>
    <w:rsid w:val="002A458F"/>
    <w:rsid w:val="002A470A"/>
    <w:rsid w:val="002A479F"/>
    <w:rsid w:val="002A47A4"/>
    <w:rsid w:val="002A49BC"/>
    <w:rsid w:val="002A4AE3"/>
    <w:rsid w:val="002A4B51"/>
    <w:rsid w:val="002A4B9D"/>
    <w:rsid w:val="002A4D2A"/>
    <w:rsid w:val="002A4FBC"/>
    <w:rsid w:val="002A510E"/>
    <w:rsid w:val="002A525A"/>
    <w:rsid w:val="002A5458"/>
    <w:rsid w:val="002A57C0"/>
    <w:rsid w:val="002A593E"/>
    <w:rsid w:val="002A606D"/>
    <w:rsid w:val="002A6161"/>
    <w:rsid w:val="002A623A"/>
    <w:rsid w:val="002A6561"/>
    <w:rsid w:val="002A65A3"/>
    <w:rsid w:val="002A6677"/>
    <w:rsid w:val="002A68FC"/>
    <w:rsid w:val="002A69E0"/>
    <w:rsid w:val="002A6A9B"/>
    <w:rsid w:val="002A6CC2"/>
    <w:rsid w:val="002A6D68"/>
    <w:rsid w:val="002A6F27"/>
    <w:rsid w:val="002A724A"/>
    <w:rsid w:val="002A7292"/>
    <w:rsid w:val="002A748D"/>
    <w:rsid w:val="002A74C6"/>
    <w:rsid w:val="002A7750"/>
    <w:rsid w:val="002A77B8"/>
    <w:rsid w:val="002A77E6"/>
    <w:rsid w:val="002A7ADA"/>
    <w:rsid w:val="002A7BFC"/>
    <w:rsid w:val="002A7C88"/>
    <w:rsid w:val="002B034C"/>
    <w:rsid w:val="002B0555"/>
    <w:rsid w:val="002B062B"/>
    <w:rsid w:val="002B074C"/>
    <w:rsid w:val="002B0867"/>
    <w:rsid w:val="002B0A2B"/>
    <w:rsid w:val="002B0A43"/>
    <w:rsid w:val="002B0B3B"/>
    <w:rsid w:val="002B0B46"/>
    <w:rsid w:val="002B0BC5"/>
    <w:rsid w:val="002B0BCE"/>
    <w:rsid w:val="002B0F45"/>
    <w:rsid w:val="002B106F"/>
    <w:rsid w:val="002B1119"/>
    <w:rsid w:val="002B1286"/>
    <w:rsid w:val="002B1316"/>
    <w:rsid w:val="002B1411"/>
    <w:rsid w:val="002B1462"/>
    <w:rsid w:val="002B1495"/>
    <w:rsid w:val="002B188C"/>
    <w:rsid w:val="002B190D"/>
    <w:rsid w:val="002B19A4"/>
    <w:rsid w:val="002B1A01"/>
    <w:rsid w:val="002B1C22"/>
    <w:rsid w:val="002B1D95"/>
    <w:rsid w:val="002B1E93"/>
    <w:rsid w:val="002B1EAA"/>
    <w:rsid w:val="002B2017"/>
    <w:rsid w:val="002B219B"/>
    <w:rsid w:val="002B221C"/>
    <w:rsid w:val="002B241A"/>
    <w:rsid w:val="002B24B6"/>
    <w:rsid w:val="002B25E3"/>
    <w:rsid w:val="002B2C21"/>
    <w:rsid w:val="002B30F3"/>
    <w:rsid w:val="002B3346"/>
    <w:rsid w:val="002B33AB"/>
    <w:rsid w:val="002B3408"/>
    <w:rsid w:val="002B34D2"/>
    <w:rsid w:val="002B355B"/>
    <w:rsid w:val="002B3630"/>
    <w:rsid w:val="002B363C"/>
    <w:rsid w:val="002B37BD"/>
    <w:rsid w:val="002B382E"/>
    <w:rsid w:val="002B3A48"/>
    <w:rsid w:val="002B3B36"/>
    <w:rsid w:val="002B438E"/>
    <w:rsid w:val="002B4417"/>
    <w:rsid w:val="002B4778"/>
    <w:rsid w:val="002B4C25"/>
    <w:rsid w:val="002B4C27"/>
    <w:rsid w:val="002B50A3"/>
    <w:rsid w:val="002B5152"/>
    <w:rsid w:val="002B5343"/>
    <w:rsid w:val="002B5426"/>
    <w:rsid w:val="002B542C"/>
    <w:rsid w:val="002B54AE"/>
    <w:rsid w:val="002B5547"/>
    <w:rsid w:val="002B5948"/>
    <w:rsid w:val="002B5961"/>
    <w:rsid w:val="002B5998"/>
    <w:rsid w:val="002B5CCD"/>
    <w:rsid w:val="002B5E6C"/>
    <w:rsid w:val="002B5FC1"/>
    <w:rsid w:val="002B602D"/>
    <w:rsid w:val="002B607B"/>
    <w:rsid w:val="002B61D2"/>
    <w:rsid w:val="002B6420"/>
    <w:rsid w:val="002B64B0"/>
    <w:rsid w:val="002B6530"/>
    <w:rsid w:val="002B659D"/>
    <w:rsid w:val="002B6604"/>
    <w:rsid w:val="002B6654"/>
    <w:rsid w:val="002B6743"/>
    <w:rsid w:val="002B6799"/>
    <w:rsid w:val="002B6A02"/>
    <w:rsid w:val="002B6A0D"/>
    <w:rsid w:val="002B6A86"/>
    <w:rsid w:val="002B6C96"/>
    <w:rsid w:val="002B6CD8"/>
    <w:rsid w:val="002B6D23"/>
    <w:rsid w:val="002B6F21"/>
    <w:rsid w:val="002B6F78"/>
    <w:rsid w:val="002B6FF8"/>
    <w:rsid w:val="002B723A"/>
    <w:rsid w:val="002B73B3"/>
    <w:rsid w:val="002B74D6"/>
    <w:rsid w:val="002B7665"/>
    <w:rsid w:val="002B76A6"/>
    <w:rsid w:val="002B78FF"/>
    <w:rsid w:val="002B795A"/>
    <w:rsid w:val="002B79A8"/>
    <w:rsid w:val="002B7E0C"/>
    <w:rsid w:val="002C0050"/>
    <w:rsid w:val="002C012D"/>
    <w:rsid w:val="002C01B1"/>
    <w:rsid w:val="002C02A1"/>
    <w:rsid w:val="002C02AA"/>
    <w:rsid w:val="002C0678"/>
    <w:rsid w:val="002C07A6"/>
    <w:rsid w:val="002C0917"/>
    <w:rsid w:val="002C0AA5"/>
    <w:rsid w:val="002C0AB3"/>
    <w:rsid w:val="002C0B47"/>
    <w:rsid w:val="002C0DA2"/>
    <w:rsid w:val="002C0EB6"/>
    <w:rsid w:val="002C126F"/>
    <w:rsid w:val="002C1284"/>
    <w:rsid w:val="002C13FA"/>
    <w:rsid w:val="002C16FD"/>
    <w:rsid w:val="002C17E2"/>
    <w:rsid w:val="002C1A1A"/>
    <w:rsid w:val="002C1A62"/>
    <w:rsid w:val="002C1B50"/>
    <w:rsid w:val="002C1DB5"/>
    <w:rsid w:val="002C1E7F"/>
    <w:rsid w:val="002C1F5E"/>
    <w:rsid w:val="002C1FE8"/>
    <w:rsid w:val="002C234F"/>
    <w:rsid w:val="002C2718"/>
    <w:rsid w:val="002C27C8"/>
    <w:rsid w:val="002C27DF"/>
    <w:rsid w:val="002C2A2D"/>
    <w:rsid w:val="002C2A45"/>
    <w:rsid w:val="002C30A8"/>
    <w:rsid w:val="002C311B"/>
    <w:rsid w:val="002C312A"/>
    <w:rsid w:val="002C3337"/>
    <w:rsid w:val="002C3393"/>
    <w:rsid w:val="002C3A55"/>
    <w:rsid w:val="002C3B20"/>
    <w:rsid w:val="002C3C1F"/>
    <w:rsid w:val="002C3DB7"/>
    <w:rsid w:val="002C4287"/>
    <w:rsid w:val="002C431D"/>
    <w:rsid w:val="002C4355"/>
    <w:rsid w:val="002C43CD"/>
    <w:rsid w:val="002C44ED"/>
    <w:rsid w:val="002C4563"/>
    <w:rsid w:val="002C48CF"/>
    <w:rsid w:val="002C494F"/>
    <w:rsid w:val="002C49A9"/>
    <w:rsid w:val="002C4A3E"/>
    <w:rsid w:val="002C4A63"/>
    <w:rsid w:val="002C4D9F"/>
    <w:rsid w:val="002C4E1F"/>
    <w:rsid w:val="002C4E42"/>
    <w:rsid w:val="002C4F5D"/>
    <w:rsid w:val="002C50A8"/>
    <w:rsid w:val="002C525D"/>
    <w:rsid w:val="002C5938"/>
    <w:rsid w:val="002C5B77"/>
    <w:rsid w:val="002C5D22"/>
    <w:rsid w:val="002C5D9D"/>
    <w:rsid w:val="002C5ECC"/>
    <w:rsid w:val="002C5F86"/>
    <w:rsid w:val="002C6116"/>
    <w:rsid w:val="002C6218"/>
    <w:rsid w:val="002C6455"/>
    <w:rsid w:val="002C654E"/>
    <w:rsid w:val="002C6718"/>
    <w:rsid w:val="002C683C"/>
    <w:rsid w:val="002C6A79"/>
    <w:rsid w:val="002C6BA4"/>
    <w:rsid w:val="002C6F58"/>
    <w:rsid w:val="002C7085"/>
    <w:rsid w:val="002C70AF"/>
    <w:rsid w:val="002C7161"/>
    <w:rsid w:val="002C727B"/>
    <w:rsid w:val="002C7281"/>
    <w:rsid w:val="002C7808"/>
    <w:rsid w:val="002C7948"/>
    <w:rsid w:val="002C7DB4"/>
    <w:rsid w:val="002C7E16"/>
    <w:rsid w:val="002C7E70"/>
    <w:rsid w:val="002C7F00"/>
    <w:rsid w:val="002C7FFB"/>
    <w:rsid w:val="002D005D"/>
    <w:rsid w:val="002D014E"/>
    <w:rsid w:val="002D0504"/>
    <w:rsid w:val="002D06D6"/>
    <w:rsid w:val="002D0D6A"/>
    <w:rsid w:val="002D0DDB"/>
    <w:rsid w:val="002D10E6"/>
    <w:rsid w:val="002D11AD"/>
    <w:rsid w:val="002D12CC"/>
    <w:rsid w:val="002D1373"/>
    <w:rsid w:val="002D1503"/>
    <w:rsid w:val="002D1790"/>
    <w:rsid w:val="002D1AA0"/>
    <w:rsid w:val="002D1B24"/>
    <w:rsid w:val="002D1C39"/>
    <w:rsid w:val="002D1CD7"/>
    <w:rsid w:val="002D1D83"/>
    <w:rsid w:val="002D1DE1"/>
    <w:rsid w:val="002D1E86"/>
    <w:rsid w:val="002D223A"/>
    <w:rsid w:val="002D2330"/>
    <w:rsid w:val="002D26E9"/>
    <w:rsid w:val="002D29B2"/>
    <w:rsid w:val="002D2A67"/>
    <w:rsid w:val="002D2AA5"/>
    <w:rsid w:val="002D2BC0"/>
    <w:rsid w:val="002D2DC4"/>
    <w:rsid w:val="002D2E56"/>
    <w:rsid w:val="002D342B"/>
    <w:rsid w:val="002D350F"/>
    <w:rsid w:val="002D3635"/>
    <w:rsid w:val="002D36DB"/>
    <w:rsid w:val="002D3865"/>
    <w:rsid w:val="002D3952"/>
    <w:rsid w:val="002D39E1"/>
    <w:rsid w:val="002D3A74"/>
    <w:rsid w:val="002D3AC0"/>
    <w:rsid w:val="002D3B7F"/>
    <w:rsid w:val="002D3BBA"/>
    <w:rsid w:val="002D3C2E"/>
    <w:rsid w:val="002D3D81"/>
    <w:rsid w:val="002D3EA9"/>
    <w:rsid w:val="002D3ECC"/>
    <w:rsid w:val="002D3F55"/>
    <w:rsid w:val="002D3F8A"/>
    <w:rsid w:val="002D4109"/>
    <w:rsid w:val="002D43C8"/>
    <w:rsid w:val="002D4449"/>
    <w:rsid w:val="002D460A"/>
    <w:rsid w:val="002D4614"/>
    <w:rsid w:val="002D4978"/>
    <w:rsid w:val="002D49FA"/>
    <w:rsid w:val="002D4C43"/>
    <w:rsid w:val="002D4D24"/>
    <w:rsid w:val="002D4D5A"/>
    <w:rsid w:val="002D5134"/>
    <w:rsid w:val="002D529F"/>
    <w:rsid w:val="002D5306"/>
    <w:rsid w:val="002D555F"/>
    <w:rsid w:val="002D5733"/>
    <w:rsid w:val="002D5895"/>
    <w:rsid w:val="002D58B6"/>
    <w:rsid w:val="002D5BA4"/>
    <w:rsid w:val="002D5EC3"/>
    <w:rsid w:val="002D5F6E"/>
    <w:rsid w:val="002D5FE9"/>
    <w:rsid w:val="002D6131"/>
    <w:rsid w:val="002D6371"/>
    <w:rsid w:val="002D6384"/>
    <w:rsid w:val="002D6560"/>
    <w:rsid w:val="002D67CE"/>
    <w:rsid w:val="002D67F4"/>
    <w:rsid w:val="002D683D"/>
    <w:rsid w:val="002D6B3E"/>
    <w:rsid w:val="002D6CD3"/>
    <w:rsid w:val="002D6CE8"/>
    <w:rsid w:val="002D6DF5"/>
    <w:rsid w:val="002D7162"/>
    <w:rsid w:val="002D7188"/>
    <w:rsid w:val="002D728B"/>
    <w:rsid w:val="002D776C"/>
    <w:rsid w:val="002D7815"/>
    <w:rsid w:val="002D794E"/>
    <w:rsid w:val="002D796D"/>
    <w:rsid w:val="002D7B24"/>
    <w:rsid w:val="002D7B86"/>
    <w:rsid w:val="002D7CC6"/>
    <w:rsid w:val="002E0120"/>
    <w:rsid w:val="002E023C"/>
    <w:rsid w:val="002E025A"/>
    <w:rsid w:val="002E028D"/>
    <w:rsid w:val="002E070D"/>
    <w:rsid w:val="002E07EA"/>
    <w:rsid w:val="002E0CA8"/>
    <w:rsid w:val="002E0DD4"/>
    <w:rsid w:val="002E0E30"/>
    <w:rsid w:val="002E0F64"/>
    <w:rsid w:val="002E1143"/>
    <w:rsid w:val="002E11D7"/>
    <w:rsid w:val="002E1263"/>
    <w:rsid w:val="002E1A94"/>
    <w:rsid w:val="002E1AA7"/>
    <w:rsid w:val="002E1BAF"/>
    <w:rsid w:val="002E1C67"/>
    <w:rsid w:val="002E1E9F"/>
    <w:rsid w:val="002E1F20"/>
    <w:rsid w:val="002E1F2F"/>
    <w:rsid w:val="002E200E"/>
    <w:rsid w:val="002E20B6"/>
    <w:rsid w:val="002E20CE"/>
    <w:rsid w:val="002E21C3"/>
    <w:rsid w:val="002E234D"/>
    <w:rsid w:val="002E24E2"/>
    <w:rsid w:val="002E25EE"/>
    <w:rsid w:val="002E269F"/>
    <w:rsid w:val="002E2704"/>
    <w:rsid w:val="002E27BA"/>
    <w:rsid w:val="002E29C7"/>
    <w:rsid w:val="002E29E9"/>
    <w:rsid w:val="002E2A37"/>
    <w:rsid w:val="002E2BE4"/>
    <w:rsid w:val="002E2C26"/>
    <w:rsid w:val="002E2CCD"/>
    <w:rsid w:val="002E2D81"/>
    <w:rsid w:val="002E2DCB"/>
    <w:rsid w:val="002E2F65"/>
    <w:rsid w:val="002E2FD9"/>
    <w:rsid w:val="002E31E0"/>
    <w:rsid w:val="002E36E0"/>
    <w:rsid w:val="002E38F0"/>
    <w:rsid w:val="002E3D79"/>
    <w:rsid w:val="002E3D87"/>
    <w:rsid w:val="002E3E0F"/>
    <w:rsid w:val="002E3F12"/>
    <w:rsid w:val="002E4322"/>
    <w:rsid w:val="002E47D5"/>
    <w:rsid w:val="002E47FD"/>
    <w:rsid w:val="002E4873"/>
    <w:rsid w:val="002E4A22"/>
    <w:rsid w:val="002E4D15"/>
    <w:rsid w:val="002E4D6F"/>
    <w:rsid w:val="002E4DB5"/>
    <w:rsid w:val="002E4FF3"/>
    <w:rsid w:val="002E5363"/>
    <w:rsid w:val="002E575F"/>
    <w:rsid w:val="002E5806"/>
    <w:rsid w:val="002E594B"/>
    <w:rsid w:val="002E6094"/>
    <w:rsid w:val="002E6172"/>
    <w:rsid w:val="002E6259"/>
    <w:rsid w:val="002E6315"/>
    <w:rsid w:val="002E6415"/>
    <w:rsid w:val="002E6507"/>
    <w:rsid w:val="002E6771"/>
    <w:rsid w:val="002E68BA"/>
    <w:rsid w:val="002E6A65"/>
    <w:rsid w:val="002E6C73"/>
    <w:rsid w:val="002E6CC0"/>
    <w:rsid w:val="002E6E8F"/>
    <w:rsid w:val="002E71A2"/>
    <w:rsid w:val="002E7225"/>
    <w:rsid w:val="002E7239"/>
    <w:rsid w:val="002E7788"/>
    <w:rsid w:val="002E7CBF"/>
    <w:rsid w:val="002E7D8C"/>
    <w:rsid w:val="002F005F"/>
    <w:rsid w:val="002F01CE"/>
    <w:rsid w:val="002F02B5"/>
    <w:rsid w:val="002F02CC"/>
    <w:rsid w:val="002F02E9"/>
    <w:rsid w:val="002F034D"/>
    <w:rsid w:val="002F05C9"/>
    <w:rsid w:val="002F0680"/>
    <w:rsid w:val="002F0790"/>
    <w:rsid w:val="002F0791"/>
    <w:rsid w:val="002F089F"/>
    <w:rsid w:val="002F08E3"/>
    <w:rsid w:val="002F097D"/>
    <w:rsid w:val="002F0CD8"/>
    <w:rsid w:val="002F0D17"/>
    <w:rsid w:val="002F0F8A"/>
    <w:rsid w:val="002F1193"/>
    <w:rsid w:val="002F12F6"/>
    <w:rsid w:val="002F1314"/>
    <w:rsid w:val="002F13AD"/>
    <w:rsid w:val="002F1948"/>
    <w:rsid w:val="002F1CD8"/>
    <w:rsid w:val="002F1CE2"/>
    <w:rsid w:val="002F1EF5"/>
    <w:rsid w:val="002F20C1"/>
    <w:rsid w:val="002F231B"/>
    <w:rsid w:val="002F250D"/>
    <w:rsid w:val="002F288F"/>
    <w:rsid w:val="002F2B49"/>
    <w:rsid w:val="002F2B50"/>
    <w:rsid w:val="002F3330"/>
    <w:rsid w:val="002F36F8"/>
    <w:rsid w:val="002F3A97"/>
    <w:rsid w:val="002F3D1F"/>
    <w:rsid w:val="002F40D6"/>
    <w:rsid w:val="002F4125"/>
    <w:rsid w:val="002F4252"/>
    <w:rsid w:val="002F4526"/>
    <w:rsid w:val="002F45B9"/>
    <w:rsid w:val="002F4762"/>
    <w:rsid w:val="002F47EF"/>
    <w:rsid w:val="002F4D8A"/>
    <w:rsid w:val="002F4E81"/>
    <w:rsid w:val="002F4F75"/>
    <w:rsid w:val="002F5076"/>
    <w:rsid w:val="002F52A2"/>
    <w:rsid w:val="002F5390"/>
    <w:rsid w:val="002F572D"/>
    <w:rsid w:val="002F5A7D"/>
    <w:rsid w:val="002F5C62"/>
    <w:rsid w:val="002F6071"/>
    <w:rsid w:val="002F6074"/>
    <w:rsid w:val="002F637F"/>
    <w:rsid w:val="002F6652"/>
    <w:rsid w:val="002F678E"/>
    <w:rsid w:val="002F696F"/>
    <w:rsid w:val="002F69B4"/>
    <w:rsid w:val="002F6D63"/>
    <w:rsid w:val="002F6D99"/>
    <w:rsid w:val="002F6DCA"/>
    <w:rsid w:val="002F6F1C"/>
    <w:rsid w:val="002F71AC"/>
    <w:rsid w:val="002F71F5"/>
    <w:rsid w:val="002F73DA"/>
    <w:rsid w:val="002F7439"/>
    <w:rsid w:val="002F7794"/>
    <w:rsid w:val="002F780F"/>
    <w:rsid w:val="002F7AA6"/>
    <w:rsid w:val="002F7B84"/>
    <w:rsid w:val="002F7FBE"/>
    <w:rsid w:val="003003DA"/>
    <w:rsid w:val="00300434"/>
    <w:rsid w:val="00300482"/>
    <w:rsid w:val="00300590"/>
    <w:rsid w:val="003007B8"/>
    <w:rsid w:val="003007E9"/>
    <w:rsid w:val="00300997"/>
    <w:rsid w:val="00300A3A"/>
    <w:rsid w:val="00300AFB"/>
    <w:rsid w:val="00300D26"/>
    <w:rsid w:val="0030108A"/>
    <w:rsid w:val="003010E4"/>
    <w:rsid w:val="00301116"/>
    <w:rsid w:val="0030134C"/>
    <w:rsid w:val="00301AB6"/>
    <w:rsid w:val="00301B5B"/>
    <w:rsid w:val="00301BD2"/>
    <w:rsid w:val="00301D95"/>
    <w:rsid w:val="00301F05"/>
    <w:rsid w:val="00301FD9"/>
    <w:rsid w:val="00302136"/>
    <w:rsid w:val="003021B2"/>
    <w:rsid w:val="00302448"/>
    <w:rsid w:val="003024A8"/>
    <w:rsid w:val="0030262D"/>
    <w:rsid w:val="00302742"/>
    <w:rsid w:val="00302792"/>
    <w:rsid w:val="00302C5C"/>
    <w:rsid w:val="00302C71"/>
    <w:rsid w:val="00302DBB"/>
    <w:rsid w:val="003031C4"/>
    <w:rsid w:val="00303335"/>
    <w:rsid w:val="0030348D"/>
    <w:rsid w:val="003034E9"/>
    <w:rsid w:val="003034FA"/>
    <w:rsid w:val="0030352C"/>
    <w:rsid w:val="0030374E"/>
    <w:rsid w:val="003037D4"/>
    <w:rsid w:val="00303898"/>
    <w:rsid w:val="00303B00"/>
    <w:rsid w:val="00303DE9"/>
    <w:rsid w:val="00304097"/>
    <w:rsid w:val="00304141"/>
    <w:rsid w:val="0030449B"/>
    <w:rsid w:val="00304542"/>
    <w:rsid w:val="00304567"/>
    <w:rsid w:val="003047D9"/>
    <w:rsid w:val="00304B5F"/>
    <w:rsid w:val="00304DEC"/>
    <w:rsid w:val="00305228"/>
    <w:rsid w:val="00305348"/>
    <w:rsid w:val="00305362"/>
    <w:rsid w:val="003053C7"/>
    <w:rsid w:val="0030548B"/>
    <w:rsid w:val="0030553E"/>
    <w:rsid w:val="0030573D"/>
    <w:rsid w:val="0030575B"/>
    <w:rsid w:val="00305A42"/>
    <w:rsid w:val="00305C33"/>
    <w:rsid w:val="003067C6"/>
    <w:rsid w:val="0030682C"/>
    <w:rsid w:val="00306AAA"/>
    <w:rsid w:val="00306B35"/>
    <w:rsid w:val="00306B5E"/>
    <w:rsid w:val="00306D3C"/>
    <w:rsid w:val="00306D40"/>
    <w:rsid w:val="00306DA6"/>
    <w:rsid w:val="00306DCE"/>
    <w:rsid w:val="0030702A"/>
    <w:rsid w:val="0030715E"/>
    <w:rsid w:val="003071F6"/>
    <w:rsid w:val="00307744"/>
    <w:rsid w:val="00307760"/>
    <w:rsid w:val="00307CB4"/>
    <w:rsid w:val="00307E97"/>
    <w:rsid w:val="0031001F"/>
    <w:rsid w:val="003100A9"/>
    <w:rsid w:val="0031015F"/>
    <w:rsid w:val="0031030F"/>
    <w:rsid w:val="003105C7"/>
    <w:rsid w:val="00310748"/>
    <w:rsid w:val="003107F3"/>
    <w:rsid w:val="00310892"/>
    <w:rsid w:val="003108A0"/>
    <w:rsid w:val="00310CAD"/>
    <w:rsid w:val="00310FE9"/>
    <w:rsid w:val="003115AA"/>
    <w:rsid w:val="00311A70"/>
    <w:rsid w:val="00311BA2"/>
    <w:rsid w:val="00311BE5"/>
    <w:rsid w:val="00311DF8"/>
    <w:rsid w:val="00311E20"/>
    <w:rsid w:val="00311ED2"/>
    <w:rsid w:val="00312088"/>
    <w:rsid w:val="003121A8"/>
    <w:rsid w:val="003121FD"/>
    <w:rsid w:val="00312341"/>
    <w:rsid w:val="003126A7"/>
    <w:rsid w:val="00312705"/>
    <w:rsid w:val="00312B15"/>
    <w:rsid w:val="00312B68"/>
    <w:rsid w:val="00312DCB"/>
    <w:rsid w:val="00312DD0"/>
    <w:rsid w:val="00312DEA"/>
    <w:rsid w:val="00312FDF"/>
    <w:rsid w:val="003130C3"/>
    <w:rsid w:val="003130D8"/>
    <w:rsid w:val="00313468"/>
    <w:rsid w:val="00313821"/>
    <w:rsid w:val="003138A7"/>
    <w:rsid w:val="00313955"/>
    <w:rsid w:val="00313AAD"/>
    <w:rsid w:val="00313C7B"/>
    <w:rsid w:val="00313CC9"/>
    <w:rsid w:val="00313CF6"/>
    <w:rsid w:val="0031407B"/>
    <w:rsid w:val="00314181"/>
    <w:rsid w:val="003141B4"/>
    <w:rsid w:val="003143BF"/>
    <w:rsid w:val="00314492"/>
    <w:rsid w:val="003144B7"/>
    <w:rsid w:val="00314639"/>
    <w:rsid w:val="0031463D"/>
    <w:rsid w:val="00314758"/>
    <w:rsid w:val="00314894"/>
    <w:rsid w:val="00314A04"/>
    <w:rsid w:val="00314C3A"/>
    <w:rsid w:val="00314E2F"/>
    <w:rsid w:val="00314E57"/>
    <w:rsid w:val="00315125"/>
    <w:rsid w:val="0031523B"/>
    <w:rsid w:val="0031526D"/>
    <w:rsid w:val="00315287"/>
    <w:rsid w:val="00315425"/>
    <w:rsid w:val="003154D3"/>
    <w:rsid w:val="003155B3"/>
    <w:rsid w:val="00315610"/>
    <w:rsid w:val="0031574A"/>
    <w:rsid w:val="00315757"/>
    <w:rsid w:val="00315A60"/>
    <w:rsid w:val="00315C0B"/>
    <w:rsid w:val="00315CBF"/>
    <w:rsid w:val="00315E88"/>
    <w:rsid w:val="00315EFC"/>
    <w:rsid w:val="00315F96"/>
    <w:rsid w:val="003162E4"/>
    <w:rsid w:val="00316307"/>
    <w:rsid w:val="0031691A"/>
    <w:rsid w:val="00316CB3"/>
    <w:rsid w:val="00316CBF"/>
    <w:rsid w:val="00316DEF"/>
    <w:rsid w:val="00316E8B"/>
    <w:rsid w:val="00316FBF"/>
    <w:rsid w:val="003170CD"/>
    <w:rsid w:val="00317145"/>
    <w:rsid w:val="00317236"/>
    <w:rsid w:val="0031724E"/>
    <w:rsid w:val="00317328"/>
    <w:rsid w:val="00317352"/>
    <w:rsid w:val="0031745A"/>
    <w:rsid w:val="00317577"/>
    <w:rsid w:val="0031759E"/>
    <w:rsid w:val="0031761E"/>
    <w:rsid w:val="003179E5"/>
    <w:rsid w:val="00317AD9"/>
    <w:rsid w:val="00317B70"/>
    <w:rsid w:val="0032010D"/>
    <w:rsid w:val="0032020C"/>
    <w:rsid w:val="00320301"/>
    <w:rsid w:val="0032062F"/>
    <w:rsid w:val="00321067"/>
    <w:rsid w:val="003210E4"/>
    <w:rsid w:val="0032123C"/>
    <w:rsid w:val="0032125B"/>
    <w:rsid w:val="00321461"/>
    <w:rsid w:val="00321502"/>
    <w:rsid w:val="003215A4"/>
    <w:rsid w:val="00321642"/>
    <w:rsid w:val="00321651"/>
    <w:rsid w:val="00321A64"/>
    <w:rsid w:val="00321A93"/>
    <w:rsid w:val="00321B6B"/>
    <w:rsid w:val="00321CA6"/>
    <w:rsid w:val="00321D03"/>
    <w:rsid w:val="00321DEE"/>
    <w:rsid w:val="00322075"/>
    <w:rsid w:val="0032208E"/>
    <w:rsid w:val="003222CB"/>
    <w:rsid w:val="0032232A"/>
    <w:rsid w:val="003223B3"/>
    <w:rsid w:val="003223FA"/>
    <w:rsid w:val="00322526"/>
    <w:rsid w:val="00322553"/>
    <w:rsid w:val="003225DB"/>
    <w:rsid w:val="00322706"/>
    <w:rsid w:val="0032278F"/>
    <w:rsid w:val="003228CC"/>
    <w:rsid w:val="00322D4A"/>
    <w:rsid w:val="00322D6E"/>
    <w:rsid w:val="00322E94"/>
    <w:rsid w:val="00322EDC"/>
    <w:rsid w:val="00322F53"/>
    <w:rsid w:val="003230F5"/>
    <w:rsid w:val="00323144"/>
    <w:rsid w:val="0032346A"/>
    <w:rsid w:val="0032349D"/>
    <w:rsid w:val="003234D1"/>
    <w:rsid w:val="00324078"/>
    <w:rsid w:val="0032411B"/>
    <w:rsid w:val="003241A7"/>
    <w:rsid w:val="003242AB"/>
    <w:rsid w:val="003243EC"/>
    <w:rsid w:val="00324436"/>
    <w:rsid w:val="003245F2"/>
    <w:rsid w:val="00324744"/>
    <w:rsid w:val="00324779"/>
    <w:rsid w:val="0032483D"/>
    <w:rsid w:val="00324915"/>
    <w:rsid w:val="00324AE3"/>
    <w:rsid w:val="00324C4D"/>
    <w:rsid w:val="00324CD4"/>
    <w:rsid w:val="00324D90"/>
    <w:rsid w:val="003250EF"/>
    <w:rsid w:val="0032513C"/>
    <w:rsid w:val="00325179"/>
    <w:rsid w:val="003251FD"/>
    <w:rsid w:val="0032538A"/>
    <w:rsid w:val="00325557"/>
    <w:rsid w:val="003256B8"/>
    <w:rsid w:val="00325728"/>
    <w:rsid w:val="003258BA"/>
    <w:rsid w:val="00325908"/>
    <w:rsid w:val="00325B63"/>
    <w:rsid w:val="00325C37"/>
    <w:rsid w:val="00325DC3"/>
    <w:rsid w:val="00325E45"/>
    <w:rsid w:val="00325E68"/>
    <w:rsid w:val="00325F10"/>
    <w:rsid w:val="003260B5"/>
    <w:rsid w:val="003260FB"/>
    <w:rsid w:val="00326175"/>
    <w:rsid w:val="003263E2"/>
    <w:rsid w:val="00326586"/>
    <w:rsid w:val="00326903"/>
    <w:rsid w:val="00326DEF"/>
    <w:rsid w:val="00326E5F"/>
    <w:rsid w:val="003270CD"/>
    <w:rsid w:val="003272DD"/>
    <w:rsid w:val="003273EB"/>
    <w:rsid w:val="003274BC"/>
    <w:rsid w:val="0032757E"/>
    <w:rsid w:val="00327980"/>
    <w:rsid w:val="00327982"/>
    <w:rsid w:val="00327C8D"/>
    <w:rsid w:val="00327E95"/>
    <w:rsid w:val="00327FC7"/>
    <w:rsid w:val="00330066"/>
    <w:rsid w:val="0033016D"/>
    <w:rsid w:val="00330661"/>
    <w:rsid w:val="00330880"/>
    <w:rsid w:val="003308B1"/>
    <w:rsid w:val="00330DDA"/>
    <w:rsid w:val="00331143"/>
    <w:rsid w:val="003314A8"/>
    <w:rsid w:val="0033165C"/>
    <w:rsid w:val="00331989"/>
    <w:rsid w:val="003319AB"/>
    <w:rsid w:val="00331D0B"/>
    <w:rsid w:val="00331E1C"/>
    <w:rsid w:val="0033213E"/>
    <w:rsid w:val="0033229B"/>
    <w:rsid w:val="00332543"/>
    <w:rsid w:val="00332671"/>
    <w:rsid w:val="0033278D"/>
    <w:rsid w:val="00332A5F"/>
    <w:rsid w:val="00332C1E"/>
    <w:rsid w:val="00333006"/>
    <w:rsid w:val="0033304F"/>
    <w:rsid w:val="0033319A"/>
    <w:rsid w:val="003332AB"/>
    <w:rsid w:val="003334D4"/>
    <w:rsid w:val="003337BD"/>
    <w:rsid w:val="00333835"/>
    <w:rsid w:val="003338F2"/>
    <w:rsid w:val="00333AB8"/>
    <w:rsid w:val="00333ABA"/>
    <w:rsid w:val="00333BFB"/>
    <w:rsid w:val="00333D6B"/>
    <w:rsid w:val="00333E62"/>
    <w:rsid w:val="00334092"/>
    <w:rsid w:val="0033409E"/>
    <w:rsid w:val="00334122"/>
    <w:rsid w:val="003341DB"/>
    <w:rsid w:val="00334210"/>
    <w:rsid w:val="00334396"/>
    <w:rsid w:val="003343C1"/>
    <w:rsid w:val="003345F2"/>
    <w:rsid w:val="00334879"/>
    <w:rsid w:val="003349CB"/>
    <w:rsid w:val="003349E6"/>
    <w:rsid w:val="003349F6"/>
    <w:rsid w:val="00334B97"/>
    <w:rsid w:val="00334C48"/>
    <w:rsid w:val="00334D2A"/>
    <w:rsid w:val="0033537C"/>
    <w:rsid w:val="00335528"/>
    <w:rsid w:val="0033557F"/>
    <w:rsid w:val="00335A13"/>
    <w:rsid w:val="00335C98"/>
    <w:rsid w:val="0033623A"/>
    <w:rsid w:val="003362BE"/>
    <w:rsid w:val="00336579"/>
    <w:rsid w:val="0033657C"/>
    <w:rsid w:val="003365CF"/>
    <w:rsid w:val="00336790"/>
    <w:rsid w:val="00336BD2"/>
    <w:rsid w:val="00336D40"/>
    <w:rsid w:val="00336E06"/>
    <w:rsid w:val="00337432"/>
    <w:rsid w:val="0033776E"/>
    <w:rsid w:val="00337D59"/>
    <w:rsid w:val="00337E54"/>
    <w:rsid w:val="00337F9B"/>
    <w:rsid w:val="0034010D"/>
    <w:rsid w:val="003402ED"/>
    <w:rsid w:val="00340446"/>
    <w:rsid w:val="00340535"/>
    <w:rsid w:val="003405BC"/>
    <w:rsid w:val="003408D3"/>
    <w:rsid w:val="00340FCE"/>
    <w:rsid w:val="003414DC"/>
    <w:rsid w:val="003414EB"/>
    <w:rsid w:val="003414EF"/>
    <w:rsid w:val="0034155B"/>
    <w:rsid w:val="003415BC"/>
    <w:rsid w:val="00341654"/>
    <w:rsid w:val="0034177D"/>
    <w:rsid w:val="0034194C"/>
    <w:rsid w:val="00341A7B"/>
    <w:rsid w:val="00341A81"/>
    <w:rsid w:val="00341B25"/>
    <w:rsid w:val="00341BEA"/>
    <w:rsid w:val="00341C35"/>
    <w:rsid w:val="00341D7D"/>
    <w:rsid w:val="00341E02"/>
    <w:rsid w:val="00341E33"/>
    <w:rsid w:val="00341F61"/>
    <w:rsid w:val="00342052"/>
    <w:rsid w:val="00342235"/>
    <w:rsid w:val="003422A5"/>
    <w:rsid w:val="0034239C"/>
    <w:rsid w:val="003423D1"/>
    <w:rsid w:val="003425A2"/>
    <w:rsid w:val="0034263A"/>
    <w:rsid w:val="00342817"/>
    <w:rsid w:val="00342842"/>
    <w:rsid w:val="00342A5E"/>
    <w:rsid w:val="00342B25"/>
    <w:rsid w:val="00342BB0"/>
    <w:rsid w:val="00342C0A"/>
    <w:rsid w:val="00342C6C"/>
    <w:rsid w:val="00342E25"/>
    <w:rsid w:val="00342F31"/>
    <w:rsid w:val="003432D6"/>
    <w:rsid w:val="003433BA"/>
    <w:rsid w:val="003437B8"/>
    <w:rsid w:val="003438AB"/>
    <w:rsid w:val="00343AA8"/>
    <w:rsid w:val="00343BDD"/>
    <w:rsid w:val="00343CB6"/>
    <w:rsid w:val="00343F14"/>
    <w:rsid w:val="00344004"/>
    <w:rsid w:val="003441AB"/>
    <w:rsid w:val="0034431E"/>
    <w:rsid w:val="003443CF"/>
    <w:rsid w:val="00344668"/>
    <w:rsid w:val="00344884"/>
    <w:rsid w:val="0034494B"/>
    <w:rsid w:val="00344A70"/>
    <w:rsid w:val="00344A87"/>
    <w:rsid w:val="00344D22"/>
    <w:rsid w:val="00345429"/>
    <w:rsid w:val="00345484"/>
    <w:rsid w:val="003455B5"/>
    <w:rsid w:val="003455BA"/>
    <w:rsid w:val="0034583E"/>
    <w:rsid w:val="00345C13"/>
    <w:rsid w:val="00345D76"/>
    <w:rsid w:val="00345E09"/>
    <w:rsid w:val="00345E8F"/>
    <w:rsid w:val="00346A72"/>
    <w:rsid w:val="00346B66"/>
    <w:rsid w:val="00346C11"/>
    <w:rsid w:val="00346CEF"/>
    <w:rsid w:val="00346D79"/>
    <w:rsid w:val="00346EB5"/>
    <w:rsid w:val="0034709F"/>
    <w:rsid w:val="0034712F"/>
    <w:rsid w:val="0034729A"/>
    <w:rsid w:val="00347440"/>
    <w:rsid w:val="00347634"/>
    <w:rsid w:val="00347661"/>
    <w:rsid w:val="003476FA"/>
    <w:rsid w:val="0034773A"/>
    <w:rsid w:val="00347752"/>
    <w:rsid w:val="00347879"/>
    <w:rsid w:val="0034795F"/>
    <w:rsid w:val="00347BAD"/>
    <w:rsid w:val="00347DAC"/>
    <w:rsid w:val="0035027B"/>
    <w:rsid w:val="0035033C"/>
    <w:rsid w:val="0035041E"/>
    <w:rsid w:val="00350486"/>
    <w:rsid w:val="003505AE"/>
    <w:rsid w:val="003505E4"/>
    <w:rsid w:val="00350724"/>
    <w:rsid w:val="0035075A"/>
    <w:rsid w:val="003507BB"/>
    <w:rsid w:val="00350861"/>
    <w:rsid w:val="00350D61"/>
    <w:rsid w:val="00350E13"/>
    <w:rsid w:val="00351122"/>
    <w:rsid w:val="00351AB2"/>
    <w:rsid w:val="00351AB7"/>
    <w:rsid w:val="00351D53"/>
    <w:rsid w:val="00351EDB"/>
    <w:rsid w:val="0035243A"/>
    <w:rsid w:val="003524FB"/>
    <w:rsid w:val="0035262F"/>
    <w:rsid w:val="0035265B"/>
    <w:rsid w:val="003527C1"/>
    <w:rsid w:val="00352946"/>
    <w:rsid w:val="00352CF4"/>
    <w:rsid w:val="00352E1F"/>
    <w:rsid w:val="00352E5A"/>
    <w:rsid w:val="00352E90"/>
    <w:rsid w:val="0035309F"/>
    <w:rsid w:val="0035313F"/>
    <w:rsid w:val="00353524"/>
    <w:rsid w:val="003537A7"/>
    <w:rsid w:val="00353BA9"/>
    <w:rsid w:val="00353C78"/>
    <w:rsid w:val="00353CC0"/>
    <w:rsid w:val="00353DC9"/>
    <w:rsid w:val="00354103"/>
    <w:rsid w:val="0035413F"/>
    <w:rsid w:val="00354455"/>
    <w:rsid w:val="0035455C"/>
    <w:rsid w:val="003545E3"/>
    <w:rsid w:val="00354664"/>
    <w:rsid w:val="00354739"/>
    <w:rsid w:val="00354915"/>
    <w:rsid w:val="00354A14"/>
    <w:rsid w:val="00354B84"/>
    <w:rsid w:val="00355003"/>
    <w:rsid w:val="0035513D"/>
    <w:rsid w:val="00355716"/>
    <w:rsid w:val="003558C3"/>
    <w:rsid w:val="003558F0"/>
    <w:rsid w:val="0035596D"/>
    <w:rsid w:val="00355B30"/>
    <w:rsid w:val="00355B4C"/>
    <w:rsid w:val="00355BC3"/>
    <w:rsid w:val="00355C22"/>
    <w:rsid w:val="00355CF4"/>
    <w:rsid w:val="00355DEC"/>
    <w:rsid w:val="00355ED9"/>
    <w:rsid w:val="003560C2"/>
    <w:rsid w:val="003562A9"/>
    <w:rsid w:val="003562BB"/>
    <w:rsid w:val="0035644E"/>
    <w:rsid w:val="003565BA"/>
    <w:rsid w:val="003566EE"/>
    <w:rsid w:val="0035680F"/>
    <w:rsid w:val="00356B0D"/>
    <w:rsid w:val="00356B3D"/>
    <w:rsid w:val="0035731F"/>
    <w:rsid w:val="00357380"/>
    <w:rsid w:val="0035766C"/>
    <w:rsid w:val="0035777B"/>
    <w:rsid w:val="003579CF"/>
    <w:rsid w:val="00357C73"/>
    <w:rsid w:val="00357DBE"/>
    <w:rsid w:val="00357FCF"/>
    <w:rsid w:val="00357FF0"/>
    <w:rsid w:val="00360102"/>
    <w:rsid w:val="00360432"/>
    <w:rsid w:val="003607C3"/>
    <w:rsid w:val="003607C9"/>
    <w:rsid w:val="00360880"/>
    <w:rsid w:val="0036094E"/>
    <w:rsid w:val="00360A28"/>
    <w:rsid w:val="00360AC7"/>
    <w:rsid w:val="00360AE7"/>
    <w:rsid w:val="00360B70"/>
    <w:rsid w:val="00360C03"/>
    <w:rsid w:val="00360CF8"/>
    <w:rsid w:val="00360DEE"/>
    <w:rsid w:val="00360F0A"/>
    <w:rsid w:val="00361125"/>
    <w:rsid w:val="003613D8"/>
    <w:rsid w:val="00361674"/>
    <w:rsid w:val="00361923"/>
    <w:rsid w:val="00361A85"/>
    <w:rsid w:val="00361A91"/>
    <w:rsid w:val="00361B8B"/>
    <w:rsid w:val="00361BA8"/>
    <w:rsid w:val="00361F43"/>
    <w:rsid w:val="00362038"/>
    <w:rsid w:val="003620BC"/>
    <w:rsid w:val="003620D4"/>
    <w:rsid w:val="0036221E"/>
    <w:rsid w:val="00362303"/>
    <w:rsid w:val="00362419"/>
    <w:rsid w:val="00362442"/>
    <w:rsid w:val="003625DE"/>
    <w:rsid w:val="003625EC"/>
    <w:rsid w:val="003627AB"/>
    <w:rsid w:val="003628C9"/>
    <w:rsid w:val="0036295C"/>
    <w:rsid w:val="00362C43"/>
    <w:rsid w:val="00362DC4"/>
    <w:rsid w:val="00362E38"/>
    <w:rsid w:val="00362FC1"/>
    <w:rsid w:val="00363026"/>
    <w:rsid w:val="003630F6"/>
    <w:rsid w:val="0036391D"/>
    <w:rsid w:val="00363BE4"/>
    <w:rsid w:val="00363C77"/>
    <w:rsid w:val="00363CC1"/>
    <w:rsid w:val="00363FB7"/>
    <w:rsid w:val="0036403D"/>
    <w:rsid w:val="003645B6"/>
    <w:rsid w:val="00364663"/>
    <w:rsid w:val="0036467D"/>
    <w:rsid w:val="00364715"/>
    <w:rsid w:val="003648A2"/>
    <w:rsid w:val="00364D02"/>
    <w:rsid w:val="00364DCD"/>
    <w:rsid w:val="00364E3C"/>
    <w:rsid w:val="003650EA"/>
    <w:rsid w:val="00365188"/>
    <w:rsid w:val="003651C7"/>
    <w:rsid w:val="003651ED"/>
    <w:rsid w:val="0036558B"/>
    <w:rsid w:val="0036564E"/>
    <w:rsid w:val="00365668"/>
    <w:rsid w:val="0036575F"/>
    <w:rsid w:val="0036579C"/>
    <w:rsid w:val="0036581A"/>
    <w:rsid w:val="003658FF"/>
    <w:rsid w:val="00365988"/>
    <w:rsid w:val="00365A10"/>
    <w:rsid w:val="00365CF9"/>
    <w:rsid w:val="00365DF6"/>
    <w:rsid w:val="00365E69"/>
    <w:rsid w:val="003661EE"/>
    <w:rsid w:val="003662BA"/>
    <w:rsid w:val="00366397"/>
    <w:rsid w:val="00366511"/>
    <w:rsid w:val="0036673A"/>
    <w:rsid w:val="00366E9F"/>
    <w:rsid w:val="00366F95"/>
    <w:rsid w:val="0036712D"/>
    <w:rsid w:val="0036715E"/>
    <w:rsid w:val="00367B85"/>
    <w:rsid w:val="00367BED"/>
    <w:rsid w:val="00367C72"/>
    <w:rsid w:val="0037004C"/>
    <w:rsid w:val="003700F9"/>
    <w:rsid w:val="003702D8"/>
    <w:rsid w:val="00370477"/>
    <w:rsid w:val="00370876"/>
    <w:rsid w:val="00370A83"/>
    <w:rsid w:val="00370A85"/>
    <w:rsid w:val="00370B22"/>
    <w:rsid w:val="00370C9B"/>
    <w:rsid w:val="00370D41"/>
    <w:rsid w:val="0037100F"/>
    <w:rsid w:val="003712C4"/>
    <w:rsid w:val="003712CC"/>
    <w:rsid w:val="003715F8"/>
    <w:rsid w:val="00371672"/>
    <w:rsid w:val="003716F8"/>
    <w:rsid w:val="00371783"/>
    <w:rsid w:val="00371A2F"/>
    <w:rsid w:val="00371B8B"/>
    <w:rsid w:val="00371BDC"/>
    <w:rsid w:val="00371D14"/>
    <w:rsid w:val="00371F3B"/>
    <w:rsid w:val="003721BD"/>
    <w:rsid w:val="00372225"/>
    <w:rsid w:val="003723F6"/>
    <w:rsid w:val="003723FF"/>
    <w:rsid w:val="0037261F"/>
    <w:rsid w:val="003726F6"/>
    <w:rsid w:val="0037277E"/>
    <w:rsid w:val="003727D1"/>
    <w:rsid w:val="00372934"/>
    <w:rsid w:val="003729E0"/>
    <w:rsid w:val="00372A89"/>
    <w:rsid w:val="00372C01"/>
    <w:rsid w:val="0037307A"/>
    <w:rsid w:val="003736B2"/>
    <w:rsid w:val="003736D7"/>
    <w:rsid w:val="00373A0B"/>
    <w:rsid w:val="00373C37"/>
    <w:rsid w:val="00373D20"/>
    <w:rsid w:val="00373E4C"/>
    <w:rsid w:val="003744D5"/>
    <w:rsid w:val="0037455E"/>
    <w:rsid w:val="003745A1"/>
    <w:rsid w:val="00374644"/>
    <w:rsid w:val="00374FE2"/>
    <w:rsid w:val="003751CD"/>
    <w:rsid w:val="00375231"/>
    <w:rsid w:val="00375291"/>
    <w:rsid w:val="003754E2"/>
    <w:rsid w:val="003757A2"/>
    <w:rsid w:val="003758DA"/>
    <w:rsid w:val="0037597C"/>
    <w:rsid w:val="003759DC"/>
    <w:rsid w:val="00375E36"/>
    <w:rsid w:val="003766D2"/>
    <w:rsid w:val="003766DA"/>
    <w:rsid w:val="003769CE"/>
    <w:rsid w:val="00376DA5"/>
    <w:rsid w:val="00376E34"/>
    <w:rsid w:val="00376E6C"/>
    <w:rsid w:val="00376EA4"/>
    <w:rsid w:val="00376ED4"/>
    <w:rsid w:val="00376F6F"/>
    <w:rsid w:val="00376F92"/>
    <w:rsid w:val="00377097"/>
    <w:rsid w:val="0037730A"/>
    <w:rsid w:val="0037756C"/>
    <w:rsid w:val="0037759E"/>
    <w:rsid w:val="0037771F"/>
    <w:rsid w:val="0037783E"/>
    <w:rsid w:val="00377853"/>
    <w:rsid w:val="003778A7"/>
    <w:rsid w:val="003778B8"/>
    <w:rsid w:val="00377933"/>
    <w:rsid w:val="0037798B"/>
    <w:rsid w:val="003779FC"/>
    <w:rsid w:val="00377B1D"/>
    <w:rsid w:val="00377B69"/>
    <w:rsid w:val="00377F69"/>
    <w:rsid w:val="00377F86"/>
    <w:rsid w:val="003802A4"/>
    <w:rsid w:val="00380348"/>
    <w:rsid w:val="00380621"/>
    <w:rsid w:val="003807C8"/>
    <w:rsid w:val="003809FF"/>
    <w:rsid w:val="00380C95"/>
    <w:rsid w:val="00380FBD"/>
    <w:rsid w:val="00380FF1"/>
    <w:rsid w:val="00381015"/>
    <w:rsid w:val="00381206"/>
    <w:rsid w:val="00381228"/>
    <w:rsid w:val="003813E9"/>
    <w:rsid w:val="003815F0"/>
    <w:rsid w:val="00381636"/>
    <w:rsid w:val="0038174C"/>
    <w:rsid w:val="00381819"/>
    <w:rsid w:val="00381A4B"/>
    <w:rsid w:val="00381A6F"/>
    <w:rsid w:val="00381AF9"/>
    <w:rsid w:val="00382069"/>
    <w:rsid w:val="003820E8"/>
    <w:rsid w:val="003820FE"/>
    <w:rsid w:val="0038260D"/>
    <w:rsid w:val="003826E3"/>
    <w:rsid w:val="0038288C"/>
    <w:rsid w:val="00382901"/>
    <w:rsid w:val="00382B51"/>
    <w:rsid w:val="00382C76"/>
    <w:rsid w:val="00383035"/>
    <w:rsid w:val="003832AA"/>
    <w:rsid w:val="003832DE"/>
    <w:rsid w:val="0038365B"/>
    <w:rsid w:val="00383663"/>
    <w:rsid w:val="00383721"/>
    <w:rsid w:val="00383734"/>
    <w:rsid w:val="003838AE"/>
    <w:rsid w:val="003838EC"/>
    <w:rsid w:val="00383DD4"/>
    <w:rsid w:val="00383EA4"/>
    <w:rsid w:val="003840BF"/>
    <w:rsid w:val="0038419E"/>
    <w:rsid w:val="003843DD"/>
    <w:rsid w:val="00384434"/>
    <w:rsid w:val="003844E7"/>
    <w:rsid w:val="0038457A"/>
    <w:rsid w:val="003846CA"/>
    <w:rsid w:val="00384735"/>
    <w:rsid w:val="003848C9"/>
    <w:rsid w:val="003848F9"/>
    <w:rsid w:val="00384919"/>
    <w:rsid w:val="00384BB5"/>
    <w:rsid w:val="00384CAE"/>
    <w:rsid w:val="00384D02"/>
    <w:rsid w:val="00384E1E"/>
    <w:rsid w:val="00385180"/>
    <w:rsid w:val="00385247"/>
    <w:rsid w:val="0038534C"/>
    <w:rsid w:val="0038539A"/>
    <w:rsid w:val="00385628"/>
    <w:rsid w:val="0038572A"/>
    <w:rsid w:val="00385875"/>
    <w:rsid w:val="00385C6E"/>
    <w:rsid w:val="00385CE8"/>
    <w:rsid w:val="00385D45"/>
    <w:rsid w:val="00385D52"/>
    <w:rsid w:val="00385F01"/>
    <w:rsid w:val="00385FBE"/>
    <w:rsid w:val="00386131"/>
    <w:rsid w:val="0038623B"/>
    <w:rsid w:val="003866A7"/>
    <w:rsid w:val="003866CE"/>
    <w:rsid w:val="003867DB"/>
    <w:rsid w:val="00386866"/>
    <w:rsid w:val="00386890"/>
    <w:rsid w:val="00386A8F"/>
    <w:rsid w:val="00386C16"/>
    <w:rsid w:val="00386FE6"/>
    <w:rsid w:val="0038757B"/>
    <w:rsid w:val="003876F9"/>
    <w:rsid w:val="00387902"/>
    <w:rsid w:val="003879FA"/>
    <w:rsid w:val="00387A0B"/>
    <w:rsid w:val="00387AA7"/>
    <w:rsid w:val="00387CCA"/>
    <w:rsid w:val="00387ED1"/>
    <w:rsid w:val="00390352"/>
    <w:rsid w:val="00390372"/>
    <w:rsid w:val="00390380"/>
    <w:rsid w:val="003903C7"/>
    <w:rsid w:val="003906ED"/>
    <w:rsid w:val="00390961"/>
    <w:rsid w:val="00390964"/>
    <w:rsid w:val="00390AB8"/>
    <w:rsid w:val="00390B1F"/>
    <w:rsid w:val="0039110C"/>
    <w:rsid w:val="003912E1"/>
    <w:rsid w:val="00391388"/>
    <w:rsid w:val="0039173F"/>
    <w:rsid w:val="0039175E"/>
    <w:rsid w:val="003919A1"/>
    <w:rsid w:val="00391A89"/>
    <w:rsid w:val="00391DF8"/>
    <w:rsid w:val="00391E30"/>
    <w:rsid w:val="00391E4F"/>
    <w:rsid w:val="00391ECF"/>
    <w:rsid w:val="00391FF0"/>
    <w:rsid w:val="00392068"/>
    <w:rsid w:val="0039216E"/>
    <w:rsid w:val="0039273F"/>
    <w:rsid w:val="003930DD"/>
    <w:rsid w:val="00393253"/>
    <w:rsid w:val="00393625"/>
    <w:rsid w:val="003937B2"/>
    <w:rsid w:val="00393882"/>
    <w:rsid w:val="00393A72"/>
    <w:rsid w:val="00393B4F"/>
    <w:rsid w:val="00393E16"/>
    <w:rsid w:val="00393E55"/>
    <w:rsid w:val="0039426D"/>
    <w:rsid w:val="0039444B"/>
    <w:rsid w:val="00394887"/>
    <w:rsid w:val="003949A5"/>
    <w:rsid w:val="00394A72"/>
    <w:rsid w:val="00394AC4"/>
    <w:rsid w:val="00394B04"/>
    <w:rsid w:val="00394BB8"/>
    <w:rsid w:val="00394CE1"/>
    <w:rsid w:val="00394ECE"/>
    <w:rsid w:val="00395075"/>
    <w:rsid w:val="003951CA"/>
    <w:rsid w:val="00395277"/>
    <w:rsid w:val="00395497"/>
    <w:rsid w:val="00395566"/>
    <w:rsid w:val="00395586"/>
    <w:rsid w:val="003957B5"/>
    <w:rsid w:val="00395816"/>
    <w:rsid w:val="00395818"/>
    <w:rsid w:val="00395962"/>
    <w:rsid w:val="00395C50"/>
    <w:rsid w:val="00395E73"/>
    <w:rsid w:val="003961AD"/>
    <w:rsid w:val="003963EC"/>
    <w:rsid w:val="00396776"/>
    <w:rsid w:val="00396A5F"/>
    <w:rsid w:val="00396AAF"/>
    <w:rsid w:val="00396B3A"/>
    <w:rsid w:val="00396C11"/>
    <w:rsid w:val="00396F6B"/>
    <w:rsid w:val="00396FD3"/>
    <w:rsid w:val="00397042"/>
    <w:rsid w:val="003970FF"/>
    <w:rsid w:val="00397195"/>
    <w:rsid w:val="00397252"/>
    <w:rsid w:val="0039737D"/>
    <w:rsid w:val="0039767A"/>
    <w:rsid w:val="003977F9"/>
    <w:rsid w:val="00397CE5"/>
    <w:rsid w:val="00397D7F"/>
    <w:rsid w:val="00397DE1"/>
    <w:rsid w:val="00397E9D"/>
    <w:rsid w:val="00397F3A"/>
    <w:rsid w:val="003A0087"/>
    <w:rsid w:val="003A02D4"/>
    <w:rsid w:val="003A02EF"/>
    <w:rsid w:val="003A035C"/>
    <w:rsid w:val="003A040B"/>
    <w:rsid w:val="003A0507"/>
    <w:rsid w:val="003A0D94"/>
    <w:rsid w:val="003A0ED7"/>
    <w:rsid w:val="003A1068"/>
    <w:rsid w:val="003A1122"/>
    <w:rsid w:val="003A11DF"/>
    <w:rsid w:val="003A12D2"/>
    <w:rsid w:val="003A1356"/>
    <w:rsid w:val="003A1486"/>
    <w:rsid w:val="003A149D"/>
    <w:rsid w:val="003A157F"/>
    <w:rsid w:val="003A1919"/>
    <w:rsid w:val="003A1C09"/>
    <w:rsid w:val="003A1C83"/>
    <w:rsid w:val="003A1D1E"/>
    <w:rsid w:val="003A1DFA"/>
    <w:rsid w:val="003A204B"/>
    <w:rsid w:val="003A2087"/>
    <w:rsid w:val="003A2098"/>
    <w:rsid w:val="003A20EF"/>
    <w:rsid w:val="003A217A"/>
    <w:rsid w:val="003A2379"/>
    <w:rsid w:val="003A247B"/>
    <w:rsid w:val="003A2531"/>
    <w:rsid w:val="003A25DC"/>
    <w:rsid w:val="003A28DC"/>
    <w:rsid w:val="003A295B"/>
    <w:rsid w:val="003A29F9"/>
    <w:rsid w:val="003A2E68"/>
    <w:rsid w:val="003A31A8"/>
    <w:rsid w:val="003A32A0"/>
    <w:rsid w:val="003A3339"/>
    <w:rsid w:val="003A3458"/>
    <w:rsid w:val="003A35DE"/>
    <w:rsid w:val="003A3618"/>
    <w:rsid w:val="003A368E"/>
    <w:rsid w:val="003A376C"/>
    <w:rsid w:val="003A3829"/>
    <w:rsid w:val="003A38B8"/>
    <w:rsid w:val="003A3999"/>
    <w:rsid w:val="003A3B0C"/>
    <w:rsid w:val="003A3C0A"/>
    <w:rsid w:val="003A3D0B"/>
    <w:rsid w:val="003A3E2B"/>
    <w:rsid w:val="003A3E5D"/>
    <w:rsid w:val="003A3EF7"/>
    <w:rsid w:val="003A41D7"/>
    <w:rsid w:val="003A44C3"/>
    <w:rsid w:val="003A467C"/>
    <w:rsid w:val="003A46C1"/>
    <w:rsid w:val="003A46CC"/>
    <w:rsid w:val="003A490C"/>
    <w:rsid w:val="003A4A20"/>
    <w:rsid w:val="003A4AE5"/>
    <w:rsid w:val="003A4BBB"/>
    <w:rsid w:val="003A4C21"/>
    <w:rsid w:val="003A4CE8"/>
    <w:rsid w:val="003A4F89"/>
    <w:rsid w:val="003A4F9D"/>
    <w:rsid w:val="003A5028"/>
    <w:rsid w:val="003A5094"/>
    <w:rsid w:val="003A510C"/>
    <w:rsid w:val="003A54A1"/>
    <w:rsid w:val="003A54E7"/>
    <w:rsid w:val="003A55F5"/>
    <w:rsid w:val="003A55FA"/>
    <w:rsid w:val="003A5623"/>
    <w:rsid w:val="003A58F7"/>
    <w:rsid w:val="003A59E6"/>
    <w:rsid w:val="003A5B75"/>
    <w:rsid w:val="003A5BD1"/>
    <w:rsid w:val="003A5D9E"/>
    <w:rsid w:val="003A5E97"/>
    <w:rsid w:val="003A5EBE"/>
    <w:rsid w:val="003A5FD5"/>
    <w:rsid w:val="003A60F9"/>
    <w:rsid w:val="003A61E6"/>
    <w:rsid w:val="003A643D"/>
    <w:rsid w:val="003A644D"/>
    <w:rsid w:val="003A6610"/>
    <w:rsid w:val="003A692B"/>
    <w:rsid w:val="003A696E"/>
    <w:rsid w:val="003A6B46"/>
    <w:rsid w:val="003A6CAE"/>
    <w:rsid w:val="003A6D36"/>
    <w:rsid w:val="003A7021"/>
    <w:rsid w:val="003A72ED"/>
    <w:rsid w:val="003A751B"/>
    <w:rsid w:val="003A78E3"/>
    <w:rsid w:val="003A78E9"/>
    <w:rsid w:val="003A79C9"/>
    <w:rsid w:val="003A7D49"/>
    <w:rsid w:val="003B007B"/>
    <w:rsid w:val="003B00C7"/>
    <w:rsid w:val="003B01A5"/>
    <w:rsid w:val="003B028C"/>
    <w:rsid w:val="003B0449"/>
    <w:rsid w:val="003B04BD"/>
    <w:rsid w:val="003B078B"/>
    <w:rsid w:val="003B09A4"/>
    <w:rsid w:val="003B09C1"/>
    <w:rsid w:val="003B0A5B"/>
    <w:rsid w:val="003B0AA8"/>
    <w:rsid w:val="003B0B59"/>
    <w:rsid w:val="003B0D8B"/>
    <w:rsid w:val="003B0D9D"/>
    <w:rsid w:val="003B0DC7"/>
    <w:rsid w:val="003B0F58"/>
    <w:rsid w:val="003B10A0"/>
    <w:rsid w:val="003B1118"/>
    <w:rsid w:val="003B130B"/>
    <w:rsid w:val="003B14ED"/>
    <w:rsid w:val="003B1530"/>
    <w:rsid w:val="003B18D2"/>
    <w:rsid w:val="003B1C6A"/>
    <w:rsid w:val="003B1FAE"/>
    <w:rsid w:val="003B2110"/>
    <w:rsid w:val="003B2160"/>
    <w:rsid w:val="003B26B2"/>
    <w:rsid w:val="003B2CD7"/>
    <w:rsid w:val="003B2DC7"/>
    <w:rsid w:val="003B3032"/>
    <w:rsid w:val="003B30F7"/>
    <w:rsid w:val="003B3161"/>
    <w:rsid w:val="003B32A4"/>
    <w:rsid w:val="003B3668"/>
    <w:rsid w:val="003B371C"/>
    <w:rsid w:val="003B3859"/>
    <w:rsid w:val="003B3884"/>
    <w:rsid w:val="003B3A37"/>
    <w:rsid w:val="003B3AE8"/>
    <w:rsid w:val="003B3C82"/>
    <w:rsid w:val="003B3F54"/>
    <w:rsid w:val="003B41F8"/>
    <w:rsid w:val="003B46E2"/>
    <w:rsid w:val="003B46F0"/>
    <w:rsid w:val="003B4957"/>
    <w:rsid w:val="003B497B"/>
    <w:rsid w:val="003B4A4A"/>
    <w:rsid w:val="003B4B23"/>
    <w:rsid w:val="003B4C2D"/>
    <w:rsid w:val="003B4FBC"/>
    <w:rsid w:val="003B5223"/>
    <w:rsid w:val="003B54A5"/>
    <w:rsid w:val="003B5600"/>
    <w:rsid w:val="003B56FF"/>
    <w:rsid w:val="003B5923"/>
    <w:rsid w:val="003B5957"/>
    <w:rsid w:val="003B5A24"/>
    <w:rsid w:val="003B5D5B"/>
    <w:rsid w:val="003B5F51"/>
    <w:rsid w:val="003B60C2"/>
    <w:rsid w:val="003B6443"/>
    <w:rsid w:val="003B6508"/>
    <w:rsid w:val="003B65D1"/>
    <w:rsid w:val="003B666C"/>
    <w:rsid w:val="003B69D9"/>
    <w:rsid w:val="003B6A2F"/>
    <w:rsid w:val="003B6A4E"/>
    <w:rsid w:val="003B6B77"/>
    <w:rsid w:val="003B6D03"/>
    <w:rsid w:val="003B6D21"/>
    <w:rsid w:val="003B6D7B"/>
    <w:rsid w:val="003B6F65"/>
    <w:rsid w:val="003B706D"/>
    <w:rsid w:val="003B7393"/>
    <w:rsid w:val="003B76A0"/>
    <w:rsid w:val="003B7721"/>
    <w:rsid w:val="003B775F"/>
    <w:rsid w:val="003B7898"/>
    <w:rsid w:val="003B7CBB"/>
    <w:rsid w:val="003B7D59"/>
    <w:rsid w:val="003B7E0B"/>
    <w:rsid w:val="003B7F1C"/>
    <w:rsid w:val="003B7F86"/>
    <w:rsid w:val="003B7FC6"/>
    <w:rsid w:val="003C0172"/>
    <w:rsid w:val="003C024C"/>
    <w:rsid w:val="003C0418"/>
    <w:rsid w:val="003C05B5"/>
    <w:rsid w:val="003C064E"/>
    <w:rsid w:val="003C0747"/>
    <w:rsid w:val="003C07DB"/>
    <w:rsid w:val="003C0B8D"/>
    <w:rsid w:val="003C0BF2"/>
    <w:rsid w:val="003C1136"/>
    <w:rsid w:val="003C14DC"/>
    <w:rsid w:val="003C161A"/>
    <w:rsid w:val="003C16FB"/>
    <w:rsid w:val="003C182D"/>
    <w:rsid w:val="003C1862"/>
    <w:rsid w:val="003C1A91"/>
    <w:rsid w:val="003C1C1F"/>
    <w:rsid w:val="003C1D83"/>
    <w:rsid w:val="003C1F6E"/>
    <w:rsid w:val="003C1FBD"/>
    <w:rsid w:val="003C2102"/>
    <w:rsid w:val="003C218D"/>
    <w:rsid w:val="003C2196"/>
    <w:rsid w:val="003C224A"/>
    <w:rsid w:val="003C2328"/>
    <w:rsid w:val="003C2573"/>
    <w:rsid w:val="003C2594"/>
    <w:rsid w:val="003C25E4"/>
    <w:rsid w:val="003C2635"/>
    <w:rsid w:val="003C2754"/>
    <w:rsid w:val="003C2941"/>
    <w:rsid w:val="003C2959"/>
    <w:rsid w:val="003C2DDE"/>
    <w:rsid w:val="003C2E60"/>
    <w:rsid w:val="003C3115"/>
    <w:rsid w:val="003C33AD"/>
    <w:rsid w:val="003C33B1"/>
    <w:rsid w:val="003C344E"/>
    <w:rsid w:val="003C36A7"/>
    <w:rsid w:val="003C3A8B"/>
    <w:rsid w:val="003C40C6"/>
    <w:rsid w:val="003C4276"/>
    <w:rsid w:val="003C4282"/>
    <w:rsid w:val="003C4457"/>
    <w:rsid w:val="003C47C9"/>
    <w:rsid w:val="003C4B3F"/>
    <w:rsid w:val="003C4CA3"/>
    <w:rsid w:val="003C4F84"/>
    <w:rsid w:val="003C5130"/>
    <w:rsid w:val="003C573E"/>
    <w:rsid w:val="003C579E"/>
    <w:rsid w:val="003C57C9"/>
    <w:rsid w:val="003C57EB"/>
    <w:rsid w:val="003C590E"/>
    <w:rsid w:val="003C5A9C"/>
    <w:rsid w:val="003C5B3D"/>
    <w:rsid w:val="003C5E98"/>
    <w:rsid w:val="003C5F38"/>
    <w:rsid w:val="003C616D"/>
    <w:rsid w:val="003C6267"/>
    <w:rsid w:val="003C6476"/>
    <w:rsid w:val="003C6619"/>
    <w:rsid w:val="003C6699"/>
    <w:rsid w:val="003C6801"/>
    <w:rsid w:val="003C6832"/>
    <w:rsid w:val="003C6AB0"/>
    <w:rsid w:val="003C6DAA"/>
    <w:rsid w:val="003C6E59"/>
    <w:rsid w:val="003C7044"/>
    <w:rsid w:val="003C71A9"/>
    <w:rsid w:val="003C7314"/>
    <w:rsid w:val="003C743F"/>
    <w:rsid w:val="003C762A"/>
    <w:rsid w:val="003C7745"/>
    <w:rsid w:val="003C77E2"/>
    <w:rsid w:val="003C7941"/>
    <w:rsid w:val="003C796D"/>
    <w:rsid w:val="003C7972"/>
    <w:rsid w:val="003C7AA6"/>
    <w:rsid w:val="003C7B55"/>
    <w:rsid w:val="003C7DAF"/>
    <w:rsid w:val="003C7EFD"/>
    <w:rsid w:val="003D00A9"/>
    <w:rsid w:val="003D0145"/>
    <w:rsid w:val="003D026B"/>
    <w:rsid w:val="003D0431"/>
    <w:rsid w:val="003D058A"/>
    <w:rsid w:val="003D066F"/>
    <w:rsid w:val="003D07A1"/>
    <w:rsid w:val="003D07AB"/>
    <w:rsid w:val="003D08DD"/>
    <w:rsid w:val="003D0990"/>
    <w:rsid w:val="003D0B08"/>
    <w:rsid w:val="003D0C8C"/>
    <w:rsid w:val="003D0E2D"/>
    <w:rsid w:val="003D1018"/>
    <w:rsid w:val="003D11A0"/>
    <w:rsid w:val="003D13D5"/>
    <w:rsid w:val="003D13F3"/>
    <w:rsid w:val="003D1461"/>
    <w:rsid w:val="003D1795"/>
    <w:rsid w:val="003D1812"/>
    <w:rsid w:val="003D1C81"/>
    <w:rsid w:val="003D1C88"/>
    <w:rsid w:val="003D1D66"/>
    <w:rsid w:val="003D1E2E"/>
    <w:rsid w:val="003D1F5F"/>
    <w:rsid w:val="003D1FF0"/>
    <w:rsid w:val="003D23B6"/>
    <w:rsid w:val="003D2420"/>
    <w:rsid w:val="003D2478"/>
    <w:rsid w:val="003D24E1"/>
    <w:rsid w:val="003D263B"/>
    <w:rsid w:val="003D26AC"/>
    <w:rsid w:val="003D2757"/>
    <w:rsid w:val="003D2983"/>
    <w:rsid w:val="003D2A00"/>
    <w:rsid w:val="003D2EBF"/>
    <w:rsid w:val="003D2F0B"/>
    <w:rsid w:val="003D30F3"/>
    <w:rsid w:val="003D32A5"/>
    <w:rsid w:val="003D3338"/>
    <w:rsid w:val="003D385D"/>
    <w:rsid w:val="003D38D3"/>
    <w:rsid w:val="003D3CF8"/>
    <w:rsid w:val="003D3F21"/>
    <w:rsid w:val="003D3F76"/>
    <w:rsid w:val="003D3FD1"/>
    <w:rsid w:val="003D44C1"/>
    <w:rsid w:val="003D455C"/>
    <w:rsid w:val="003D463F"/>
    <w:rsid w:val="003D486E"/>
    <w:rsid w:val="003D48BC"/>
    <w:rsid w:val="003D4904"/>
    <w:rsid w:val="003D4CF8"/>
    <w:rsid w:val="003D4DD2"/>
    <w:rsid w:val="003D4E99"/>
    <w:rsid w:val="003D4EF1"/>
    <w:rsid w:val="003D4F1F"/>
    <w:rsid w:val="003D51C7"/>
    <w:rsid w:val="003D533E"/>
    <w:rsid w:val="003D5667"/>
    <w:rsid w:val="003D570C"/>
    <w:rsid w:val="003D579F"/>
    <w:rsid w:val="003D5A97"/>
    <w:rsid w:val="003D5ACA"/>
    <w:rsid w:val="003D5D7D"/>
    <w:rsid w:val="003D5EC7"/>
    <w:rsid w:val="003D5ED9"/>
    <w:rsid w:val="003D5F31"/>
    <w:rsid w:val="003D6014"/>
    <w:rsid w:val="003D62F3"/>
    <w:rsid w:val="003D6403"/>
    <w:rsid w:val="003D6582"/>
    <w:rsid w:val="003D662C"/>
    <w:rsid w:val="003D66EC"/>
    <w:rsid w:val="003D6AB6"/>
    <w:rsid w:val="003D6B80"/>
    <w:rsid w:val="003D6C3A"/>
    <w:rsid w:val="003D6E4F"/>
    <w:rsid w:val="003D6F76"/>
    <w:rsid w:val="003D7114"/>
    <w:rsid w:val="003D72BD"/>
    <w:rsid w:val="003D72D1"/>
    <w:rsid w:val="003D732B"/>
    <w:rsid w:val="003D73EB"/>
    <w:rsid w:val="003D740E"/>
    <w:rsid w:val="003D75DC"/>
    <w:rsid w:val="003D7ABF"/>
    <w:rsid w:val="003D7C45"/>
    <w:rsid w:val="003D7F9F"/>
    <w:rsid w:val="003E01C6"/>
    <w:rsid w:val="003E024E"/>
    <w:rsid w:val="003E02B5"/>
    <w:rsid w:val="003E041E"/>
    <w:rsid w:val="003E0491"/>
    <w:rsid w:val="003E052E"/>
    <w:rsid w:val="003E07D0"/>
    <w:rsid w:val="003E09E7"/>
    <w:rsid w:val="003E0AFE"/>
    <w:rsid w:val="003E0B5B"/>
    <w:rsid w:val="003E0B61"/>
    <w:rsid w:val="003E0B7D"/>
    <w:rsid w:val="003E0CF9"/>
    <w:rsid w:val="003E0E9B"/>
    <w:rsid w:val="003E0F18"/>
    <w:rsid w:val="003E0FD4"/>
    <w:rsid w:val="003E10E0"/>
    <w:rsid w:val="003E1672"/>
    <w:rsid w:val="003E18B8"/>
    <w:rsid w:val="003E1978"/>
    <w:rsid w:val="003E1B5F"/>
    <w:rsid w:val="003E1C05"/>
    <w:rsid w:val="003E1C97"/>
    <w:rsid w:val="003E1CB9"/>
    <w:rsid w:val="003E1D85"/>
    <w:rsid w:val="003E1F6B"/>
    <w:rsid w:val="003E2036"/>
    <w:rsid w:val="003E20D0"/>
    <w:rsid w:val="003E23BA"/>
    <w:rsid w:val="003E25A1"/>
    <w:rsid w:val="003E2980"/>
    <w:rsid w:val="003E2B86"/>
    <w:rsid w:val="003E2E3A"/>
    <w:rsid w:val="003E2E59"/>
    <w:rsid w:val="003E2F6D"/>
    <w:rsid w:val="003E2F85"/>
    <w:rsid w:val="003E3031"/>
    <w:rsid w:val="003E33ED"/>
    <w:rsid w:val="003E3465"/>
    <w:rsid w:val="003E366E"/>
    <w:rsid w:val="003E368E"/>
    <w:rsid w:val="003E36AA"/>
    <w:rsid w:val="003E36AC"/>
    <w:rsid w:val="003E3752"/>
    <w:rsid w:val="003E37C7"/>
    <w:rsid w:val="003E387F"/>
    <w:rsid w:val="003E3898"/>
    <w:rsid w:val="003E38C8"/>
    <w:rsid w:val="003E3B7D"/>
    <w:rsid w:val="003E3BEC"/>
    <w:rsid w:val="003E3DF2"/>
    <w:rsid w:val="003E4172"/>
    <w:rsid w:val="003E42A8"/>
    <w:rsid w:val="003E4375"/>
    <w:rsid w:val="003E446D"/>
    <w:rsid w:val="003E45E2"/>
    <w:rsid w:val="003E46BE"/>
    <w:rsid w:val="003E46C0"/>
    <w:rsid w:val="003E48EE"/>
    <w:rsid w:val="003E4C5C"/>
    <w:rsid w:val="003E4C91"/>
    <w:rsid w:val="003E550F"/>
    <w:rsid w:val="003E5666"/>
    <w:rsid w:val="003E5765"/>
    <w:rsid w:val="003E583B"/>
    <w:rsid w:val="003E59EB"/>
    <w:rsid w:val="003E5B08"/>
    <w:rsid w:val="003E5D5C"/>
    <w:rsid w:val="003E5DAD"/>
    <w:rsid w:val="003E5FD0"/>
    <w:rsid w:val="003E6340"/>
    <w:rsid w:val="003E66EE"/>
    <w:rsid w:val="003E66F5"/>
    <w:rsid w:val="003E6794"/>
    <w:rsid w:val="003E682A"/>
    <w:rsid w:val="003E6918"/>
    <w:rsid w:val="003E6923"/>
    <w:rsid w:val="003E6A65"/>
    <w:rsid w:val="003E6C21"/>
    <w:rsid w:val="003E6D46"/>
    <w:rsid w:val="003E6E1E"/>
    <w:rsid w:val="003E6F92"/>
    <w:rsid w:val="003E6FA6"/>
    <w:rsid w:val="003E70F5"/>
    <w:rsid w:val="003E71A0"/>
    <w:rsid w:val="003E72B7"/>
    <w:rsid w:val="003E7418"/>
    <w:rsid w:val="003E7717"/>
    <w:rsid w:val="003E7763"/>
    <w:rsid w:val="003E7843"/>
    <w:rsid w:val="003E790F"/>
    <w:rsid w:val="003E7C1F"/>
    <w:rsid w:val="003E7E94"/>
    <w:rsid w:val="003E7F18"/>
    <w:rsid w:val="003E7F8E"/>
    <w:rsid w:val="003F0092"/>
    <w:rsid w:val="003F00BE"/>
    <w:rsid w:val="003F0154"/>
    <w:rsid w:val="003F0243"/>
    <w:rsid w:val="003F05D8"/>
    <w:rsid w:val="003F0892"/>
    <w:rsid w:val="003F08B2"/>
    <w:rsid w:val="003F0A7C"/>
    <w:rsid w:val="003F0C26"/>
    <w:rsid w:val="003F0D57"/>
    <w:rsid w:val="003F0F54"/>
    <w:rsid w:val="003F120F"/>
    <w:rsid w:val="003F1375"/>
    <w:rsid w:val="003F18DA"/>
    <w:rsid w:val="003F1AA0"/>
    <w:rsid w:val="003F1B4F"/>
    <w:rsid w:val="003F1B94"/>
    <w:rsid w:val="003F1CF5"/>
    <w:rsid w:val="003F1D7D"/>
    <w:rsid w:val="003F1F88"/>
    <w:rsid w:val="003F1F8D"/>
    <w:rsid w:val="003F1FA5"/>
    <w:rsid w:val="003F2040"/>
    <w:rsid w:val="003F218D"/>
    <w:rsid w:val="003F25AA"/>
    <w:rsid w:val="003F295A"/>
    <w:rsid w:val="003F2B99"/>
    <w:rsid w:val="003F2C0D"/>
    <w:rsid w:val="003F2C4D"/>
    <w:rsid w:val="003F2E72"/>
    <w:rsid w:val="003F2FB1"/>
    <w:rsid w:val="003F2FB7"/>
    <w:rsid w:val="003F2FE7"/>
    <w:rsid w:val="003F3188"/>
    <w:rsid w:val="003F31E5"/>
    <w:rsid w:val="003F3232"/>
    <w:rsid w:val="003F3AE9"/>
    <w:rsid w:val="003F3BEF"/>
    <w:rsid w:val="003F3BF8"/>
    <w:rsid w:val="003F3BFA"/>
    <w:rsid w:val="003F3E33"/>
    <w:rsid w:val="003F408B"/>
    <w:rsid w:val="003F411C"/>
    <w:rsid w:val="003F412E"/>
    <w:rsid w:val="003F41D2"/>
    <w:rsid w:val="003F441B"/>
    <w:rsid w:val="003F4428"/>
    <w:rsid w:val="003F44C5"/>
    <w:rsid w:val="003F4663"/>
    <w:rsid w:val="003F4687"/>
    <w:rsid w:val="003F4710"/>
    <w:rsid w:val="003F4879"/>
    <w:rsid w:val="003F49D0"/>
    <w:rsid w:val="003F4BC8"/>
    <w:rsid w:val="003F4D72"/>
    <w:rsid w:val="003F4F87"/>
    <w:rsid w:val="003F51FC"/>
    <w:rsid w:val="003F525E"/>
    <w:rsid w:val="003F5268"/>
    <w:rsid w:val="003F55DA"/>
    <w:rsid w:val="003F5A65"/>
    <w:rsid w:val="003F5B2B"/>
    <w:rsid w:val="003F5B81"/>
    <w:rsid w:val="003F6314"/>
    <w:rsid w:val="003F634E"/>
    <w:rsid w:val="003F6385"/>
    <w:rsid w:val="003F63F5"/>
    <w:rsid w:val="003F65F6"/>
    <w:rsid w:val="003F65FF"/>
    <w:rsid w:val="003F67D7"/>
    <w:rsid w:val="003F68B3"/>
    <w:rsid w:val="003F6A02"/>
    <w:rsid w:val="003F6A43"/>
    <w:rsid w:val="003F6BB6"/>
    <w:rsid w:val="003F6C0D"/>
    <w:rsid w:val="003F6D1F"/>
    <w:rsid w:val="003F6D7E"/>
    <w:rsid w:val="003F6FC8"/>
    <w:rsid w:val="003F72C2"/>
    <w:rsid w:val="003F7476"/>
    <w:rsid w:val="003F76CC"/>
    <w:rsid w:val="003F7BF7"/>
    <w:rsid w:val="003F7CF2"/>
    <w:rsid w:val="003F7E55"/>
    <w:rsid w:val="003F7E81"/>
    <w:rsid w:val="004001E7"/>
    <w:rsid w:val="00400379"/>
    <w:rsid w:val="00400410"/>
    <w:rsid w:val="00400504"/>
    <w:rsid w:val="004005D3"/>
    <w:rsid w:val="00400661"/>
    <w:rsid w:val="004006F5"/>
    <w:rsid w:val="00400766"/>
    <w:rsid w:val="004008A3"/>
    <w:rsid w:val="0040098E"/>
    <w:rsid w:val="00400AD6"/>
    <w:rsid w:val="00400E46"/>
    <w:rsid w:val="00400E70"/>
    <w:rsid w:val="00400E75"/>
    <w:rsid w:val="00400F24"/>
    <w:rsid w:val="0040101B"/>
    <w:rsid w:val="00401042"/>
    <w:rsid w:val="0040136C"/>
    <w:rsid w:val="00401611"/>
    <w:rsid w:val="004016C3"/>
    <w:rsid w:val="00401A9F"/>
    <w:rsid w:val="00401AE7"/>
    <w:rsid w:val="00401B1D"/>
    <w:rsid w:val="00401FAB"/>
    <w:rsid w:val="00401FBE"/>
    <w:rsid w:val="0040200C"/>
    <w:rsid w:val="0040200F"/>
    <w:rsid w:val="0040226D"/>
    <w:rsid w:val="004023A5"/>
    <w:rsid w:val="004025B9"/>
    <w:rsid w:val="004027DA"/>
    <w:rsid w:val="004027F1"/>
    <w:rsid w:val="00402956"/>
    <w:rsid w:val="00402983"/>
    <w:rsid w:val="00402B72"/>
    <w:rsid w:val="00402D31"/>
    <w:rsid w:val="00402F62"/>
    <w:rsid w:val="004030EA"/>
    <w:rsid w:val="004032D1"/>
    <w:rsid w:val="00403488"/>
    <w:rsid w:val="0040352A"/>
    <w:rsid w:val="0040356F"/>
    <w:rsid w:val="00403626"/>
    <w:rsid w:val="0040388D"/>
    <w:rsid w:val="004039D7"/>
    <w:rsid w:val="004039F3"/>
    <w:rsid w:val="00403BC7"/>
    <w:rsid w:val="00403DAF"/>
    <w:rsid w:val="004040DD"/>
    <w:rsid w:val="00404114"/>
    <w:rsid w:val="00404398"/>
    <w:rsid w:val="00404405"/>
    <w:rsid w:val="004046B7"/>
    <w:rsid w:val="004046D2"/>
    <w:rsid w:val="004047A4"/>
    <w:rsid w:val="00404C95"/>
    <w:rsid w:val="00404EA1"/>
    <w:rsid w:val="00404F73"/>
    <w:rsid w:val="004050A3"/>
    <w:rsid w:val="0040511E"/>
    <w:rsid w:val="00405297"/>
    <w:rsid w:val="0040531D"/>
    <w:rsid w:val="004054BB"/>
    <w:rsid w:val="00405594"/>
    <w:rsid w:val="0040589C"/>
    <w:rsid w:val="0040592A"/>
    <w:rsid w:val="00405AF4"/>
    <w:rsid w:val="00405E4D"/>
    <w:rsid w:val="00405F90"/>
    <w:rsid w:val="00405F91"/>
    <w:rsid w:val="00406066"/>
    <w:rsid w:val="00406173"/>
    <w:rsid w:val="0040622E"/>
    <w:rsid w:val="00406716"/>
    <w:rsid w:val="004067E1"/>
    <w:rsid w:val="0040690C"/>
    <w:rsid w:val="004069E6"/>
    <w:rsid w:val="00406CC7"/>
    <w:rsid w:val="00406EF1"/>
    <w:rsid w:val="00406EFF"/>
    <w:rsid w:val="00406F84"/>
    <w:rsid w:val="00407055"/>
    <w:rsid w:val="0040705F"/>
    <w:rsid w:val="004070FA"/>
    <w:rsid w:val="0040724C"/>
    <w:rsid w:val="004072DE"/>
    <w:rsid w:val="00407390"/>
    <w:rsid w:val="0040764E"/>
    <w:rsid w:val="0040768C"/>
    <w:rsid w:val="00407837"/>
    <w:rsid w:val="004078D1"/>
    <w:rsid w:val="00407A62"/>
    <w:rsid w:val="00407D42"/>
    <w:rsid w:val="00407ED7"/>
    <w:rsid w:val="00410228"/>
    <w:rsid w:val="0041025E"/>
    <w:rsid w:val="00410551"/>
    <w:rsid w:val="00410A0B"/>
    <w:rsid w:val="00410ED5"/>
    <w:rsid w:val="004111C2"/>
    <w:rsid w:val="0041161A"/>
    <w:rsid w:val="00411929"/>
    <w:rsid w:val="00411B11"/>
    <w:rsid w:val="00411E3B"/>
    <w:rsid w:val="00411E4D"/>
    <w:rsid w:val="00411F61"/>
    <w:rsid w:val="0041200D"/>
    <w:rsid w:val="00412119"/>
    <w:rsid w:val="0041212C"/>
    <w:rsid w:val="0041213D"/>
    <w:rsid w:val="00412239"/>
    <w:rsid w:val="00412409"/>
    <w:rsid w:val="00412743"/>
    <w:rsid w:val="0041274B"/>
    <w:rsid w:val="004128AA"/>
    <w:rsid w:val="00412A62"/>
    <w:rsid w:val="00412C82"/>
    <w:rsid w:val="00412CA3"/>
    <w:rsid w:val="00412D48"/>
    <w:rsid w:val="00412D7C"/>
    <w:rsid w:val="00412DE4"/>
    <w:rsid w:val="00412EE9"/>
    <w:rsid w:val="00412F9D"/>
    <w:rsid w:val="00413006"/>
    <w:rsid w:val="00413248"/>
    <w:rsid w:val="004133C8"/>
    <w:rsid w:val="0041351B"/>
    <w:rsid w:val="00413B68"/>
    <w:rsid w:val="00414004"/>
    <w:rsid w:val="00414186"/>
    <w:rsid w:val="004142F6"/>
    <w:rsid w:val="004145A9"/>
    <w:rsid w:val="004146C8"/>
    <w:rsid w:val="0041499F"/>
    <w:rsid w:val="004149FB"/>
    <w:rsid w:val="00415321"/>
    <w:rsid w:val="0041532A"/>
    <w:rsid w:val="004153BF"/>
    <w:rsid w:val="004159A1"/>
    <w:rsid w:val="00415B42"/>
    <w:rsid w:val="00415CDF"/>
    <w:rsid w:val="00415E5C"/>
    <w:rsid w:val="00415FAD"/>
    <w:rsid w:val="004160CA"/>
    <w:rsid w:val="0041616B"/>
    <w:rsid w:val="004163CE"/>
    <w:rsid w:val="004165B8"/>
    <w:rsid w:val="00416652"/>
    <w:rsid w:val="00416AEF"/>
    <w:rsid w:val="00416B45"/>
    <w:rsid w:val="00416B8B"/>
    <w:rsid w:val="00416D77"/>
    <w:rsid w:val="00416DAE"/>
    <w:rsid w:val="00416DF8"/>
    <w:rsid w:val="00416E55"/>
    <w:rsid w:val="0041768D"/>
    <w:rsid w:val="0041787D"/>
    <w:rsid w:val="004178D6"/>
    <w:rsid w:val="00417A87"/>
    <w:rsid w:val="00417ADD"/>
    <w:rsid w:val="00417C9C"/>
    <w:rsid w:val="00417FB6"/>
    <w:rsid w:val="00420071"/>
    <w:rsid w:val="00420249"/>
    <w:rsid w:val="00420555"/>
    <w:rsid w:val="004206B4"/>
    <w:rsid w:val="00420935"/>
    <w:rsid w:val="00420D72"/>
    <w:rsid w:val="00420D82"/>
    <w:rsid w:val="00420D86"/>
    <w:rsid w:val="00420EDA"/>
    <w:rsid w:val="0042102D"/>
    <w:rsid w:val="00421127"/>
    <w:rsid w:val="004211A3"/>
    <w:rsid w:val="00421515"/>
    <w:rsid w:val="0042157F"/>
    <w:rsid w:val="00421763"/>
    <w:rsid w:val="004217D0"/>
    <w:rsid w:val="0042184C"/>
    <w:rsid w:val="00421F04"/>
    <w:rsid w:val="00422020"/>
    <w:rsid w:val="004221FB"/>
    <w:rsid w:val="004223FC"/>
    <w:rsid w:val="0042253C"/>
    <w:rsid w:val="0042255E"/>
    <w:rsid w:val="00422737"/>
    <w:rsid w:val="00422805"/>
    <w:rsid w:val="00422826"/>
    <w:rsid w:val="004228D4"/>
    <w:rsid w:val="004229A0"/>
    <w:rsid w:val="004229E3"/>
    <w:rsid w:val="00422C45"/>
    <w:rsid w:val="00422F7D"/>
    <w:rsid w:val="00423032"/>
    <w:rsid w:val="00423033"/>
    <w:rsid w:val="004230F3"/>
    <w:rsid w:val="004233B5"/>
    <w:rsid w:val="004233E0"/>
    <w:rsid w:val="00423467"/>
    <w:rsid w:val="0042348C"/>
    <w:rsid w:val="00423709"/>
    <w:rsid w:val="00423951"/>
    <w:rsid w:val="00423B8A"/>
    <w:rsid w:val="00423B9F"/>
    <w:rsid w:val="00423BC2"/>
    <w:rsid w:val="00423D41"/>
    <w:rsid w:val="00423EC3"/>
    <w:rsid w:val="004240BF"/>
    <w:rsid w:val="0042411E"/>
    <w:rsid w:val="00424511"/>
    <w:rsid w:val="004245C8"/>
    <w:rsid w:val="00424C35"/>
    <w:rsid w:val="00424FA2"/>
    <w:rsid w:val="004251A2"/>
    <w:rsid w:val="0042546E"/>
    <w:rsid w:val="0042548E"/>
    <w:rsid w:val="004255A9"/>
    <w:rsid w:val="004255DC"/>
    <w:rsid w:val="00425A2C"/>
    <w:rsid w:val="00425B8D"/>
    <w:rsid w:val="00425CC2"/>
    <w:rsid w:val="00425DFF"/>
    <w:rsid w:val="00425EF1"/>
    <w:rsid w:val="00425F06"/>
    <w:rsid w:val="004262FA"/>
    <w:rsid w:val="0042646E"/>
    <w:rsid w:val="004265F6"/>
    <w:rsid w:val="00426CA9"/>
    <w:rsid w:val="00426CE6"/>
    <w:rsid w:val="00426D24"/>
    <w:rsid w:val="004270C9"/>
    <w:rsid w:val="00427167"/>
    <w:rsid w:val="00427238"/>
    <w:rsid w:val="004275AE"/>
    <w:rsid w:val="0042781B"/>
    <w:rsid w:val="004278C2"/>
    <w:rsid w:val="00427A18"/>
    <w:rsid w:val="00427D66"/>
    <w:rsid w:val="00427FD9"/>
    <w:rsid w:val="004300AB"/>
    <w:rsid w:val="00430249"/>
    <w:rsid w:val="004304B2"/>
    <w:rsid w:val="004307CF"/>
    <w:rsid w:val="004307EB"/>
    <w:rsid w:val="0043081D"/>
    <w:rsid w:val="004309B1"/>
    <w:rsid w:val="00430A6C"/>
    <w:rsid w:val="00430ACF"/>
    <w:rsid w:val="00430B37"/>
    <w:rsid w:val="00430BD4"/>
    <w:rsid w:val="00430D01"/>
    <w:rsid w:val="00430EB2"/>
    <w:rsid w:val="00431002"/>
    <w:rsid w:val="004311E3"/>
    <w:rsid w:val="0043126B"/>
    <w:rsid w:val="004313ED"/>
    <w:rsid w:val="00431718"/>
    <w:rsid w:val="004317D0"/>
    <w:rsid w:val="004318B6"/>
    <w:rsid w:val="00431A8A"/>
    <w:rsid w:val="00431C0F"/>
    <w:rsid w:val="00431C86"/>
    <w:rsid w:val="00431CDD"/>
    <w:rsid w:val="00431E92"/>
    <w:rsid w:val="00431F95"/>
    <w:rsid w:val="0043212F"/>
    <w:rsid w:val="004322B7"/>
    <w:rsid w:val="004324D1"/>
    <w:rsid w:val="00432630"/>
    <w:rsid w:val="00432761"/>
    <w:rsid w:val="004327C7"/>
    <w:rsid w:val="00432935"/>
    <w:rsid w:val="00432959"/>
    <w:rsid w:val="00432A61"/>
    <w:rsid w:val="00432C6B"/>
    <w:rsid w:val="00432F01"/>
    <w:rsid w:val="00432F12"/>
    <w:rsid w:val="00432FC3"/>
    <w:rsid w:val="0043312F"/>
    <w:rsid w:val="004333F2"/>
    <w:rsid w:val="00433535"/>
    <w:rsid w:val="00433622"/>
    <w:rsid w:val="00433699"/>
    <w:rsid w:val="0043382C"/>
    <w:rsid w:val="004338EE"/>
    <w:rsid w:val="00433F33"/>
    <w:rsid w:val="00434301"/>
    <w:rsid w:val="00434308"/>
    <w:rsid w:val="00434323"/>
    <w:rsid w:val="004346B2"/>
    <w:rsid w:val="0043483C"/>
    <w:rsid w:val="00434A37"/>
    <w:rsid w:val="00434BC6"/>
    <w:rsid w:val="00434BC7"/>
    <w:rsid w:val="00434E32"/>
    <w:rsid w:val="00434F16"/>
    <w:rsid w:val="00434F60"/>
    <w:rsid w:val="00434F67"/>
    <w:rsid w:val="00434F94"/>
    <w:rsid w:val="004350ED"/>
    <w:rsid w:val="004351CA"/>
    <w:rsid w:val="0043522D"/>
    <w:rsid w:val="004353D4"/>
    <w:rsid w:val="0043540A"/>
    <w:rsid w:val="0043541C"/>
    <w:rsid w:val="00435576"/>
    <w:rsid w:val="004355BC"/>
    <w:rsid w:val="00435C55"/>
    <w:rsid w:val="00435E3D"/>
    <w:rsid w:val="00436022"/>
    <w:rsid w:val="004365D3"/>
    <w:rsid w:val="00436894"/>
    <w:rsid w:val="00436A18"/>
    <w:rsid w:val="00436B95"/>
    <w:rsid w:val="00436C6A"/>
    <w:rsid w:val="00436F79"/>
    <w:rsid w:val="004372B7"/>
    <w:rsid w:val="004372ED"/>
    <w:rsid w:val="004377CD"/>
    <w:rsid w:val="00437933"/>
    <w:rsid w:val="00437B49"/>
    <w:rsid w:val="00437C27"/>
    <w:rsid w:val="00437C7C"/>
    <w:rsid w:val="0044056C"/>
    <w:rsid w:val="0044068D"/>
    <w:rsid w:val="00440696"/>
    <w:rsid w:val="004406AF"/>
    <w:rsid w:val="004406DC"/>
    <w:rsid w:val="004407D2"/>
    <w:rsid w:val="004409E7"/>
    <w:rsid w:val="00440ACD"/>
    <w:rsid w:val="00440C47"/>
    <w:rsid w:val="00440EC4"/>
    <w:rsid w:val="00441147"/>
    <w:rsid w:val="00441271"/>
    <w:rsid w:val="0044136D"/>
    <w:rsid w:val="004416F5"/>
    <w:rsid w:val="00441701"/>
    <w:rsid w:val="00441743"/>
    <w:rsid w:val="00441752"/>
    <w:rsid w:val="00441A87"/>
    <w:rsid w:val="00441ADD"/>
    <w:rsid w:val="00441B60"/>
    <w:rsid w:val="00441C42"/>
    <w:rsid w:val="00441CB6"/>
    <w:rsid w:val="00441E9E"/>
    <w:rsid w:val="00442044"/>
    <w:rsid w:val="00442087"/>
    <w:rsid w:val="00442243"/>
    <w:rsid w:val="00442371"/>
    <w:rsid w:val="00442848"/>
    <w:rsid w:val="00442851"/>
    <w:rsid w:val="00442889"/>
    <w:rsid w:val="00442A99"/>
    <w:rsid w:val="00442ACD"/>
    <w:rsid w:val="00442B70"/>
    <w:rsid w:val="00442BE6"/>
    <w:rsid w:val="00442D65"/>
    <w:rsid w:val="00442EFA"/>
    <w:rsid w:val="004430FC"/>
    <w:rsid w:val="00443394"/>
    <w:rsid w:val="004433BA"/>
    <w:rsid w:val="00443725"/>
    <w:rsid w:val="00443768"/>
    <w:rsid w:val="004439F9"/>
    <w:rsid w:val="00443A1D"/>
    <w:rsid w:val="00443D65"/>
    <w:rsid w:val="00443E0C"/>
    <w:rsid w:val="00444058"/>
    <w:rsid w:val="004440FB"/>
    <w:rsid w:val="00444248"/>
    <w:rsid w:val="0044438D"/>
    <w:rsid w:val="00444475"/>
    <w:rsid w:val="004444E5"/>
    <w:rsid w:val="00444692"/>
    <w:rsid w:val="004446C4"/>
    <w:rsid w:val="004447AE"/>
    <w:rsid w:val="0044481F"/>
    <w:rsid w:val="004448BA"/>
    <w:rsid w:val="0044495E"/>
    <w:rsid w:val="00444D30"/>
    <w:rsid w:val="00444E01"/>
    <w:rsid w:val="00444E72"/>
    <w:rsid w:val="00444EDA"/>
    <w:rsid w:val="0044501D"/>
    <w:rsid w:val="004450A3"/>
    <w:rsid w:val="00445177"/>
    <w:rsid w:val="004452EC"/>
    <w:rsid w:val="00445365"/>
    <w:rsid w:val="00445413"/>
    <w:rsid w:val="0044549D"/>
    <w:rsid w:val="00445503"/>
    <w:rsid w:val="0044555C"/>
    <w:rsid w:val="004455A1"/>
    <w:rsid w:val="004455CA"/>
    <w:rsid w:val="00445683"/>
    <w:rsid w:val="0044569B"/>
    <w:rsid w:val="00445C76"/>
    <w:rsid w:val="00445DEA"/>
    <w:rsid w:val="00445F7D"/>
    <w:rsid w:val="00445FF8"/>
    <w:rsid w:val="00446163"/>
    <w:rsid w:val="004461BA"/>
    <w:rsid w:val="00446232"/>
    <w:rsid w:val="00446277"/>
    <w:rsid w:val="004463FC"/>
    <w:rsid w:val="004464BB"/>
    <w:rsid w:val="004464FE"/>
    <w:rsid w:val="004465B9"/>
    <w:rsid w:val="004465BD"/>
    <w:rsid w:val="004468E1"/>
    <w:rsid w:val="00446C2A"/>
    <w:rsid w:val="00446C2F"/>
    <w:rsid w:val="00446C89"/>
    <w:rsid w:val="004470A3"/>
    <w:rsid w:val="0044762F"/>
    <w:rsid w:val="0044763E"/>
    <w:rsid w:val="00447BC6"/>
    <w:rsid w:val="00447CBD"/>
    <w:rsid w:val="00447CE5"/>
    <w:rsid w:val="00447ED8"/>
    <w:rsid w:val="004500D7"/>
    <w:rsid w:val="00450157"/>
    <w:rsid w:val="004502AA"/>
    <w:rsid w:val="00450311"/>
    <w:rsid w:val="00450445"/>
    <w:rsid w:val="00450828"/>
    <w:rsid w:val="00450929"/>
    <w:rsid w:val="00450BE1"/>
    <w:rsid w:val="00450C52"/>
    <w:rsid w:val="00451470"/>
    <w:rsid w:val="00451530"/>
    <w:rsid w:val="00451551"/>
    <w:rsid w:val="00451AD8"/>
    <w:rsid w:val="00451B47"/>
    <w:rsid w:val="00451B88"/>
    <w:rsid w:val="00451E01"/>
    <w:rsid w:val="0045206F"/>
    <w:rsid w:val="00452112"/>
    <w:rsid w:val="0045215E"/>
    <w:rsid w:val="00452174"/>
    <w:rsid w:val="004522E1"/>
    <w:rsid w:val="00452301"/>
    <w:rsid w:val="00452386"/>
    <w:rsid w:val="004523AE"/>
    <w:rsid w:val="00452447"/>
    <w:rsid w:val="0045252A"/>
    <w:rsid w:val="004525E4"/>
    <w:rsid w:val="00452632"/>
    <w:rsid w:val="00452C91"/>
    <w:rsid w:val="00452CDF"/>
    <w:rsid w:val="00452ED2"/>
    <w:rsid w:val="00452F7D"/>
    <w:rsid w:val="004532C7"/>
    <w:rsid w:val="00453308"/>
    <w:rsid w:val="004534B6"/>
    <w:rsid w:val="00453533"/>
    <w:rsid w:val="00453785"/>
    <w:rsid w:val="004537B6"/>
    <w:rsid w:val="004537C0"/>
    <w:rsid w:val="00453B27"/>
    <w:rsid w:val="00453C53"/>
    <w:rsid w:val="00453DBC"/>
    <w:rsid w:val="00453EAD"/>
    <w:rsid w:val="004541EE"/>
    <w:rsid w:val="0045428C"/>
    <w:rsid w:val="004543A0"/>
    <w:rsid w:val="004543F2"/>
    <w:rsid w:val="004543F8"/>
    <w:rsid w:val="00454577"/>
    <w:rsid w:val="004545C0"/>
    <w:rsid w:val="0045462A"/>
    <w:rsid w:val="004546B5"/>
    <w:rsid w:val="004546F0"/>
    <w:rsid w:val="004547A8"/>
    <w:rsid w:val="004548BB"/>
    <w:rsid w:val="00454931"/>
    <w:rsid w:val="00454B57"/>
    <w:rsid w:val="0045501D"/>
    <w:rsid w:val="00455098"/>
    <w:rsid w:val="00455261"/>
    <w:rsid w:val="0045531C"/>
    <w:rsid w:val="004559F0"/>
    <w:rsid w:val="00455A24"/>
    <w:rsid w:val="00455BAC"/>
    <w:rsid w:val="00455BD8"/>
    <w:rsid w:val="00455DCE"/>
    <w:rsid w:val="00455EDC"/>
    <w:rsid w:val="00455F46"/>
    <w:rsid w:val="004562FD"/>
    <w:rsid w:val="00456398"/>
    <w:rsid w:val="0045665B"/>
    <w:rsid w:val="00456671"/>
    <w:rsid w:val="00456705"/>
    <w:rsid w:val="00456819"/>
    <w:rsid w:val="0045681C"/>
    <w:rsid w:val="00456911"/>
    <w:rsid w:val="0045691A"/>
    <w:rsid w:val="0045696A"/>
    <w:rsid w:val="00456A6A"/>
    <w:rsid w:val="00456B3E"/>
    <w:rsid w:val="00456D68"/>
    <w:rsid w:val="00456F23"/>
    <w:rsid w:val="00456F65"/>
    <w:rsid w:val="004570A7"/>
    <w:rsid w:val="0045753E"/>
    <w:rsid w:val="0045784E"/>
    <w:rsid w:val="004578C3"/>
    <w:rsid w:val="004578D8"/>
    <w:rsid w:val="00457915"/>
    <w:rsid w:val="00457A0F"/>
    <w:rsid w:val="00457A63"/>
    <w:rsid w:val="00457E66"/>
    <w:rsid w:val="00457F43"/>
    <w:rsid w:val="004602C6"/>
    <w:rsid w:val="004606EA"/>
    <w:rsid w:val="004608FC"/>
    <w:rsid w:val="004609D9"/>
    <w:rsid w:val="00460C45"/>
    <w:rsid w:val="00460E47"/>
    <w:rsid w:val="00460F94"/>
    <w:rsid w:val="00460FB6"/>
    <w:rsid w:val="00461179"/>
    <w:rsid w:val="0046127A"/>
    <w:rsid w:val="004612B7"/>
    <w:rsid w:val="0046150E"/>
    <w:rsid w:val="0046181C"/>
    <w:rsid w:val="004618F6"/>
    <w:rsid w:val="0046197E"/>
    <w:rsid w:val="004619C5"/>
    <w:rsid w:val="00461B14"/>
    <w:rsid w:val="00461E00"/>
    <w:rsid w:val="00461F77"/>
    <w:rsid w:val="0046205A"/>
    <w:rsid w:val="00462265"/>
    <w:rsid w:val="0046234B"/>
    <w:rsid w:val="00462BD2"/>
    <w:rsid w:val="00462C3A"/>
    <w:rsid w:val="00462C62"/>
    <w:rsid w:val="00462E2E"/>
    <w:rsid w:val="00462E8E"/>
    <w:rsid w:val="0046316F"/>
    <w:rsid w:val="0046325A"/>
    <w:rsid w:val="00463680"/>
    <w:rsid w:val="00463852"/>
    <w:rsid w:val="00463938"/>
    <w:rsid w:val="004639B6"/>
    <w:rsid w:val="004639D7"/>
    <w:rsid w:val="00463C6F"/>
    <w:rsid w:val="00463EDF"/>
    <w:rsid w:val="00463F30"/>
    <w:rsid w:val="00463F64"/>
    <w:rsid w:val="0046400A"/>
    <w:rsid w:val="00464133"/>
    <w:rsid w:val="00464192"/>
    <w:rsid w:val="00464260"/>
    <w:rsid w:val="00464332"/>
    <w:rsid w:val="0046435D"/>
    <w:rsid w:val="004643EA"/>
    <w:rsid w:val="00464596"/>
    <w:rsid w:val="00464664"/>
    <w:rsid w:val="00464715"/>
    <w:rsid w:val="0046480E"/>
    <w:rsid w:val="004649AA"/>
    <w:rsid w:val="00464A26"/>
    <w:rsid w:val="00464C6E"/>
    <w:rsid w:val="00464ED2"/>
    <w:rsid w:val="00464FF7"/>
    <w:rsid w:val="00465003"/>
    <w:rsid w:val="0046501B"/>
    <w:rsid w:val="00465209"/>
    <w:rsid w:val="004653EF"/>
    <w:rsid w:val="00465564"/>
    <w:rsid w:val="004658AC"/>
    <w:rsid w:val="00465EC1"/>
    <w:rsid w:val="00465EE8"/>
    <w:rsid w:val="004668AF"/>
    <w:rsid w:val="004668FF"/>
    <w:rsid w:val="00466AD9"/>
    <w:rsid w:val="00466AF5"/>
    <w:rsid w:val="00466E1D"/>
    <w:rsid w:val="00466E99"/>
    <w:rsid w:val="00466F60"/>
    <w:rsid w:val="00466F77"/>
    <w:rsid w:val="0046739F"/>
    <w:rsid w:val="004673DB"/>
    <w:rsid w:val="00467616"/>
    <w:rsid w:val="00467B26"/>
    <w:rsid w:val="00467C23"/>
    <w:rsid w:val="00467D92"/>
    <w:rsid w:val="00467F47"/>
    <w:rsid w:val="00467F73"/>
    <w:rsid w:val="00470002"/>
    <w:rsid w:val="004702AC"/>
    <w:rsid w:val="00470417"/>
    <w:rsid w:val="004704C4"/>
    <w:rsid w:val="00470682"/>
    <w:rsid w:val="004706C5"/>
    <w:rsid w:val="00470819"/>
    <w:rsid w:val="004709EC"/>
    <w:rsid w:val="00470D31"/>
    <w:rsid w:val="00470E57"/>
    <w:rsid w:val="00470F22"/>
    <w:rsid w:val="00470FA6"/>
    <w:rsid w:val="00471075"/>
    <w:rsid w:val="0047125F"/>
    <w:rsid w:val="00471461"/>
    <w:rsid w:val="0047146C"/>
    <w:rsid w:val="004718F1"/>
    <w:rsid w:val="00471B5D"/>
    <w:rsid w:val="00471C03"/>
    <w:rsid w:val="00471D9F"/>
    <w:rsid w:val="00471F74"/>
    <w:rsid w:val="004720F4"/>
    <w:rsid w:val="00472171"/>
    <w:rsid w:val="004723CA"/>
    <w:rsid w:val="004723CC"/>
    <w:rsid w:val="00472423"/>
    <w:rsid w:val="00472454"/>
    <w:rsid w:val="00472549"/>
    <w:rsid w:val="004725B3"/>
    <w:rsid w:val="00472839"/>
    <w:rsid w:val="00472955"/>
    <w:rsid w:val="004729F8"/>
    <w:rsid w:val="00472C58"/>
    <w:rsid w:val="00472FE0"/>
    <w:rsid w:val="0047308D"/>
    <w:rsid w:val="004731F7"/>
    <w:rsid w:val="00473233"/>
    <w:rsid w:val="004734C2"/>
    <w:rsid w:val="004734D5"/>
    <w:rsid w:val="004737EF"/>
    <w:rsid w:val="0047395F"/>
    <w:rsid w:val="004739CA"/>
    <w:rsid w:val="00473CA9"/>
    <w:rsid w:val="00473F82"/>
    <w:rsid w:val="0047409D"/>
    <w:rsid w:val="0047417E"/>
    <w:rsid w:val="004741E6"/>
    <w:rsid w:val="004742DC"/>
    <w:rsid w:val="00474380"/>
    <w:rsid w:val="00474396"/>
    <w:rsid w:val="004744AE"/>
    <w:rsid w:val="004744D7"/>
    <w:rsid w:val="004745CC"/>
    <w:rsid w:val="004745DE"/>
    <w:rsid w:val="004747F4"/>
    <w:rsid w:val="00474A39"/>
    <w:rsid w:val="00474B68"/>
    <w:rsid w:val="00474C04"/>
    <w:rsid w:val="00474CE2"/>
    <w:rsid w:val="0047504E"/>
    <w:rsid w:val="00475206"/>
    <w:rsid w:val="0047547F"/>
    <w:rsid w:val="004757E3"/>
    <w:rsid w:val="004759F2"/>
    <w:rsid w:val="00475B9A"/>
    <w:rsid w:val="00475D73"/>
    <w:rsid w:val="0047622A"/>
    <w:rsid w:val="00476273"/>
    <w:rsid w:val="004763E2"/>
    <w:rsid w:val="0047648A"/>
    <w:rsid w:val="0047648F"/>
    <w:rsid w:val="004764B7"/>
    <w:rsid w:val="0047663D"/>
    <w:rsid w:val="00476760"/>
    <w:rsid w:val="00476820"/>
    <w:rsid w:val="004768B7"/>
    <w:rsid w:val="004768E2"/>
    <w:rsid w:val="00476C88"/>
    <w:rsid w:val="00476D42"/>
    <w:rsid w:val="00476DB0"/>
    <w:rsid w:val="00476DC8"/>
    <w:rsid w:val="00477030"/>
    <w:rsid w:val="00477194"/>
    <w:rsid w:val="00477218"/>
    <w:rsid w:val="00477430"/>
    <w:rsid w:val="004776C0"/>
    <w:rsid w:val="004776DE"/>
    <w:rsid w:val="00477908"/>
    <w:rsid w:val="0047791F"/>
    <w:rsid w:val="00477936"/>
    <w:rsid w:val="00477C6A"/>
    <w:rsid w:val="00477C9D"/>
    <w:rsid w:val="00477C9F"/>
    <w:rsid w:val="00480017"/>
    <w:rsid w:val="00480097"/>
    <w:rsid w:val="00480217"/>
    <w:rsid w:val="0048029D"/>
    <w:rsid w:val="004803D8"/>
    <w:rsid w:val="004804CA"/>
    <w:rsid w:val="0048051C"/>
    <w:rsid w:val="004806EC"/>
    <w:rsid w:val="00480767"/>
    <w:rsid w:val="00480A08"/>
    <w:rsid w:val="00480C13"/>
    <w:rsid w:val="00480C71"/>
    <w:rsid w:val="00480EE3"/>
    <w:rsid w:val="00480EEA"/>
    <w:rsid w:val="00480EED"/>
    <w:rsid w:val="00480F1E"/>
    <w:rsid w:val="0048126B"/>
    <w:rsid w:val="00481367"/>
    <w:rsid w:val="004813EB"/>
    <w:rsid w:val="0048148C"/>
    <w:rsid w:val="0048171B"/>
    <w:rsid w:val="00481871"/>
    <w:rsid w:val="00481910"/>
    <w:rsid w:val="00481A0C"/>
    <w:rsid w:val="00481AD8"/>
    <w:rsid w:val="00481C3F"/>
    <w:rsid w:val="00481E21"/>
    <w:rsid w:val="00482116"/>
    <w:rsid w:val="00482195"/>
    <w:rsid w:val="004824AC"/>
    <w:rsid w:val="00482601"/>
    <w:rsid w:val="004828A2"/>
    <w:rsid w:val="00482A33"/>
    <w:rsid w:val="00482A8A"/>
    <w:rsid w:val="00482A8C"/>
    <w:rsid w:val="00482AF5"/>
    <w:rsid w:val="00482B5D"/>
    <w:rsid w:val="0048351E"/>
    <w:rsid w:val="004835EE"/>
    <w:rsid w:val="00483680"/>
    <w:rsid w:val="004836D2"/>
    <w:rsid w:val="00483746"/>
    <w:rsid w:val="00483AF7"/>
    <w:rsid w:val="00483B7B"/>
    <w:rsid w:val="00483C48"/>
    <w:rsid w:val="00483D05"/>
    <w:rsid w:val="00483ED3"/>
    <w:rsid w:val="004849A5"/>
    <w:rsid w:val="00484A0E"/>
    <w:rsid w:val="00484A94"/>
    <w:rsid w:val="00484AD7"/>
    <w:rsid w:val="00484C2C"/>
    <w:rsid w:val="00484ECA"/>
    <w:rsid w:val="00485232"/>
    <w:rsid w:val="00485256"/>
    <w:rsid w:val="004853A6"/>
    <w:rsid w:val="00485477"/>
    <w:rsid w:val="00485479"/>
    <w:rsid w:val="004854D3"/>
    <w:rsid w:val="004854EB"/>
    <w:rsid w:val="00485664"/>
    <w:rsid w:val="004857EC"/>
    <w:rsid w:val="00485804"/>
    <w:rsid w:val="00485B10"/>
    <w:rsid w:val="00485CDF"/>
    <w:rsid w:val="00485F67"/>
    <w:rsid w:val="004861A7"/>
    <w:rsid w:val="004863EF"/>
    <w:rsid w:val="00486456"/>
    <w:rsid w:val="00486599"/>
    <w:rsid w:val="004866C9"/>
    <w:rsid w:val="00486932"/>
    <w:rsid w:val="00486946"/>
    <w:rsid w:val="00486A64"/>
    <w:rsid w:val="00486CB1"/>
    <w:rsid w:val="004872A6"/>
    <w:rsid w:val="0048730B"/>
    <w:rsid w:val="0048760E"/>
    <w:rsid w:val="00487620"/>
    <w:rsid w:val="00487754"/>
    <w:rsid w:val="00487AEE"/>
    <w:rsid w:val="00487DA3"/>
    <w:rsid w:val="00487DE3"/>
    <w:rsid w:val="00487E57"/>
    <w:rsid w:val="0049008B"/>
    <w:rsid w:val="00490147"/>
    <w:rsid w:val="004902A5"/>
    <w:rsid w:val="00490363"/>
    <w:rsid w:val="004903F7"/>
    <w:rsid w:val="004907C1"/>
    <w:rsid w:val="004908BA"/>
    <w:rsid w:val="00490921"/>
    <w:rsid w:val="00490AE5"/>
    <w:rsid w:val="00490CE8"/>
    <w:rsid w:val="00490D10"/>
    <w:rsid w:val="00490F69"/>
    <w:rsid w:val="00491362"/>
    <w:rsid w:val="004913E1"/>
    <w:rsid w:val="004914D6"/>
    <w:rsid w:val="004914D8"/>
    <w:rsid w:val="00491654"/>
    <w:rsid w:val="004919CF"/>
    <w:rsid w:val="00491CF5"/>
    <w:rsid w:val="00491E22"/>
    <w:rsid w:val="004920C3"/>
    <w:rsid w:val="0049211D"/>
    <w:rsid w:val="0049232F"/>
    <w:rsid w:val="00492593"/>
    <w:rsid w:val="00492597"/>
    <w:rsid w:val="00492724"/>
    <w:rsid w:val="00492931"/>
    <w:rsid w:val="004929DA"/>
    <w:rsid w:val="00492D88"/>
    <w:rsid w:val="00492F5F"/>
    <w:rsid w:val="0049305A"/>
    <w:rsid w:val="004931BD"/>
    <w:rsid w:val="0049339E"/>
    <w:rsid w:val="00493700"/>
    <w:rsid w:val="00493742"/>
    <w:rsid w:val="00493851"/>
    <w:rsid w:val="0049389A"/>
    <w:rsid w:val="00493A0C"/>
    <w:rsid w:val="00493A1E"/>
    <w:rsid w:val="00493B20"/>
    <w:rsid w:val="00493B29"/>
    <w:rsid w:val="00493CDC"/>
    <w:rsid w:val="00493EE4"/>
    <w:rsid w:val="00493F19"/>
    <w:rsid w:val="0049411D"/>
    <w:rsid w:val="00494375"/>
    <w:rsid w:val="004944A4"/>
    <w:rsid w:val="004947FD"/>
    <w:rsid w:val="00494869"/>
    <w:rsid w:val="00494A52"/>
    <w:rsid w:val="00494A71"/>
    <w:rsid w:val="00494B80"/>
    <w:rsid w:val="004950A9"/>
    <w:rsid w:val="00495102"/>
    <w:rsid w:val="0049520B"/>
    <w:rsid w:val="004952BB"/>
    <w:rsid w:val="004952D6"/>
    <w:rsid w:val="004954E4"/>
    <w:rsid w:val="004956B3"/>
    <w:rsid w:val="004956F0"/>
    <w:rsid w:val="004959E0"/>
    <w:rsid w:val="00495B14"/>
    <w:rsid w:val="00495C8E"/>
    <w:rsid w:val="00495E87"/>
    <w:rsid w:val="0049628F"/>
    <w:rsid w:val="0049633C"/>
    <w:rsid w:val="004963CE"/>
    <w:rsid w:val="0049648B"/>
    <w:rsid w:val="00496892"/>
    <w:rsid w:val="004969F6"/>
    <w:rsid w:val="00496A85"/>
    <w:rsid w:val="00496A95"/>
    <w:rsid w:val="00496C89"/>
    <w:rsid w:val="00497053"/>
    <w:rsid w:val="00497060"/>
    <w:rsid w:val="00497310"/>
    <w:rsid w:val="004973B2"/>
    <w:rsid w:val="00497438"/>
    <w:rsid w:val="0049755A"/>
    <w:rsid w:val="00497568"/>
    <w:rsid w:val="004975FE"/>
    <w:rsid w:val="00497775"/>
    <w:rsid w:val="00497879"/>
    <w:rsid w:val="004978A2"/>
    <w:rsid w:val="00497A06"/>
    <w:rsid w:val="00497ACD"/>
    <w:rsid w:val="00497D07"/>
    <w:rsid w:val="00497DA4"/>
    <w:rsid w:val="00497EA1"/>
    <w:rsid w:val="00497EB6"/>
    <w:rsid w:val="004A007C"/>
    <w:rsid w:val="004A0225"/>
    <w:rsid w:val="004A0376"/>
    <w:rsid w:val="004A0559"/>
    <w:rsid w:val="004A0757"/>
    <w:rsid w:val="004A09BD"/>
    <w:rsid w:val="004A09E2"/>
    <w:rsid w:val="004A0BA9"/>
    <w:rsid w:val="004A0C25"/>
    <w:rsid w:val="004A0C8D"/>
    <w:rsid w:val="004A0CE5"/>
    <w:rsid w:val="004A0EA0"/>
    <w:rsid w:val="004A13AF"/>
    <w:rsid w:val="004A14FD"/>
    <w:rsid w:val="004A165F"/>
    <w:rsid w:val="004A16CF"/>
    <w:rsid w:val="004A17EE"/>
    <w:rsid w:val="004A1849"/>
    <w:rsid w:val="004A187F"/>
    <w:rsid w:val="004A18C2"/>
    <w:rsid w:val="004A1AF1"/>
    <w:rsid w:val="004A1D19"/>
    <w:rsid w:val="004A1E39"/>
    <w:rsid w:val="004A1EC7"/>
    <w:rsid w:val="004A20B7"/>
    <w:rsid w:val="004A2226"/>
    <w:rsid w:val="004A227E"/>
    <w:rsid w:val="004A2363"/>
    <w:rsid w:val="004A23DD"/>
    <w:rsid w:val="004A24CB"/>
    <w:rsid w:val="004A272C"/>
    <w:rsid w:val="004A2A6A"/>
    <w:rsid w:val="004A2DA1"/>
    <w:rsid w:val="004A2F9B"/>
    <w:rsid w:val="004A3008"/>
    <w:rsid w:val="004A31C4"/>
    <w:rsid w:val="004A31ED"/>
    <w:rsid w:val="004A33B8"/>
    <w:rsid w:val="004A33BE"/>
    <w:rsid w:val="004A34F4"/>
    <w:rsid w:val="004A35DD"/>
    <w:rsid w:val="004A3634"/>
    <w:rsid w:val="004A3BD5"/>
    <w:rsid w:val="004A3C4B"/>
    <w:rsid w:val="004A3F32"/>
    <w:rsid w:val="004A42FB"/>
    <w:rsid w:val="004A4736"/>
    <w:rsid w:val="004A4898"/>
    <w:rsid w:val="004A4A22"/>
    <w:rsid w:val="004A4D41"/>
    <w:rsid w:val="004A4D65"/>
    <w:rsid w:val="004A507F"/>
    <w:rsid w:val="004A50D4"/>
    <w:rsid w:val="004A5599"/>
    <w:rsid w:val="004A5841"/>
    <w:rsid w:val="004A5AA3"/>
    <w:rsid w:val="004A5BA5"/>
    <w:rsid w:val="004A5BD9"/>
    <w:rsid w:val="004A5E17"/>
    <w:rsid w:val="004A5E96"/>
    <w:rsid w:val="004A5F27"/>
    <w:rsid w:val="004A6240"/>
    <w:rsid w:val="004A6381"/>
    <w:rsid w:val="004A64C2"/>
    <w:rsid w:val="004A653C"/>
    <w:rsid w:val="004A695A"/>
    <w:rsid w:val="004A6B5D"/>
    <w:rsid w:val="004A6CF5"/>
    <w:rsid w:val="004A6E6F"/>
    <w:rsid w:val="004A701D"/>
    <w:rsid w:val="004A73E6"/>
    <w:rsid w:val="004A7575"/>
    <w:rsid w:val="004A78DC"/>
    <w:rsid w:val="004A7919"/>
    <w:rsid w:val="004A7A44"/>
    <w:rsid w:val="004A7A88"/>
    <w:rsid w:val="004A7B43"/>
    <w:rsid w:val="004A7B9D"/>
    <w:rsid w:val="004A7F9E"/>
    <w:rsid w:val="004B04D8"/>
    <w:rsid w:val="004B0605"/>
    <w:rsid w:val="004B06A9"/>
    <w:rsid w:val="004B06DA"/>
    <w:rsid w:val="004B0722"/>
    <w:rsid w:val="004B081B"/>
    <w:rsid w:val="004B08EF"/>
    <w:rsid w:val="004B0B07"/>
    <w:rsid w:val="004B0C23"/>
    <w:rsid w:val="004B0C77"/>
    <w:rsid w:val="004B1203"/>
    <w:rsid w:val="004B121C"/>
    <w:rsid w:val="004B12CA"/>
    <w:rsid w:val="004B147B"/>
    <w:rsid w:val="004B1B12"/>
    <w:rsid w:val="004B1CA2"/>
    <w:rsid w:val="004B1D9E"/>
    <w:rsid w:val="004B1DB6"/>
    <w:rsid w:val="004B2123"/>
    <w:rsid w:val="004B21BD"/>
    <w:rsid w:val="004B23F9"/>
    <w:rsid w:val="004B2407"/>
    <w:rsid w:val="004B2454"/>
    <w:rsid w:val="004B24A5"/>
    <w:rsid w:val="004B26EF"/>
    <w:rsid w:val="004B2899"/>
    <w:rsid w:val="004B2933"/>
    <w:rsid w:val="004B2A9F"/>
    <w:rsid w:val="004B2BBE"/>
    <w:rsid w:val="004B2CA6"/>
    <w:rsid w:val="004B2F36"/>
    <w:rsid w:val="004B36E4"/>
    <w:rsid w:val="004B374C"/>
    <w:rsid w:val="004B37E5"/>
    <w:rsid w:val="004B393D"/>
    <w:rsid w:val="004B39D2"/>
    <w:rsid w:val="004B3AA8"/>
    <w:rsid w:val="004B3BE9"/>
    <w:rsid w:val="004B3DA1"/>
    <w:rsid w:val="004B3E2A"/>
    <w:rsid w:val="004B3F5E"/>
    <w:rsid w:val="004B3FF4"/>
    <w:rsid w:val="004B4221"/>
    <w:rsid w:val="004B429C"/>
    <w:rsid w:val="004B46EE"/>
    <w:rsid w:val="004B470E"/>
    <w:rsid w:val="004B4865"/>
    <w:rsid w:val="004B4A31"/>
    <w:rsid w:val="004B4BE7"/>
    <w:rsid w:val="004B4E02"/>
    <w:rsid w:val="004B4E29"/>
    <w:rsid w:val="004B4E5F"/>
    <w:rsid w:val="004B4F55"/>
    <w:rsid w:val="004B5217"/>
    <w:rsid w:val="004B5299"/>
    <w:rsid w:val="004B53F2"/>
    <w:rsid w:val="004B5434"/>
    <w:rsid w:val="004B5696"/>
    <w:rsid w:val="004B57F9"/>
    <w:rsid w:val="004B5A58"/>
    <w:rsid w:val="004B5AFE"/>
    <w:rsid w:val="004B5B0A"/>
    <w:rsid w:val="004B5C6D"/>
    <w:rsid w:val="004B5D6C"/>
    <w:rsid w:val="004B60D0"/>
    <w:rsid w:val="004B62C0"/>
    <w:rsid w:val="004B6473"/>
    <w:rsid w:val="004B649E"/>
    <w:rsid w:val="004B67E4"/>
    <w:rsid w:val="004B68EA"/>
    <w:rsid w:val="004B6989"/>
    <w:rsid w:val="004B6B51"/>
    <w:rsid w:val="004B6C62"/>
    <w:rsid w:val="004B6FA8"/>
    <w:rsid w:val="004B70AD"/>
    <w:rsid w:val="004B7463"/>
    <w:rsid w:val="004B7490"/>
    <w:rsid w:val="004B749C"/>
    <w:rsid w:val="004B751B"/>
    <w:rsid w:val="004B76BC"/>
    <w:rsid w:val="004B7750"/>
    <w:rsid w:val="004B77CA"/>
    <w:rsid w:val="004B77FC"/>
    <w:rsid w:val="004B79E0"/>
    <w:rsid w:val="004B7B16"/>
    <w:rsid w:val="004B7E7C"/>
    <w:rsid w:val="004B7FCA"/>
    <w:rsid w:val="004C0032"/>
    <w:rsid w:val="004C04DD"/>
    <w:rsid w:val="004C09F5"/>
    <w:rsid w:val="004C0A56"/>
    <w:rsid w:val="004C0AEB"/>
    <w:rsid w:val="004C0CD5"/>
    <w:rsid w:val="004C0D05"/>
    <w:rsid w:val="004C1071"/>
    <w:rsid w:val="004C1184"/>
    <w:rsid w:val="004C11B7"/>
    <w:rsid w:val="004C120A"/>
    <w:rsid w:val="004C132C"/>
    <w:rsid w:val="004C1388"/>
    <w:rsid w:val="004C141D"/>
    <w:rsid w:val="004C14B5"/>
    <w:rsid w:val="004C1678"/>
    <w:rsid w:val="004C16E0"/>
    <w:rsid w:val="004C1BD1"/>
    <w:rsid w:val="004C1EEC"/>
    <w:rsid w:val="004C20F6"/>
    <w:rsid w:val="004C217C"/>
    <w:rsid w:val="004C2180"/>
    <w:rsid w:val="004C26A7"/>
    <w:rsid w:val="004C272A"/>
    <w:rsid w:val="004C2881"/>
    <w:rsid w:val="004C2A43"/>
    <w:rsid w:val="004C2A44"/>
    <w:rsid w:val="004C3184"/>
    <w:rsid w:val="004C32B5"/>
    <w:rsid w:val="004C345A"/>
    <w:rsid w:val="004C35FA"/>
    <w:rsid w:val="004C36E7"/>
    <w:rsid w:val="004C3FEE"/>
    <w:rsid w:val="004C4058"/>
    <w:rsid w:val="004C40AF"/>
    <w:rsid w:val="004C40BE"/>
    <w:rsid w:val="004C4404"/>
    <w:rsid w:val="004C444C"/>
    <w:rsid w:val="004C4627"/>
    <w:rsid w:val="004C47EB"/>
    <w:rsid w:val="004C4915"/>
    <w:rsid w:val="004C49A5"/>
    <w:rsid w:val="004C4A6F"/>
    <w:rsid w:val="004C4B67"/>
    <w:rsid w:val="004C4B7C"/>
    <w:rsid w:val="004C4BA9"/>
    <w:rsid w:val="004C5456"/>
    <w:rsid w:val="004C5529"/>
    <w:rsid w:val="004C55D5"/>
    <w:rsid w:val="004C5619"/>
    <w:rsid w:val="004C5753"/>
    <w:rsid w:val="004C5772"/>
    <w:rsid w:val="004C5843"/>
    <w:rsid w:val="004C59BE"/>
    <w:rsid w:val="004C5A96"/>
    <w:rsid w:val="004C5B09"/>
    <w:rsid w:val="004C5B0D"/>
    <w:rsid w:val="004C5C57"/>
    <w:rsid w:val="004C5DCA"/>
    <w:rsid w:val="004C609F"/>
    <w:rsid w:val="004C60E6"/>
    <w:rsid w:val="004C61B9"/>
    <w:rsid w:val="004C6437"/>
    <w:rsid w:val="004C65AB"/>
    <w:rsid w:val="004C661A"/>
    <w:rsid w:val="004C66F5"/>
    <w:rsid w:val="004C6723"/>
    <w:rsid w:val="004C68D1"/>
    <w:rsid w:val="004C698D"/>
    <w:rsid w:val="004C6A52"/>
    <w:rsid w:val="004C6D6F"/>
    <w:rsid w:val="004C6FD2"/>
    <w:rsid w:val="004C70A1"/>
    <w:rsid w:val="004C7437"/>
    <w:rsid w:val="004C75B0"/>
    <w:rsid w:val="004C7781"/>
    <w:rsid w:val="004C779D"/>
    <w:rsid w:val="004C77F3"/>
    <w:rsid w:val="004C7869"/>
    <w:rsid w:val="004C7A75"/>
    <w:rsid w:val="004C7AB2"/>
    <w:rsid w:val="004C7B86"/>
    <w:rsid w:val="004C7E47"/>
    <w:rsid w:val="004D0067"/>
    <w:rsid w:val="004D0193"/>
    <w:rsid w:val="004D066F"/>
    <w:rsid w:val="004D0725"/>
    <w:rsid w:val="004D075A"/>
    <w:rsid w:val="004D0832"/>
    <w:rsid w:val="004D0963"/>
    <w:rsid w:val="004D0A75"/>
    <w:rsid w:val="004D0EE3"/>
    <w:rsid w:val="004D0F2B"/>
    <w:rsid w:val="004D1234"/>
    <w:rsid w:val="004D12AD"/>
    <w:rsid w:val="004D154B"/>
    <w:rsid w:val="004D17FB"/>
    <w:rsid w:val="004D1C16"/>
    <w:rsid w:val="004D2078"/>
    <w:rsid w:val="004D2400"/>
    <w:rsid w:val="004D24DE"/>
    <w:rsid w:val="004D2599"/>
    <w:rsid w:val="004D268B"/>
    <w:rsid w:val="004D26B9"/>
    <w:rsid w:val="004D2809"/>
    <w:rsid w:val="004D2896"/>
    <w:rsid w:val="004D2B22"/>
    <w:rsid w:val="004D2B38"/>
    <w:rsid w:val="004D2B50"/>
    <w:rsid w:val="004D2C46"/>
    <w:rsid w:val="004D2C4A"/>
    <w:rsid w:val="004D2F1A"/>
    <w:rsid w:val="004D2FC5"/>
    <w:rsid w:val="004D3029"/>
    <w:rsid w:val="004D322A"/>
    <w:rsid w:val="004D34AE"/>
    <w:rsid w:val="004D35E8"/>
    <w:rsid w:val="004D366F"/>
    <w:rsid w:val="004D379F"/>
    <w:rsid w:val="004D37B4"/>
    <w:rsid w:val="004D381A"/>
    <w:rsid w:val="004D3826"/>
    <w:rsid w:val="004D3AAE"/>
    <w:rsid w:val="004D3B29"/>
    <w:rsid w:val="004D3B6E"/>
    <w:rsid w:val="004D3D57"/>
    <w:rsid w:val="004D3E2E"/>
    <w:rsid w:val="004D3ECD"/>
    <w:rsid w:val="004D3EF0"/>
    <w:rsid w:val="004D3F68"/>
    <w:rsid w:val="004D3FB2"/>
    <w:rsid w:val="004D4047"/>
    <w:rsid w:val="004D428C"/>
    <w:rsid w:val="004D43D8"/>
    <w:rsid w:val="004D4560"/>
    <w:rsid w:val="004D493E"/>
    <w:rsid w:val="004D4A84"/>
    <w:rsid w:val="004D4B7C"/>
    <w:rsid w:val="004D4C4F"/>
    <w:rsid w:val="004D4CB9"/>
    <w:rsid w:val="004D52A1"/>
    <w:rsid w:val="004D58B2"/>
    <w:rsid w:val="004D59CD"/>
    <w:rsid w:val="004D5CAA"/>
    <w:rsid w:val="004D60E7"/>
    <w:rsid w:val="004D61AF"/>
    <w:rsid w:val="004D6212"/>
    <w:rsid w:val="004D6295"/>
    <w:rsid w:val="004D62C6"/>
    <w:rsid w:val="004D63B9"/>
    <w:rsid w:val="004D644E"/>
    <w:rsid w:val="004D6502"/>
    <w:rsid w:val="004D65F9"/>
    <w:rsid w:val="004D67FA"/>
    <w:rsid w:val="004D682A"/>
    <w:rsid w:val="004D6842"/>
    <w:rsid w:val="004D6874"/>
    <w:rsid w:val="004D6930"/>
    <w:rsid w:val="004D6A23"/>
    <w:rsid w:val="004D6BC5"/>
    <w:rsid w:val="004D6BCE"/>
    <w:rsid w:val="004D6CBC"/>
    <w:rsid w:val="004D7164"/>
    <w:rsid w:val="004D720A"/>
    <w:rsid w:val="004D7274"/>
    <w:rsid w:val="004D7617"/>
    <w:rsid w:val="004D7810"/>
    <w:rsid w:val="004D7B3F"/>
    <w:rsid w:val="004E027C"/>
    <w:rsid w:val="004E0287"/>
    <w:rsid w:val="004E0560"/>
    <w:rsid w:val="004E0698"/>
    <w:rsid w:val="004E0843"/>
    <w:rsid w:val="004E084D"/>
    <w:rsid w:val="004E095B"/>
    <w:rsid w:val="004E09C1"/>
    <w:rsid w:val="004E0A5F"/>
    <w:rsid w:val="004E0A84"/>
    <w:rsid w:val="004E0ABE"/>
    <w:rsid w:val="004E0B47"/>
    <w:rsid w:val="004E0B90"/>
    <w:rsid w:val="004E0BCF"/>
    <w:rsid w:val="004E0E23"/>
    <w:rsid w:val="004E0E64"/>
    <w:rsid w:val="004E0F6F"/>
    <w:rsid w:val="004E0FD8"/>
    <w:rsid w:val="004E1086"/>
    <w:rsid w:val="004E1462"/>
    <w:rsid w:val="004E15A3"/>
    <w:rsid w:val="004E16B3"/>
    <w:rsid w:val="004E17C0"/>
    <w:rsid w:val="004E18F8"/>
    <w:rsid w:val="004E1938"/>
    <w:rsid w:val="004E199E"/>
    <w:rsid w:val="004E1D00"/>
    <w:rsid w:val="004E20C8"/>
    <w:rsid w:val="004E2188"/>
    <w:rsid w:val="004E2217"/>
    <w:rsid w:val="004E236A"/>
    <w:rsid w:val="004E2540"/>
    <w:rsid w:val="004E2708"/>
    <w:rsid w:val="004E298B"/>
    <w:rsid w:val="004E2BA0"/>
    <w:rsid w:val="004E2BD5"/>
    <w:rsid w:val="004E2D9C"/>
    <w:rsid w:val="004E2FA8"/>
    <w:rsid w:val="004E2FBA"/>
    <w:rsid w:val="004E3167"/>
    <w:rsid w:val="004E3233"/>
    <w:rsid w:val="004E34CD"/>
    <w:rsid w:val="004E35A0"/>
    <w:rsid w:val="004E3906"/>
    <w:rsid w:val="004E39AE"/>
    <w:rsid w:val="004E39C1"/>
    <w:rsid w:val="004E39DF"/>
    <w:rsid w:val="004E3C6D"/>
    <w:rsid w:val="004E3E45"/>
    <w:rsid w:val="004E3EC2"/>
    <w:rsid w:val="004E405E"/>
    <w:rsid w:val="004E40F7"/>
    <w:rsid w:val="004E4100"/>
    <w:rsid w:val="004E41C8"/>
    <w:rsid w:val="004E41D9"/>
    <w:rsid w:val="004E4232"/>
    <w:rsid w:val="004E4290"/>
    <w:rsid w:val="004E42B7"/>
    <w:rsid w:val="004E438C"/>
    <w:rsid w:val="004E4498"/>
    <w:rsid w:val="004E4719"/>
    <w:rsid w:val="004E48EE"/>
    <w:rsid w:val="004E497E"/>
    <w:rsid w:val="004E4B2C"/>
    <w:rsid w:val="004E4B64"/>
    <w:rsid w:val="004E5011"/>
    <w:rsid w:val="004E5077"/>
    <w:rsid w:val="004E5173"/>
    <w:rsid w:val="004E51DF"/>
    <w:rsid w:val="004E527D"/>
    <w:rsid w:val="004E52EE"/>
    <w:rsid w:val="004E5304"/>
    <w:rsid w:val="004E541E"/>
    <w:rsid w:val="004E5D36"/>
    <w:rsid w:val="004E5F0E"/>
    <w:rsid w:val="004E5F61"/>
    <w:rsid w:val="004E606F"/>
    <w:rsid w:val="004E6179"/>
    <w:rsid w:val="004E6202"/>
    <w:rsid w:val="004E63ED"/>
    <w:rsid w:val="004E6422"/>
    <w:rsid w:val="004E6480"/>
    <w:rsid w:val="004E65AD"/>
    <w:rsid w:val="004E6929"/>
    <w:rsid w:val="004E6954"/>
    <w:rsid w:val="004E6A18"/>
    <w:rsid w:val="004E6EB8"/>
    <w:rsid w:val="004E6F6E"/>
    <w:rsid w:val="004E718A"/>
    <w:rsid w:val="004E73D1"/>
    <w:rsid w:val="004E7464"/>
    <w:rsid w:val="004E75CF"/>
    <w:rsid w:val="004E7674"/>
    <w:rsid w:val="004E76CF"/>
    <w:rsid w:val="004E76D2"/>
    <w:rsid w:val="004E7750"/>
    <w:rsid w:val="004E77A8"/>
    <w:rsid w:val="004E78AA"/>
    <w:rsid w:val="004E79A7"/>
    <w:rsid w:val="004E79DF"/>
    <w:rsid w:val="004E7ADD"/>
    <w:rsid w:val="004E7CF8"/>
    <w:rsid w:val="004E7ED6"/>
    <w:rsid w:val="004E7F0B"/>
    <w:rsid w:val="004F011F"/>
    <w:rsid w:val="004F0756"/>
    <w:rsid w:val="004F08C3"/>
    <w:rsid w:val="004F0911"/>
    <w:rsid w:val="004F0D32"/>
    <w:rsid w:val="004F0D35"/>
    <w:rsid w:val="004F0FE2"/>
    <w:rsid w:val="004F112F"/>
    <w:rsid w:val="004F1228"/>
    <w:rsid w:val="004F145D"/>
    <w:rsid w:val="004F1624"/>
    <w:rsid w:val="004F1640"/>
    <w:rsid w:val="004F173C"/>
    <w:rsid w:val="004F1767"/>
    <w:rsid w:val="004F19FE"/>
    <w:rsid w:val="004F1B45"/>
    <w:rsid w:val="004F1D81"/>
    <w:rsid w:val="004F1F67"/>
    <w:rsid w:val="004F1FAD"/>
    <w:rsid w:val="004F1FD3"/>
    <w:rsid w:val="004F2008"/>
    <w:rsid w:val="004F23A3"/>
    <w:rsid w:val="004F23B3"/>
    <w:rsid w:val="004F29B4"/>
    <w:rsid w:val="004F2B7F"/>
    <w:rsid w:val="004F3340"/>
    <w:rsid w:val="004F342F"/>
    <w:rsid w:val="004F345B"/>
    <w:rsid w:val="004F3695"/>
    <w:rsid w:val="004F38B5"/>
    <w:rsid w:val="004F3C38"/>
    <w:rsid w:val="004F3C6D"/>
    <w:rsid w:val="004F4311"/>
    <w:rsid w:val="004F43C1"/>
    <w:rsid w:val="004F43C2"/>
    <w:rsid w:val="004F4555"/>
    <w:rsid w:val="004F45BC"/>
    <w:rsid w:val="004F45F0"/>
    <w:rsid w:val="004F464B"/>
    <w:rsid w:val="004F46BE"/>
    <w:rsid w:val="004F4CE1"/>
    <w:rsid w:val="004F4E8F"/>
    <w:rsid w:val="004F4EBB"/>
    <w:rsid w:val="004F508A"/>
    <w:rsid w:val="004F509B"/>
    <w:rsid w:val="004F54FB"/>
    <w:rsid w:val="004F5551"/>
    <w:rsid w:val="004F5688"/>
    <w:rsid w:val="004F572D"/>
    <w:rsid w:val="004F57E1"/>
    <w:rsid w:val="004F59FE"/>
    <w:rsid w:val="004F5B6C"/>
    <w:rsid w:val="004F5F3F"/>
    <w:rsid w:val="004F60D9"/>
    <w:rsid w:val="004F6341"/>
    <w:rsid w:val="004F64DB"/>
    <w:rsid w:val="004F6560"/>
    <w:rsid w:val="004F65CA"/>
    <w:rsid w:val="004F6728"/>
    <w:rsid w:val="004F6B5C"/>
    <w:rsid w:val="004F6DB4"/>
    <w:rsid w:val="004F6F0E"/>
    <w:rsid w:val="004F720E"/>
    <w:rsid w:val="004F77B9"/>
    <w:rsid w:val="004F7A78"/>
    <w:rsid w:val="004F7B1C"/>
    <w:rsid w:val="004F7BAB"/>
    <w:rsid w:val="004F7F7E"/>
    <w:rsid w:val="0050059A"/>
    <w:rsid w:val="005005E1"/>
    <w:rsid w:val="0050069C"/>
    <w:rsid w:val="00500774"/>
    <w:rsid w:val="00500833"/>
    <w:rsid w:val="00500864"/>
    <w:rsid w:val="0050089C"/>
    <w:rsid w:val="00500CA0"/>
    <w:rsid w:val="00500CA4"/>
    <w:rsid w:val="00500D59"/>
    <w:rsid w:val="00500D91"/>
    <w:rsid w:val="005011C1"/>
    <w:rsid w:val="0050134E"/>
    <w:rsid w:val="0050142F"/>
    <w:rsid w:val="005014E9"/>
    <w:rsid w:val="005017B9"/>
    <w:rsid w:val="00501AC6"/>
    <w:rsid w:val="00501BCA"/>
    <w:rsid w:val="00501D2A"/>
    <w:rsid w:val="005022C8"/>
    <w:rsid w:val="005022F3"/>
    <w:rsid w:val="005023A0"/>
    <w:rsid w:val="00502669"/>
    <w:rsid w:val="00502694"/>
    <w:rsid w:val="005027FC"/>
    <w:rsid w:val="0050285D"/>
    <w:rsid w:val="005028B5"/>
    <w:rsid w:val="005028D7"/>
    <w:rsid w:val="005029CC"/>
    <w:rsid w:val="00502ABB"/>
    <w:rsid w:val="00502BA2"/>
    <w:rsid w:val="00502CE3"/>
    <w:rsid w:val="00502CEF"/>
    <w:rsid w:val="00502F5B"/>
    <w:rsid w:val="00502F74"/>
    <w:rsid w:val="00503032"/>
    <w:rsid w:val="005036D8"/>
    <w:rsid w:val="0050397E"/>
    <w:rsid w:val="00503A67"/>
    <w:rsid w:val="00503BF1"/>
    <w:rsid w:val="00503C41"/>
    <w:rsid w:val="00503FED"/>
    <w:rsid w:val="0050423A"/>
    <w:rsid w:val="005042F3"/>
    <w:rsid w:val="00504315"/>
    <w:rsid w:val="005043FA"/>
    <w:rsid w:val="0050440D"/>
    <w:rsid w:val="005044CD"/>
    <w:rsid w:val="00504A07"/>
    <w:rsid w:val="00504A57"/>
    <w:rsid w:val="00504AFD"/>
    <w:rsid w:val="00504B1B"/>
    <w:rsid w:val="00504EF9"/>
    <w:rsid w:val="00504F6C"/>
    <w:rsid w:val="0050506B"/>
    <w:rsid w:val="0050543B"/>
    <w:rsid w:val="005054C7"/>
    <w:rsid w:val="00505504"/>
    <w:rsid w:val="00505530"/>
    <w:rsid w:val="00505575"/>
    <w:rsid w:val="0050581A"/>
    <w:rsid w:val="00505896"/>
    <w:rsid w:val="00505920"/>
    <w:rsid w:val="00505E50"/>
    <w:rsid w:val="00505EBD"/>
    <w:rsid w:val="00505F24"/>
    <w:rsid w:val="00505FAC"/>
    <w:rsid w:val="005060BD"/>
    <w:rsid w:val="005060D5"/>
    <w:rsid w:val="0050613E"/>
    <w:rsid w:val="005061D1"/>
    <w:rsid w:val="005061DF"/>
    <w:rsid w:val="0050627F"/>
    <w:rsid w:val="00506353"/>
    <w:rsid w:val="0050639A"/>
    <w:rsid w:val="00506577"/>
    <w:rsid w:val="00506637"/>
    <w:rsid w:val="00506906"/>
    <w:rsid w:val="0050694A"/>
    <w:rsid w:val="00506B70"/>
    <w:rsid w:val="00506C52"/>
    <w:rsid w:val="00506FA8"/>
    <w:rsid w:val="00506FB3"/>
    <w:rsid w:val="00507082"/>
    <w:rsid w:val="0050709F"/>
    <w:rsid w:val="005071DE"/>
    <w:rsid w:val="00507523"/>
    <w:rsid w:val="00507591"/>
    <w:rsid w:val="00507616"/>
    <w:rsid w:val="005076F7"/>
    <w:rsid w:val="00507AD6"/>
    <w:rsid w:val="00507C93"/>
    <w:rsid w:val="00507D46"/>
    <w:rsid w:val="00507DB0"/>
    <w:rsid w:val="00507EFD"/>
    <w:rsid w:val="00507F1A"/>
    <w:rsid w:val="00507F71"/>
    <w:rsid w:val="0051008C"/>
    <w:rsid w:val="0051018A"/>
    <w:rsid w:val="005101E0"/>
    <w:rsid w:val="005102CA"/>
    <w:rsid w:val="005102DF"/>
    <w:rsid w:val="005104E9"/>
    <w:rsid w:val="0051054A"/>
    <w:rsid w:val="0051072E"/>
    <w:rsid w:val="0051090E"/>
    <w:rsid w:val="00510AD0"/>
    <w:rsid w:val="00510AD9"/>
    <w:rsid w:val="00510E19"/>
    <w:rsid w:val="00510EF3"/>
    <w:rsid w:val="00510F84"/>
    <w:rsid w:val="0051134A"/>
    <w:rsid w:val="0051147E"/>
    <w:rsid w:val="005115EB"/>
    <w:rsid w:val="005116BC"/>
    <w:rsid w:val="00511733"/>
    <w:rsid w:val="00511AF6"/>
    <w:rsid w:val="00511B00"/>
    <w:rsid w:val="00511D1C"/>
    <w:rsid w:val="00511FA8"/>
    <w:rsid w:val="00511FEA"/>
    <w:rsid w:val="00512218"/>
    <w:rsid w:val="00512428"/>
    <w:rsid w:val="00512437"/>
    <w:rsid w:val="005124DF"/>
    <w:rsid w:val="00512566"/>
    <w:rsid w:val="00512789"/>
    <w:rsid w:val="0051278C"/>
    <w:rsid w:val="005128C0"/>
    <w:rsid w:val="00512A79"/>
    <w:rsid w:val="00512AEA"/>
    <w:rsid w:val="00512BA8"/>
    <w:rsid w:val="00512C93"/>
    <w:rsid w:val="00512CA8"/>
    <w:rsid w:val="00512D61"/>
    <w:rsid w:val="00512DBE"/>
    <w:rsid w:val="00512F78"/>
    <w:rsid w:val="005132E0"/>
    <w:rsid w:val="0051339F"/>
    <w:rsid w:val="005133CE"/>
    <w:rsid w:val="005135A9"/>
    <w:rsid w:val="00513707"/>
    <w:rsid w:val="00513844"/>
    <w:rsid w:val="005138FF"/>
    <w:rsid w:val="005139EB"/>
    <w:rsid w:val="00513BBD"/>
    <w:rsid w:val="00513D3B"/>
    <w:rsid w:val="00513DA8"/>
    <w:rsid w:val="00513F56"/>
    <w:rsid w:val="00513F60"/>
    <w:rsid w:val="00513F81"/>
    <w:rsid w:val="0051410F"/>
    <w:rsid w:val="00514267"/>
    <w:rsid w:val="00514286"/>
    <w:rsid w:val="00514351"/>
    <w:rsid w:val="00514575"/>
    <w:rsid w:val="005146D7"/>
    <w:rsid w:val="005146E7"/>
    <w:rsid w:val="005148D2"/>
    <w:rsid w:val="00514A12"/>
    <w:rsid w:val="00514A79"/>
    <w:rsid w:val="00514AE0"/>
    <w:rsid w:val="00514C03"/>
    <w:rsid w:val="00514D5D"/>
    <w:rsid w:val="00514E04"/>
    <w:rsid w:val="00514E38"/>
    <w:rsid w:val="00514F9C"/>
    <w:rsid w:val="00515068"/>
    <w:rsid w:val="005150C2"/>
    <w:rsid w:val="005150DD"/>
    <w:rsid w:val="005151FF"/>
    <w:rsid w:val="00515238"/>
    <w:rsid w:val="005152C8"/>
    <w:rsid w:val="00515446"/>
    <w:rsid w:val="00515476"/>
    <w:rsid w:val="005156F9"/>
    <w:rsid w:val="005158AC"/>
    <w:rsid w:val="005158E6"/>
    <w:rsid w:val="005158FE"/>
    <w:rsid w:val="00515FD4"/>
    <w:rsid w:val="00516114"/>
    <w:rsid w:val="00516B14"/>
    <w:rsid w:val="00516B1C"/>
    <w:rsid w:val="00516B28"/>
    <w:rsid w:val="0051704C"/>
    <w:rsid w:val="0051767A"/>
    <w:rsid w:val="005177DF"/>
    <w:rsid w:val="0051787B"/>
    <w:rsid w:val="00517992"/>
    <w:rsid w:val="00517A95"/>
    <w:rsid w:val="00517B12"/>
    <w:rsid w:val="00517BEA"/>
    <w:rsid w:val="00517E3D"/>
    <w:rsid w:val="00517E86"/>
    <w:rsid w:val="00517EC3"/>
    <w:rsid w:val="005200E8"/>
    <w:rsid w:val="00520276"/>
    <w:rsid w:val="005203E1"/>
    <w:rsid w:val="00520422"/>
    <w:rsid w:val="005204E5"/>
    <w:rsid w:val="005207BB"/>
    <w:rsid w:val="0052097F"/>
    <w:rsid w:val="005209AB"/>
    <w:rsid w:val="005209C1"/>
    <w:rsid w:val="00520A39"/>
    <w:rsid w:val="00520B4E"/>
    <w:rsid w:val="00520B53"/>
    <w:rsid w:val="00520C84"/>
    <w:rsid w:val="00520D0C"/>
    <w:rsid w:val="00520D8B"/>
    <w:rsid w:val="005214FA"/>
    <w:rsid w:val="005215C7"/>
    <w:rsid w:val="005217F9"/>
    <w:rsid w:val="0052188D"/>
    <w:rsid w:val="0052189F"/>
    <w:rsid w:val="00521A21"/>
    <w:rsid w:val="00521AAE"/>
    <w:rsid w:val="00522074"/>
    <w:rsid w:val="005220A3"/>
    <w:rsid w:val="00522141"/>
    <w:rsid w:val="00522253"/>
    <w:rsid w:val="005222CD"/>
    <w:rsid w:val="005222CE"/>
    <w:rsid w:val="00522447"/>
    <w:rsid w:val="00522458"/>
    <w:rsid w:val="0052263E"/>
    <w:rsid w:val="00522692"/>
    <w:rsid w:val="005226F8"/>
    <w:rsid w:val="0052291D"/>
    <w:rsid w:val="00522947"/>
    <w:rsid w:val="00522991"/>
    <w:rsid w:val="00522A2D"/>
    <w:rsid w:val="00522BC0"/>
    <w:rsid w:val="00522C6D"/>
    <w:rsid w:val="00522C9E"/>
    <w:rsid w:val="00522D29"/>
    <w:rsid w:val="00522DBA"/>
    <w:rsid w:val="005230A9"/>
    <w:rsid w:val="00523380"/>
    <w:rsid w:val="00523567"/>
    <w:rsid w:val="005237A3"/>
    <w:rsid w:val="005238D6"/>
    <w:rsid w:val="00523B42"/>
    <w:rsid w:val="00523C97"/>
    <w:rsid w:val="00523CA5"/>
    <w:rsid w:val="00523E86"/>
    <w:rsid w:val="00523F28"/>
    <w:rsid w:val="005240A4"/>
    <w:rsid w:val="005240A5"/>
    <w:rsid w:val="00524202"/>
    <w:rsid w:val="0052428D"/>
    <w:rsid w:val="005242EA"/>
    <w:rsid w:val="00524335"/>
    <w:rsid w:val="00524421"/>
    <w:rsid w:val="00524A92"/>
    <w:rsid w:val="00524BAC"/>
    <w:rsid w:val="00524D97"/>
    <w:rsid w:val="00524EEE"/>
    <w:rsid w:val="00524EFA"/>
    <w:rsid w:val="00524F89"/>
    <w:rsid w:val="00525029"/>
    <w:rsid w:val="0052539C"/>
    <w:rsid w:val="005255E9"/>
    <w:rsid w:val="00525708"/>
    <w:rsid w:val="00525935"/>
    <w:rsid w:val="00525941"/>
    <w:rsid w:val="005259DE"/>
    <w:rsid w:val="00525B57"/>
    <w:rsid w:val="00525FC3"/>
    <w:rsid w:val="00525FF6"/>
    <w:rsid w:val="00526879"/>
    <w:rsid w:val="00526ACD"/>
    <w:rsid w:val="00526CC1"/>
    <w:rsid w:val="00526D3E"/>
    <w:rsid w:val="00526EBB"/>
    <w:rsid w:val="00526F59"/>
    <w:rsid w:val="00527050"/>
    <w:rsid w:val="0052712A"/>
    <w:rsid w:val="005274B1"/>
    <w:rsid w:val="00527605"/>
    <w:rsid w:val="005276EF"/>
    <w:rsid w:val="0052781A"/>
    <w:rsid w:val="005278DD"/>
    <w:rsid w:val="00527AAE"/>
    <w:rsid w:val="00527BCF"/>
    <w:rsid w:val="00527E2B"/>
    <w:rsid w:val="00527F28"/>
    <w:rsid w:val="00530057"/>
    <w:rsid w:val="005300D8"/>
    <w:rsid w:val="005304FD"/>
    <w:rsid w:val="005308BF"/>
    <w:rsid w:val="00530A65"/>
    <w:rsid w:val="00530A90"/>
    <w:rsid w:val="00530B99"/>
    <w:rsid w:val="00530BA3"/>
    <w:rsid w:val="00530CA6"/>
    <w:rsid w:val="00530F94"/>
    <w:rsid w:val="005313C7"/>
    <w:rsid w:val="00531563"/>
    <w:rsid w:val="00531591"/>
    <w:rsid w:val="00531652"/>
    <w:rsid w:val="0053170C"/>
    <w:rsid w:val="00531887"/>
    <w:rsid w:val="00531A80"/>
    <w:rsid w:val="00531B51"/>
    <w:rsid w:val="00531F52"/>
    <w:rsid w:val="00532041"/>
    <w:rsid w:val="00532058"/>
    <w:rsid w:val="0053292E"/>
    <w:rsid w:val="00532AFE"/>
    <w:rsid w:val="00532B0C"/>
    <w:rsid w:val="00532F20"/>
    <w:rsid w:val="00532FDA"/>
    <w:rsid w:val="0053313C"/>
    <w:rsid w:val="005331E8"/>
    <w:rsid w:val="00533380"/>
    <w:rsid w:val="00533391"/>
    <w:rsid w:val="00533446"/>
    <w:rsid w:val="00533568"/>
    <w:rsid w:val="00533926"/>
    <w:rsid w:val="00533AE8"/>
    <w:rsid w:val="00533C3D"/>
    <w:rsid w:val="00533D6A"/>
    <w:rsid w:val="00533E63"/>
    <w:rsid w:val="00533E8D"/>
    <w:rsid w:val="0053410E"/>
    <w:rsid w:val="005341CA"/>
    <w:rsid w:val="00534247"/>
    <w:rsid w:val="0053425B"/>
    <w:rsid w:val="005342B9"/>
    <w:rsid w:val="005342E5"/>
    <w:rsid w:val="00534321"/>
    <w:rsid w:val="005343CD"/>
    <w:rsid w:val="0053445B"/>
    <w:rsid w:val="005345A3"/>
    <w:rsid w:val="005345A6"/>
    <w:rsid w:val="00534A47"/>
    <w:rsid w:val="00534BC4"/>
    <w:rsid w:val="00534C29"/>
    <w:rsid w:val="00534F92"/>
    <w:rsid w:val="00534FA9"/>
    <w:rsid w:val="00535363"/>
    <w:rsid w:val="00535469"/>
    <w:rsid w:val="0053578F"/>
    <w:rsid w:val="005358AA"/>
    <w:rsid w:val="005358D0"/>
    <w:rsid w:val="0053594E"/>
    <w:rsid w:val="00535C3B"/>
    <w:rsid w:val="00535D70"/>
    <w:rsid w:val="00535DC3"/>
    <w:rsid w:val="00535DC8"/>
    <w:rsid w:val="00535E97"/>
    <w:rsid w:val="00536209"/>
    <w:rsid w:val="00536443"/>
    <w:rsid w:val="0053655C"/>
    <w:rsid w:val="0053656C"/>
    <w:rsid w:val="005365F8"/>
    <w:rsid w:val="00536656"/>
    <w:rsid w:val="005367C1"/>
    <w:rsid w:val="005369E6"/>
    <w:rsid w:val="00536A67"/>
    <w:rsid w:val="00536A73"/>
    <w:rsid w:val="00536D0D"/>
    <w:rsid w:val="005370ED"/>
    <w:rsid w:val="00537142"/>
    <w:rsid w:val="00537253"/>
    <w:rsid w:val="00537366"/>
    <w:rsid w:val="0053750E"/>
    <w:rsid w:val="0053753E"/>
    <w:rsid w:val="005376F1"/>
    <w:rsid w:val="00537736"/>
    <w:rsid w:val="00537909"/>
    <w:rsid w:val="00537941"/>
    <w:rsid w:val="0053796F"/>
    <w:rsid w:val="0053797F"/>
    <w:rsid w:val="00537CAC"/>
    <w:rsid w:val="00537F8F"/>
    <w:rsid w:val="00537FE8"/>
    <w:rsid w:val="00540278"/>
    <w:rsid w:val="00540408"/>
    <w:rsid w:val="00540574"/>
    <w:rsid w:val="0054077F"/>
    <w:rsid w:val="00540839"/>
    <w:rsid w:val="0054095A"/>
    <w:rsid w:val="00540A14"/>
    <w:rsid w:val="00540A9F"/>
    <w:rsid w:val="00540BC7"/>
    <w:rsid w:val="00540D77"/>
    <w:rsid w:val="00540E29"/>
    <w:rsid w:val="005410F1"/>
    <w:rsid w:val="005411D0"/>
    <w:rsid w:val="005413C7"/>
    <w:rsid w:val="00541579"/>
    <w:rsid w:val="005418A8"/>
    <w:rsid w:val="0054191C"/>
    <w:rsid w:val="00541A99"/>
    <w:rsid w:val="00541E26"/>
    <w:rsid w:val="00541F33"/>
    <w:rsid w:val="0054207B"/>
    <w:rsid w:val="005420D2"/>
    <w:rsid w:val="00542150"/>
    <w:rsid w:val="00542278"/>
    <w:rsid w:val="005423AD"/>
    <w:rsid w:val="0054246F"/>
    <w:rsid w:val="0054248E"/>
    <w:rsid w:val="005424ED"/>
    <w:rsid w:val="005429A8"/>
    <w:rsid w:val="00542B2F"/>
    <w:rsid w:val="00542C72"/>
    <w:rsid w:val="00542D0E"/>
    <w:rsid w:val="00542EF0"/>
    <w:rsid w:val="00542FB9"/>
    <w:rsid w:val="005430D7"/>
    <w:rsid w:val="005430E2"/>
    <w:rsid w:val="0054319C"/>
    <w:rsid w:val="00543510"/>
    <w:rsid w:val="005435F0"/>
    <w:rsid w:val="005436DB"/>
    <w:rsid w:val="00543995"/>
    <w:rsid w:val="00543BAC"/>
    <w:rsid w:val="00543C31"/>
    <w:rsid w:val="00544111"/>
    <w:rsid w:val="005441E5"/>
    <w:rsid w:val="0054432F"/>
    <w:rsid w:val="005443A0"/>
    <w:rsid w:val="00544401"/>
    <w:rsid w:val="0054455A"/>
    <w:rsid w:val="00544640"/>
    <w:rsid w:val="005447EF"/>
    <w:rsid w:val="0054480A"/>
    <w:rsid w:val="00544948"/>
    <w:rsid w:val="00544AE8"/>
    <w:rsid w:val="00544C26"/>
    <w:rsid w:val="00544C53"/>
    <w:rsid w:val="00545025"/>
    <w:rsid w:val="005451DD"/>
    <w:rsid w:val="00545270"/>
    <w:rsid w:val="00545779"/>
    <w:rsid w:val="0054582E"/>
    <w:rsid w:val="00545895"/>
    <w:rsid w:val="0054592A"/>
    <w:rsid w:val="00545C01"/>
    <w:rsid w:val="00545C74"/>
    <w:rsid w:val="00545CC7"/>
    <w:rsid w:val="00545D4C"/>
    <w:rsid w:val="00545E53"/>
    <w:rsid w:val="00545FB9"/>
    <w:rsid w:val="00546440"/>
    <w:rsid w:val="00546457"/>
    <w:rsid w:val="00546570"/>
    <w:rsid w:val="005465FA"/>
    <w:rsid w:val="00546B86"/>
    <w:rsid w:val="00547035"/>
    <w:rsid w:val="00547319"/>
    <w:rsid w:val="00547350"/>
    <w:rsid w:val="0054753B"/>
    <w:rsid w:val="00547582"/>
    <w:rsid w:val="0054769A"/>
    <w:rsid w:val="005477CA"/>
    <w:rsid w:val="0054782E"/>
    <w:rsid w:val="0054789B"/>
    <w:rsid w:val="005478AE"/>
    <w:rsid w:val="005479DC"/>
    <w:rsid w:val="00547CB5"/>
    <w:rsid w:val="00547DE9"/>
    <w:rsid w:val="00547DEE"/>
    <w:rsid w:val="0055019D"/>
    <w:rsid w:val="00550227"/>
    <w:rsid w:val="005503DA"/>
    <w:rsid w:val="00550419"/>
    <w:rsid w:val="005506E8"/>
    <w:rsid w:val="005508AA"/>
    <w:rsid w:val="00550901"/>
    <w:rsid w:val="00550A2B"/>
    <w:rsid w:val="0055102F"/>
    <w:rsid w:val="0055129E"/>
    <w:rsid w:val="005513A5"/>
    <w:rsid w:val="00551590"/>
    <w:rsid w:val="00551856"/>
    <w:rsid w:val="005519B9"/>
    <w:rsid w:val="00551B50"/>
    <w:rsid w:val="00551F61"/>
    <w:rsid w:val="0055209E"/>
    <w:rsid w:val="005522BF"/>
    <w:rsid w:val="005523E0"/>
    <w:rsid w:val="00552558"/>
    <w:rsid w:val="00552810"/>
    <w:rsid w:val="005529C1"/>
    <w:rsid w:val="00552E28"/>
    <w:rsid w:val="0055351A"/>
    <w:rsid w:val="00553813"/>
    <w:rsid w:val="00553822"/>
    <w:rsid w:val="00553846"/>
    <w:rsid w:val="0055394B"/>
    <w:rsid w:val="005539BD"/>
    <w:rsid w:val="005539C0"/>
    <w:rsid w:val="00553AD2"/>
    <w:rsid w:val="00553D08"/>
    <w:rsid w:val="00553FD0"/>
    <w:rsid w:val="0055425A"/>
    <w:rsid w:val="005544CA"/>
    <w:rsid w:val="005548E9"/>
    <w:rsid w:val="005549D9"/>
    <w:rsid w:val="00554AB4"/>
    <w:rsid w:val="00554B3C"/>
    <w:rsid w:val="00554C89"/>
    <w:rsid w:val="00554DD2"/>
    <w:rsid w:val="00554F9B"/>
    <w:rsid w:val="005550DC"/>
    <w:rsid w:val="005551BA"/>
    <w:rsid w:val="005552C5"/>
    <w:rsid w:val="0055538E"/>
    <w:rsid w:val="00555398"/>
    <w:rsid w:val="00555648"/>
    <w:rsid w:val="00555652"/>
    <w:rsid w:val="0055576E"/>
    <w:rsid w:val="00555910"/>
    <w:rsid w:val="00555CA6"/>
    <w:rsid w:val="00555CD4"/>
    <w:rsid w:val="00555DAF"/>
    <w:rsid w:val="00555DC9"/>
    <w:rsid w:val="005560D0"/>
    <w:rsid w:val="00556125"/>
    <w:rsid w:val="005561EA"/>
    <w:rsid w:val="0055623D"/>
    <w:rsid w:val="00556272"/>
    <w:rsid w:val="00556644"/>
    <w:rsid w:val="005566B2"/>
    <w:rsid w:val="0055675D"/>
    <w:rsid w:val="00556921"/>
    <w:rsid w:val="0055692C"/>
    <w:rsid w:val="00556960"/>
    <w:rsid w:val="00556BAE"/>
    <w:rsid w:val="00556BE0"/>
    <w:rsid w:val="00556D44"/>
    <w:rsid w:val="00556ED9"/>
    <w:rsid w:val="00556EE2"/>
    <w:rsid w:val="00556EE5"/>
    <w:rsid w:val="0055714A"/>
    <w:rsid w:val="00557279"/>
    <w:rsid w:val="00557405"/>
    <w:rsid w:val="0055747D"/>
    <w:rsid w:val="005574A5"/>
    <w:rsid w:val="005575C1"/>
    <w:rsid w:val="005577BC"/>
    <w:rsid w:val="00557818"/>
    <w:rsid w:val="00557853"/>
    <w:rsid w:val="00557993"/>
    <w:rsid w:val="00557A3B"/>
    <w:rsid w:val="00557CE9"/>
    <w:rsid w:val="00557DEB"/>
    <w:rsid w:val="00557EDA"/>
    <w:rsid w:val="00557F12"/>
    <w:rsid w:val="00560027"/>
    <w:rsid w:val="0056008C"/>
    <w:rsid w:val="0056012E"/>
    <w:rsid w:val="0056014B"/>
    <w:rsid w:val="00560156"/>
    <w:rsid w:val="0056016E"/>
    <w:rsid w:val="00560189"/>
    <w:rsid w:val="005602EE"/>
    <w:rsid w:val="00560483"/>
    <w:rsid w:val="00560688"/>
    <w:rsid w:val="0056069D"/>
    <w:rsid w:val="0056078C"/>
    <w:rsid w:val="005609A9"/>
    <w:rsid w:val="00560B4B"/>
    <w:rsid w:val="00560D41"/>
    <w:rsid w:val="00561626"/>
    <w:rsid w:val="00561634"/>
    <w:rsid w:val="00561635"/>
    <w:rsid w:val="00561902"/>
    <w:rsid w:val="00561E0E"/>
    <w:rsid w:val="00561EE1"/>
    <w:rsid w:val="00562253"/>
    <w:rsid w:val="005627EA"/>
    <w:rsid w:val="00562960"/>
    <w:rsid w:val="00562AB7"/>
    <w:rsid w:val="00562E73"/>
    <w:rsid w:val="00562FBF"/>
    <w:rsid w:val="00563315"/>
    <w:rsid w:val="005633DA"/>
    <w:rsid w:val="005633EB"/>
    <w:rsid w:val="005634A0"/>
    <w:rsid w:val="005635E0"/>
    <w:rsid w:val="0056390A"/>
    <w:rsid w:val="00563965"/>
    <w:rsid w:val="005639BB"/>
    <w:rsid w:val="00563A9D"/>
    <w:rsid w:val="00563D98"/>
    <w:rsid w:val="00563EE5"/>
    <w:rsid w:val="00564097"/>
    <w:rsid w:val="00564144"/>
    <w:rsid w:val="0056415F"/>
    <w:rsid w:val="00564315"/>
    <w:rsid w:val="005644BD"/>
    <w:rsid w:val="005644EE"/>
    <w:rsid w:val="005645EF"/>
    <w:rsid w:val="005646E3"/>
    <w:rsid w:val="00565173"/>
    <w:rsid w:val="0056538D"/>
    <w:rsid w:val="005653B0"/>
    <w:rsid w:val="0056554E"/>
    <w:rsid w:val="00565695"/>
    <w:rsid w:val="0056590C"/>
    <w:rsid w:val="005659D7"/>
    <w:rsid w:val="00565CA0"/>
    <w:rsid w:val="00565DCE"/>
    <w:rsid w:val="00565DDD"/>
    <w:rsid w:val="0056600E"/>
    <w:rsid w:val="00566239"/>
    <w:rsid w:val="00566268"/>
    <w:rsid w:val="0056635C"/>
    <w:rsid w:val="00566411"/>
    <w:rsid w:val="00566493"/>
    <w:rsid w:val="00566686"/>
    <w:rsid w:val="00566730"/>
    <w:rsid w:val="005667EC"/>
    <w:rsid w:val="005669B6"/>
    <w:rsid w:val="00566AC2"/>
    <w:rsid w:val="00566D45"/>
    <w:rsid w:val="00566E2B"/>
    <w:rsid w:val="00566FEB"/>
    <w:rsid w:val="00567101"/>
    <w:rsid w:val="005674F8"/>
    <w:rsid w:val="005675AB"/>
    <w:rsid w:val="005677B6"/>
    <w:rsid w:val="0056799D"/>
    <w:rsid w:val="00567A7C"/>
    <w:rsid w:val="00567CD6"/>
    <w:rsid w:val="00567CF0"/>
    <w:rsid w:val="00567E49"/>
    <w:rsid w:val="00567F11"/>
    <w:rsid w:val="00570106"/>
    <w:rsid w:val="005701A5"/>
    <w:rsid w:val="005701F7"/>
    <w:rsid w:val="005708C3"/>
    <w:rsid w:val="0057093A"/>
    <w:rsid w:val="00570BAB"/>
    <w:rsid w:val="0057139F"/>
    <w:rsid w:val="0057185C"/>
    <w:rsid w:val="00571A09"/>
    <w:rsid w:val="00571A8E"/>
    <w:rsid w:val="00571D68"/>
    <w:rsid w:val="00571E36"/>
    <w:rsid w:val="00572029"/>
    <w:rsid w:val="00572227"/>
    <w:rsid w:val="0057272D"/>
    <w:rsid w:val="00572771"/>
    <w:rsid w:val="00572AE9"/>
    <w:rsid w:val="00572B82"/>
    <w:rsid w:val="00572BCE"/>
    <w:rsid w:val="00572C4C"/>
    <w:rsid w:val="00572C76"/>
    <w:rsid w:val="00572DFF"/>
    <w:rsid w:val="005731C2"/>
    <w:rsid w:val="0057336B"/>
    <w:rsid w:val="0057337F"/>
    <w:rsid w:val="005733B4"/>
    <w:rsid w:val="00573420"/>
    <w:rsid w:val="0057356D"/>
    <w:rsid w:val="0057383D"/>
    <w:rsid w:val="00573840"/>
    <w:rsid w:val="00573B6D"/>
    <w:rsid w:val="00573ED3"/>
    <w:rsid w:val="005740AC"/>
    <w:rsid w:val="00574195"/>
    <w:rsid w:val="0057419D"/>
    <w:rsid w:val="00574201"/>
    <w:rsid w:val="0057443F"/>
    <w:rsid w:val="005744E0"/>
    <w:rsid w:val="0057490C"/>
    <w:rsid w:val="005749A5"/>
    <w:rsid w:val="00574BD4"/>
    <w:rsid w:val="00574D31"/>
    <w:rsid w:val="00574E70"/>
    <w:rsid w:val="005751E0"/>
    <w:rsid w:val="005752F6"/>
    <w:rsid w:val="005753C6"/>
    <w:rsid w:val="00575448"/>
    <w:rsid w:val="005754FB"/>
    <w:rsid w:val="005759B0"/>
    <w:rsid w:val="00575A72"/>
    <w:rsid w:val="00575C72"/>
    <w:rsid w:val="00575CC4"/>
    <w:rsid w:val="005762C0"/>
    <w:rsid w:val="00576335"/>
    <w:rsid w:val="005766C0"/>
    <w:rsid w:val="00576732"/>
    <w:rsid w:val="005767A7"/>
    <w:rsid w:val="005769E0"/>
    <w:rsid w:val="00576E20"/>
    <w:rsid w:val="00576E38"/>
    <w:rsid w:val="005770B0"/>
    <w:rsid w:val="0057730C"/>
    <w:rsid w:val="0057771F"/>
    <w:rsid w:val="00577773"/>
    <w:rsid w:val="005777E1"/>
    <w:rsid w:val="00577934"/>
    <w:rsid w:val="00577ADB"/>
    <w:rsid w:val="00577CB8"/>
    <w:rsid w:val="00577EA6"/>
    <w:rsid w:val="00577F86"/>
    <w:rsid w:val="0058000A"/>
    <w:rsid w:val="0058021A"/>
    <w:rsid w:val="0058030C"/>
    <w:rsid w:val="00580414"/>
    <w:rsid w:val="00580458"/>
    <w:rsid w:val="005804A8"/>
    <w:rsid w:val="00580883"/>
    <w:rsid w:val="005808F3"/>
    <w:rsid w:val="005809CF"/>
    <w:rsid w:val="00580A29"/>
    <w:rsid w:val="00580A38"/>
    <w:rsid w:val="00580B77"/>
    <w:rsid w:val="00580C08"/>
    <w:rsid w:val="00580CBE"/>
    <w:rsid w:val="00580CCE"/>
    <w:rsid w:val="00581110"/>
    <w:rsid w:val="00581136"/>
    <w:rsid w:val="00581198"/>
    <w:rsid w:val="005814AB"/>
    <w:rsid w:val="005815D1"/>
    <w:rsid w:val="005817D6"/>
    <w:rsid w:val="00581D4F"/>
    <w:rsid w:val="00581E97"/>
    <w:rsid w:val="00582018"/>
    <w:rsid w:val="005820C3"/>
    <w:rsid w:val="0058218B"/>
    <w:rsid w:val="0058228F"/>
    <w:rsid w:val="005827BA"/>
    <w:rsid w:val="0058292F"/>
    <w:rsid w:val="00582AA7"/>
    <w:rsid w:val="00582B71"/>
    <w:rsid w:val="00582C3E"/>
    <w:rsid w:val="00582DFE"/>
    <w:rsid w:val="00582E10"/>
    <w:rsid w:val="00582EC7"/>
    <w:rsid w:val="00582EDD"/>
    <w:rsid w:val="00582F85"/>
    <w:rsid w:val="00582FA1"/>
    <w:rsid w:val="00582FA9"/>
    <w:rsid w:val="00583183"/>
    <w:rsid w:val="005831B2"/>
    <w:rsid w:val="005831D2"/>
    <w:rsid w:val="005833F1"/>
    <w:rsid w:val="00583483"/>
    <w:rsid w:val="0058359E"/>
    <w:rsid w:val="005838A8"/>
    <w:rsid w:val="005838D3"/>
    <w:rsid w:val="005838DC"/>
    <w:rsid w:val="00583957"/>
    <w:rsid w:val="0058396D"/>
    <w:rsid w:val="00583C22"/>
    <w:rsid w:val="00584241"/>
    <w:rsid w:val="00584763"/>
    <w:rsid w:val="00584811"/>
    <w:rsid w:val="00584930"/>
    <w:rsid w:val="005849EF"/>
    <w:rsid w:val="00584A0B"/>
    <w:rsid w:val="00584EF4"/>
    <w:rsid w:val="00585059"/>
    <w:rsid w:val="00585214"/>
    <w:rsid w:val="005852A1"/>
    <w:rsid w:val="005853B4"/>
    <w:rsid w:val="0058543A"/>
    <w:rsid w:val="005854A9"/>
    <w:rsid w:val="00585703"/>
    <w:rsid w:val="0058574A"/>
    <w:rsid w:val="005857E4"/>
    <w:rsid w:val="0058581F"/>
    <w:rsid w:val="00585939"/>
    <w:rsid w:val="00585957"/>
    <w:rsid w:val="00585A0A"/>
    <w:rsid w:val="00585A3A"/>
    <w:rsid w:val="00585AD3"/>
    <w:rsid w:val="00585B2A"/>
    <w:rsid w:val="00585C63"/>
    <w:rsid w:val="00585C83"/>
    <w:rsid w:val="00585D40"/>
    <w:rsid w:val="00585E9E"/>
    <w:rsid w:val="00585F5A"/>
    <w:rsid w:val="005860D5"/>
    <w:rsid w:val="0058612D"/>
    <w:rsid w:val="00586286"/>
    <w:rsid w:val="005867CD"/>
    <w:rsid w:val="005869E5"/>
    <w:rsid w:val="00586A41"/>
    <w:rsid w:val="00586A58"/>
    <w:rsid w:val="00586B3E"/>
    <w:rsid w:val="00586CD8"/>
    <w:rsid w:val="00586CE4"/>
    <w:rsid w:val="00586CFD"/>
    <w:rsid w:val="00586E84"/>
    <w:rsid w:val="00586F59"/>
    <w:rsid w:val="00586F84"/>
    <w:rsid w:val="0058714F"/>
    <w:rsid w:val="005873C9"/>
    <w:rsid w:val="005874AC"/>
    <w:rsid w:val="00587729"/>
    <w:rsid w:val="0058785A"/>
    <w:rsid w:val="00587927"/>
    <w:rsid w:val="005879B6"/>
    <w:rsid w:val="00587A11"/>
    <w:rsid w:val="00587DF5"/>
    <w:rsid w:val="00590009"/>
    <w:rsid w:val="005900DC"/>
    <w:rsid w:val="005901EB"/>
    <w:rsid w:val="005902A6"/>
    <w:rsid w:val="005905F9"/>
    <w:rsid w:val="00590947"/>
    <w:rsid w:val="005909BF"/>
    <w:rsid w:val="00590A4D"/>
    <w:rsid w:val="00590BED"/>
    <w:rsid w:val="00590FAD"/>
    <w:rsid w:val="00590FCC"/>
    <w:rsid w:val="005911BC"/>
    <w:rsid w:val="00591393"/>
    <w:rsid w:val="005915D8"/>
    <w:rsid w:val="005915EE"/>
    <w:rsid w:val="005915F3"/>
    <w:rsid w:val="005915F4"/>
    <w:rsid w:val="00591885"/>
    <w:rsid w:val="00591A1B"/>
    <w:rsid w:val="00591A21"/>
    <w:rsid w:val="00591A31"/>
    <w:rsid w:val="00591E64"/>
    <w:rsid w:val="00592347"/>
    <w:rsid w:val="005925A7"/>
    <w:rsid w:val="00592717"/>
    <w:rsid w:val="00592746"/>
    <w:rsid w:val="00592885"/>
    <w:rsid w:val="005929A2"/>
    <w:rsid w:val="00592A25"/>
    <w:rsid w:val="00592B61"/>
    <w:rsid w:val="00592D3D"/>
    <w:rsid w:val="00592D59"/>
    <w:rsid w:val="00592DAD"/>
    <w:rsid w:val="00593145"/>
    <w:rsid w:val="005931E0"/>
    <w:rsid w:val="00593304"/>
    <w:rsid w:val="005936DD"/>
    <w:rsid w:val="00593722"/>
    <w:rsid w:val="00593758"/>
    <w:rsid w:val="00593978"/>
    <w:rsid w:val="005939AB"/>
    <w:rsid w:val="00593B7C"/>
    <w:rsid w:val="00593DA9"/>
    <w:rsid w:val="00593DE5"/>
    <w:rsid w:val="00593EAD"/>
    <w:rsid w:val="00594109"/>
    <w:rsid w:val="0059415A"/>
    <w:rsid w:val="0059439C"/>
    <w:rsid w:val="0059447A"/>
    <w:rsid w:val="00594515"/>
    <w:rsid w:val="00594578"/>
    <w:rsid w:val="00594AC4"/>
    <w:rsid w:val="00594C29"/>
    <w:rsid w:val="00594D64"/>
    <w:rsid w:val="00594D71"/>
    <w:rsid w:val="00594F1C"/>
    <w:rsid w:val="00594F7B"/>
    <w:rsid w:val="00594FDA"/>
    <w:rsid w:val="00595146"/>
    <w:rsid w:val="00595222"/>
    <w:rsid w:val="00595363"/>
    <w:rsid w:val="00595658"/>
    <w:rsid w:val="005956F6"/>
    <w:rsid w:val="00595743"/>
    <w:rsid w:val="005958E4"/>
    <w:rsid w:val="00595EF6"/>
    <w:rsid w:val="00595FDB"/>
    <w:rsid w:val="00596033"/>
    <w:rsid w:val="0059616E"/>
    <w:rsid w:val="005963B1"/>
    <w:rsid w:val="005964B5"/>
    <w:rsid w:val="005965C3"/>
    <w:rsid w:val="005966BB"/>
    <w:rsid w:val="005966F5"/>
    <w:rsid w:val="0059680E"/>
    <w:rsid w:val="0059687B"/>
    <w:rsid w:val="00596AA2"/>
    <w:rsid w:val="00596B7C"/>
    <w:rsid w:val="00596CD3"/>
    <w:rsid w:val="00596E50"/>
    <w:rsid w:val="00596F7B"/>
    <w:rsid w:val="00597114"/>
    <w:rsid w:val="00597155"/>
    <w:rsid w:val="005971B9"/>
    <w:rsid w:val="00597526"/>
    <w:rsid w:val="0059763C"/>
    <w:rsid w:val="00597681"/>
    <w:rsid w:val="005977EB"/>
    <w:rsid w:val="00597826"/>
    <w:rsid w:val="005978BE"/>
    <w:rsid w:val="00597980"/>
    <w:rsid w:val="00597A13"/>
    <w:rsid w:val="00597A45"/>
    <w:rsid w:val="00597BA5"/>
    <w:rsid w:val="00597E51"/>
    <w:rsid w:val="005A021B"/>
    <w:rsid w:val="005A0257"/>
    <w:rsid w:val="005A033E"/>
    <w:rsid w:val="005A0466"/>
    <w:rsid w:val="005A0557"/>
    <w:rsid w:val="005A0749"/>
    <w:rsid w:val="005A0F07"/>
    <w:rsid w:val="005A0F0C"/>
    <w:rsid w:val="005A0F15"/>
    <w:rsid w:val="005A1009"/>
    <w:rsid w:val="005A109B"/>
    <w:rsid w:val="005A1638"/>
    <w:rsid w:val="005A16BF"/>
    <w:rsid w:val="005A16DA"/>
    <w:rsid w:val="005A182A"/>
    <w:rsid w:val="005A1877"/>
    <w:rsid w:val="005A1A0E"/>
    <w:rsid w:val="005A1AEA"/>
    <w:rsid w:val="005A1B0A"/>
    <w:rsid w:val="005A1BC1"/>
    <w:rsid w:val="005A1C6D"/>
    <w:rsid w:val="005A1CC5"/>
    <w:rsid w:val="005A1FC0"/>
    <w:rsid w:val="005A245B"/>
    <w:rsid w:val="005A261D"/>
    <w:rsid w:val="005A263E"/>
    <w:rsid w:val="005A2728"/>
    <w:rsid w:val="005A28A7"/>
    <w:rsid w:val="005A28C3"/>
    <w:rsid w:val="005A28CB"/>
    <w:rsid w:val="005A2AEB"/>
    <w:rsid w:val="005A2BC1"/>
    <w:rsid w:val="005A2F8E"/>
    <w:rsid w:val="005A30A4"/>
    <w:rsid w:val="005A3116"/>
    <w:rsid w:val="005A31C5"/>
    <w:rsid w:val="005A3364"/>
    <w:rsid w:val="005A37CE"/>
    <w:rsid w:val="005A3944"/>
    <w:rsid w:val="005A3998"/>
    <w:rsid w:val="005A39F2"/>
    <w:rsid w:val="005A3A2E"/>
    <w:rsid w:val="005A3BE3"/>
    <w:rsid w:val="005A3CFC"/>
    <w:rsid w:val="005A3E42"/>
    <w:rsid w:val="005A3E9B"/>
    <w:rsid w:val="005A41C3"/>
    <w:rsid w:val="005A46D1"/>
    <w:rsid w:val="005A47A9"/>
    <w:rsid w:val="005A47D7"/>
    <w:rsid w:val="005A4AFF"/>
    <w:rsid w:val="005A4EBD"/>
    <w:rsid w:val="005A4F5A"/>
    <w:rsid w:val="005A508C"/>
    <w:rsid w:val="005A535D"/>
    <w:rsid w:val="005A54A7"/>
    <w:rsid w:val="005A55BF"/>
    <w:rsid w:val="005A5768"/>
    <w:rsid w:val="005A5928"/>
    <w:rsid w:val="005A5963"/>
    <w:rsid w:val="005A59E9"/>
    <w:rsid w:val="005A5B88"/>
    <w:rsid w:val="005A5D4B"/>
    <w:rsid w:val="005A5DA6"/>
    <w:rsid w:val="005A5F17"/>
    <w:rsid w:val="005A5FE0"/>
    <w:rsid w:val="005A6018"/>
    <w:rsid w:val="005A618A"/>
    <w:rsid w:val="005A6501"/>
    <w:rsid w:val="005A658F"/>
    <w:rsid w:val="005A69AE"/>
    <w:rsid w:val="005A6DC3"/>
    <w:rsid w:val="005A6FD0"/>
    <w:rsid w:val="005A7750"/>
    <w:rsid w:val="005A7835"/>
    <w:rsid w:val="005A7991"/>
    <w:rsid w:val="005A7B7F"/>
    <w:rsid w:val="005A7BB5"/>
    <w:rsid w:val="005A7BF2"/>
    <w:rsid w:val="005A7DCF"/>
    <w:rsid w:val="005A7F30"/>
    <w:rsid w:val="005A7FCE"/>
    <w:rsid w:val="005B03AE"/>
    <w:rsid w:val="005B05A0"/>
    <w:rsid w:val="005B0665"/>
    <w:rsid w:val="005B081E"/>
    <w:rsid w:val="005B0982"/>
    <w:rsid w:val="005B09C3"/>
    <w:rsid w:val="005B0A1A"/>
    <w:rsid w:val="005B0BFF"/>
    <w:rsid w:val="005B0C73"/>
    <w:rsid w:val="005B0D80"/>
    <w:rsid w:val="005B0F74"/>
    <w:rsid w:val="005B12FB"/>
    <w:rsid w:val="005B1322"/>
    <w:rsid w:val="005B1525"/>
    <w:rsid w:val="005B1537"/>
    <w:rsid w:val="005B16A5"/>
    <w:rsid w:val="005B1703"/>
    <w:rsid w:val="005B172A"/>
    <w:rsid w:val="005B1843"/>
    <w:rsid w:val="005B1934"/>
    <w:rsid w:val="005B1937"/>
    <w:rsid w:val="005B19B3"/>
    <w:rsid w:val="005B19E8"/>
    <w:rsid w:val="005B1C08"/>
    <w:rsid w:val="005B1D79"/>
    <w:rsid w:val="005B1E43"/>
    <w:rsid w:val="005B1F76"/>
    <w:rsid w:val="005B2092"/>
    <w:rsid w:val="005B2955"/>
    <w:rsid w:val="005B2B28"/>
    <w:rsid w:val="005B2E06"/>
    <w:rsid w:val="005B338A"/>
    <w:rsid w:val="005B33F6"/>
    <w:rsid w:val="005B3598"/>
    <w:rsid w:val="005B35FA"/>
    <w:rsid w:val="005B394A"/>
    <w:rsid w:val="005B3A1A"/>
    <w:rsid w:val="005B3A74"/>
    <w:rsid w:val="005B3D8E"/>
    <w:rsid w:val="005B3E03"/>
    <w:rsid w:val="005B3E06"/>
    <w:rsid w:val="005B3FA6"/>
    <w:rsid w:val="005B3FE6"/>
    <w:rsid w:val="005B431F"/>
    <w:rsid w:val="005B458D"/>
    <w:rsid w:val="005B47C6"/>
    <w:rsid w:val="005B4852"/>
    <w:rsid w:val="005B4870"/>
    <w:rsid w:val="005B4874"/>
    <w:rsid w:val="005B4923"/>
    <w:rsid w:val="005B49CF"/>
    <w:rsid w:val="005B4BFA"/>
    <w:rsid w:val="005B4F2E"/>
    <w:rsid w:val="005B506B"/>
    <w:rsid w:val="005B5602"/>
    <w:rsid w:val="005B5CEA"/>
    <w:rsid w:val="005B5CFE"/>
    <w:rsid w:val="005B5D95"/>
    <w:rsid w:val="005B5E63"/>
    <w:rsid w:val="005B600D"/>
    <w:rsid w:val="005B605A"/>
    <w:rsid w:val="005B60EE"/>
    <w:rsid w:val="005B624B"/>
    <w:rsid w:val="005B625A"/>
    <w:rsid w:val="005B6457"/>
    <w:rsid w:val="005B6A3A"/>
    <w:rsid w:val="005B6AAB"/>
    <w:rsid w:val="005B6B43"/>
    <w:rsid w:val="005B6BCB"/>
    <w:rsid w:val="005B6C15"/>
    <w:rsid w:val="005B7343"/>
    <w:rsid w:val="005B777C"/>
    <w:rsid w:val="005B7BBB"/>
    <w:rsid w:val="005B7BC8"/>
    <w:rsid w:val="005B7BD8"/>
    <w:rsid w:val="005B7C4F"/>
    <w:rsid w:val="005B7C6F"/>
    <w:rsid w:val="005B7CB2"/>
    <w:rsid w:val="005B7D6D"/>
    <w:rsid w:val="005B7E0D"/>
    <w:rsid w:val="005B7E2D"/>
    <w:rsid w:val="005B7F01"/>
    <w:rsid w:val="005C0006"/>
    <w:rsid w:val="005C0039"/>
    <w:rsid w:val="005C0101"/>
    <w:rsid w:val="005C0116"/>
    <w:rsid w:val="005C014E"/>
    <w:rsid w:val="005C018A"/>
    <w:rsid w:val="005C04D9"/>
    <w:rsid w:val="005C080D"/>
    <w:rsid w:val="005C0936"/>
    <w:rsid w:val="005C0AC3"/>
    <w:rsid w:val="005C0FE4"/>
    <w:rsid w:val="005C103E"/>
    <w:rsid w:val="005C1172"/>
    <w:rsid w:val="005C13C7"/>
    <w:rsid w:val="005C14CE"/>
    <w:rsid w:val="005C156E"/>
    <w:rsid w:val="005C189D"/>
    <w:rsid w:val="005C1A12"/>
    <w:rsid w:val="005C1BE6"/>
    <w:rsid w:val="005C1F8A"/>
    <w:rsid w:val="005C1FE8"/>
    <w:rsid w:val="005C2248"/>
    <w:rsid w:val="005C2278"/>
    <w:rsid w:val="005C2405"/>
    <w:rsid w:val="005C2AA2"/>
    <w:rsid w:val="005C2B0F"/>
    <w:rsid w:val="005C2C3E"/>
    <w:rsid w:val="005C2E6E"/>
    <w:rsid w:val="005C2FCC"/>
    <w:rsid w:val="005C3325"/>
    <w:rsid w:val="005C33CD"/>
    <w:rsid w:val="005C3495"/>
    <w:rsid w:val="005C358D"/>
    <w:rsid w:val="005C3686"/>
    <w:rsid w:val="005C3688"/>
    <w:rsid w:val="005C3A21"/>
    <w:rsid w:val="005C3A88"/>
    <w:rsid w:val="005C3A8C"/>
    <w:rsid w:val="005C3D79"/>
    <w:rsid w:val="005C3FB5"/>
    <w:rsid w:val="005C40F3"/>
    <w:rsid w:val="005C412C"/>
    <w:rsid w:val="005C4198"/>
    <w:rsid w:val="005C47AA"/>
    <w:rsid w:val="005C4C3F"/>
    <w:rsid w:val="005C4E41"/>
    <w:rsid w:val="005C503F"/>
    <w:rsid w:val="005C50AF"/>
    <w:rsid w:val="005C5178"/>
    <w:rsid w:val="005C53F4"/>
    <w:rsid w:val="005C5585"/>
    <w:rsid w:val="005C55D8"/>
    <w:rsid w:val="005C58C6"/>
    <w:rsid w:val="005C5A91"/>
    <w:rsid w:val="005C5AAF"/>
    <w:rsid w:val="005C5ED1"/>
    <w:rsid w:val="005C607F"/>
    <w:rsid w:val="005C644B"/>
    <w:rsid w:val="005C6766"/>
    <w:rsid w:val="005C6BC6"/>
    <w:rsid w:val="005C6EEE"/>
    <w:rsid w:val="005C6F1A"/>
    <w:rsid w:val="005C6F24"/>
    <w:rsid w:val="005C6FA3"/>
    <w:rsid w:val="005C7041"/>
    <w:rsid w:val="005C7115"/>
    <w:rsid w:val="005C7216"/>
    <w:rsid w:val="005C725E"/>
    <w:rsid w:val="005C7277"/>
    <w:rsid w:val="005C741B"/>
    <w:rsid w:val="005C75E6"/>
    <w:rsid w:val="005C7755"/>
    <w:rsid w:val="005C7889"/>
    <w:rsid w:val="005C791C"/>
    <w:rsid w:val="005C7996"/>
    <w:rsid w:val="005C7BBC"/>
    <w:rsid w:val="005C7F4F"/>
    <w:rsid w:val="005D00D6"/>
    <w:rsid w:val="005D0105"/>
    <w:rsid w:val="005D0223"/>
    <w:rsid w:val="005D028A"/>
    <w:rsid w:val="005D03B6"/>
    <w:rsid w:val="005D04B0"/>
    <w:rsid w:val="005D04B7"/>
    <w:rsid w:val="005D06C7"/>
    <w:rsid w:val="005D06D5"/>
    <w:rsid w:val="005D0977"/>
    <w:rsid w:val="005D0B67"/>
    <w:rsid w:val="005D0F61"/>
    <w:rsid w:val="005D10DC"/>
    <w:rsid w:val="005D11AA"/>
    <w:rsid w:val="005D12A9"/>
    <w:rsid w:val="005D131B"/>
    <w:rsid w:val="005D1475"/>
    <w:rsid w:val="005D160E"/>
    <w:rsid w:val="005D1BAA"/>
    <w:rsid w:val="005D1FFB"/>
    <w:rsid w:val="005D209F"/>
    <w:rsid w:val="005D2172"/>
    <w:rsid w:val="005D21B4"/>
    <w:rsid w:val="005D238A"/>
    <w:rsid w:val="005D256F"/>
    <w:rsid w:val="005D259E"/>
    <w:rsid w:val="005D264F"/>
    <w:rsid w:val="005D277A"/>
    <w:rsid w:val="005D28EB"/>
    <w:rsid w:val="005D2A0C"/>
    <w:rsid w:val="005D2A61"/>
    <w:rsid w:val="005D2BE5"/>
    <w:rsid w:val="005D2CC3"/>
    <w:rsid w:val="005D2DFB"/>
    <w:rsid w:val="005D3034"/>
    <w:rsid w:val="005D30C6"/>
    <w:rsid w:val="005D31E9"/>
    <w:rsid w:val="005D31EA"/>
    <w:rsid w:val="005D3297"/>
    <w:rsid w:val="005D32E1"/>
    <w:rsid w:val="005D3853"/>
    <w:rsid w:val="005D386E"/>
    <w:rsid w:val="005D387B"/>
    <w:rsid w:val="005D38E2"/>
    <w:rsid w:val="005D393D"/>
    <w:rsid w:val="005D3B87"/>
    <w:rsid w:val="005D3F3A"/>
    <w:rsid w:val="005D4189"/>
    <w:rsid w:val="005D41BC"/>
    <w:rsid w:val="005D4412"/>
    <w:rsid w:val="005D4559"/>
    <w:rsid w:val="005D4980"/>
    <w:rsid w:val="005D4990"/>
    <w:rsid w:val="005D4CAE"/>
    <w:rsid w:val="005D4CBC"/>
    <w:rsid w:val="005D5029"/>
    <w:rsid w:val="005D5164"/>
    <w:rsid w:val="005D538D"/>
    <w:rsid w:val="005D5434"/>
    <w:rsid w:val="005D561E"/>
    <w:rsid w:val="005D56FE"/>
    <w:rsid w:val="005D57EF"/>
    <w:rsid w:val="005D5849"/>
    <w:rsid w:val="005D5AA8"/>
    <w:rsid w:val="005D5B4C"/>
    <w:rsid w:val="005D5C8B"/>
    <w:rsid w:val="005D5EE0"/>
    <w:rsid w:val="005D6328"/>
    <w:rsid w:val="005D63BA"/>
    <w:rsid w:val="005D64D2"/>
    <w:rsid w:val="005D65D0"/>
    <w:rsid w:val="005D6630"/>
    <w:rsid w:val="005D6645"/>
    <w:rsid w:val="005D688D"/>
    <w:rsid w:val="005D6B60"/>
    <w:rsid w:val="005D6D1F"/>
    <w:rsid w:val="005D6D8F"/>
    <w:rsid w:val="005D6E1D"/>
    <w:rsid w:val="005D7010"/>
    <w:rsid w:val="005D70C1"/>
    <w:rsid w:val="005D7392"/>
    <w:rsid w:val="005D7522"/>
    <w:rsid w:val="005D75EA"/>
    <w:rsid w:val="005D7636"/>
    <w:rsid w:val="005D7762"/>
    <w:rsid w:val="005D7784"/>
    <w:rsid w:val="005D7A1E"/>
    <w:rsid w:val="005D7D08"/>
    <w:rsid w:val="005D7D1B"/>
    <w:rsid w:val="005D7EA5"/>
    <w:rsid w:val="005D7EE4"/>
    <w:rsid w:val="005D7F93"/>
    <w:rsid w:val="005E02C5"/>
    <w:rsid w:val="005E03B5"/>
    <w:rsid w:val="005E0538"/>
    <w:rsid w:val="005E0545"/>
    <w:rsid w:val="005E0630"/>
    <w:rsid w:val="005E064F"/>
    <w:rsid w:val="005E0675"/>
    <w:rsid w:val="005E069E"/>
    <w:rsid w:val="005E0733"/>
    <w:rsid w:val="005E0817"/>
    <w:rsid w:val="005E08E4"/>
    <w:rsid w:val="005E08FB"/>
    <w:rsid w:val="005E0BDB"/>
    <w:rsid w:val="005E0C85"/>
    <w:rsid w:val="005E0DBD"/>
    <w:rsid w:val="005E0E03"/>
    <w:rsid w:val="005E0E82"/>
    <w:rsid w:val="005E125A"/>
    <w:rsid w:val="005E1299"/>
    <w:rsid w:val="005E12A6"/>
    <w:rsid w:val="005E1437"/>
    <w:rsid w:val="005E1769"/>
    <w:rsid w:val="005E1A11"/>
    <w:rsid w:val="005E1A81"/>
    <w:rsid w:val="005E1CF5"/>
    <w:rsid w:val="005E1DC5"/>
    <w:rsid w:val="005E1FF7"/>
    <w:rsid w:val="005E201A"/>
    <w:rsid w:val="005E2052"/>
    <w:rsid w:val="005E2226"/>
    <w:rsid w:val="005E2488"/>
    <w:rsid w:val="005E24AD"/>
    <w:rsid w:val="005E25B0"/>
    <w:rsid w:val="005E2636"/>
    <w:rsid w:val="005E274F"/>
    <w:rsid w:val="005E2C7A"/>
    <w:rsid w:val="005E2DFE"/>
    <w:rsid w:val="005E2E52"/>
    <w:rsid w:val="005E2EC1"/>
    <w:rsid w:val="005E2FB4"/>
    <w:rsid w:val="005E307E"/>
    <w:rsid w:val="005E30F1"/>
    <w:rsid w:val="005E316A"/>
    <w:rsid w:val="005E321C"/>
    <w:rsid w:val="005E32A4"/>
    <w:rsid w:val="005E3321"/>
    <w:rsid w:val="005E33EC"/>
    <w:rsid w:val="005E3430"/>
    <w:rsid w:val="005E3507"/>
    <w:rsid w:val="005E36B2"/>
    <w:rsid w:val="005E36DD"/>
    <w:rsid w:val="005E3961"/>
    <w:rsid w:val="005E39EE"/>
    <w:rsid w:val="005E3A4B"/>
    <w:rsid w:val="005E3CEF"/>
    <w:rsid w:val="005E3D64"/>
    <w:rsid w:val="005E3D9D"/>
    <w:rsid w:val="005E3DB5"/>
    <w:rsid w:val="005E3F74"/>
    <w:rsid w:val="005E41C5"/>
    <w:rsid w:val="005E424A"/>
    <w:rsid w:val="005E4280"/>
    <w:rsid w:val="005E42DE"/>
    <w:rsid w:val="005E44F5"/>
    <w:rsid w:val="005E450F"/>
    <w:rsid w:val="005E467A"/>
    <w:rsid w:val="005E46BF"/>
    <w:rsid w:val="005E471B"/>
    <w:rsid w:val="005E4735"/>
    <w:rsid w:val="005E4892"/>
    <w:rsid w:val="005E49CC"/>
    <w:rsid w:val="005E49EB"/>
    <w:rsid w:val="005E4BE0"/>
    <w:rsid w:val="005E4CCD"/>
    <w:rsid w:val="005E4D60"/>
    <w:rsid w:val="005E5032"/>
    <w:rsid w:val="005E5115"/>
    <w:rsid w:val="005E521C"/>
    <w:rsid w:val="005E5306"/>
    <w:rsid w:val="005E55CF"/>
    <w:rsid w:val="005E5790"/>
    <w:rsid w:val="005E5983"/>
    <w:rsid w:val="005E59E3"/>
    <w:rsid w:val="005E5ABB"/>
    <w:rsid w:val="005E5B17"/>
    <w:rsid w:val="005E5B98"/>
    <w:rsid w:val="005E5CDC"/>
    <w:rsid w:val="005E603A"/>
    <w:rsid w:val="005E608F"/>
    <w:rsid w:val="005E61E5"/>
    <w:rsid w:val="005E65D6"/>
    <w:rsid w:val="005E66D5"/>
    <w:rsid w:val="005E68DD"/>
    <w:rsid w:val="005E69D7"/>
    <w:rsid w:val="005E6B65"/>
    <w:rsid w:val="005E6C2E"/>
    <w:rsid w:val="005E6D08"/>
    <w:rsid w:val="005E709A"/>
    <w:rsid w:val="005E70D6"/>
    <w:rsid w:val="005E769C"/>
    <w:rsid w:val="005E76EC"/>
    <w:rsid w:val="005E7B3F"/>
    <w:rsid w:val="005E7D48"/>
    <w:rsid w:val="005E7D91"/>
    <w:rsid w:val="005E7E88"/>
    <w:rsid w:val="005E7EDD"/>
    <w:rsid w:val="005E7F17"/>
    <w:rsid w:val="005F0139"/>
    <w:rsid w:val="005F04F1"/>
    <w:rsid w:val="005F05DF"/>
    <w:rsid w:val="005F0862"/>
    <w:rsid w:val="005F08B0"/>
    <w:rsid w:val="005F08D2"/>
    <w:rsid w:val="005F0BB2"/>
    <w:rsid w:val="005F0C18"/>
    <w:rsid w:val="005F0E12"/>
    <w:rsid w:val="005F0E19"/>
    <w:rsid w:val="005F0ECA"/>
    <w:rsid w:val="005F14E9"/>
    <w:rsid w:val="005F16D5"/>
    <w:rsid w:val="005F176E"/>
    <w:rsid w:val="005F183C"/>
    <w:rsid w:val="005F19FC"/>
    <w:rsid w:val="005F1A8E"/>
    <w:rsid w:val="005F1AD8"/>
    <w:rsid w:val="005F1AEA"/>
    <w:rsid w:val="005F1B6B"/>
    <w:rsid w:val="005F1BB7"/>
    <w:rsid w:val="005F1CB3"/>
    <w:rsid w:val="005F1D79"/>
    <w:rsid w:val="005F1EA8"/>
    <w:rsid w:val="005F21B9"/>
    <w:rsid w:val="005F225B"/>
    <w:rsid w:val="005F24B3"/>
    <w:rsid w:val="005F2660"/>
    <w:rsid w:val="005F2956"/>
    <w:rsid w:val="005F295C"/>
    <w:rsid w:val="005F2AC9"/>
    <w:rsid w:val="005F2B4B"/>
    <w:rsid w:val="005F2CB9"/>
    <w:rsid w:val="005F2CFE"/>
    <w:rsid w:val="005F2D90"/>
    <w:rsid w:val="005F302C"/>
    <w:rsid w:val="005F328C"/>
    <w:rsid w:val="005F339E"/>
    <w:rsid w:val="005F3620"/>
    <w:rsid w:val="005F37EE"/>
    <w:rsid w:val="005F3805"/>
    <w:rsid w:val="005F38B4"/>
    <w:rsid w:val="005F3A10"/>
    <w:rsid w:val="005F3B4E"/>
    <w:rsid w:val="005F3E40"/>
    <w:rsid w:val="005F3E90"/>
    <w:rsid w:val="005F3EF7"/>
    <w:rsid w:val="005F4237"/>
    <w:rsid w:val="005F4441"/>
    <w:rsid w:val="005F464F"/>
    <w:rsid w:val="005F47AC"/>
    <w:rsid w:val="005F485B"/>
    <w:rsid w:val="005F4947"/>
    <w:rsid w:val="005F4954"/>
    <w:rsid w:val="005F4A47"/>
    <w:rsid w:val="005F4DB1"/>
    <w:rsid w:val="005F53E8"/>
    <w:rsid w:val="005F5465"/>
    <w:rsid w:val="005F5519"/>
    <w:rsid w:val="005F58AB"/>
    <w:rsid w:val="005F5A4B"/>
    <w:rsid w:val="005F5AB3"/>
    <w:rsid w:val="005F5B67"/>
    <w:rsid w:val="005F5C43"/>
    <w:rsid w:val="005F5C86"/>
    <w:rsid w:val="005F60DD"/>
    <w:rsid w:val="005F6104"/>
    <w:rsid w:val="005F6354"/>
    <w:rsid w:val="005F6425"/>
    <w:rsid w:val="005F67BA"/>
    <w:rsid w:val="005F6997"/>
    <w:rsid w:val="005F6C69"/>
    <w:rsid w:val="005F6EF5"/>
    <w:rsid w:val="005F6F4F"/>
    <w:rsid w:val="005F74AC"/>
    <w:rsid w:val="005F74CB"/>
    <w:rsid w:val="005F770C"/>
    <w:rsid w:val="005F7738"/>
    <w:rsid w:val="005F7835"/>
    <w:rsid w:val="005F786E"/>
    <w:rsid w:val="005F79AF"/>
    <w:rsid w:val="005F7B20"/>
    <w:rsid w:val="005F7BE6"/>
    <w:rsid w:val="005F7C3F"/>
    <w:rsid w:val="005F7CD9"/>
    <w:rsid w:val="005F7CF5"/>
    <w:rsid w:val="005F7D43"/>
    <w:rsid w:val="005F7E37"/>
    <w:rsid w:val="005F7F99"/>
    <w:rsid w:val="006000E2"/>
    <w:rsid w:val="00600122"/>
    <w:rsid w:val="006001A3"/>
    <w:rsid w:val="00600774"/>
    <w:rsid w:val="0060092A"/>
    <w:rsid w:val="00600FF3"/>
    <w:rsid w:val="00601308"/>
    <w:rsid w:val="00601366"/>
    <w:rsid w:val="006013C4"/>
    <w:rsid w:val="006016FC"/>
    <w:rsid w:val="00601792"/>
    <w:rsid w:val="00601A46"/>
    <w:rsid w:val="00601E0F"/>
    <w:rsid w:val="00601F31"/>
    <w:rsid w:val="00601F4B"/>
    <w:rsid w:val="00601F61"/>
    <w:rsid w:val="00601F9B"/>
    <w:rsid w:val="0060219A"/>
    <w:rsid w:val="006022DC"/>
    <w:rsid w:val="006022E2"/>
    <w:rsid w:val="00602481"/>
    <w:rsid w:val="006025CE"/>
    <w:rsid w:val="00602826"/>
    <w:rsid w:val="00602CDD"/>
    <w:rsid w:val="00602DDC"/>
    <w:rsid w:val="00602FC5"/>
    <w:rsid w:val="0060334D"/>
    <w:rsid w:val="0060342E"/>
    <w:rsid w:val="006034D2"/>
    <w:rsid w:val="006037E4"/>
    <w:rsid w:val="006037EF"/>
    <w:rsid w:val="00603E44"/>
    <w:rsid w:val="00603EF4"/>
    <w:rsid w:val="00604223"/>
    <w:rsid w:val="0060431A"/>
    <w:rsid w:val="00604373"/>
    <w:rsid w:val="00604579"/>
    <w:rsid w:val="00604670"/>
    <w:rsid w:val="00604849"/>
    <w:rsid w:val="00604A16"/>
    <w:rsid w:val="00604A3F"/>
    <w:rsid w:val="00604A6E"/>
    <w:rsid w:val="00604CE3"/>
    <w:rsid w:val="00605036"/>
    <w:rsid w:val="00605100"/>
    <w:rsid w:val="00605140"/>
    <w:rsid w:val="006051B5"/>
    <w:rsid w:val="006051CB"/>
    <w:rsid w:val="00605376"/>
    <w:rsid w:val="00605419"/>
    <w:rsid w:val="0060565B"/>
    <w:rsid w:val="00605BD4"/>
    <w:rsid w:val="00605CA8"/>
    <w:rsid w:val="00605D38"/>
    <w:rsid w:val="00605EBD"/>
    <w:rsid w:val="00605F5D"/>
    <w:rsid w:val="006061C7"/>
    <w:rsid w:val="00606434"/>
    <w:rsid w:val="0060659D"/>
    <w:rsid w:val="006065CB"/>
    <w:rsid w:val="00606618"/>
    <w:rsid w:val="00606703"/>
    <w:rsid w:val="00606875"/>
    <w:rsid w:val="00606885"/>
    <w:rsid w:val="00606A07"/>
    <w:rsid w:val="00606D5A"/>
    <w:rsid w:val="00607143"/>
    <w:rsid w:val="006072B5"/>
    <w:rsid w:val="006072DF"/>
    <w:rsid w:val="00607313"/>
    <w:rsid w:val="00607434"/>
    <w:rsid w:val="00607827"/>
    <w:rsid w:val="00607955"/>
    <w:rsid w:val="00607BCC"/>
    <w:rsid w:val="00607EB5"/>
    <w:rsid w:val="0061020D"/>
    <w:rsid w:val="006103B5"/>
    <w:rsid w:val="006108C0"/>
    <w:rsid w:val="00610A87"/>
    <w:rsid w:val="00610ABB"/>
    <w:rsid w:val="00610B89"/>
    <w:rsid w:val="00610D29"/>
    <w:rsid w:val="00610DEA"/>
    <w:rsid w:val="006111E8"/>
    <w:rsid w:val="00611493"/>
    <w:rsid w:val="00611498"/>
    <w:rsid w:val="0061154C"/>
    <w:rsid w:val="00611976"/>
    <w:rsid w:val="00611A7B"/>
    <w:rsid w:val="00611D89"/>
    <w:rsid w:val="00611EE4"/>
    <w:rsid w:val="0061234D"/>
    <w:rsid w:val="00612407"/>
    <w:rsid w:val="006125AD"/>
    <w:rsid w:val="006126AF"/>
    <w:rsid w:val="00612839"/>
    <w:rsid w:val="00612A58"/>
    <w:rsid w:val="00612A5F"/>
    <w:rsid w:val="00612B16"/>
    <w:rsid w:val="00612E43"/>
    <w:rsid w:val="00612EB1"/>
    <w:rsid w:val="00612EDF"/>
    <w:rsid w:val="00612F99"/>
    <w:rsid w:val="00612FEE"/>
    <w:rsid w:val="00612FF1"/>
    <w:rsid w:val="00613002"/>
    <w:rsid w:val="0061308E"/>
    <w:rsid w:val="00613266"/>
    <w:rsid w:val="006133EA"/>
    <w:rsid w:val="0061353D"/>
    <w:rsid w:val="0061358C"/>
    <w:rsid w:val="00613635"/>
    <w:rsid w:val="00613682"/>
    <w:rsid w:val="006136D1"/>
    <w:rsid w:val="00613B87"/>
    <w:rsid w:val="00613CA9"/>
    <w:rsid w:val="00613D35"/>
    <w:rsid w:val="00613F5D"/>
    <w:rsid w:val="006141B5"/>
    <w:rsid w:val="006142B7"/>
    <w:rsid w:val="006142EF"/>
    <w:rsid w:val="006142F2"/>
    <w:rsid w:val="006146F7"/>
    <w:rsid w:val="0061484F"/>
    <w:rsid w:val="00614D7E"/>
    <w:rsid w:val="00614DBD"/>
    <w:rsid w:val="00614ECD"/>
    <w:rsid w:val="006152E9"/>
    <w:rsid w:val="006153F3"/>
    <w:rsid w:val="00615544"/>
    <w:rsid w:val="006156D6"/>
    <w:rsid w:val="00615712"/>
    <w:rsid w:val="00615A74"/>
    <w:rsid w:val="00615AC8"/>
    <w:rsid w:val="00615C38"/>
    <w:rsid w:val="00615CF7"/>
    <w:rsid w:val="00615D1B"/>
    <w:rsid w:val="00615E88"/>
    <w:rsid w:val="00616068"/>
    <w:rsid w:val="006165F2"/>
    <w:rsid w:val="006168B9"/>
    <w:rsid w:val="00616986"/>
    <w:rsid w:val="00616A3D"/>
    <w:rsid w:val="00616C35"/>
    <w:rsid w:val="00616E0C"/>
    <w:rsid w:val="00616EBB"/>
    <w:rsid w:val="006170D5"/>
    <w:rsid w:val="00617120"/>
    <w:rsid w:val="00617447"/>
    <w:rsid w:val="00617481"/>
    <w:rsid w:val="00617568"/>
    <w:rsid w:val="00617623"/>
    <w:rsid w:val="006176D8"/>
    <w:rsid w:val="00617934"/>
    <w:rsid w:val="00617B4E"/>
    <w:rsid w:val="00617C55"/>
    <w:rsid w:val="00617CF6"/>
    <w:rsid w:val="00617ED2"/>
    <w:rsid w:val="0062003F"/>
    <w:rsid w:val="006200D0"/>
    <w:rsid w:val="00620435"/>
    <w:rsid w:val="006208E5"/>
    <w:rsid w:val="0062091D"/>
    <w:rsid w:val="00620A9F"/>
    <w:rsid w:val="00620DDC"/>
    <w:rsid w:val="00620EAE"/>
    <w:rsid w:val="00621089"/>
    <w:rsid w:val="006210DF"/>
    <w:rsid w:val="006212BB"/>
    <w:rsid w:val="0062133F"/>
    <w:rsid w:val="006214E4"/>
    <w:rsid w:val="00621521"/>
    <w:rsid w:val="0062154F"/>
    <w:rsid w:val="0062158E"/>
    <w:rsid w:val="006215B9"/>
    <w:rsid w:val="006216E8"/>
    <w:rsid w:val="006219C8"/>
    <w:rsid w:val="00621B7B"/>
    <w:rsid w:val="00621F50"/>
    <w:rsid w:val="00621F65"/>
    <w:rsid w:val="00621FD5"/>
    <w:rsid w:val="006220D3"/>
    <w:rsid w:val="00622102"/>
    <w:rsid w:val="00622374"/>
    <w:rsid w:val="006224A6"/>
    <w:rsid w:val="006227B5"/>
    <w:rsid w:val="00622867"/>
    <w:rsid w:val="006229E8"/>
    <w:rsid w:val="00622A76"/>
    <w:rsid w:val="00622AA5"/>
    <w:rsid w:val="00622B5E"/>
    <w:rsid w:val="00622F5F"/>
    <w:rsid w:val="00623014"/>
    <w:rsid w:val="0062304D"/>
    <w:rsid w:val="006233E9"/>
    <w:rsid w:val="0062345F"/>
    <w:rsid w:val="006236F3"/>
    <w:rsid w:val="006238AF"/>
    <w:rsid w:val="00623C66"/>
    <w:rsid w:val="00623CE4"/>
    <w:rsid w:val="00624065"/>
    <w:rsid w:val="00624068"/>
    <w:rsid w:val="006240DC"/>
    <w:rsid w:val="006240F4"/>
    <w:rsid w:val="00624437"/>
    <w:rsid w:val="006248A3"/>
    <w:rsid w:val="00624BEF"/>
    <w:rsid w:val="00624EB0"/>
    <w:rsid w:val="00624FF6"/>
    <w:rsid w:val="00625108"/>
    <w:rsid w:val="00625353"/>
    <w:rsid w:val="00625379"/>
    <w:rsid w:val="006254E2"/>
    <w:rsid w:val="006256D6"/>
    <w:rsid w:val="00625867"/>
    <w:rsid w:val="0062586B"/>
    <w:rsid w:val="006258DA"/>
    <w:rsid w:val="006259F9"/>
    <w:rsid w:val="00625C23"/>
    <w:rsid w:val="00625C5E"/>
    <w:rsid w:val="00625CC1"/>
    <w:rsid w:val="00625DEB"/>
    <w:rsid w:val="00625DFC"/>
    <w:rsid w:val="00626114"/>
    <w:rsid w:val="006261BD"/>
    <w:rsid w:val="006262E2"/>
    <w:rsid w:val="0062671B"/>
    <w:rsid w:val="00626807"/>
    <w:rsid w:val="00626843"/>
    <w:rsid w:val="0062692B"/>
    <w:rsid w:val="00626C99"/>
    <w:rsid w:val="00626C9B"/>
    <w:rsid w:val="00626D5D"/>
    <w:rsid w:val="00626E4A"/>
    <w:rsid w:val="00626FB5"/>
    <w:rsid w:val="0062707E"/>
    <w:rsid w:val="0062709C"/>
    <w:rsid w:val="006273BE"/>
    <w:rsid w:val="00627451"/>
    <w:rsid w:val="006277F1"/>
    <w:rsid w:val="00627883"/>
    <w:rsid w:val="00627A79"/>
    <w:rsid w:val="00627AD0"/>
    <w:rsid w:val="00627D44"/>
    <w:rsid w:val="00627D68"/>
    <w:rsid w:val="00627DBC"/>
    <w:rsid w:val="0063019F"/>
    <w:rsid w:val="006302B0"/>
    <w:rsid w:val="0063039D"/>
    <w:rsid w:val="00630706"/>
    <w:rsid w:val="00630767"/>
    <w:rsid w:val="006308B8"/>
    <w:rsid w:val="00630903"/>
    <w:rsid w:val="00630912"/>
    <w:rsid w:val="00630961"/>
    <w:rsid w:val="006309C3"/>
    <w:rsid w:val="00630C3F"/>
    <w:rsid w:val="00630C6C"/>
    <w:rsid w:val="00630EAE"/>
    <w:rsid w:val="00631232"/>
    <w:rsid w:val="0063123C"/>
    <w:rsid w:val="0063134B"/>
    <w:rsid w:val="006315BC"/>
    <w:rsid w:val="006315C6"/>
    <w:rsid w:val="00631655"/>
    <w:rsid w:val="006318A2"/>
    <w:rsid w:val="006319AF"/>
    <w:rsid w:val="00631A0E"/>
    <w:rsid w:val="00631D09"/>
    <w:rsid w:val="00631F9E"/>
    <w:rsid w:val="00632050"/>
    <w:rsid w:val="0063232C"/>
    <w:rsid w:val="00632334"/>
    <w:rsid w:val="0063233E"/>
    <w:rsid w:val="00632374"/>
    <w:rsid w:val="00632383"/>
    <w:rsid w:val="006323BA"/>
    <w:rsid w:val="006323F1"/>
    <w:rsid w:val="00632659"/>
    <w:rsid w:val="006326AD"/>
    <w:rsid w:val="00632F69"/>
    <w:rsid w:val="00633088"/>
    <w:rsid w:val="006331AF"/>
    <w:rsid w:val="00633587"/>
    <w:rsid w:val="00633639"/>
    <w:rsid w:val="006337F9"/>
    <w:rsid w:val="00633934"/>
    <w:rsid w:val="00633AF7"/>
    <w:rsid w:val="00633B5D"/>
    <w:rsid w:val="00633BEE"/>
    <w:rsid w:val="00633E4F"/>
    <w:rsid w:val="00633ED1"/>
    <w:rsid w:val="00634128"/>
    <w:rsid w:val="0063430C"/>
    <w:rsid w:val="0063459A"/>
    <w:rsid w:val="006348F0"/>
    <w:rsid w:val="00634A80"/>
    <w:rsid w:val="00634B95"/>
    <w:rsid w:val="006356B5"/>
    <w:rsid w:val="00635C00"/>
    <w:rsid w:val="00635ED7"/>
    <w:rsid w:val="00635F43"/>
    <w:rsid w:val="00635FC3"/>
    <w:rsid w:val="0063624A"/>
    <w:rsid w:val="006364CF"/>
    <w:rsid w:val="00636833"/>
    <w:rsid w:val="00636967"/>
    <w:rsid w:val="006369B7"/>
    <w:rsid w:val="00636A5B"/>
    <w:rsid w:val="00636A8D"/>
    <w:rsid w:val="00636C76"/>
    <w:rsid w:val="00637082"/>
    <w:rsid w:val="0063716F"/>
    <w:rsid w:val="006371D9"/>
    <w:rsid w:val="00637243"/>
    <w:rsid w:val="00637277"/>
    <w:rsid w:val="006372D5"/>
    <w:rsid w:val="00637378"/>
    <w:rsid w:val="006374D8"/>
    <w:rsid w:val="0063754D"/>
    <w:rsid w:val="0063786C"/>
    <w:rsid w:val="00637949"/>
    <w:rsid w:val="00637B75"/>
    <w:rsid w:val="00637EBA"/>
    <w:rsid w:val="0064011A"/>
    <w:rsid w:val="00640444"/>
    <w:rsid w:val="00640693"/>
    <w:rsid w:val="00640708"/>
    <w:rsid w:val="0064070C"/>
    <w:rsid w:val="00640785"/>
    <w:rsid w:val="00640D27"/>
    <w:rsid w:val="00640D75"/>
    <w:rsid w:val="00640E61"/>
    <w:rsid w:val="00640EAC"/>
    <w:rsid w:val="006410B2"/>
    <w:rsid w:val="0064127F"/>
    <w:rsid w:val="006413E2"/>
    <w:rsid w:val="0064145C"/>
    <w:rsid w:val="00641739"/>
    <w:rsid w:val="006418D0"/>
    <w:rsid w:val="0064194E"/>
    <w:rsid w:val="00641C80"/>
    <w:rsid w:val="00641D0D"/>
    <w:rsid w:val="00641D1D"/>
    <w:rsid w:val="00641D35"/>
    <w:rsid w:val="0064200B"/>
    <w:rsid w:val="006420C3"/>
    <w:rsid w:val="006420F7"/>
    <w:rsid w:val="00642125"/>
    <w:rsid w:val="006423FA"/>
    <w:rsid w:val="006424AB"/>
    <w:rsid w:val="006425F5"/>
    <w:rsid w:val="006426DD"/>
    <w:rsid w:val="0064285B"/>
    <w:rsid w:val="00642A34"/>
    <w:rsid w:val="00642B5E"/>
    <w:rsid w:val="00642BBD"/>
    <w:rsid w:val="00642D6F"/>
    <w:rsid w:val="00642DD2"/>
    <w:rsid w:val="00642F00"/>
    <w:rsid w:val="00642FA9"/>
    <w:rsid w:val="00642FAC"/>
    <w:rsid w:val="006436CE"/>
    <w:rsid w:val="00643738"/>
    <w:rsid w:val="00643827"/>
    <w:rsid w:val="00643857"/>
    <w:rsid w:val="006438FE"/>
    <w:rsid w:val="0064399E"/>
    <w:rsid w:val="006439FA"/>
    <w:rsid w:val="00643A3C"/>
    <w:rsid w:val="00643AF8"/>
    <w:rsid w:val="00643B7E"/>
    <w:rsid w:val="00643B86"/>
    <w:rsid w:val="00643BB1"/>
    <w:rsid w:val="00643F53"/>
    <w:rsid w:val="00643FD4"/>
    <w:rsid w:val="0064414F"/>
    <w:rsid w:val="0064445F"/>
    <w:rsid w:val="00644545"/>
    <w:rsid w:val="006445E6"/>
    <w:rsid w:val="006447C1"/>
    <w:rsid w:val="00644887"/>
    <w:rsid w:val="00644A73"/>
    <w:rsid w:val="00644AA9"/>
    <w:rsid w:val="00644D62"/>
    <w:rsid w:val="00644F05"/>
    <w:rsid w:val="00644FC7"/>
    <w:rsid w:val="006451A6"/>
    <w:rsid w:val="006455C9"/>
    <w:rsid w:val="00645896"/>
    <w:rsid w:val="00645938"/>
    <w:rsid w:val="00645B65"/>
    <w:rsid w:val="00645DBC"/>
    <w:rsid w:val="00645E6B"/>
    <w:rsid w:val="00645F8D"/>
    <w:rsid w:val="00646158"/>
    <w:rsid w:val="00646361"/>
    <w:rsid w:val="00646495"/>
    <w:rsid w:val="006464AA"/>
    <w:rsid w:val="00646736"/>
    <w:rsid w:val="00646825"/>
    <w:rsid w:val="00646944"/>
    <w:rsid w:val="00646AF0"/>
    <w:rsid w:val="00646E23"/>
    <w:rsid w:val="006470E3"/>
    <w:rsid w:val="0064730B"/>
    <w:rsid w:val="0064730F"/>
    <w:rsid w:val="0064733E"/>
    <w:rsid w:val="0064745A"/>
    <w:rsid w:val="006477A3"/>
    <w:rsid w:val="00647800"/>
    <w:rsid w:val="00647A90"/>
    <w:rsid w:val="00647ABC"/>
    <w:rsid w:val="00647AD4"/>
    <w:rsid w:val="00647BEF"/>
    <w:rsid w:val="00647E62"/>
    <w:rsid w:val="00647F7F"/>
    <w:rsid w:val="00650170"/>
    <w:rsid w:val="00650364"/>
    <w:rsid w:val="00650C20"/>
    <w:rsid w:val="00650CAE"/>
    <w:rsid w:val="00650D4A"/>
    <w:rsid w:val="00650D86"/>
    <w:rsid w:val="00651137"/>
    <w:rsid w:val="006511E4"/>
    <w:rsid w:val="00651231"/>
    <w:rsid w:val="00651546"/>
    <w:rsid w:val="00651660"/>
    <w:rsid w:val="0065176B"/>
    <w:rsid w:val="00651E84"/>
    <w:rsid w:val="00652028"/>
    <w:rsid w:val="0065219D"/>
    <w:rsid w:val="00652215"/>
    <w:rsid w:val="0065235F"/>
    <w:rsid w:val="0065269D"/>
    <w:rsid w:val="006526C3"/>
    <w:rsid w:val="00652824"/>
    <w:rsid w:val="0065289D"/>
    <w:rsid w:val="006528A2"/>
    <w:rsid w:val="00652A18"/>
    <w:rsid w:val="00652B98"/>
    <w:rsid w:val="00652CD8"/>
    <w:rsid w:val="00652DB6"/>
    <w:rsid w:val="00652E73"/>
    <w:rsid w:val="0065366A"/>
    <w:rsid w:val="006536C7"/>
    <w:rsid w:val="006536EB"/>
    <w:rsid w:val="0065396B"/>
    <w:rsid w:val="006539A4"/>
    <w:rsid w:val="00653AAC"/>
    <w:rsid w:val="00653FDA"/>
    <w:rsid w:val="0065434C"/>
    <w:rsid w:val="006543BE"/>
    <w:rsid w:val="00654422"/>
    <w:rsid w:val="00654429"/>
    <w:rsid w:val="0065445D"/>
    <w:rsid w:val="0065448C"/>
    <w:rsid w:val="006544C2"/>
    <w:rsid w:val="00654607"/>
    <w:rsid w:val="00654663"/>
    <w:rsid w:val="0065469F"/>
    <w:rsid w:val="00654889"/>
    <w:rsid w:val="0065489C"/>
    <w:rsid w:val="0065499D"/>
    <w:rsid w:val="00654A31"/>
    <w:rsid w:val="00654B2B"/>
    <w:rsid w:val="00654BB3"/>
    <w:rsid w:val="00654D71"/>
    <w:rsid w:val="00654EA7"/>
    <w:rsid w:val="00654EE5"/>
    <w:rsid w:val="00654F03"/>
    <w:rsid w:val="006551D9"/>
    <w:rsid w:val="006553FE"/>
    <w:rsid w:val="00655430"/>
    <w:rsid w:val="0065551F"/>
    <w:rsid w:val="00655800"/>
    <w:rsid w:val="0065586B"/>
    <w:rsid w:val="0065589B"/>
    <w:rsid w:val="006558BF"/>
    <w:rsid w:val="00655D4A"/>
    <w:rsid w:val="00656004"/>
    <w:rsid w:val="00656411"/>
    <w:rsid w:val="00656505"/>
    <w:rsid w:val="00656533"/>
    <w:rsid w:val="00656761"/>
    <w:rsid w:val="00656A9F"/>
    <w:rsid w:val="00656AF4"/>
    <w:rsid w:val="00656B07"/>
    <w:rsid w:val="00656DCC"/>
    <w:rsid w:val="00657155"/>
    <w:rsid w:val="006576FD"/>
    <w:rsid w:val="00657709"/>
    <w:rsid w:val="00657767"/>
    <w:rsid w:val="006578BB"/>
    <w:rsid w:val="0065798A"/>
    <w:rsid w:val="00657A81"/>
    <w:rsid w:val="00657A9D"/>
    <w:rsid w:val="00657C2B"/>
    <w:rsid w:val="00657D85"/>
    <w:rsid w:val="00657EAF"/>
    <w:rsid w:val="006601B9"/>
    <w:rsid w:val="0066023B"/>
    <w:rsid w:val="00660588"/>
    <w:rsid w:val="00660943"/>
    <w:rsid w:val="00660AB5"/>
    <w:rsid w:val="00660ABC"/>
    <w:rsid w:val="00660AF0"/>
    <w:rsid w:val="00660B09"/>
    <w:rsid w:val="00660B3C"/>
    <w:rsid w:val="00660D11"/>
    <w:rsid w:val="00660FCE"/>
    <w:rsid w:val="0066106C"/>
    <w:rsid w:val="00661107"/>
    <w:rsid w:val="006613E7"/>
    <w:rsid w:val="006617EF"/>
    <w:rsid w:val="00661BC0"/>
    <w:rsid w:val="00661C85"/>
    <w:rsid w:val="00662074"/>
    <w:rsid w:val="00662574"/>
    <w:rsid w:val="0066263B"/>
    <w:rsid w:val="0066270F"/>
    <w:rsid w:val="006627C7"/>
    <w:rsid w:val="006629EC"/>
    <w:rsid w:val="00662AF9"/>
    <w:rsid w:val="00662B05"/>
    <w:rsid w:val="00662CFB"/>
    <w:rsid w:val="00663229"/>
    <w:rsid w:val="006632F5"/>
    <w:rsid w:val="00663816"/>
    <w:rsid w:val="00663886"/>
    <w:rsid w:val="00663A24"/>
    <w:rsid w:val="00663C2F"/>
    <w:rsid w:val="00663D3E"/>
    <w:rsid w:val="00663D67"/>
    <w:rsid w:val="00663DFE"/>
    <w:rsid w:val="00663EE2"/>
    <w:rsid w:val="00663FB7"/>
    <w:rsid w:val="006640BF"/>
    <w:rsid w:val="006640E4"/>
    <w:rsid w:val="0066424D"/>
    <w:rsid w:val="0066431F"/>
    <w:rsid w:val="0066446F"/>
    <w:rsid w:val="0066486C"/>
    <w:rsid w:val="006649BE"/>
    <w:rsid w:val="00664B1D"/>
    <w:rsid w:val="00664D89"/>
    <w:rsid w:val="00664D97"/>
    <w:rsid w:val="00664FCD"/>
    <w:rsid w:val="006652A3"/>
    <w:rsid w:val="006652A7"/>
    <w:rsid w:val="006656AF"/>
    <w:rsid w:val="006658AD"/>
    <w:rsid w:val="00665B42"/>
    <w:rsid w:val="00665E00"/>
    <w:rsid w:val="00665F97"/>
    <w:rsid w:val="00666176"/>
    <w:rsid w:val="00666394"/>
    <w:rsid w:val="00666B87"/>
    <w:rsid w:val="00666BC0"/>
    <w:rsid w:val="00666D89"/>
    <w:rsid w:val="00666E15"/>
    <w:rsid w:val="006677A0"/>
    <w:rsid w:val="00667812"/>
    <w:rsid w:val="00667BE8"/>
    <w:rsid w:val="00667DEC"/>
    <w:rsid w:val="00670254"/>
    <w:rsid w:val="00670348"/>
    <w:rsid w:val="00670459"/>
    <w:rsid w:val="006706A2"/>
    <w:rsid w:val="0067077C"/>
    <w:rsid w:val="0067082E"/>
    <w:rsid w:val="006708AD"/>
    <w:rsid w:val="00670BE2"/>
    <w:rsid w:val="00670D78"/>
    <w:rsid w:val="00670EF8"/>
    <w:rsid w:val="00671121"/>
    <w:rsid w:val="0067120B"/>
    <w:rsid w:val="00671371"/>
    <w:rsid w:val="00671591"/>
    <w:rsid w:val="006715F7"/>
    <w:rsid w:val="0067192C"/>
    <w:rsid w:val="006719D7"/>
    <w:rsid w:val="00671C1C"/>
    <w:rsid w:val="00671C7A"/>
    <w:rsid w:val="00671D15"/>
    <w:rsid w:val="00671D66"/>
    <w:rsid w:val="00671DE8"/>
    <w:rsid w:val="00671EE6"/>
    <w:rsid w:val="00671F87"/>
    <w:rsid w:val="0067207A"/>
    <w:rsid w:val="0067236A"/>
    <w:rsid w:val="006723E7"/>
    <w:rsid w:val="00672514"/>
    <w:rsid w:val="00672565"/>
    <w:rsid w:val="00672578"/>
    <w:rsid w:val="006726B4"/>
    <w:rsid w:val="0067272F"/>
    <w:rsid w:val="0067287F"/>
    <w:rsid w:val="0067290D"/>
    <w:rsid w:val="00672A62"/>
    <w:rsid w:val="00672BBB"/>
    <w:rsid w:val="00672D7F"/>
    <w:rsid w:val="0067302F"/>
    <w:rsid w:val="006730B8"/>
    <w:rsid w:val="00673138"/>
    <w:rsid w:val="0067332A"/>
    <w:rsid w:val="00673366"/>
    <w:rsid w:val="00673434"/>
    <w:rsid w:val="006734F7"/>
    <w:rsid w:val="006737D2"/>
    <w:rsid w:val="00673B75"/>
    <w:rsid w:val="00673C91"/>
    <w:rsid w:val="00673DFB"/>
    <w:rsid w:val="00673F98"/>
    <w:rsid w:val="006742D4"/>
    <w:rsid w:val="006747C0"/>
    <w:rsid w:val="00674905"/>
    <w:rsid w:val="0067490A"/>
    <w:rsid w:val="00674931"/>
    <w:rsid w:val="00674B77"/>
    <w:rsid w:val="00674ECC"/>
    <w:rsid w:val="00674FF8"/>
    <w:rsid w:val="0067500A"/>
    <w:rsid w:val="00675145"/>
    <w:rsid w:val="00675415"/>
    <w:rsid w:val="00675442"/>
    <w:rsid w:val="006754CC"/>
    <w:rsid w:val="006755C5"/>
    <w:rsid w:val="00675790"/>
    <w:rsid w:val="00675AD6"/>
    <w:rsid w:val="00675B45"/>
    <w:rsid w:val="00675B52"/>
    <w:rsid w:val="00675CCA"/>
    <w:rsid w:val="00676075"/>
    <w:rsid w:val="006760A9"/>
    <w:rsid w:val="0067611B"/>
    <w:rsid w:val="006762E3"/>
    <w:rsid w:val="006764BE"/>
    <w:rsid w:val="006766B0"/>
    <w:rsid w:val="00676715"/>
    <w:rsid w:val="0067678D"/>
    <w:rsid w:val="006767A2"/>
    <w:rsid w:val="006768C3"/>
    <w:rsid w:val="00676962"/>
    <w:rsid w:val="00676C5E"/>
    <w:rsid w:val="00677743"/>
    <w:rsid w:val="00677921"/>
    <w:rsid w:val="006779DF"/>
    <w:rsid w:val="00677AEC"/>
    <w:rsid w:val="00677B26"/>
    <w:rsid w:val="00677C00"/>
    <w:rsid w:val="00677C71"/>
    <w:rsid w:val="00677D4F"/>
    <w:rsid w:val="00677E5F"/>
    <w:rsid w:val="00677FF6"/>
    <w:rsid w:val="0068002D"/>
    <w:rsid w:val="00680072"/>
    <w:rsid w:val="006801DA"/>
    <w:rsid w:val="0068052A"/>
    <w:rsid w:val="00680CCC"/>
    <w:rsid w:val="00680EC3"/>
    <w:rsid w:val="00680EE7"/>
    <w:rsid w:val="0068102F"/>
    <w:rsid w:val="00681219"/>
    <w:rsid w:val="006812F6"/>
    <w:rsid w:val="006814B8"/>
    <w:rsid w:val="006814D4"/>
    <w:rsid w:val="00681C60"/>
    <w:rsid w:val="00681F70"/>
    <w:rsid w:val="006820B1"/>
    <w:rsid w:val="00682130"/>
    <w:rsid w:val="00682221"/>
    <w:rsid w:val="0068223C"/>
    <w:rsid w:val="006822B4"/>
    <w:rsid w:val="00682346"/>
    <w:rsid w:val="00682686"/>
    <w:rsid w:val="0068271E"/>
    <w:rsid w:val="00682804"/>
    <w:rsid w:val="006828CD"/>
    <w:rsid w:val="006828D3"/>
    <w:rsid w:val="006829DB"/>
    <w:rsid w:val="00682D97"/>
    <w:rsid w:val="00682F53"/>
    <w:rsid w:val="00683210"/>
    <w:rsid w:val="00683299"/>
    <w:rsid w:val="00683528"/>
    <w:rsid w:val="006835EC"/>
    <w:rsid w:val="006836D1"/>
    <w:rsid w:val="0068378F"/>
    <w:rsid w:val="00683983"/>
    <w:rsid w:val="00683A13"/>
    <w:rsid w:val="00683AE3"/>
    <w:rsid w:val="00684188"/>
    <w:rsid w:val="006841B9"/>
    <w:rsid w:val="00684220"/>
    <w:rsid w:val="0068430F"/>
    <w:rsid w:val="006847FA"/>
    <w:rsid w:val="00684A40"/>
    <w:rsid w:val="00684B2F"/>
    <w:rsid w:val="00684DD8"/>
    <w:rsid w:val="00684DDC"/>
    <w:rsid w:val="00684EEA"/>
    <w:rsid w:val="006852F9"/>
    <w:rsid w:val="00685567"/>
    <w:rsid w:val="00685803"/>
    <w:rsid w:val="00685812"/>
    <w:rsid w:val="00685885"/>
    <w:rsid w:val="00685CC3"/>
    <w:rsid w:val="00685E07"/>
    <w:rsid w:val="00685E1C"/>
    <w:rsid w:val="00685E67"/>
    <w:rsid w:val="00685E7F"/>
    <w:rsid w:val="006861CD"/>
    <w:rsid w:val="00686456"/>
    <w:rsid w:val="00686921"/>
    <w:rsid w:val="00686B4D"/>
    <w:rsid w:val="00686C1C"/>
    <w:rsid w:val="00686C79"/>
    <w:rsid w:val="00686E0C"/>
    <w:rsid w:val="006870E7"/>
    <w:rsid w:val="00687342"/>
    <w:rsid w:val="00687413"/>
    <w:rsid w:val="006874EA"/>
    <w:rsid w:val="006875DC"/>
    <w:rsid w:val="006876B4"/>
    <w:rsid w:val="0068799B"/>
    <w:rsid w:val="00687A8F"/>
    <w:rsid w:val="00687CEA"/>
    <w:rsid w:val="00687F9B"/>
    <w:rsid w:val="0069017C"/>
    <w:rsid w:val="00690283"/>
    <w:rsid w:val="0069048F"/>
    <w:rsid w:val="006904AC"/>
    <w:rsid w:val="0069061E"/>
    <w:rsid w:val="00690935"/>
    <w:rsid w:val="00690C89"/>
    <w:rsid w:val="00690C9C"/>
    <w:rsid w:val="00690F59"/>
    <w:rsid w:val="00691118"/>
    <w:rsid w:val="006912B0"/>
    <w:rsid w:val="006913AE"/>
    <w:rsid w:val="0069145A"/>
    <w:rsid w:val="0069155A"/>
    <w:rsid w:val="006915A1"/>
    <w:rsid w:val="00691AAB"/>
    <w:rsid w:val="00691B32"/>
    <w:rsid w:val="00691B6C"/>
    <w:rsid w:val="00691FD5"/>
    <w:rsid w:val="00692232"/>
    <w:rsid w:val="00692423"/>
    <w:rsid w:val="00692622"/>
    <w:rsid w:val="006926AD"/>
    <w:rsid w:val="006928C0"/>
    <w:rsid w:val="00692ABC"/>
    <w:rsid w:val="00692DFD"/>
    <w:rsid w:val="00692E23"/>
    <w:rsid w:val="00692EEB"/>
    <w:rsid w:val="00693007"/>
    <w:rsid w:val="006930E2"/>
    <w:rsid w:val="00693524"/>
    <w:rsid w:val="006935D1"/>
    <w:rsid w:val="0069377A"/>
    <w:rsid w:val="00693868"/>
    <w:rsid w:val="0069392B"/>
    <w:rsid w:val="00693B2B"/>
    <w:rsid w:val="00693CDF"/>
    <w:rsid w:val="00693D7F"/>
    <w:rsid w:val="00693E99"/>
    <w:rsid w:val="00693FE9"/>
    <w:rsid w:val="006940F8"/>
    <w:rsid w:val="00694196"/>
    <w:rsid w:val="006945EE"/>
    <w:rsid w:val="006946ED"/>
    <w:rsid w:val="00694A05"/>
    <w:rsid w:val="00694B8F"/>
    <w:rsid w:val="00694C6F"/>
    <w:rsid w:val="00695198"/>
    <w:rsid w:val="00695308"/>
    <w:rsid w:val="00695485"/>
    <w:rsid w:val="00695606"/>
    <w:rsid w:val="00695773"/>
    <w:rsid w:val="0069584D"/>
    <w:rsid w:val="00695882"/>
    <w:rsid w:val="00695ABC"/>
    <w:rsid w:val="00695B43"/>
    <w:rsid w:val="00695B6B"/>
    <w:rsid w:val="00695BE1"/>
    <w:rsid w:val="00695C53"/>
    <w:rsid w:val="00695CA6"/>
    <w:rsid w:val="00696142"/>
    <w:rsid w:val="0069631B"/>
    <w:rsid w:val="00696347"/>
    <w:rsid w:val="00696361"/>
    <w:rsid w:val="00696413"/>
    <w:rsid w:val="0069643A"/>
    <w:rsid w:val="00696470"/>
    <w:rsid w:val="006965F6"/>
    <w:rsid w:val="006966E0"/>
    <w:rsid w:val="0069672D"/>
    <w:rsid w:val="006967FC"/>
    <w:rsid w:val="006969AE"/>
    <w:rsid w:val="00696A52"/>
    <w:rsid w:val="00696A7D"/>
    <w:rsid w:val="00696BCC"/>
    <w:rsid w:val="00696F6A"/>
    <w:rsid w:val="00696F93"/>
    <w:rsid w:val="006971C3"/>
    <w:rsid w:val="0069738B"/>
    <w:rsid w:val="00697433"/>
    <w:rsid w:val="0069747A"/>
    <w:rsid w:val="00697912"/>
    <w:rsid w:val="00697A99"/>
    <w:rsid w:val="00697AA4"/>
    <w:rsid w:val="00697AAE"/>
    <w:rsid w:val="00697AEA"/>
    <w:rsid w:val="00697B65"/>
    <w:rsid w:val="00697C98"/>
    <w:rsid w:val="00697D36"/>
    <w:rsid w:val="00697D81"/>
    <w:rsid w:val="00697FB0"/>
    <w:rsid w:val="006A013B"/>
    <w:rsid w:val="006A0182"/>
    <w:rsid w:val="006A03C2"/>
    <w:rsid w:val="006A0430"/>
    <w:rsid w:val="006A0485"/>
    <w:rsid w:val="006A0876"/>
    <w:rsid w:val="006A08C2"/>
    <w:rsid w:val="006A0AE6"/>
    <w:rsid w:val="006A0C5A"/>
    <w:rsid w:val="006A0D26"/>
    <w:rsid w:val="006A0E8B"/>
    <w:rsid w:val="006A1164"/>
    <w:rsid w:val="006A11C8"/>
    <w:rsid w:val="006A1482"/>
    <w:rsid w:val="006A16CA"/>
    <w:rsid w:val="006A173E"/>
    <w:rsid w:val="006A1769"/>
    <w:rsid w:val="006A1998"/>
    <w:rsid w:val="006A1B33"/>
    <w:rsid w:val="006A1CE3"/>
    <w:rsid w:val="006A1F94"/>
    <w:rsid w:val="006A20D6"/>
    <w:rsid w:val="006A216D"/>
    <w:rsid w:val="006A2305"/>
    <w:rsid w:val="006A2744"/>
    <w:rsid w:val="006A2AF6"/>
    <w:rsid w:val="006A2B81"/>
    <w:rsid w:val="006A2CA9"/>
    <w:rsid w:val="006A2CEA"/>
    <w:rsid w:val="006A2EF5"/>
    <w:rsid w:val="006A3029"/>
    <w:rsid w:val="006A3147"/>
    <w:rsid w:val="006A331E"/>
    <w:rsid w:val="006A345F"/>
    <w:rsid w:val="006A3846"/>
    <w:rsid w:val="006A392D"/>
    <w:rsid w:val="006A3947"/>
    <w:rsid w:val="006A39B8"/>
    <w:rsid w:val="006A3AA8"/>
    <w:rsid w:val="006A3FBA"/>
    <w:rsid w:val="006A410C"/>
    <w:rsid w:val="006A4316"/>
    <w:rsid w:val="006A43E7"/>
    <w:rsid w:val="006A4616"/>
    <w:rsid w:val="006A472E"/>
    <w:rsid w:val="006A48E4"/>
    <w:rsid w:val="006A49A3"/>
    <w:rsid w:val="006A4AA9"/>
    <w:rsid w:val="006A4FB5"/>
    <w:rsid w:val="006A5274"/>
    <w:rsid w:val="006A52C6"/>
    <w:rsid w:val="006A52E6"/>
    <w:rsid w:val="006A54E2"/>
    <w:rsid w:val="006A54FC"/>
    <w:rsid w:val="006A57DB"/>
    <w:rsid w:val="006A5E58"/>
    <w:rsid w:val="006A60C6"/>
    <w:rsid w:val="006A61FA"/>
    <w:rsid w:val="006A62F0"/>
    <w:rsid w:val="006A63F4"/>
    <w:rsid w:val="006A646B"/>
    <w:rsid w:val="006A66BE"/>
    <w:rsid w:val="006A66E2"/>
    <w:rsid w:val="006A6A7A"/>
    <w:rsid w:val="006A6C1A"/>
    <w:rsid w:val="006A6F3B"/>
    <w:rsid w:val="006A6F59"/>
    <w:rsid w:val="006A6FE4"/>
    <w:rsid w:val="006A71DE"/>
    <w:rsid w:val="006A7267"/>
    <w:rsid w:val="006A7591"/>
    <w:rsid w:val="006A778D"/>
    <w:rsid w:val="006A78C4"/>
    <w:rsid w:val="006A79E5"/>
    <w:rsid w:val="006A7D81"/>
    <w:rsid w:val="006B001A"/>
    <w:rsid w:val="006B006C"/>
    <w:rsid w:val="006B011C"/>
    <w:rsid w:val="006B0265"/>
    <w:rsid w:val="006B06ED"/>
    <w:rsid w:val="006B07D4"/>
    <w:rsid w:val="006B07E2"/>
    <w:rsid w:val="006B0904"/>
    <w:rsid w:val="006B0C73"/>
    <w:rsid w:val="006B0CA9"/>
    <w:rsid w:val="006B0F0A"/>
    <w:rsid w:val="006B0F90"/>
    <w:rsid w:val="006B13AB"/>
    <w:rsid w:val="006B167E"/>
    <w:rsid w:val="006B1A8F"/>
    <w:rsid w:val="006B1D6B"/>
    <w:rsid w:val="006B1F95"/>
    <w:rsid w:val="006B201D"/>
    <w:rsid w:val="006B20CA"/>
    <w:rsid w:val="006B221C"/>
    <w:rsid w:val="006B22E4"/>
    <w:rsid w:val="006B24FF"/>
    <w:rsid w:val="006B2562"/>
    <w:rsid w:val="006B272D"/>
    <w:rsid w:val="006B294F"/>
    <w:rsid w:val="006B29A3"/>
    <w:rsid w:val="006B2A5D"/>
    <w:rsid w:val="006B2B91"/>
    <w:rsid w:val="006B2B92"/>
    <w:rsid w:val="006B2E9B"/>
    <w:rsid w:val="006B3015"/>
    <w:rsid w:val="006B349B"/>
    <w:rsid w:val="006B35CD"/>
    <w:rsid w:val="006B3890"/>
    <w:rsid w:val="006B39A6"/>
    <w:rsid w:val="006B3A98"/>
    <w:rsid w:val="006B3AB5"/>
    <w:rsid w:val="006B3B58"/>
    <w:rsid w:val="006B3F59"/>
    <w:rsid w:val="006B40E2"/>
    <w:rsid w:val="006B4178"/>
    <w:rsid w:val="006B41DD"/>
    <w:rsid w:val="006B4279"/>
    <w:rsid w:val="006B427C"/>
    <w:rsid w:val="006B43C2"/>
    <w:rsid w:val="006B4533"/>
    <w:rsid w:val="006B453C"/>
    <w:rsid w:val="006B4743"/>
    <w:rsid w:val="006B493B"/>
    <w:rsid w:val="006B49AF"/>
    <w:rsid w:val="006B4CF8"/>
    <w:rsid w:val="006B4EE5"/>
    <w:rsid w:val="006B5043"/>
    <w:rsid w:val="006B5188"/>
    <w:rsid w:val="006B568C"/>
    <w:rsid w:val="006B57C6"/>
    <w:rsid w:val="006B5975"/>
    <w:rsid w:val="006B5F76"/>
    <w:rsid w:val="006B5FFF"/>
    <w:rsid w:val="006B62E8"/>
    <w:rsid w:val="006B63F0"/>
    <w:rsid w:val="006B63F7"/>
    <w:rsid w:val="006B64D1"/>
    <w:rsid w:val="006B6538"/>
    <w:rsid w:val="006B65EB"/>
    <w:rsid w:val="006B66A9"/>
    <w:rsid w:val="006B66B1"/>
    <w:rsid w:val="006B6808"/>
    <w:rsid w:val="006B6D5A"/>
    <w:rsid w:val="006B70EA"/>
    <w:rsid w:val="006B7384"/>
    <w:rsid w:val="006B7496"/>
    <w:rsid w:val="006B7728"/>
    <w:rsid w:val="006B77FE"/>
    <w:rsid w:val="006B78AF"/>
    <w:rsid w:val="006B7B08"/>
    <w:rsid w:val="006B7C09"/>
    <w:rsid w:val="006B7CEF"/>
    <w:rsid w:val="006B7D97"/>
    <w:rsid w:val="006B7DBA"/>
    <w:rsid w:val="006B7E25"/>
    <w:rsid w:val="006B7EA3"/>
    <w:rsid w:val="006B7F4A"/>
    <w:rsid w:val="006C0055"/>
    <w:rsid w:val="006C0299"/>
    <w:rsid w:val="006C03E3"/>
    <w:rsid w:val="006C03EF"/>
    <w:rsid w:val="006C04AF"/>
    <w:rsid w:val="006C0620"/>
    <w:rsid w:val="006C068A"/>
    <w:rsid w:val="006C0749"/>
    <w:rsid w:val="006C07D4"/>
    <w:rsid w:val="006C0833"/>
    <w:rsid w:val="006C0884"/>
    <w:rsid w:val="006C08E1"/>
    <w:rsid w:val="006C09EF"/>
    <w:rsid w:val="006C0A97"/>
    <w:rsid w:val="006C0AE5"/>
    <w:rsid w:val="006C0E85"/>
    <w:rsid w:val="006C0E91"/>
    <w:rsid w:val="006C0F0D"/>
    <w:rsid w:val="006C0F64"/>
    <w:rsid w:val="006C1006"/>
    <w:rsid w:val="006C11BB"/>
    <w:rsid w:val="006C131A"/>
    <w:rsid w:val="006C1728"/>
    <w:rsid w:val="006C1729"/>
    <w:rsid w:val="006C17A1"/>
    <w:rsid w:val="006C18D4"/>
    <w:rsid w:val="006C18DC"/>
    <w:rsid w:val="006C19F4"/>
    <w:rsid w:val="006C1E40"/>
    <w:rsid w:val="006C1E42"/>
    <w:rsid w:val="006C2061"/>
    <w:rsid w:val="006C21DE"/>
    <w:rsid w:val="006C249D"/>
    <w:rsid w:val="006C25A4"/>
    <w:rsid w:val="006C2695"/>
    <w:rsid w:val="006C271C"/>
    <w:rsid w:val="006C2A30"/>
    <w:rsid w:val="006C2BEB"/>
    <w:rsid w:val="006C2BF9"/>
    <w:rsid w:val="006C2E1A"/>
    <w:rsid w:val="006C2E2F"/>
    <w:rsid w:val="006C30BD"/>
    <w:rsid w:val="006C30E8"/>
    <w:rsid w:val="006C311A"/>
    <w:rsid w:val="006C31BB"/>
    <w:rsid w:val="006C35D9"/>
    <w:rsid w:val="006C3633"/>
    <w:rsid w:val="006C373C"/>
    <w:rsid w:val="006C3777"/>
    <w:rsid w:val="006C37BA"/>
    <w:rsid w:val="006C3A41"/>
    <w:rsid w:val="006C3AE4"/>
    <w:rsid w:val="006C3D30"/>
    <w:rsid w:val="006C40B2"/>
    <w:rsid w:val="006C427A"/>
    <w:rsid w:val="006C43BA"/>
    <w:rsid w:val="006C46D2"/>
    <w:rsid w:val="006C47D6"/>
    <w:rsid w:val="006C492C"/>
    <w:rsid w:val="006C496B"/>
    <w:rsid w:val="006C4ABF"/>
    <w:rsid w:val="006C4B45"/>
    <w:rsid w:val="006C4F5B"/>
    <w:rsid w:val="006C55A5"/>
    <w:rsid w:val="006C5672"/>
    <w:rsid w:val="006C5756"/>
    <w:rsid w:val="006C5885"/>
    <w:rsid w:val="006C58C7"/>
    <w:rsid w:val="006C5AB6"/>
    <w:rsid w:val="006C5BD1"/>
    <w:rsid w:val="006C5BD8"/>
    <w:rsid w:val="006C5D96"/>
    <w:rsid w:val="006C5F0D"/>
    <w:rsid w:val="006C60FF"/>
    <w:rsid w:val="006C63AE"/>
    <w:rsid w:val="006C63CA"/>
    <w:rsid w:val="006C6514"/>
    <w:rsid w:val="006C694D"/>
    <w:rsid w:val="006C69F0"/>
    <w:rsid w:val="006C6A16"/>
    <w:rsid w:val="006C6B55"/>
    <w:rsid w:val="006C6C68"/>
    <w:rsid w:val="006C6CEA"/>
    <w:rsid w:val="006C6E76"/>
    <w:rsid w:val="006C71F6"/>
    <w:rsid w:val="006C7314"/>
    <w:rsid w:val="006C7458"/>
    <w:rsid w:val="006C75D8"/>
    <w:rsid w:val="006C75EF"/>
    <w:rsid w:val="006C7C82"/>
    <w:rsid w:val="006C7D52"/>
    <w:rsid w:val="006C7D87"/>
    <w:rsid w:val="006C7E08"/>
    <w:rsid w:val="006C7F5D"/>
    <w:rsid w:val="006C7FFA"/>
    <w:rsid w:val="006D0183"/>
    <w:rsid w:val="006D034D"/>
    <w:rsid w:val="006D05E2"/>
    <w:rsid w:val="006D06B2"/>
    <w:rsid w:val="006D0A44"/>
    <w:rsid w:val="006D0B0A"/>
    <w:rsid w:val="006D0D85"/>
    <w:rsid w:val="006D1027"/>
    <w:rsid w:val="006D10F1"/>
    <w:rsid w:val="006D115C"/>
    <w:rsid w:val="006D11DC"/>
    <w:rsid w:val="006D15AB"/>
    <w:rsid w:val="006D17D7"/>
    <w:rsid w:val="006D1841"/>
    <w:rsid w:val="006D1B79"/>
    <w:rsid w:val="006D251F"/>
    <w:rsid w:val="006D2524"/>
    <w:rsid w:val="006D2835"/>
    <w:rsid w:val="006D2980"/>
    <w:rsid w:val="006D2CCF"/>
    <w:rsid w:val="006D2CFB"/>
    <w:rsid w:val="006D2E66"/>
    <w:rsid w:val="006D2EB5"/>
    <w:rsid w:val="006D313A"/>
    <w:rsid w:val="006D318C"/>
    <w:rsid w:val="006D32A9"/>
    <w:rsid w:val="006D3350"/>
    <w:rsid w:val="006D3380"/>
    <w:rsid w:val="006D368E"/>
    <w:rsid w:val="006D36E7"/>
    <w:rsid w:val="006D372D"/>
    <w:rsid w:val="006D381D"/>
    <w:rsid w:val="006D3975"/>
    <w:rsid w:val="006D3C90"/>
    <w:rsid w:val="006D3CCF"/>
    <w:rsid w:val="006D3D8B"/>
    <w:rsid w:val="006D3F89"/>
    <w:rsid w:val="006D3FFC"/>
    <w:rsid w:val="006D4029"/>
    <w:rsid w:val="006D44DD"/>
    <w:rsid w:val="006D47E4"/>
    <w:rsid w:val="006D4990"/>
    <w:rsid w:val="006D49E8"/>
    <w:rsid w:val="006D4A12"/>
    <w:rsid w:val="006D4CC0"/>
    <w:rsid w:val="006D4DC7"/>
    <w:rsid w:val="006D4E37"/>
    <w:rsid w:val="006D509B"/>
    <w:rsid w:val="006D514E"/>
    <w:rsid w:val="006D519A"/>
    <w:rsid w:val="006D524E"/>
    <w:rsid w:val="006D586E"/>
    <w:rsid w:val="006D58BC"/>
    <w:rsid w:val="006D59C7"/>
    <w:rsid w:val="006D5B23"/>
    <w:rsid w:val="006D5BC6"/>
    <w:rsid w:val="006D5DC5"/>
    <w:rsid w:val="006D5DC7"/>
    <w:rsid w:val="006D5DE6"/>
    <w:rsid w:val="006D5E34"/>
    <w:rsid w:val="006D5EF8"/>
    <w:rsid w:val="006D6144"/>
    <w:rsid w:val="006D63B7"/>
    <w:rsid w:val="006D6522"/>
    <w:rsid w:val="006D693A"/>
    <w:rsid w:val="006D6B4C"/>
    <w:rsid w:val="006D6BD4"/>
    <w:rsid w:val="006D6BD7"/>
    <w:rsid w:val="006D6CFF"/>
    <w:rsid w:val="006D6D4B"/>
    <w:rsid w:val="006D709C"/>
    <w:rsid w:val="006D721F"/>
    <w:rsid w:val="006D7244"/>
    <w:rsid w:val="006D7443"/>
    <w:rsid w:val="006D747B"/>
    <w:rsid w:val="006D75D3"/>
    <w:rsid w:val="006D778B"/>
    <w:rsid w:val="006D7AD0"/>
    <w:rsid w:val="006D7B18"/>
    <w:rsid w:val="006D7D0D"/>
    <w:rsid w:val="006D7E38"/>
    <w:rsid w:val="006D7F67"/>
    <w:rsid w:val="006D7FEB"/>
    <w:rsid w:val="006E0058"/>
    <w:rsid w:val="006E04CC"/>
    <w:rsid w:val="006E071B"/>
    <w:rsid w:val="006E085E"/>
    <w:rsid w:val="006E0965"/>
    <w:rsid w:val="006E0A86"/>
    <w:rsid w:val="006E0B04"/>
    <w:rsid w:val="006E0D32"/>
    <w:rsid w:val="006E0E70"/>
    <w:rsid w:val="006E110A"/>
    <w:rsid w:val="006E119C"/>
    <w:rsid w:val="006E129F"/>
    <w:rsid w:val="006E1790"/>
    <w:rsid w:val="006E18C7"/>
    <w:rsid w:val="006E1A27"/>
    <w:rsid w:val="006E1AEA"/>
    <w:rsid w:val="006E1D1D"/>
    <w:rsid w:val="006E1E81"/>
    <w:rsid w:val="006E1EF0"/>
    <w:rsid w:val="006E238F"/>
    <w:rsid w:val="006E23C7"/>
    <w:rsid w:val="006E253A"/>
    <w:rsid w:val="006E2553"/>
    <w:rsid w:val="006E2587"/>
    <w:rsid w:val="006E25AD"/>
    <w:rsid w:val="006E279A"/>
    <w:rsid w:val="006E2C72"/>
    <w:rsid w:val="006E314D"/>
    <w:rsid w:val="006E3224"/>
    <w:rsid w:val="006E32B4"/>
    <w:rsid w:val="006E3538"/>
    <w:rsid w:val="006E3584"/>
    <w:rsid w:val="006E376B"/>
    <w:rsid w:val="006E37AE"/>
    <w:rsid w:val="006E399B"/>
    <w:rsid w:val="006E3A67"/>
    <w:rsid w:val="006E3A9C"/>
    <w:rsid w:val="006E3F72"/>
    <w:rsid w:val="006E3F94"/>
    <w:rsid w:val="006E407A"/>
    <w:rsid w:val="006E467F"/>
    <w:rsid w:val="006E46E2"/>
    <w:rsid w:val="006E485C"/>
    <w:rsid w:val="006E4D12"/>
    <w:rsid w:val="006E4DE5"/>
    <w:rsid w:val="006E4F41"/>
    <w:rsid w:val="006E503B"/>
    <w:rsid w:val="006E50AA"/>
    <w:rsid w:val="006E5179"/>
    <w:rsid w:val="006E52DE"/>
    <w:rsid w:val="006E5305"/>
    <w:rsid w:val="006E539C"/>
    <w:rsid w:val="006E545B"/>
    <w:rsid w:val="006E55EA"/>
    <w:rsid w:val="006E5605"/>
    <w:rsid w:val="006E565B"/>
    <w:rsid w:val="006E572C"/>
    <w:rsid w:val="006E572E"/>
    <w:rsid w:val="006E590C"/>
    <w:rsid w:val="006E59B7"/>
    <w:rsid w:val="006E5ADA"/>
    <w:rsid w:val="006E5B98"/>
    <w:rsid w:val="006E5BB7"/>
    <w:rsid w:val="006E5C22"/>
    <w:rsid w:val="006E5E14"/>
    <w:rsid w:val="006E5EA3"/>
    <w:rsid w:val="006E6167"/>
    <w:rsid w:val="006E6531"/>
    <w:rsid w:val="006E67A4"/>
    <w:rsid w:val="006E6B32"/>
    <w:rsid w:val="006E6CB1"/>
    <w:rsid w:val="006E6D85"/>
    <w:rsid w:val="006E6DF0"/>
    <w:rsid w:val="006E6F3C"/>
    <w:rsid w:val="006E6F89"/>
    <w:rsid w:val="006E7075"/>
    <w:rsid w:val="006E7211"/>
    <w:rsid w:val="006E7482"/>
    <w:rsid w:val="006E762F"/>
    <w:rsid w:val="006E7732"/>
    <w:rsid w:val="006E7886"/>
    <w:rsid w:val="006E78AD"/>
    <w:rsid w:val="006E78D6"/>
    <w:rsid w:val="006E7B45"/>
    <w:rsid w:val="006E7E63"/>
    <w:rsid w:val="006E7F68"/>
    <w:rsid w:val="006E7F96"/>
    <w:rsid w:val="006F036D"/>
    <w:rsid w:val="006F05A3"/>
    <w:rsid w:val="006F06E3"/>
    <w:rsid w:val="006F0784"/>
    <w:rsid w:val="006F089C"/>
    <w:rsid w:val="006F0ADF"/>
    <w:rsid w:val="006F0B1B"/>
    <w:rsid w:val="006F0D46"/>
    <w:rsid w:val="006F0D54"/>
    <w:rsid w:val="006F0E29"/>
    <w:rsid w:val="006F0ED9"/>
    <w:rsid w:val="006F11D3"/>
    <w:rsid w:val="006F1311"/>
    <w:rsid w:val="006F1374"/>
    <w:rsid w:val="006F1394"/>
    <w:rsid w:val="006F13E3"/>
    <w:rsid w:val="006F141C"/>
    <w:rsid w:val="006F1717"/>
    <w:rsid w:val="006F1732"/>
    <w:rsid w:val="006F1733"/>
    <w:rsid w:val="006F1752"/>
    <w:rsid w:val="006F184B"/>
    <w:rsid w:val="006F1857"/>
    <w:rsid w:val="006F1901"/>
    <w:rsid w:val="006F192E"/>
    <w:rsid w:val="006F1A7B"/>
    <w:rsid w:val="006F1D4A"/>
    <w:rsid w:val="006F1DC9"/>
    <w:rsid w:val="006F1DFF"/>
    <w:rsid w:val="006F2070"/>
    <w:rsid w:val="006F21BF"/>
    <w:rsid w:val="006F2229"/>
    <w:rsid w:val="006F272C"/>
    <w:rsid w:val="006F2ADF"/>
    <w:rsid w:val="006F2B18"/>
    <w:rsid w:val="006F2BED"/>
    <w:rsid w:val="006F31F8"/>
    <w:rsid w:val="006F32C0"/>
    <w:rsid w:val="006F3645"/>
    <w:rsid w:val="006F37DE"/>
    <w:rsid w:val="006F38AB"/>
    <w:rsid w:val="006F39D0"/>
    <w:rsid w:val="006F39F8"/>
    <w:rsid w:val="006F3A25"/>
    <w:rsid w:val="006F3CEE"/>
    <w:rsid w:val="006F3D15"/>
    <w:rsid w:val="006F3E9E"/>
    <w:rsid w:val="006F3FAF"/>
    <w:rsid w:val="006F4027"/>
    <w:rsid w:val="006F430B"/>
    <w:rsid w:val="006F435F"/>
    <w:rsid w:val="006F43C9"/>
    <w:rsid w:val="006F4483"/>
    <w:rsid w:val="006F4524"/>
    <w:rsid w:val="006F4914"/>
    <w:rsid w:val="006F49BB"/>
    <w:rsid w:val="006F4AD6"/>
    <w:rsid w:val="006F4B36"/>
    <w:rsid w:val="006F4C9F"/>
    <w:rsid w:val="006F4F58"/>
    <w:rsid w:val="006F51F6"/>
    <w:rsid w:val="006F5225"/>
    <w:rsid w:val="006F53B3"/>
    <w:rsid w:val="006F55B8"/>
    <w:rsid w:val="006F560F"/>
    <w:rsid w:val="006F56A8"/>
    <w:rsid w:val="006F574B"/>
    <w:rsid w:val="006F5E57"/>
    <w:rsid w:val="006F5E99"/>
    <w:rsid w:val="006F5FED"/>
    <w:rsid w:val="006F61A7"/>
    <w:rsid w:val="006F66F2"/>
    <w:rsid w:val="006F68B3"/>
    <w:rsid w:val="006F6974"/>
    <w:rsid w:val="006F6C3F"/>
    <w:rsid w:val="006F6E06"/>
    <w:rsid w:val="006F6F55"/>
    <w:rsid w:val="006F6FFE"/>
    <w:rsid w:val="006F7146"/>
    <w:rsid w:val="006F71A8"/>
    <w:rsid w:val="006F7342"/>
    <w:rsid w:val="006F734C"/>
    <w:rsid w:val="006F74A5"/>
    <w:rsid w:val="006F7699"/>
    <w:rsid w:val="006F76AC"/>
    <w:rsid w:val="006F77C9"/>
    <w:rsid w:val="006F798A"/>
    <w:rsid w:val="006F7A75"/>
    <w:rsid w:val="006F7CE5"/>
    <w:rsid w:val="006F7EB6"/>
    <w:rsid w:val="006F7EE0"/>
    <w:rsid w:val="006F7F8A"/>
    <w:rsid w:val="007000C7"/>
    <w:rsid w:val="00700207"/>
    <w:rsid w:val="00700219"/>
    <w:rsid w:val="00700224"/>
    <w:rsid w:val="00700616"/>
    <w:rsid w:val="0070087C"/>
    <w:rsid w:val="007009EF"/>
    <w:rsid w:val="00700A66"/>
    <w:rsid w:val="00700A79"/>
    <w:rsid w:val="00700B89"/>
    <w:rsid w:val="00700EE2"/>
    <w:rsid w:val="007011AB"/>
    <w:rsid w:val="00701271"/>
    <w:rsid w:val="007012F8"/>
    <w:rsid w:val="00701373"/>
    <w:rsid w:val="0070149D"/>
    <w:rsid w:val="007015D2"/>
    <w:rsid w:val="00701640"/>
    <w:rsid w:val="007018C0"/>
    <w:rsid w:val="00701A92"/>
    <w:rsid w:val="00701DB1"/>
    <w:rsid w:val="00701F52"/>
    <w:rsid w:val="00701F5A"/>
    <w:rsid w:val="00702098"/>
    <w:rsid w:val="00702397"/>
    <w:rsid w:val="007026D2"/>
    <w:rsid w:val="0070290D"/>
    <w:rsid w:val="00702B03"/>
    <w:rsid w:val="00702BC7"/>
    <w:rsid w:val="00702CA8"/>
    <w:rsid w:val="00702DBF"/>
    <w:rsid w:val="00702E3D"/>
    <w:rsid w:val="00702FEF"/>
    <w:rsid w:val="007030FC"/>
    <w:rsid w:val="007031B5"/>
    <w:rsid w:val="007031ED"/>
    <w:rsid w:val="00703222"/>
    <w:rsid w:val="007034E0"/>
    <w:rsid w:val="0070361A"/>
    <w:rsid w:val="007036D7"/>
    <w:rsid w:val="007037A5"/>
    <w:rsid w:val="007037BC"/>
    <w:rsid w:val="00703810"/>
    <w:rsid w:val="00703927"/>
    <w:rsid w:val="007039CA"/>
    <w:rsid w:val="00703B48"/>
    <w:rsid w:val="00703CC3"/>
    <w:rsid w:val="007048B4"/>
    <w:rsid w:val="0070491D"/>
    <w:rsid w:val="00704933"/>
    <w:rsid w:val="00704DF8"/>
    <w:rsid w:val="00704F54"/>
    <w:rsid w:val="007051FA"/>
    <w:rsid w:val="00705228"/>
    <w:rsid w:val="00705317"/>
    <w:rsid w:val="007055B2"/>
    <w:rsid w:val="0070563B"/>
    <w:rsid w:val="0070581D"/>
    <w:rsid w:val="007059BF"/>
    <w:rsid w:val="00705A47"/>
    <w:rsid w:val="00705AD2"/>
    <w:rsid w:val="00705CBB"/>
    <w:rsid w:val="00705F10"/>
    <w:rsid w:val="00705F16"/>
    <w:rsid w:val="00705FCF"/>
    <w:rsid w:val="007060BF"/>
    <w:rsid w:val="007061C7"/>
    <w:rsid w:val="00706470"/>
    <w:rsid w:val="0070661A"/>
    <w:rsid w:val="0070665D"/>
    <w:rsid w:val="00706660"/>
    <w:rsid w:val="007068BB"/>
    <w:rsid w:val="00706AEE"/>
    <w:rsid w:val="00706BF9"/>
    <w:rsid w:val="00706C7B"/>
    <w:rsid w:val="00706D5A"/>
    <w:rsid w:val="00706F69"/>
    <w:rsid w:val="00707367"/>
    <w:rsid w:val="007076D2"/>
    <w:rsid w:val="00707797"/>
    <w:rsid w:val="00707834"/>
    <w:rsid w:val="007078A1"/>
    <w:rsid w:val="00707B7E"/>
    <w:rsid w:val="00707CC7"/>
    <w:rsid w:val="00707E27"/>
    <w:rsid w:val="00707E86"/>
    <w:rsid w:val="00710019"/>
    <w:rsid w:val="007100BE"/>
    <w:rsid w:val="00710193"/>
    <w:rsid w:val="00710663"/>
    <w:rsid w:val="007109E4"/>
    <w:rsid w:val="00710ADC"/>
    <w:rsid w:val="00710BEA"/>
    <w:rsid w:val="00710D19"/>
    <w:rsid w:val="00710DBA"/>
    <w:rsid w:val="00710F05"/>
    <w:rsid w:val="00710F47"/>
    <w:rsid w:val="007110ED"/>
    <w:rsid w:val="007112B0"/>
    <w:rsid w:val="00711351"/>
    <w:rsid w:val="007114F3"/>
    <w:rsid w:val="007114F5"/>
    <w:rsid w:val="00711675"/>
    <w:rsid w:val="007116D1"/>
    <w:rsid w:val="0071193C"/>
    <w:rsid w:val="00711C02"/>
    <w:rsid w:val="00711C8E"/>
    <w:rsid w:val="007120B2"/>
    <w:rsid w:val="007124A6"/>
    <w:rsid w:val="00712574"/>
    <w:rsid w:val="007125E0"/>
    <w:rsid w:val="00712852"/>
    <w:rsid w:val="0071291A"/>
    <w:rsid w:val="00712B2E"/>
    <w:rsid w:val="00712D48"/>
    <w:rsid w:val="00712F5A"/>
    <w:rsid w:val="00712F8E"/>
    <w:rsid w:val="00713051"/>
    <w:rsid w:val="0071335D"/>
    <w:rsid w:val="007133FE"/>
    <w:rsid w:val="0071373B"/>
    <w:rsid w:val="00713781"/>
    <w:rsid w:val="00713812"/>
    <w:rsid w:val="00713D6A"/>
    <w:rsid w:val="00713E66"/>
    <w:rsid w:val="007141B7"/>
    <w:rsid w:val="00714298"/>
    <w:rsid w:val="0071436C"/>
    <w:rsid w:val="00714374"/>
    <w:rsid w:val="007143F1"/>
    <w:rsid w:val="0071479C"/>
    <w:rsid w:val="007149B0"/>
    <w:rsid w:val="00714D77"/>
    <w:rsid w:val="00714DEB"/>
    <w:rsid w:val="00714FCF"/>
    <w:rsid w:val="00715081"/>
    <w:rsid w:val="007156A4"/>
    <w:rsid w:val="00715894"/>
    <w:rsid w:val="007158AD"/>
    <w:rsid w:val="0071590F"/>
    <w:rsid w:val="00715B04"/>
    <w:rsid w:val="00715B5F"/>
    <w:rsid w:val="00716419"/>
    <w:rsid w:val="00716460"/>
    <w:rsid w:val="00716975"/>
    <w:rsid w:val="00716B22"/>
    <w:rsid w:val="00716B28"/>
    <w:rsid w:val="00716BA3"/>
    <w:rsid w:val="00716BCD"/>
    <w:rsid w:val="00716C0A"/>
    <w:rsid w:val="00716D61"/>
    <w:rsid w:val="00716DA2"/>
    <w:rsid w:val="00716E5C"/>
    <w:rsid w:val="00716ED9"/>
    <w:rsid w:val="00716F1F"/>
    <w:rsid w:val="00716F56"/>
    <w:rsid w:val="00717021"/>
    <w:rsid w:val="0071705B"/>
    <w:rsid w:val="00717203"/>
    <w:rsid w:val="007172AF"/>
    <w:rsid w:val="007175D0"/>
    <w:rsid w:val="007175D6"/>
    <w:rsid w:val="007175FA"/>
    <w:rsid w:val="00717BF2"/>
    <w:rsid w:val="00717C2D"/>
    <w:rsid w:val="00717CED"/>
    <w:rsid w:val="00717D2B"/>
    <w:rsid w:val="00717DE3"/>
    <w:rsid w:val="00720106"/>
    <w:rsid w:val="0072031F"/>
    <w:rsid w:val="007205B6"/>
    <w:rsid w:val="00720AEE"/>
    <w:rsid w:val="00720D09"/>
    <w:rsid w:val="00720D88"/>
    <w:rsid w:val="0072116B"/>
    <w:rsid w:val="00721471"/>
    <w:rsid w:val="00721738"/>
    <w:rsid w:val="0072179C"/>
    <w:rsid w:val="007217B2"/>
    <w:rsid w:val="007217F6"/>
    <w:rsid w:val="007217FA"/>
    <w:rsid w:val="0072197F"/>
    <w:rsid w:val="00721AFD"/>
    <w:rsid w:val="00721B44"/>
    <w:rsid w:val="00721C9F"/>
    <w:rsid w:val="00721E9A"/>
    <w:rsid w:val="00721EAD"/>
    <w:rsid w:val="00722090"/>
    <w:rsid w:val="00722279"/>
    <w:rsid w:val="0072249B"/>
    <w:rsid w:val="00722544"/>
    <w:rsid w:val="0072261E"/>
    <w:rsid w:val="00722784"/>
    <w:rsid w:val="007228C6"/>
    <w:rsid w:val="00722904"/>
    <w:rsid w:val="00722C6E"/>
    <w:rsid w:val="00722C85"/>
    <w:rsid w:val="00722D4E"/>
    <w:rsid w:val="00722EFD"/>
    <w:rsid w:val="00722F2B"/>
    <w:rsid w:val="00723111"/>
    <w:rsid w:val="00723117"/>
    <w:rsid w:val="007231D1"/>
    <w:rsid w:val="007232D2"/>
    <w:rsid w:val="00723346"/>
    <w:rsid w:val="007234F3"/>
    <w:rsid w:val="0072359D"/>
    <w:rsid w:val="0072370A"/>
    <w:rsid w:val="007238AC"/>
    <w:rsid w:val="00723904"/>
    <w:rsid w:val="00723A4F"/>
    <w:rsid w:val="00723B57"/>
    <w:rsid w:val="00723CD3"/>
    <w:rsid w:val="00723D3C"/>
    <w:rsid w:val="00723F06"/>
    <w:rsid w:val="00723F60"/>
    <w:rsid w:val="00723FA9"/>
    <w:rsid w:val="00724087"/>
    <w:rsid w:val="0072427C"/>
    <w:rsid w:val="0072442F"/>
    <w:rsid w:val="00724520"/>
    <w:rsid w:val="0072492E"/>
    <w:rsid w:val="0072494F"/>
    <w:rsid w:val="00724A4A"/>
    <w:rsid w:val="00724A99"/>
    <w:rsid w:val="00724B3F"/>
    <w:rsid w:val="00724C7D"/>
    <w:rsid w:val="00724F8D"/>
    <w:rsid w:val="00725341"/>
    <w:rsid w:val="007254DA"/>
    <w:rsid w:val="00725893"/>
    <w:rsid w:val="00725C1F"/>
    <w:rsid w:val="00725E2F"/>
    <w:rsid w:val="00725E7B"/>
    <w:rsid w:val="0072608D"/>
    <w:rsid w:val="007261AB"/>
    <w:rsid w:val="007263B4"/>
    <w:rsid w:val="00726529"/>
    <w:rsid w:val="007265A6"/>
    <w:rsid w:val="00726611"/>
    <w:rsid w:val="007266E5"/>
    <w:rsid w:val="0072683C"/>
    <w:rsid w:val="007271B0"/>
    <w:rsid w:val="00727362"/>
    <w:rsid w:val="00727395"/>
    <w:rsid w:val="00727406"/>
    <w:rsid w:val="007276CC"/>
    <w:rsid w:val="00727804"/>
    <w:rsid w:val="00727C17"/>
    <w:rsid w:val="00727C2D"/>
    <w:rsid w:val="0073007F"/>
    <w:rsid w:val="007304ED"/>
    <w:rsid w:val="0073054F"/>
    <w:rsid w:val="0073067D"/>
    <w:rsid w:val="007306C7"/>
    <w:rsid w:val="00730A99"/>
    <w:rsid w:val="00730AF9"/>
    <w:rsid w:val="00730C5D"/>
    <w:rsid w:val="00730C81"/>
    <w:rsid w:val="00730F09"/>
    <w:rsid w:val="00731041"/>
    <w:rsid w:val="00731233"/>
    <w:rsid w:val="00731243"/>
    <w:rsid w:val="00731333"/>
    <w:rsid w:val="007313C7"/>
    <w:rsid w:val="007316D0"/>
    <w:rsid w:val="00731749"/>
    <w:rsid w:val="0073188D"/>
    <w:rsid w:val="007318B4"/>
    <w:rsid w:val="00731AA8"/>
    <w:rsid w:val="00731D62"/>
    <w:rsid w:val="00731E27"/>
    <w:rsid w:val="007321CD"/>
    <w:rsid w:val="00732985"/>
    <w:rsid w:val="0073298A"/>
    <w:rsid w:val="00732A97"/>
    <w:rsid w:val="00732C11"/>
    <w:rsid w:val="00732ED5"/>
    <w:rsid w:val="007331CE"/>
    <w:rsid w:val="007331F1"/>
    <w:rsid w:val="00733483"/>
    <w:rsid w:val="007334C3"/>
    <w:rsid w:val="007336D3"/>
    <w:rsid w:val="0073370A"/>
    <w:rsid w:val="007337BE"/>
    <w:rsid w:val="00733B51"/>
    <w:rsid w:val="00733BF2"/>
    <w:rsid w:val="0073419C"/>
    <w:rsid w:val="007341C1"/>
    <w:rsid w:val="00734440"/>
    <w:rsid w:val="007346E3"/>
    <w:rsid w:val="00734824"/>
    <w:rsid w:val="007349E6"/>
    <w:rsid w:val="00734B3A"/>
    <w:rsid w:val="00734B82"/>
    <w:rsid w:val="00734D34"/>
    <w:rsid w:val="00734D44"/>
    <w:rsid w:val="00734E2B"/>
    <w:rsid w:val="007350E7"/>
    <w:rsid w:val="00735276"/>
    <w:rsid w:val="007352B8"/>
    <w:rsid w:val="00735509"/>
    <w:rsid w:val="00735531"/>
    <w:rsid w:val="007355B0"/>
    <w:rsid w:val="00735874"/>
    <w:rsid w:val="007359FD"/>
    <w:rsid w:val="00735A6C"/>
    <w:rsid w:val="00735AE5"/>
    <w:rsid w:val="00735B7F"/>
    <w:rsid w:val="00735EB1"/>
    <w:rsid w:val="0073621D"/>
    <w:rsid w:val="00736395"/>
    <w:rsid w:val="007363EC"/>
    <w:rsid w:val="00736472"/>
    <w:rsid w:val="00736912"/>
    <w:rsid w:val="007369CE"/>
    <w:rsid w:val="00736BC2"/>
    <w:rsid w:val="00736E1B"/>
    <w:rsid w:val="00736E60"/>
    <w:rsid w:val="00736FB9"/>
    <w:rsid w:val="00737251"/>
    <w:rsid w:val="0073725D"/>
    <w:rsid w:val="007375FE"/>
    <w:rsid w:val="00737A92"/>
    <w:rsid w:val="00737B11"/>
    <w:rsid w:val="00737B8F"/>
    <w:rsid w:val="00737C8D"/>
    <w:rsid w:val="0074016C"/>
    <w:rsid w:val="007403C7"/>
    <w:rsid w:val="007404C9"/>
    <w:rsid w:val="00740546"/>
    <w:rsid w:val="0074062A"/>
    <w:rsid w:val="00740683"/>
    <w:rsid w:val="00740807"/>
    <w:rsid w:val="00740AFE"/>
    <w:rsid w:val="00740C62"/>
    <w:rsid w:val="00740C9B"/>
    <w:rsid w:val="00740DEC"/>
    <w:rsid w:val="00740F12"/>
    <w:rsid w:val="00741018"/>
    <w:rsid w:val="00741056"/>
    <w:rsid w:val="00741119"/>
    <w:rsid w:val="0074113F"/>
    <w:rsid w:val="0074120F"/>
    <w:rsid w:val="007412A4"/>
    <w:rsid w:val="00741303"/>
    <w:rsid w:val="00741463"/>
    <w:rsid w:val="00741846"/>
    <w:rsid w:val="0074195F"/>
    <w:rsid w:val="00741BF0"/>
    <w:rsid w:val="0074200C"/>
    <w:rsid w:val="00742050"/>
    <w:rsid w:val="007420A0"/>
    <w:rsid w:val="00742322"/>
    <w:rsid w:val="007423C2"/>
    <w:rsid w:val="00742547"/>
    <w:rsid w:val="0074258A"/>
    <w:rsid w:val="00742655"/>
    <w:rsid w:val="00742A04"/>
    <w:rsid w:val="00742EAC"/>
    <w:rsid w:val="00742F59"/>
    <w:rsid w:val="00743024"/>
    <w:rsid w:val="0074302F"/>
    <w:rsid w:val="007431B6"/>
    <w:rsid w:val="0074323F"/>
    <w:rsid w:val="0074332E"/>
    <w:rsid w:val="00743357"/>
    <w:rsid w:val="007433F0"/>
    <w:rsid w:val="007434AF"/>
    <w:rsid w:val="00743679"/>
    <w:rsid w:val="00743715"/>
    <w:rsid w:val="0074394E"/>
    <w:rsid w:val="007439C2"/>
    <w:rsid w:val="00743A1F"/>
    <w:rsid w:val="00743AAF"/>
    <w:rsid w:val="00743B68"/>
    <w:rsid w:val="00743BEE"/>
    <w:rsid w:val="007440E3"/>
    <w:rsid w:val="007442F8"/>
    <w:rsid w:val="00744358"/>
    <w:rsid w:val="00744434"/>
    <w:rsid w:val="00744465"/>
    <w:rsid w:val="00744520"/>
    <w:rsid w:val="007446D3"/>
    <w:rsid w:val="007446E2"/>
    <w:rsid w:val="00744707"/>
    <w:rsid w:val="007447BB"/>
    <w:rsid w:val="00744889"/>
    <w:rsid w:val="007448FD"/>
    <w:rsid w:val="007448FE"/>
    <w:rsid w:val="0074499F"/>
    <w:rsid w:val="00744F4D"/>
    <w:rsid w:val="007451CE"/>
    <w:rsid w:val="0074545F"/>
    <w:rsid w:val="00745557"/>
    <w:rsid w:val="00745679"/>
    <w:rsid w:val="0074586E"/>
    <w:rsid w:val="00745878"/>
    <w:rsid w:val="00745C55"/>
    <w:rsid w:val="00745C7A"/>
    <w:rsid w:val="00745DE6"/>
    <w:rsid w:val="00745F16"/>
    <w:rsid w:val="0074600E"/>
    <w:rsid w:val="00746173"/>
    <w:rsid w:val="007461EE"/>
    <w:rsid w:val="00746201"/>
    <w:rsid w:val="00746469"/>
    <w:rsid w:val="00746ABE"/>
    <w:rsid w:val="00746DC7"/>
    <w:rsid w:val="00746E0C"/>
    <w:rsid w:val="00746F04"/>
    <w:rsid w:val="00746FD4"/>
    <w:rsid w:val="00747404"/>
    <w:rsid w:val="00747656"/>
    <w:rsid w:val="00747670"/>
    <w:rsid w:val="007476D0"/>
    <w:rsid w:val="007477D3"/>
    <w:rsid w:val="007477E4"/>
    <w:rsid w:val="00747841"/>
    <w:rsid w:val="007479CD"/>
    <w:rsid w:val="00747B71"/>
    <w:rsid w:val="00747DBE"/>
    <w:rsid w:val="00747EB3"/>
    <w:rsid w:val="00750093"/>
    <w:rsid w:val="00750715"/>
    <w:rsid w:val="00750725"/>
    <w:rsid w:val="00750B0C"/>
    <w:rsid w:val="00750B71"/>
    <w:rsid w:val="00751195"/>
    <w:rsid w:val="00751285"/>
    <w:rsid w:val="0075138D"/>
    <w:rsid w:val="0075163F"/>
    <w:rsid w:val="007517CC"/>
    <w:rsid w:val="007517D0"/>
    <w:rsid w:val="00751856"/>
    <w:rsid w:val="007519EA"/>
    <w:rsid w:val="00751A24"/>
    <w:rsid w:val="00751A52"/>
    <w:rsid w:val="00751AEE"/>
    <w:rsid w:val="00751BDC"/>
    <w:rsid w:val="00751E76"/>
    <w:rsid w:val="00751FC1"/>
    <w:rsid w:val="007521F7"/>
    <w:rsid w:val="00752241"/>
    <w:rsid w:val="00752305"/>
    <w:rsid w:val="0075264A"/>
    <w:rsid w:val="0075270B"/>
    <w:rsid w:val="007528F3"/>
    <w:rsid w:val="00752B49"/>
    <w:rsid w:val="00752B63"/>
    <w:rsid w:val="00752C08"/>
    <w:rsid w:val="00752CA2"/>
    <w:rsid w:val="00752D62"/>
    <w:rsid w:val="00752E41"/>
    <w:rsid w:val="00752FA9"/>
    <w:rsid w:val="007530A5"/>
    <w:rsid w:val="00753388"/>
    <w:rsid w:val="0075344B"/>
    <w:rsid w:val="00753511"/>
    <w:rsid w:val="0075359A"/>
    <w:rsid w:val="00753718"/>
    <w:rsid w:val="00753770"/>
    <w:rsid w:val="00753AD1"/>
    <w:rsid w:val="00753B54"/>
    <w:rsid w:val="00753B62"/>
    <w:rsid w:val="00753E2B"/>
    <w:rsid w:val="00753F43"/>
    <w:rsid w:val="00754114"/>
    <w:rsid w:val="007541A7"/>
    <w:rsid w:val="007541C8"/>
    <w:rsid w:val="0075439D"/>
    <w:rsid w:val="00754940"/>
    <w:rsid w:val="00754B80"/>
    <w:rsid w:val="00754C79"/>
    <w:rsid w:val="007551B2"/>
    <w:rsid w:val="00755D64"/>
    <w:rsid w:val="00755DF6"/>
    <w:rsid w:val="00755E64"/>
    <w:rsid w:val="00755EAE"/>
    <w:rsid w:val="0075601E"/>
    <w:rsid w:val="00756179"/>
    <w:rsid w:val="00756288"/>
    <w:rsid w:val="00756494"/>
    <w:rsid w:val="00756549"/>
    <w:rsid w:val="00756773"/>
    <w:rsid w:val="0075683F"/>
    <w:rsid w:val="007569E1"/>
    <w:rsid w:val="00756B2E"/>
    <w:rsid w:val="00756B85"/>
    <w:rsid w:val="00756CDD"/>
    <w:rsid w:val="00756D00"/>
    <w:rsid w:val="00756ED5"/>
    <w:rsid w:val="00757020"/>
    <w:rsid w:val="007570C9"/>
    <w:rsid w:val="00757107"/>
    <w:rsid w:val="0075712D"/>
    <w:rsid w:val="00757231"/>
    <w:rsid w:val="00757345"/>
    <w:rsid w:val="007575EC"/>
    <w:rsid w:val="0075793E"/>
    <w:rsid w:val="00757D8B"/>
    <w:rsid w:val="00757E54"/>
    <w:rsid w:val="00757EC5"/>
    <w:rsid w:val="00757F02"/>
    <w:rsid w:val="00757F58"/>
    <w:rsid w:val="0076018A"/>
    <w:rsid w:val="0076023F"/>
    <w:rsid w:val="00760478"/>
    <w:rsid w:val="0076073E"/>
    <w:rsid w:val="007608A0"/>
    <w:rsid w:val="007608FB"/>
    <w:rsid w:val="00760A2F"/>
    <w:rsid w:val="00760AED"/>
    <w:rsid w:val="00760BAA"/>
    <w:rsid w:val="00760E08"/>
    <w:rsid w:val="00760F87"/>
    <w:rsid w:val="0076100A"/>
    <w:rsid w:val="00761021"/>
    <w:rsid w:val="0076109F"/>
    <w:rsid w:val="00761162"/>
    <w:rsid w:val="00761342"/>
    <w:rsid w:val="00761507"/>
    <w:rsid w:val="00761603"/>
    <w:rsid w:val="00761765"/>
    <w:rsid w:val="007617D8"/>
    <w:rsid w:val="0076195C"/>
    <w:rsid w:val="00761A87"/>
    <w:rsid w:val="00761CBE"/>
    <w:rsid w:val="00761CC6"/>
    <w:rsid w:val="00761CE7"/>
    <w:rsid w:val="00761D84"/>
    <w:rsid w:val="00761DD3"/>
    <w:rsid w:val="00762082"/>
    <w:rsid w:val="00762244"/>
    <w:rsid w:val="0076238E"/>
    <w:rsid w:val="007625E6"/>
    <w:rsid w:val="00762698"/>
    <w:rsid w:val="00762AA8"/>
    <w:rsid w:val="00762E86"/>
    <w:rsid w:val="00762F97"/>
    <w:rsid w:val="00763005"/>
    <w:rsid w:val="007631B8"/>
    <w:rsid w:val="007632D9"/>
    <w:rsid w:val="00763461"/>
    <w:rsid w:val="00763462"/>
    <w:rsid w:val="007634A0"/>
    <w:rsid w:val="007634C5"/>
    <w:rsid w:val="007638A5"/>
    <w:rsid w:val="00763AED"/>
    <w:rsid w:val="00763D03"/>
    <w:rsid w:val="00763EF2"/>
    <w:rsid w:val="00763F77"/>
    <w:rsid w:val="00764113"/>
    <w:rsid w:val="00764202"/>
    <w:rsid w:val="00764809"/>
    <w:rsid w:val="00764876"/>
    <w:rsid w:val="007648F7"/>
    <w:rsid w:val="007649C2"/>
    <w:rsid w:val="00764BF3"/>
    <w:rsid w:val="00764C83"/>
    <w:rsid w:val="00764DD0"/>
    <w:rsid w:val="00764E80"/>
    <w:rsid w:val="00764E93"/>
    <w:rsid w:val="00764FE0"/>
    <w:rsid w:val="00765034"/>
    <w:rsid w:val="00765072"/>
    <w:rsid w:val="0076521C"/>
    <w:rsid w:val="007652BE"/>
    <w:rsid w:val="007653D7"/>
    <w:rsid w:val="0076565A"/>
    <w:rsid w:val="00765789"/>
    <w:rsid w:val="00765890"/>
    <w:rsid w:val="007659DA"/>
    <w:rsid w:val="00765BAE"/>
    <w:rsid w:val="00765EC7"/>
    <w:rsid w:val="007660B3"/>
    <w:rsid w:val="0076641D"/>
    <w:rsid w:val="0076642B"/>
    <w:rsid w:val="007664FC"/>
    <w:rsid w:val="00766543"/>
    <w:rsid w:val="00766978"/>
    <w:rsid w:val="00766C79"/>
    <w:rsid w:val="00766CE7"/>
    <w:rsid w:val="00767193"/>
    <w:rsid w:val="007673F4"/>
    <w:rsid w:val="00767503"/>
    <w:rsid w:val="0076760E"/>
    <w:rsid w:val="00767695"/>
    <w:rsid w:val="00767B7E"/>
    <w:rsid w:val="00767C1A"/>
    <w:rsid w:val="00767E3C"/>
    <w:rsid w:val="00767F6D"/>
    <w:rsid w:val="0077000C"/>
    <w:rsid w:val="0077026C"/>
    <w:rsid w:val="007703DF"/>
    <w:rsid w:val="0077041E"/>
    <w:rsid w:val="00770614"/>
    <w:rsid w:val="00770838"/>
    <w:rsid w:val="00770E25"/>
    <w:rsid w:val="00770F01"/>
    <w:rsid w:val="00770F48"/>
    <w:rsid w:val="00770FE5"/>
    <w:rsid w:val="00770FF0"/>
    <w:rsid w:val="0077107A"/>
    <w:rsid w:val="007710CF"/>
    <w:rsid w:val="007712FE"/>
    <w:rsid w:val="00771342"/>
    <w:rsid w:val="00771558"/>
    <w:rsid w:val="00771788"/>
    <w:rsid w:val="007717A1"/>
    <w:rsid w:val="007718BE"/>
    <w:rsid w:val="00771C4E"/>
    <w:rsid w:val="00771CEB"/>
    <w:rsid w:val="00772012"/>
    <w:rsid w:val="0077205D"/>
    <w:rsid w:val="007721A9"/>
    <w:rsid w:val="007722BB"/>
    <w:rsid w:val="007722E9"/>
    <w:rsid w:val="00772328"/>
    <w:rsid w:val="00772911"/>
    <w:rsid w:val="0077299D"/>
    <w:rsid w:val="00772C7A"/>
    <w:rsid w:val="00772CF7"/>
    <w:rsid w:val="00772E0C"/>
    <w:rsid w:val="007730B0"/>
    <w:rsid w:val="0077313C"/>
    <w:rsid w:val="00773142"/>
    <w:rsid w:val="00773156"/>
    <w:rsid w:val="0077341C"/>
    <w:rsid w:val="00773585"/>
    <w:rsid w:val="0077397E"/>
    <w:rsid w:val="007739B8"/>
    <w:rsid w:val="00773B9F"/>
    <w:rsid w:val="00773C98"/>
    <w:rsid w:val="00773CE8"/>
    <w:rsid w:val="00773D9E"/>
    <w:rsid w:val="00773E26"/>
    <w:rsid w:val="00773F41"/>
    <w:rsid w:val="00773F5A"/>
    <w:rsid w:val="00773F8A"/>
    <w:rsid w:val="007740BC"/>
    <w:rsid w:val="00774144"/>
    <w:rsid w:val="007741FD"/>
    <w:rsid w:val="00774593"/>
    <w:rsid w:val="007745F5"/>
    <w:rsid w:val="007746A8"/>
    <w:rsid w:val="00774734"/>
    <w:rsid w:val="007748B0"/>
    <w:rsid w:val="00774994"/>
    <w:rsid w:val="007749EE"/>
    <w:rsid w:val="00774CCE"/>
    <w:rsid w:val="0077503E"/>
    <w:rsid w:val="007751BD"/>
    <w:rsid w:val="007753AC"/>
    <w:rsid w:val="007754BD"/>
    <w:rsid w:val="0077563D"/>
    <w:rsid w:val="0077569C"/>
    <w:rsid w:val="00775714"/>
    <w:rsid w:val="00775871"/>
    <w:rsid w:val="00775C3C"/>
    <w:rsid w:val="00775C94"/>
    <w:rsid w:val="00775D5A"/>
    <w:rsid w:val="00775F5D"/>
    <w:rsid w:val="0077619A"/>
    <w:rsid w:val="007763C0"/>
    <w:rsid w:val="007763E9"/>
    <w:rsid w:val="007766B0"/>
    <w:rsid w:val="007767F3"/>
    <w:rsid w:val="0077693D"/>
    <w:rsid w:val="00776C18"/>
    <w:rsid w:val="00776E9D"/>
    <w:rsid w:val="00776ED2"/>
    <w:rsid w:val="00777253"/>
    <w:rsid w:val="0077754D"/>
    <w:rsid w:val="007777E7"/>
    <w:rsid w:val="007778C5"/>
    <w:rsid w:val="007779AE"/>
    <w:rsid w:val="007779FC"/>
    <w:rsid w:val="00777A00"/>
    <w:rsid w:val="00777A57"/>
    <w:rsid w:val="00777BFE"/>
    <w:rsid w:val="00777E8E"/>
    <w:rsid w:val="00777F9A"/>
    <w:rsid w:val="0078027A"/>
    <w:rsid w:val="00780588"/>
    <w:rsid w:val="00780795"/>
    <w:rsid w:val="007807CD"/>
    <w:rsid w:val="0078080D"/>
    <w:rsid w:val="007808BA"/>
    <w:rsid w:val="007808CE"/>
    <w:rsid w:val="00780AB3"/>
    <w:rsid w:val="00780BF8"/>
    <w:rsid w:val="00780CBD"/>
    <w:rsid w:val="007811B7"/>
    <w:rsid w:val="007816AC"/>
    <w:rsid w:val="00781938"/>
    <w:rsid w:val="007819AD"/>
    <w:rsid w:val="007819BA"/>
    <w:rsid w:val="00781B9E"/>
    <w:rsid w:val="00782082"/>
    <w:rsid w:val="007824C2"/>
    <w:rsid w:val="00782578"/>
    <w:rsid w:val="00782751"/>
    <w:rsid w:val="00782B23"/>
    <w:rsid w:val="00782B26"/>
    <w:rsid w:val="00782D80"/>
    <w:rsid w:val="00782DEF"/>
    <w:rsid w:val="00782E04"/>
    <w:rsid w:val="00782ED9"/>
    <w:rsid w:val="00783166"/>
    <w:rsid w:val="0078329B"/>
    <w:rsid w:val="00783699"/>
    <w:rsid w:val="007836D6"/>
    <w:rsid w:val="00783B6F"/>
    <w:rsid w:val="00783BCE"/>
    <w:rsid w:val="00783D87"/>
    <w:rsid w:val="00783EFD"/>
    <w:rsid w:val="00784338"/>
    <w:rsid w:val="007844D8"/>
    <w:rsid w:val="007844E1"/>
    <w:rsid w:val="00784740"/>
    <w:rsid w:val="007847DE"/>
    <w:rsid w:val="007848AE"/>
    <w:rsid w:val="007848C0"/>
    <w:rsid w:val="00784A22"/>
    <w:rsid w:val="00784A69"/>
    <w:rsid w:val="00784A9A"/>
    <w:rsid w:val="00784B15"/>
    <w:rsid w:val="00784B38"/>
    <w:rsid w:val="00784C22"/>
    <w:rsid w:val="00784C2B"/>
    <w:rsid w:val="00784ED7"/>
    <w:rsid w:val="007852A2"/>
    <w:rsid w:val="007852C7"/>
    <w:rsid w:val="00785576"/>
    <w:rsid w:val="00785AE6"/>
    <w:rsid w:val="00785BD5"/>
    <w:rsid w:val="00785C62"/>
    <w:rsid w:val="00785D42"/>
    <w:rsid w:val="0078621D"/>
    <w:rsid w:val="007862FF"/>
    <w:rsid w:val="00786509"/>
    <w:rsid w:val="007866DB"/>
    <w:rsid w:val="00786825"/>
    <w:rsid w:val="0078682F"/>
    <w:rsid w:val="00786957"/>
    <w:rsid w:val="00786B39"/>
    <w:rsid w:val="00786C45"/>
    <w:rsid w:val="00786C4F"/>
    <w:rsid w:val="00786CB7"/>
    <w:rsid w:val="00786DF1"/>
    <w:rsid w:val="00787238"/>
    <w:rsid w:val="00787247"/>
    <w:rsid w:val="00787397"/>
    <w:rsid w:val="007875DF"/>
    <w:rsid w:val="0078778D"/>
    <w:rsid w:val="0078798E"/>
    <w:rsid w:val="00787D2D"/>
    <w:rsid w:val="00787EDC"/>
    <w:rsid w:val="00790014"/>
    <w:rsid w:val="0079035C"/>
    <w:rsid w:val="0079057F"/>
    <w:rsid w:val="00790643"/>
    <w:rsid w:val="0079068D"/>
    <w:rsid w:val="00790931"/>
    <w:rsid w:val="00790A1A"/>
    <w:rsid w:val="00790A48"/>
    <w:rsid w:val="00790B3C"/>
    <w:rsid w:val="00790BC3"/>
    <w:rsid w:val="00790C90"/>
    <w:rsid w:val="00790EDF"/>
    <w:rsid w:val="00791047"/>
    <w:rsid w:val="007910BD"/>
    <w:rsid w:val="007910DF"/>
    <w:rsid w:val="0079120D"/>
    <w:rsid w:val="00791426"/>
    <w:rsid w:val="00791B3E"/>
    <w:rsid w:val="00791BB1"/>
    <w:rsid w:val="00791CBE"/>
    <w:rsid w:val="00791D3D"/>
    <w:rsid w:val="00791D7C"/>
    <w:rsid w:val="00791FAF"/>
    <w:rsid w:val="00792121"/>
    <w:rsid w:val="007923AC"/>
    <w:rsid w:val="00792527"/>
    <w:rsid w:val="00792686"/>
    <w:rsid w:val="00792706"/>
    <w:rsid w:val="00792726"/>
    <w:rsid w:val="00792839"/>
    <w:rsid w:val="00792A1B"/>
    <w:rsid w:val="00793117"/>
    <w:rsid w:val="007933FD"/>
    <w:rsid w:val="00793576"/>
    <w:rsid w:val="00793756"/>
    <w:rsid w:val="00793875"/>
    <w:rsid w:val="00793C52"/>
    <w:rsid w:val="00793DE4"/>
    <w:rsid w:val="007940BF"/>
    <w:rsid w:val="00794220"/>
    <w:rsid w:val="00794243"/>
    <w:rsid w:val="00794389"/>
    <w:rsid w:val="00794672"/>
    <w:rsid w:val="00794715"/>
    <w:rsid w:val="007948C1"/>
    <w:rsid w:val="00794A56"/>
    <w:rsid w:val="00794B89"/>
    <w:rsid w:val="00794D31"/>
    <w:rsid w:val="00794F99"/>
    <w:rsid w:val="0079500D"/>
    <w:rsid w:val="007950B2"/>
    <w:rsid w:val="00795280"/>
    <w:rsid w:val="00795378"/>
    <w:rsid w:val="007953A7"/>
    <w:rsid w:val="00795426"/>
    <w:rsid w:val="0079559D"/>
    <w:rsid w:val="00795734"/>
    <w:rsid w:val="00795748"/>
    <w:rsid w:val="0079584C"/>
    <w:rsid w:val="007958F5"/>
    <w:rsid w:val="00795A68"/>
    <w:rsid w:val="00795CF0"/>
    <w:rsid w:val="007961D3"/>
    <w:rsid w:val="007962D3"/>
    <w:rsid w:val="00796A9A"/>
    <w:rsid w:val="00796B85"/>
    <w:rsid w:val="00796BAE"/>
    <w:rsid w:val="00796F47"/>
    <w:rsid w:val="007970E1"/>
    <w:rsid w:val="00797497"/>
    <w:rsid w:val="007976F4"/>
    <w:rsid w:val="0079774C"/>
    <w:rsid w:val="00797A5D"/>
    <w:rsid w:val="00797ABE"/>
    <w:rsid w:val="00797AED"/>
    <w:rsid w:val="00797BAA"/>
    <w:rsid w:val="00797CA7"/>
    <w:rsid w:val="00797D00"/>
    <w:rsid w:val="00797DF5"/>
    <w:rsid w:val="00797EC6"/>
    <w:rsid w:val="007A0163"/>
    <w:rsid w:val="007A0176"/>
    <w:rsid w:val="007A0794"/>
    <w:rsid w:val="007A0A0D"/>
    <w:rsid w:val="007A0CB7"/>
    <w:rsid w:val="007A0F68"/>
    <w:rsid w:val="007A1140"/>
    <w:rsid w:val="007A1163"/>
    <w:rsid w:val="007A15C3"/>
    <w:rsid w:val="007A1606"/>
    <w:rsid w:val="007A1692"/>
    <w:rsid w:val="007A1777"/>
    <w:rsid w:val="007A17DC"/>
    <w:rsid w:val="007A1898"/>
    <w:rsid w:val="007A18FB"/>
    <w:rsid w:val="007A199A"/>
    <w:rsid w:val="007A19E5"/>
    <w:rsid w:val="007A1AE0"/>
    <w:rsid w:val="007A1D1D"/>
    <w:rsid w:val="007A1D77"/>
    <w:rsid w:val="007A1D99"/>
    <w:rsid w:val="007A1F1E"/>
    <w:rsid w:val="007A1FDD"/>
    <w:rsid w:val="007A201B"/>
    <w:rsid w:val="007A2327"/>
    <w:rsid w:val="007A2664"/>
    <w:rsid w:val="007A26A7"/>
    <w:rsid w:val="007A26C2"/>
    <w:rsid w:val="007A2724"/>
    <w:rsid w:val="007A27D4"/>
    <w:rsid w:val="007A2A4D"/>
    <w:rsid w:val="007A2B6F"/>
    <w:rsid w:val="007A2C6B"/>
    <w:rsid w:val="007A2CFF"/>
    <w:rsid w:val="007A2FF6"/>
    <w:rsid w:val="007A3009"/>
    <w:rsid w:val="007A30D7"/>
    <w:rsid w:val="007A3201"/>
    <w:rsid w:val="007A322A"/>
    <w:rsid w:val="007A33D4"/>
    <w:rsid w:val="007A35CE"/>
    <w:rsid w:val="007A3659"/>
    <w:rsid w:val="007A37E9"/>
    <w:rsid w:val="007A396B"/>
    <w:rsid w:val="007A3B75"/>
    <w:rsid w:val="007A405C"/>
    <w:rsid w:val="007A4240"/>
    <w:rsid w:val="007A42AC"/>
    <w:rsid w:val="007A4354"/>
    <w:rsid w:val="007A483F"/>
    <w:rsid w:val="007A4C0A"/>
    <w:rsid w:val="007A4C2D"/>
    <w:rsid w:val="007A4D33"/>
    <w:rsid w:val="007A5025"/>
    <w:rsid w:val="007A5089"/>
    <w:rsid w:val="007A50A3"/>
    <w:rsid w:val="007A51C9"/>
    <w:rsid w:val="007A51F7"/>
    <w:rsid w:val="007A5302"/>
    <w:rsid w:val="007A5540"/>
    <w:rsid w:val="007A5587"/>
    <w:rsid w:val="007A55CF"/>
    <w:rsid w:val="007A5718"/>
    <w:rsid w:val="007A595C"/>
    <w:rsid w:val="007A5A4F"/>
    <w:rsid w:val="007A5DC9"/>
    <w:rsid w:val="007A5E08"/>
    <w:rsid w:val="007A5E17"/>
    <w:rsid w:val="007A5F04"/>
    <w:rsid w:val="007A5FF8"/>
    <w:rsid w:val="007A6075"/>
    <w:rsid w:val="007A620B"/>
    <w:rsid w:val="007A6322"/>
    <w:rsid w:val="007A633F"/>
    <w:rsid w:val="007A6489"/>
    <w:rsid w:val="007A687E"/>
    <w:rsid w:val="007A68CF"/>
    <w:rsid w:val="007A6B6A"/>
    <w:rsid w:val="007A6C18"/>
    <w:rsid w:val="007A6D8D"/>
    <w:rsid w:val="007A7167"/>
    <w:rsid w:val="007A72BE"/>
    <w:rsid w:val="007A7397"/>
    <w:rsid w:val="007A742B"/>
    <w:rsid w:val="007A762B"/>
    <w:rsid w:val="007A7866"/>
    <w:rsid w:val="007A7931"/>
    <w:rsid w:val="007A796E"/>
    <w:rsid w:val="007A79FA"/>
    <w:rsid w:val="007A7C9B"/>
    <w:rsid w:val="007A7D0E"/>
    <w:rsid w:val="007B0032"/>
    <w:rsid w:val="007B00D6"/>
    <w:rsid w:val="007B0190"/>
    <w:rsid w:val="007B0222"/>
    <w:rsid w:val="007B041C"/>
    <w:rsid w:val="007B05B2"/>
    <w:rsid w:val="007B05EE"/>
    <w:rsid w:val="007B0737"/>
    <w:rsid w:val="007B0793"/>
    <w:rsid w:val="007B0A4A"/>
    <w:rsid w:val="007B0BA5"/>
    <w:rsid w:val="007B0F43"/>
    <w:rsid w:val="007B1176"/>
    <w:rsid w:val="007B1362"/>
    <w:rsid w:val="007B147C"/>
    <w:rsid w:val="007B1529"/>
    <w:rsid w:val="007B1796"/>
    <w:rsid w:val="007B1A7A"/>
    <w:rsid w:val="007B1D54"/>
    <w:rsid w:val="007B1D9B"/>
    <w:rsid w:val="007B20C9"/>
    <w:rsid w:val="007B20F7"/>
    <w:rsid w:val="007B23E5"/>
    <w:rsid w:val="007B2420"/>
    <w:rsid w:val="007B2570"/>
    <w:rsid w:val="007B25CD"/>
    <w:rsid w:val="007B2A77"/>
    <w:rsid w:val="007B2DF8"/>
    <w:rsid w:val="007B2EBC"/>
    <w:rsid w:val="007B2F8E"/>
    <w:rsid w:val="007B307B"/>
    <w:rsid w:val="007B3412"/>
    <w:rsid w:val="007B36A8"/>
    <w:rsid w:val="007B3781"/>
    <w:rsid w:val="007B3953"/>
    <w:rsid w:val="007B3B2D"/>
    <w:rsid w:val="007B3C63"/>
    <w:rsid w:val="007B41B2"/>
    <w:rsid w:val="007B4615"/>
    <w:rsid w:val="007B469A"/>
    <w:rsid w:val="007B4778"/>
    <w:rsid w:val="007B4822"/>
    <w:rsid w:val="007B4CC3"/>
    <w:rsid w:val="007B4DB1"/>
    <w:rsid w:val="007B4EF6"/>
    <w:rsid w:val="007B5044"/>
    <w:rsid w:val="007B509D"/>
    <w:rsid w:val="007B50D0"/>
    <w:rsid w:val="007B52C6"/>
    <w:rsid w:val="007B53A6"/>
    <w:rsid w:val="007B5470"/>
    <w:rsid w:val="007B57C3"/>
    <w:rsid w:val="007B582C"/>
    <w:rsid w:val="007B59D1"/>
    <w:rsid w:val="007B5BDF"/>
    <w:rsid w:val="007B5BFD"/>
    <w:rsid w:val="007B5D08"/>
    <w:rsid w:val="007B5EDD"/>
    <w:rsid w:val="007B5F67"/>
    <w:rsid w:val="007B6021"/>
    <w:rsid w:val="007B62B3"/>
    <w:rsid w:val="007B6519"/>
    <w:rsid w:val="007B6671"/>
    <w:rsid w:val="007B6824"/>
    <w:rsid w:val="007B68C0"/>
    <w:rsid w:val="007B69A8"/>
    <w:rsid w:val="007B6ACA"/>
    <w:rsid w:val="007B6F33"/>
    <w:rsid w:val="007B6FAB"/>
    <w:rsid w:val="007B7118"/>
    <w:rsid w:val="007B7408"/>
    <w:rsid w:val="007B75B2"/>
    <w:rsid w:val="007B7758"/>
    <w:rsid w:val="007B793E"/>
    <w:rsid w:val="007B7A9C"/>
    <w:rsid w:val="007B7B51"/>
    <w:rsid w:val="007B7CDB"/>
    <w:rsid w:val="007B7D24"/>
    <w:rsid w:val="007B7EDA"/>
    <w:rsid w:val="007B7F2B"/>
    <w:rsid w:val="007B7FE1"/>
    <w:rsid w:val="007C00B2"/>
    <w:rsid w:val="007C053D"/>
    <w:rsid w:val="007C057F"/>
    <w:rsid w:val="007C05B4"/>
    <w:rsid w:val="007C0681"/>
    <w:rsid w:val="007C08C6"/>
    <w:rsid w:val="007C0B82"/>
    <w:rsid w:val="007C0D5D"/>
    <w:rsid w:val="007C0EF6"/>
    <w:rsid w:val="007C10BD"/>
    <w:rsid w:val="007C1125"/>
    <w:rsid w:val="007C11CC"/>
    <w:rsid w:val="007C1269"/>
    <w:rsid w:val="007C146D"/>
    <w:rsid w:val="007C14A6"/>
    <w:rsid w:val="007C1700"/>
    <w:rsid w:val="007C17B9"/>
    <w:rsid w:val="007C199B"/>
    <w:rsid w:val="007C1C34"/>
    <w:rsid w:val="007C1DFF"/>
    <w:rsid w:val="007C1E4C"/>
    <w:rsid w:val="007C1F84"/>
    <w:rsid w:val="007C1FDF"/>
    <w:rsid w:val="007C20DF"/>
    <w:rsid w:val="007C22C5"/>
    <w:rsid w:val="007C251B"/>
    <w:rsid w:val="007C2695"/>
    <w:rsid w:val="007C2BE2"/>
    <w:rsid w:val="007C2C23"/>
    <w:rsid w:val="007C2D2F"/>
    <w:rsid w:val="007C2F1D"/>
    <w:rsid w:val="007C30E1"/>
    <w:rsid w:val="007C3179"/>
    <w:rsid w:val="007C31C6"/>
    <w:rsid w:val="007C321E"/>
    <w:rsid w:val="007C33FB"/>
    <w:rsid w:val="007C34B7"/>
    <w:rsid w:val="007C34DD"/>
    <w:rsid w:val="007C394E"/>
    <w:rsid w:val="007C3B0C"/>
    <w:rsid w:val="007C3B1E"/>
    <w:rsid w:val="007C3D67"/>
    <w:rsid w:val="007C3FF7"/>
    <w:rsid w:val="007C40F4"/>
    <w:rsid w:val="007C4191"/>
    <w:rsid w:val="007C424D"/>
    <w:rsid w:val="007C498B"/>
    <w:rsid w:val="007C4AD3"/>
    <w:rsid w:val="007C4C1F"/>
    <w:rsid w:val="007C512D"/>
    <w:rsid w:val="007C53C4"/>
    <w:rsid w:val="007C5406"/>
    <w:rsid w:val="007C5431"/>
    <w:rsid w:val="007C55C5"/>
    <w:rsid w:val="007C5700"/>
    <w:rsid w:val="007C574C"/>
    <w:rsid w:val="007C582F"/>
    <w:rsid w:val="007C59F6"/>
    <w:rsid w:val="007C5A15"/>
    <w:rsid w:val="007C5A1E"/>
    <w:rsid w:val="007C5C96"/>
    <w:rsid w:val="007C5D34"/>
    <w:rsid w:val="007C5D7E"/>
    <w:rsid w:val="007C5E2E"/>
    <w:rsid w:val="007C5EEA"/>
    <w:rsid w:val="007C5F7C"/>
    <w:rsid w:val="007C6105"/>
    <w:rsid w:val="007C610B"/>
    <w:rsid w:val="007C6487"/>
    <w:rsid w:val="007C6628"/>
    <w:rsid w:val="007C66CB"/>
    <w:rsid w:val="007C6AAC"/>
    <w:rsid w:val="007C70FD"/>
    <w:rsid w:val="007C71AC"/>
    <w:rsid w:val="007C71AF"/>
    <w:rsid w:val="007C71E6"/>
    <w:rsid w:val="007C71FE"/>
    <w:rsid w:val="007C7544"/>
    <w:rsid w:val="007C756A"/>
    <w:rsid w:val="007C7644"/>
    <w:rsid w:val="007C7B33"/>
    <w:rsid w:val="007C7EF7"/>
    <w:rsid w:val="007D015E"/>
    <w:rsid w:val="007D023A"/>
    <w:rsid w:val="007D024F"/>
    <w:rsid w:val="007D051A"/>
    <w:rsid w:val="007D0894"/>
    <w:rsid w:val="007D090E"/>
    <w:rsid w:val="007D09EC"/>
    <w:rsid w:val="007D0A61"/>
    <w:rsid w:val="007D0F55"/>
    <w:rsid w:val="007D13E8"/>
    <w:rsid w:val="007D1AB2"/>
    <w:rsid w:val="007D1B51"/>
    <w:rsid w:val="007D1C2D"/>
    <w:rsid w:val="007D1C58"/>
    <w:rsid w:val="007D1D76"/>
    <w:rsid w:val="007D21D3"/>
    <w:rsid w:val="007D2205"/>
    <w:rsid w:val="007D249B"/>
    <w:rsid w:val="007D24E4"/>
    <w:rsid w:val="007D25E9"/>
    <w:rsid w:val="007D27CC"/>
    <w:rsid w:val="007D2813"/>
    <w:rsid w:val="007D2900"/>
    <w:rsid w:val="007D2A9C"/>
    <w:rsid w:val="007D2AB8"/>
    <w:rsid w:val="007D2ACE"/>
    <w:rsid w:val="007D2B50"/>
    <w:rsid w:val="007D2C74"/>
    <w:rsid w:val="007D2C79"/>
    <w:rsid w:val="007D2C8B"/>
    <w:rsid w:val="007D2E15"/>
    <w:rsid w:val="007D2E94"/>
    <w:rsid w:val="007D2F28"/>
    <w:rsid w:val="007D2FC9"/>
    <w:rsid w:val="007D3151"/>
    <w:rsid w:val="007D316C"/>
    <w:rsid w:val="007D32E0"/>
    <w:rsid w:val="007D345A"/>
    <w:rsid w:val="007D3635"/>
    <w:rsid w:val="007D375B"/>
    <w:rsid w:val="007D3A16"/>
    <w:rsid w:val="007D3A51"/>
    <w:rsid w:val="007D3CB1"/>
    <w:rsid w:val="007D3CCD"/>
    <w:rsid w:val="007D3CF1"/>
    <w:rsid w:val="007D3D15"/>
    <w:rsid w:val="007D3D5C"/>
    <w:rsid w:val="007D3E8B"/>
    <w:rsid w:val="007D3ED4"/>
    <w:rsid w:val="007D42BB"/>
    <w:rsid w:val="007D43B2"/>
    <w:rsid w:val="007D4555"/>
    <w:rsid w:val="007D467B"/>
    <w:rsid w:val="007D471C"/>
    <w:rsid w:val="007D480C"/>
    <w:rsid w:val="007D48CE"/>
    <w:rsid w:val="007D4989"/>
    <w:rsid w:val="007D4ACE"/>
    <w:rsid w:val="007D4AFD"/>
    <w:rsid w:val="007D4D01"/>
    <w:rsid w:val="007D4DC0"/>
    <w:rsid w:val="007D5188"/>
    <w:rsid w:val="007D5267"/>
    <w:rsid w:val="007D582B"/>
    <w:rsid w:val="007D5B29"/>
    <w:rsid w:val="007D5D3F"/>
    <w:rsid w:val="007D5DF5"/>
    <w:rsid w:val="007D5EA5"/>
    <w:rsid w:val="007D604B"/>
    <w:rsid w:val="007D60A9"/>
    <w:rsid w:val="007D60DB"/>
    <w:rsid w:val="007D6208"/>
    <w:rsid w:val="007D635B"/>
    <w:rsid w:val="007D64E8"/>
    <w:rsid w:val="007D65A5"/>
    <w:rsid w:val="007D66E3"/>
    <w:rsid w:val="007D6A9E"/>
    <w:rsid w:val="007D6B11"/>
    <w:rsid w:val="007D6D51"/>
    <w:rsid w:val="007D6F0A"/>
    <w:rsid w:val="007D737D"/>
    <w:rsid w:val="007D781A"/>
    <w:rsid w:val="007D7B6D"/>
    <w:rsid w:val="007D7CE0"/>
    <w:rsid w:val="007E0307"/>
    <w:rsid w:val="007E06D4"/>
    <w:rsid w:val="007E06EE"/>
    <w:rsid w:val="007E0706"/>
    <w:rsid w:val="007E074B"/>
    <w:rsid w:val="007E07A7"/>
    <w:rsid w:val="007E07CD"/>
    <w:rsid w:val="007E085B"/>
    <w:rsid w:val="007E0AEA"/>
    <w:rsid w:val="007E0C8C"/>
    <w:rsid w:val="007E0D03"/>
    <w:rsid w:val="007E106B"/>
    <w:rsid w:val="007E10A5"/>
    <w:rsid w:val="007E1347"/>
    <w:rsid w:val="007E1359"/>
    <w:rsid w:val="007E1379"/>
    <w:rsid w:val="007E13A2"/>
    <w:rsid w:val="007E154C"/>
    <w:rsid w:val="007E1577"/>
    <w:rsid w:val="007E15B2"/>
    <w:rsid w:val="007E183E"/>
    <w:rsid w:val="007E1984"/>
    <w:rsid w:val="007E1A6A"/>
    <w:rsid w:val="007E1B78"/>
    <w:rsid w:val="007E1D0F"/>
    <w:rsid w:val="007E1E17"/>
    <w:rsid w:val="007E1EBB"/>
    <w:rsid w:val="007E1FAF"/>
    <w:rsid w:val="007E23D9"/>
    <w:rsid w:val="007E23FF"/>
    <w:rsid w:val="007E262A"/>
    <w:rsid w:val="007E2779"/>
    <w:rsid w:val="007E27E8"/>
    <w:rsid w:val="007E29A6"/>
    <w:rsid w:val="007E2A5D"/>
    <w:rsid w:val="007E2BAA"/>
    <w:rsid w:val="007E2D34"/>
    <w:rsid w:val="007E2D7A"/>
    <w:rsid w:val="007E2FB8"/>
    <w:rsid w:val="007E3519"/>
    <w:rsid w:val="007E38BB"/>
    <w:rsid w:val="007E3AD1"/>
    <w:rsid w:val="007E3B7B"/>
    <w:rsid w:val="007E3D3E"/>
    <w:rsid w:val="007E41C3"/>
    <w:rsid w:val="007E4476"/>
    <w:rsid w:val="007E4540"/>
    <w:rsid w:val="007E457A"/>
    <w:rsid w:val="007E45F1"/>
    <w:rsid w:val="007E4635"/>
    <w:rsid w:val="007E4708"/>
    <w:rsid w:val="007E4A0D"/>
    <w:rsid w:val="007E4B28"/>
    <w:rsid w:val="007E4B49"/>
    <w:rsid w:val="007E4F0D"/>
    <w:rsid w:val="007E5102"/>
    <w:rsid w:val="007E5132"/>
    <w:rsid w:val="007E5150"/>
    <w:rsid w:val="007E5170"/>
    <w:rsid w:val="007E51C7"/>
    <w:rsid w:val="007E534E"/>
    <w:rsid w:val="007E5500"/>
    <w:rsid w:val="007E5562"/>
    <w:rsid w:val="007E559B"/>
    <w:rsid w:val="007E57D6"/>
    <w:rsid w:val="007E57E3"/>
    <w:rsid w:val="007E5BCF"/>
    <w:rsid w:val="007E5BE9"/>
    <w:rsid w:val="007E5D57"/>
    <w:rsid w:val="007E5E07"/>
    <w:rsid w:val="007E615C"/>
    <w:rsid w:val="007E627A"/>
    <w:rsid w:val="007E6294"/>
    <w:rsid w:val="007E6338"/>
    <w:rsid w:val="007E642E"/>
    <w:rsid w:val="007E64D7"/>
    <w:rsid w:val="007E6736"/>
    <w:rsid w:val="007E682D"/>
    <w:rsid w:val="007E6868"/>
    <w:rsid w:val="007E69E8"/>
    <w:rsid w:val="007E6AB3"/>
    <w:rsid w:val="007E6B7D"/>
    <w:rsid w:val="007E6B8B"/>
    <w:rsid w:val="007E6C33"/>
    <w:rsid w:val="007E6C52"/>
    <w:rsid w:val="007E6CAA"/>
    <w:rsid w:val="007E6F74"/>
    <w:rsid w:val="007E6F9E"/>
    <w:rsid w:val="007E7229"/>
    <w:rsid w:val="007E7239"/>
    <w:rsid w:val="007E730A"/>
    <w:rsid w:val="007E75B7"/>
    <w:rsid w:val="007E769B"/>
    <w:rsid w:val="007E76C8"/>
    <w:rsid w:val="007E789F"/>
    <w:rsid w:val="007E78AD"/>
    <w:rsid w:val="007E7B10"/>
    <w:rsid w:val="007E7B39"/>
    <w:rsid w:val="007E7D4A"/>
    <w:rsid w:val="007E7F16"/>
    <w:rsid w:val="007E7FA1"/>
    <w:rsid w:val="007F01B0"/>
    <w:rsid w:val="007F0274"/>
    <w:rsid w:val="007F02AC"/>
    <w:rsid w:val="007F02CB"/>
    <w:rsid w:val="007F03FC"/>
    <w:rsid w:val="007F046E"/>
    <w:rsid w:val="007F05B1"/>
    <w:rsid w:val="007F0647"/>
    <w:rsid w:val="007F075E"/>
    <w:rsid w:val="007F0D36"/>
    <w:rsid w:val="007F0D43"/>
    <w:rsid w:val="007F0D82"/>
    <w:rsid w:val="007F0E9C"/>
    <w:rsid w:val="007F120E"/>
    <w:rsid w:val="007F1298"/>
    <w:rsid w:val="007F13D6"/>
    <w:rsid w:val="007F1413"/>
    <w:rsid w:val="007F166E"/>
    <w:rsid w:val="007F1689"/>
    <w:rsid w:val="007F168F"/>
    <w:rsid w:val="007F175E"/>
    <w:rsid w:val="007F1A57"/>
    <w:rsid w:val="007F1D4A"/>
    <w:rsid w:val="007F20EC"/>
    <w:rsid w:val="007F227F"/>
    <w:rsid w:val="007F234E"/>
    <w:rsid w:val="007F2439"/>
    <w:rsid w:val="007F24A7"/>
    <w:rsid w:val="007F24D0"/>
    <w:rsid w:val="007F25FD"/>
    <w:rsid w:val="007F28CC"/>
    <w:rsid w:val="007F28E5"/>
    <w:rsid w:val="007F297B"/>
    <w:rsid w:val="007F2B41"/>
    <w:rsid w:val="007F2C9F"/>
    <w:rsid w:val="007F2D8A"/>
    <w:rsid w:val="007F2F65"/>
    <w:rsid w:val="007F30E9"/>
    <w:rsid w:val="007F32E1"/>
    <w:rsid w:val="007F35BB"/>
    <w:rsid w:val="007F37A0"/>
    <w:rsid w:val="007F37F1"/>
    <w:rsid w:val="007F38D6"/>
    <w:rsid w:val="007F3B6D"/>
    <w:rsid w:val="007F3BDB"/>
    <w:rsid w:val="007F3D14"/>
    <w:rsid w:val="007F3D87"/>
    <w:rsid w:val="007F3DE4"/>
    <w:rsid w:val="007F3F94"/>
    <w:rsid w:val="007F4262"/>
    <w:rsid w:val="007F4380"/>
    <w:rsid w:val="007F4819"/>
    <w:rsid w:val="007F4A2C"/>
    <w:rsid w:val="007F4EDE"/>
    <w:rsid w:val="007F5129"/>
    <w:rsid w:val="007F5130"/>
    <w:rsid w:val="007F54B9"/>
    <w:rsid w:val="007F55D2"/>
    <w:rsid w:val="007F569A"/>
    <w:rsid w:val="007F5729"/>
    <w:rsid w:val="007F5885"/>
    <w:rsid w:val="007F5961"/>
    <w:rsid w:val="007F59FA"/>
    <w:rsid w:val="007F5A97"/>
    <w:rsid w:val="007F5B20"/>
    <w:rsid w:val="007F5D71"/>
    <w:rsid w:val="007F5F07"/>
    <w:rsid w:val="007F5F82"/>
    <w:rsid w:val="007F5FAB"/>
    <w:rsid w:val="007F608F"/>
    <w:rsid w:val="007F6169"/>
    <w:rsid w:val="007F62A1"/>
    <w:rsid w:val="007F62A5"/>
    <w:rsid w:val="007F64EE"/>
    <w:rsid w:val="007F6653"/>
    <w:rsid w:val="007F66F0"/>
    <w:rsid w:val="007F6AC5"/>
    <w:rsid w:val="007F6C60"/>
    <w:rsid w:val="007F6DF7"/>
    <w:rsid w:val="007F6F9B"/>
    <w:rsid w:val="007F7145"/>
    <w:rsid w:val="007F71D0"/>
    <w:rsid w:val="007F740F"/>
    <w:rsid w:val="007F7480"/>
    <w:rsid w:val="007F74BA"/>
    <w:rsid w:val="007F750F"/>
    <w:rsid w:val="007F763B"/>
    <w:rsid w:val="007F78A3"/>
    <w:rsid w:val="007F7B93"/>
    <w:rsid w:val="007F7D4E"/>
    <w:rsid w:val="007F7E4E"/>
    <w:rsid w:val="00800015"/>
    <w:rsid w:val="008000AE"/>
    <w:rsid w:val="008001AD"/>
    <w:rsid w:val="008003B4"/>
    <w:rsid w:val="0080073C"/>
    <w:rsid w:val="0080074A"/>
    <w:rsid w:val="008007F0"/>
    <w:rsid w:val="00800810"/>
    <w:rsid w:val="008008B4"/>
    <w:rsid w:val="0080096B"/>
    <w:rsid w:val="00800B9B"/>
    <w:rsid w:val="00800DF4"/>
    <w:rsid w:val="00801083"/>
    <w:rsid w:val="00801172"/>
    <w:rsid w:val="008011A3"/>
    <w:rsid w:val="008013D7"/>
    <w:rsid w:val="00801647"/>
    <w:rsid w:val="008016C2"/>
    <w:rsid w:val="00801788"/>
    <w:rsid w:val="008017B5"/>
    <w:rsid w:val="00801854"/>
    <w:rsid w:val="0080198D"/>
    <w:rsid w:val="00801ADB"/>
    <w:rsid w:val="00801C92"/>
    <w:rsid w:val="00801D5A"/>
    <w:rsid w:val="00801ED3"/>
    <w:rsid w:val="00802039"/>
    <w:rsid w:val="008020DC"/>
    <w:rsid w:val="008022F9"/>
    <w:rsid w:val="00802351"/>
    <w:rsid w:val="0080238E"/>
    <w:rsid w:val="0080245A"/>
    <w:rsid w:val="0080256E"/>
    <w:rsid w:val="00802A55"/>
    <w:rsid w:val="0080331B"/>
    <w:rsid w:val="00803416"/>
    <w:rsid w:val="0080347F"/>
    <w:rsid w:val="008034FB"/>
    <w:rsid w:val="008035AB"/>
    <w:rsid w:val="00803651"/>
    <w:rsid w:val="00803682"/>
    <w:rsid w:val="00803697"/>
    <w:rsid w:val="0080371C"/>
    <w:rsid w:val="008037AB"/>
    <w:rsid w:val="008037AC"/>
    <w:rsid w:val="00803970"/>
    <w:rsid w:val="008039FA"/>
    <w:rsid w:val="00803B27"/>
    <w:rsid w:val="00803B85"/>
    <w:rsid w:val="00803B86"/>
    <w:rsid w:val="00803BB5"/>
    <w:rsid w:val="00803BC4"/>
    <w:rsid w:val="00803CD4"/>
    <w:rsid w:val="00803D8F"/>
    <w:rsid w:val="00803E51"/>
    <w:rsid w:val="00803FA8"/>
    <w:rsid w:val="00804321"/>
    <w:rsid w:val="00804665"/>
    <w:rsid w:val="008047A2"/>
    <w:rsid w:val="008047EF"/>
    <w:rsid w:val="00804E06"/>
    <w:rsid w:val="00804FF7"/>
    <w:rsid w:val="008054CE"/>
    <w:rsid w:val="00805534"/>
    <w:rsid w:val="008055E3"/>
    <w:rsid w:val="008055EC"/>
    <w:rsid w:val="008056CF"/>
    <w:rsid w:val="00805863"/>
    <w:rsid w:val="00805869"/>
    <w:rsid w:val="00805B49"/>
    <w:rsid w:val="00805BC1"/>
    <w:rsid w:val="00805C7E"/>
    <w:rsid w:val="00805D36"/>
    <w:rsid w:val="00805D4B"/>
    <w:rsid w:val="00805E1D"/>
    <w:rsid w:val="00805E40"/>
    <w:rsid w:val="0080606B"/>
    <w:rsid w:val="008060C7"/>
    <w:rsid w:val="008060CD"/>
    <w:rsid w:val="00806112"/>
    <w:rsid w:val="00806274"/>
    <w:rsid w:val="00806492"/>
    <w:rsid w:val="0080651A"/>
    <w:rsid w:val="0080659E"/>
    <w:rsid w:val="00806710"/>
    <w:rsid w:val="008067D2"/>
    <w:rsid w:val="008068D4"/>
    <w:rsid w:val="008069CB"/>
    <w:rsid w:val="00806A10"/>
    <w:rsid w:val="00806B7B"/>
    <w:rsid w:val="00806C44"/>
    <w:rsid w:val="00806D8D"/>
    <w:rsid w:val="008070B5"/>
    <w:rsid w:val="00807629"/>
    <w:rsid w:val="008078DA"/>
    <w:rsid w:val="00807988"/>
    <w:rsid w:val="00807A11"/>
    <w:rsid w:val="00807B1B"/>
    <w:rsid w:val="00807BB3"/>
    <w:rsid w:val="00807C1C"/>
    <w:rsid w:val="00807EC6"/>
    <w:rsid w:val="00807F61"/>
    <w:rsid w:val="008100B7"/>
    <w:rsid w:val="008101C9"/>
    <w:rsid w:val="00810243"/>
    <w:rsid w:val="008103D7"/>
    <w:rsid w:val="008104C1"/>
    <w:rsid w:val="008105DD"/>
    <w:rsid w:val="008106EF"/>
    <w:rsid w:val="00810863"/>
    <w:rsid w:val="00810890"/>
    <w:rsid w:val="00810B22"/>
    <w:rsid w:val="00810D0B"/>
    <w:rsid w:val="0081134B"/>
    <w:rsid w:val="0081139D"/>
    <w:rsid w:val="008113E2"/>
    <w:rsid w:val="0081144F"/>
    <w:rsid w:val="008114D0"/>
    <w:rsid w:val="00811546"/>
    <w:rsid w:val="00811677"/>
    <w:rsid w:val="00811C49"/>
    <w:rsid w:val="00811D45"/>
    <w:rsid w:val="00811D62"/>
    <w:rsid w:val="00811F59"/>
    <w:rsid w:val="008120C1"/>
    <w:rsid w:val="00812395"/>
    <w:rsid w:val="00812AC3"/>
    <w:rsid w:val="00812BA9"/>
    <w:rsid w:val="00812C85"/>
    <w:rsid w:val="00812DB5"/>
    <w:rsid w:val="00812EAA"/>
    <w:rsid w:val="00812FBD"/>
    <w:rsid w:val="008131F3"/>
    <w:rsid w:val="008132C8"/>
    <w:rsid w:val="008136CD"/>
    <w:rsid w:val="008139CF"/>
    <w:rsid w:val="00813C5F"/>
    <w:rsid w:val="008142B4"/>
    <w:rsid w:val="0081433C"/>
    <w:rsid w:val="008144F3"/>
    <w:rsid w:val="008146B3"/>
    <w:rsid w:val="008146F2"/>
    <w:rsid w:val="00814717"/>
    <w:rsid w:val="008148A8"/>
    <w:rsid w:val="00814AC6"/>
    <w:rsid w:val="00814B9F"/>
    <w:rsid w:val="00814C74"/>
    <w:rsid w:val="00814CBE"/>
    <w:rsid w:val="00814DF7"/>
    <w:rsid w:val="00815086"/>
    <w:rsid w:val="0081534A"/>
    <w:rsid w:val="0081546D"/>
    <w:rsid w:val="00815577"/>
    <w:rsid w:val="0081561E"/>
    <w:rsid w:val="00815775"/>
    <w:rsid w:val="00815DB8"/>
    <w:rsid w:val="00815FC0"/>
    <w:rsid w:val="008160D6"/>
    <w:rsid w:val="008160F8"/>
    <w:rsid w:val="00816141"/>
    <w:rsid w:val="00816177"/>
    <w:rsid w:val="008162C6"/>
    <w:rsid w:val="008162C8"/>
    <w:rsid w:val="008162D6"/>
    <w:rsid w:val="0081647A"/>
    <w:rsid w:val="008164A6"/>
    <w:rsid w:val="00816523"/>
    <w:rsid w:val="00816857"/>
    <w:rsid w:val="00816F09"/>
    <w:rsid w:val="00816F63"/>
    <w:rsid w:val="008170C3"/>
    <w:rsid w:val="0081719A"/>
    <w:rsid w:val="008171AD"/>
    <w:rsid w:val="008173AD"/>
    <w:rsid w:val="00817455"/>
    <w:rsid w:val="008175DB"/>
    <w:rsid w:val="008178BF"/>
    <w:rsid w:val="008178F6"/>
    <w:rsid w:val="0081791C"/>
    <w:rsid w:val="00817B0B"/>
    <w:rsid w:val="00817B38"/>
    <w:rsid w:val="00817B3C"/>
    <w:rsid w:val="00817C69"/>
    <w:rsid w:val="00817EBD"/>
    <w:rsid w:val="00817ECA"/>
    <w:rsid w:val="0082007C"/>
    <w:rsid w:val="008201F9"/>
    <w:rsid w:val="00820715"/>
    <w:rsid w:val="00820B5A"/>
    <w:rsid w:val="00820C07"/>
    <w:rsid w:val="00820E0A"/>
    <w:rsid w:val="00821085"/>
    <w:rsid w:val="008211B9"/>
    <w:rsid w:val="00821323"/>
    <w:rsid w:val="008213A0"/>
    <w:rsid w:val="008213F7"/>
    <w:rsid w:val="008217F5"/>
    <w:rsid w:val="0082180D"/>
    <w:rsid w:val="00821852"/>
    <w:rsid w:val="00821AC9"/>
    <w:rsid w:val="00821DB2"/>
    <w:rsid w:val="00821F1D"/>
    <w:rsid w:val="00821F2A"/>
    <w:rsid w:val="00821FAB"/>
    <w:rsid w:val="00822029"/>
    <w:rsid w:val="008220D7"/>
    <w:rsid w:val="008221A9"/>
    <w:rsid w:val="00822364"/>
    <w:rsid w:val="00822414"/>
    <w:rsid w:val="00822467"/>
    <w:rsid w:val="008224A4"/>
    <w:rsid w:val="00822571"/>
    <w:rsid w:val="00822580"/>
    <w:rsid w:val="008227A9"/>
    <w:rsid w:val="00822893"/>
    <w:rsid w:val="008228A8"/>
    <w:rsid w:val="00822A27"/>
    <w:rsid w:val="00822A9D"/>
    <w:rsid w:val="00822AA2"/>
    <w:rsid w:val="00822B47"/>
    <w:rsid w:val="00822E0D"/>
    <w:rsid w:val="00822E3B"/>
    <w:rsid w:val="00823156"/>
    <w:rsid w:val="00823217"/>
    <w:rsid w:val="008236D1"/>
    <w:rsid w:val="008238F8"/>
    <w:rsid w:val="00823957"/>
    <w:rsid w:val="00823A35"/>
    <w:rsid w:val="00823C3A"/>
    <w:rsid w:val="0082407B"/>
    <w:rsid w:val="00824134"/>
    <w:rsid w:val="00824289"/>
    <w:rsid w:val="00824314"/>
    <w:rsid w:val="008248DE"/>
    <w:rsid w:val="00824A12"/>
    <w:rsid w:val="00824B60"/>
    <w:rsid w:val="00824D17"/>
    <w:rsid w:val="00824F5E"/>
    <w:rsid w:val="0082505E"/>
    <w:rsid w:val="008252E0"/>
    <w:rsid w:val="008256D5"/>
    <w:rsid w:val="0082574F"/>
    <w:rsid w:val="00825AD9"/>
    <w:rsid w:val="00825B8E"/>
    <w:rsid w:val="00825CEB"/>
    <w:rsid w:val="0082603B"/>
    <w:rsid w:val="0082604E"/>
    <w:rsid w:val="008260CA"/>
    <w:rsid w:val="00826132"/>
    <w:rsid w:val="00826297"/>
    <w:rsid w:val="00826346"/>
    <w:rsid w:val="00826431"/>
    <w:rsid w:val="00826506"/>
    <w:rsid w:val="00826742"/>
    <w:rsid w:val="0082690D"/>
    <w:rsid w:val="00826B2C"/>
    <w:rsid w:val="00826B72"/>
    <w:rsid w:val="00826D12"/>
    <w:rsid w:val="00826DF0"/>
    <w:rsid w:val="00827106"/>
    <w:rsid w:val="00827135"/>
    <w:rsid w:val="008277BB"/>
    <w:rsid w:val="008278D5"/>
    <w:rsid w:val="00827AF8"/>
    <w:rsid w:val="00827BF9"/>
    <w:rsid w:val="00827C01"/>
    <w:rsid w:val="00827C80"/>
    <w:rsid w:val="00827DDD"/>
    <w:rsid w:val="00827E0E"/>
    <w:rsid w:val="00827E1D"/>
    <w:rsid w:val="00827ED2"/>
    <w:rsid w:val="008302A2"/>
    <w:rsid w:val="0083039A"/>
    <w:rsid w:val="008304B4"/>
    <w:rsid w:val="008304CE"/>
    <w:rsid w:val="008304D5"/>
    <w:rsid w:val="0083050E"/>
    <w:rsid w:val="0083055E"/>
    <w:rsid w:val="00830771"/>
    <w:rsid w:val="008308E4"/>
    <w:rsid w:val="00830B58"/>
    <w:rsid w:val="00830F2E"/>
    <w:rsid w:val="0083123A"/>
    <w:rsid w:val="008315EA"/>
    <w:rsid w:val="00831687"/>
    <w:rsid w:val="00831962"/>
    <w:rsid w:val="0083197D"/>
    <w:rsid w:val="00831A49"/>
    <w:rsid w:val="00831AAF"/>
    <w:rsid w:val="00831B90"/>
    <w:rsid w:val="00831C79"/>
    <w:rsid w:val="00831E0B"/>
    <w:rsid w:val="00831E0F"/>
    <w:rsid w:val="00831F1E"/>
    <w:rsid w:val="00831F3E"/>
    <w:rsid w:val="00831F79"/>
    <w:rsid w:val="008320E9"/>
    <w:rsid w:val="008321C2"/>
    <w:rsid w:val="0083222D"/>
    <w:rsid w:val="00832263"/>
    <w:rsid w:val="008322EB"/>
    <w:rsid w:val="00832AE2"/>
    <w:rsid w:val="00832B6B"/>
    <w:rsid w:val="00832C0C"/>
    <w:rsid w:val="00832CEA"/>
    <w:rsid w:val="00832F80"/>
    <w:rsid w:val="00833108"/>
    <w:rsid w:val="00833261"/>
    <w:rsid w:val="0083327C"/>
    <w:rsid w:val="008335BD"/>
    <w:rsid w:val="0083384A"/>
    <w:rsid w:val="00833A58"/>
    <w:rsid w:val="00833CE7"/>
    <w:rsid w:val="00833DAB"/>
    <w:rsid w:val="0083400E"/>
    <w:rsid w:val="00834092"/>
    <w:rsid w:val="00834205"/>
    <w:rsid w:val="0083451C"/>
    <w:rsid w:val="0083459F"/>
    <w:rsid w:val="008345C6"/>
    <w:rsid w:val="00834664"/>
    <w:rsid w:val="0083482E"/>
    <w:rsid w:val="00834981"/>
    <w:rsid w:val="0083499B"/>
    <w:rsid w:val="00834B8F"/>
    <w:rsid w:val="00834CB9"/>
    <w:rsid w:val="00835028"/>
    <w:rsid w:val="0083530B"/>
    <w:rsid w:val="008353D4"/>
    <w:rsid w:val="00835469"/>
    <w:rsid w:val="00835530"/>
    <w:rsid w:val="008357D8"/>
    <w:rsid w:val="008358DB"/>
    <w:rsid w:val="008359BB"/>
    <w:rsid w:val="00835A59"/>
    <w:rsid w:val="00835DAC"/>
    <w:rsid w:val="00835DC5"/>
    <w:rsid w:val="00835EBD"/>
    <w:rsid w:val="00836153"/>
    <w:rsid w:val="0083633E"/>
    <w:rsid w:val="00836351"/>
    <w:rsid w:val="008363F3"/>
    <w:rsid w:val="008363FA"/>
    <w:rsid w:val="0083653B"/>
    <w:rsid w:val="0083655A"/>
    <w:rsid w:val="008367A9"/>
    <w:rsid w:val="00836F04"/>
    <w:rsid w:val="00836F85"/>
    <w:rsid w:val="008370CC"/>
    <w:rsid w:val="008371DC"/>
    <w:rsid w:val="00837409"/>
    <w:rsid w:val="00837727"/>
    <w:rsid w:val="008377A8"/>
    <w:rsid w:val="008377D8"/>
    <w:rsid w:val="00837885"/>
    <w:rsid w:val="008379A0"/>
    <w:rsid w:val="00837CC8"/>
    <w:rsid w:val="00837D87"/>
    <w:rsid w:val="00837F38"/>
    <w:rsid w:val="00837FA3"/>
    <w:rsid w:val="00840055"/>
    <w:rsid w:val="008400BE"/>
    <w:rsid w:val="008400EC"/>
    <w:rsid w:val="008402C8"/>
    <w:rsid w:val="0084031E"/>
    <w:rsid w:val="008404F8"/>
    <w:rsid w:val="00840728"/>
    <w:rsid w:val="00840F26"/>
    <w:rsid w:val="0084124C"/>
    <w:rsid w:val="008412E4"/>
    <w:rsid w:val="008413ED"/>
    <w:rsid w:val="008414D0"/>
    <w:rsid w:val="0084179E"/>
    <w:rsid w:val="0084182F"/>
    <w:rsid w:val="008418D0"/>
    <w:rsid w:val="00841B09"/>
    <w:rsid w:val="00841B61"/>
    <w:rsid w:val="00841BB9"/>
    <w:rsid w:val="00841BF7"/>
    <w:rsid w:val="00841DAE"/>
    <w:rsid w:val="00841E8C"/>
    <w:rsid w:val="00841F5C"/>
    <w:rsid w:val="00842088"/>
    <w:rsid w:val="008420B1"/>
    <w:rsid w:val="00842417"/>
    <w:rsid w:val="00842519"/>
    <w:rsid w:val="0084253A"/>
    <w:rsid w:val="008425B2"/>
    <w:rsid w:val="008425B9"/>
    <w:rsid w:val="00842B71"/>
    <w:rsid w:val="00842CD7"/>
    <w:rsid w:val="008430F3"/>
    <w:rsid w:val="00843102"/>
    <w:rsid w:val="00843123"/>
    <w:rsid w:val="0084313C"/>
    <w:rsid w:val="008433D3"/>
    <w:rsid w:val="00843434"/>
    <w:rsid w:val="00843494"/>
    <w:rsid w:val="00843B88"/>
    <w:rsid w:val="00843D61"/>
    <w:rsid w:val="008444C1"/>
    <w:rsid w:val="00844738"/>
    <w:rsid w:val="00844795"/>
    <w:rsid w:val="008447AD"/>
    <w:rsid w:val="008447DD"/>
    <w:rsid w:val="008447E8"/>
    <w:rsid w:val="0084482C"/>
    <w:rsid w:val="00844CF9"/>
    <w:rsid w:val="00844FD7"/>
    <w:rsid w:val="00844FF1"/>
    <w:rsid w:val="008450DC"/>
    <w:rsid w:val="00845173"/>
    <w:rsid w:val="0084530E"/>
    <w:rsid w:val="00845357"/>
    <w:rsid w:val="008455F5"/>
    <w:rsid w:val="0084561D"/>
    <w:rsid w:val="0084575E"/>
    <w:rsid w:val="008459CA"/>
    <w:rsid w:val="00845A22"/>
    <w:rsid w:val="00845ADB"/>
    <w:rsid w:val="00845C0A"/>
    <w:rsid w:val="00845C20"/>
    <w:rsid w:val="0084614F"/>
    <w:rsid w:val="0084648A"/>
    <w:rsid w:val="008464DF"/>
    <w:rsid w:val="0084653C"/>
    <w:rsid w:val="008466BD"/>
    <w:rsid w:val="00846930"/>
    <w:rsid w:val="0084693B"/>
    <w:rsid w:val="008469C6"/>
    <w:rsid w:val="00846B40"/>
    <w:rsid w:val="00846C65"/>
    <w:rsid w:val="00846D56"/>
    <w:rsid w:val="00846E5F"/>
    <w:rsid w:val="00846ED9"/>
    <w:rsid w:val="00846EE8"/>
    <w:rsid w:val="00846F05"/>
    <w:rsid w:val="008470D5"/>
    <w:rsid w:val="00847110"/>
    <w:rsid w:val="008474A7"/>
    <w:rsid w:val="008477DE"/>
    <w:rsid w:val="00847B17"/>
    <w:rsid w:val="00847BC2"/>
    <w:rsid w:val="00847FE3"/>
    <w:rsid w:val="008504B1"/>
    <w:rsid w:val="008504CB"/>
    <w:rsid w:val="00850684"/>
    <w:rsid w:val="00850E3F"/>
    <w:rsid w:val="00850E6F"/>
    <w:rsid w:val="00850F1E"/>
    <w:rsid w:val="008511ED"/>
    <w:rsid w:val="008513F4"/>
    <w:rsid w:val="00851404"/>
    <w:rsid w:val="008514EE"/>
    <w:rsid w:val="0085172F"/>
    <w:rsid w:val="00851985"/>
    <w:rsid w:val="00851C63"/>
    <w:rsid w:val="00851D95"/>
    <w:rsid w:val="00851E06"/>
    <w:rsid w:val="00851FB0"/>
    <w:rsid w:val="00852012"/>
    <w:rsid w:val="008520A7"/>
    <w:rsid w:val="00852333"/>
    <w:rsid w:val="00852525"/>
    <w:rsid w:val="0085262A"/>
    <w:rsid w:val="008527CA"/>
    <w:rsid w:val="00852A45"/>
    <w:rsid w:val="00852AEC"/>
    <w:rsid w:val="00852CA3"/>
    <w:rsid w:val="008531C1"/>
    <w:rsid w:val="0085340F"/>
    <w:rsid w:val="00853457"/>
    <w:rsid w:val="008535FE"/>
    <w:rsid w:val="0085360F"/>
    <w:rsid w:val="008536A8"/>
    <w:rsid w:val="008537BC"/>
    <w:rsid w:val="008537CE"/>
    <w:rsid w:val="00853E7F"/>
    <w:rsid w:val="00853E88"/>
    <w:rsid w:val="00854101"/>
    <w:rsid w:val="008542C4"/>
    <w:rsid w:val="0085456D"/>
    <w:rsid w:val="00854597"/>
    <w:rsid w:val="00854598"/>
    <w:rsid w:val="00854656"/>
    <w:rsid w:val="00854A47"/>
    <w:rsid w:val="00854A55"/>
    <w:rsid w:val="00854AFC"/>
    <w:rsid w:val="00854DC3"/>
    <w:rsid w:val="00854E86"/>
    <w:rsid w:val="00854F22"/>
    <w:rsid w:val="00854F33"/>
    <w:rsid w:val="00854FFB"/>
    <w:rsid w:val="00855155"/>
    <w:rsid w:val="00855429"/>
    <w:rsid w:val="00855500"/>
    <w:rsid w:val="00855A1D"/>
    <w:rsid w:val="00855A60"/>
    <w:rsid w:val="00855B1F"/>
    <w:rsid w:val="00855CA9"/>
    <w:rsid w:val="00855D4A"/>
    <w:rsid w:val="00855E80"/>
    <w:rsid w:val="00855F5B"/>
    <w:rsid w:val="008563D0"/>
    <w:rsid w:val="00856484"/>
    <w:rsid w:val="0085649F"/>
    <w:rsid w:val="00856734"/>
    <w:rsid w:val="0085696E"/>
    <w:rsid w:val="00856A5B"/>
    <w:rsid w:val="00856B1B"/>
    <w:rsid w:val="00856B50"/>
    <w:rsid w:val="00856C49"/>
    <w:rsid w:val="00856DCD"/>
    <w:rsid w:val="00856ED0"/>
    <w:rsid w:val="0085703A"/>
    <w:rsid w:val="008571BE"/>
    <w:rsid w:val="008573CD"/>
    <w:rsid w:val="008573F0"/>
    <w:rsid w:val="00857529"/>
    <w:rsid w:val="0085757D"/>
    <w:rsid w:val="00857819"/>
    <w:rsid w:val="008579E2"/>
    <w:rsid w:val="00857B57"/>
    <w:rsid w:val="00857D8F"/>
    <w:rsid w:val="00857E8A"/>
    <w:rsid w:val="00857EB1"/>
    <w:rsid w:val="00860295"/>
    <w:rsid w:val="0086031C"/>
    <w:rsid w:val="00860502"/>
    <w:rsid w:val="00860A83"/>
    <w:rsid w:val="00860B4F"/>
    <w:rsid w:val="00860BAC"/>
    <w:rsid w:val="00860C20"/>
    <w:rsid w:val="00860C67"/>
    <w:rsid w:val="00860C91"/>
    <w:rsid w:val="00860E9C"/>
    <w:rsid w:val="008615C3"/>
    <w:rsid w:val="0086170D"/>
    <w:rsid w:val="00861877"/>
    <w:rsid w:val="00861911"/>
    <w:rsid w:val="00861946"/>
    <w:rsid w:val="00861AFF"/>
    <w:rsid w:val="00861B3D"/>
    <w:rsid w:val="00861BB7"/>
    <w:rsid w:val="00861C2E"/>
    <w:rsid w:val="00861D11"/>
    <w:rsid w:val="00861D99"/>
    <w:rsid w:val="00861E27"/>
    <w:rsid w:val="008621DF"/>
    <w:rsid w:val="00862440"/>
    <w:rsid w:val="008625DD"/>
    <w:rsid w:val="008626EE"/>
    <w:rsid w:val="00862791"/>
    <w:rsid w:val="008629A6"/>
    <w:rsid w:val="00862A14"/>
    <w:rsid w:val="00862A64"/>
    <w:rsid w:val="00862ADC"/>
    <w:rsid w:val="00862B87"/>
    <w:rsid w:val="00862C3F"/>
    <w:rsid w:val="00863093"/>
    <w:rsid w:val="0086313B"/>
    <w:rsid w:val="00863155"/>
    <w:rsid w:val="0086333C"/>
    <w:rsid w:val="0086359D"/>
    <w:rsid w:val="00863658"/>
    <w:rsid w:val="00863769"/>
    <w:rsid w:val="008637A5"/>
    <w:rsid w:val="008637EB"/>
    <w:rsid w:val="008638D4"/>
    <w:rsid w:val="00863C94"/>
    <w:rsid w:val="00863F64"/>
    <w:rsid w:val="00863FFA"/>
    <w:rsid w:val="00863FFD"/>
    <w:rsid w:val="00864105"/>
    <w:rsid w:val="00864141"/>
    <w:rsid w:val="008642EA"/>
    <w:rsid w:val="0086438F"/>
    <w:rsid w:val="00864460"/>
    <w:rsid w:val="008649B5"/>
    <w:rsid w:val="00864AB8"/>
    <w:rsid w:val="00864BF4"/>
    <w:rsid w:val="00864C49"/>
    <w:rsid w:val="00864D9C"/>
    <w:rsid w:val="00864EAA"/>
    <w:rsid w:val="008658CA"/>
    <w:rsid w:val="00865986"/>
    <w:rsid w:val="00865C71"/>
    <w:rsid w:val="00865CB6"/>
    <w:rsid w:val="00865CD5"/>
    <w:rsid w:val="00865E83"/>
    <w:rsid w:val="00865F16"/>
    <w:rsid w:val="00865FA9"/>
    <w:rsid w:val="00865FD1"/>
    <w:rsid w:val="00865FD5"/>
    <w:rsid w:val="008661B7"/>
    <w:rsid w:val="008661C0"/>
    <w:rsid w:val="0086646F"/>
    <w:rsid w:val="008666FD"/>
    <w:rsid w:val="0086678A"/>
    <w:rsid w:val="0086683F"/>
    <w:rsid w:val="00866996"/>
    <w:rsid w:val="00866AB8"/>
    <w:rsid w:val="00866C00"/>
    <w:rsid w:val="00866E06"/>
    <w:rsid w:val="00866E1B"/>
    <w:rsid w:val="00866F47"/>
    <w:rsid w:val="008670E3"/>
    <w:rsid w:val="00867374"/>
    <w:rsid w:val="008674A2"/>
    <w:rsid w:val="008674E7"/>
    <w:rsid w:val="0086763E"/>
    <w:rsid w:val="008678BB"/>
    <w:rsid w:val="0086793F"/>
    <w:rsid w:val="008679A3"/>
    <w:rsid w:val="00867A48"/>
    <w:rsid w:val="00867D16"/>
    <w:rsid w:val="00867EE6"/>
    <w:rsid w:val="00867F34"/>
    <w:rsid w:val="00867FBA"/>
    <w:rsid w:val="008701EC"/>
    <w:rsid w:val="00870311"/>
    <w:rsid w:val="0087046B"/>
    <w:rsid w:val="008705E0"/>
    <w:rsid w:val="00870608"/>
    <w:rsid w:val="008706DA"/>
    <w:rsid w:val="00870797"/>
    <w:rsid w:val="0087097B"/>
    <w:rsid w:val="008709D6"/>
    <w:rsid w:val="00870B52"/>
    <w:rsid w:val="00870BC8"/>
    <w:rsid w:val="00870D8C"/>
    <w:rsid w:val="00870F3C"/>
    <w:rsid w:val="008711E6"/>
    <w:rsid w:val="00871427"/>
    <w:rsid w:val="00871546"/>
    <w:rsid w:val="00871595"/>
    <w:rsid w:val="0087181A"/>
    <w:rsid w:val="00871981"/>
    <w:rsid w:val="00871A78"/>
    <w:rsid w:val="00871B6D"/>
    <w:rsid w:val="00871BD7"/>
    <w:rsid w:val="00871FA2"/>
    <w:rsid w:val="00871FE1"/>
    <w:rsid w:val="00872061"/>
    <w:rsid w:val="008722CB"/>
    <w:rsid w:val="00872347"/>
    <w:rsid w:val="0087235C"/>
    <w:rsid w:val="00872364"/>
    <w:rsid w:val="00872536"/>
    <w:rsid w:val="00872600"/>
    <w:rsid w:val="00872772"/>
    <w:rsid w:val="00872A1E"/>
    <w:rsid w:val="00872B5C"/>
    <w:rsid w:val="00872BCD"/>
    <w:rsid w:val="00872D00"/>
    <w:rsid w:val="00872D0B"/>
    <w:rsid w:val="00872F20"/>
    <w:rsid w:val="00873174"/>
    <w:rsid w:val="0087321D"/>
    <w:rsid w:val="00873236"/>
    <w:rsid w:val="0087329C"/>
    <w:rsid w:val="00873304"/>
    <w:rsid w:val="00873322"/>
    <w:rsid w:val="008733F9"/>
    <w:rsid w:val="008736CC"/>
    <w:rsid w:val="0087388F"/>
    <w:rsid w:val="00873B43"/>
    <w:rsid w:val="00873C5E"/>
    <w:rsid w:val="00873D54"/>
    <w:rsid w:val="008740E3"/>
    <w:rsid w:val="00874272"/>
    <w:rsid w:val="00874285"/>
    <w:rsid w:val="00874352"/>
    <w:rsid w:val="00874419"/>
    <w:rsid w:val="00874487"/>
    <w:rsid w:val="008744D7"/>
    <w:rsid w:val="00874596"/>
    <w:rsid w:val="00874860"/>
    <w:rsid w:val="00874962"/>
    <w:rsid w:val="00874A8E"/>
    <w:rsid w:val="00874AF0"/>
    <w:rsid w:val="00874F86"/>
    <w:rsid w:val="00875206"/>
    <w:rsid w:val="0087533E"/>
    <w:rsid w:val="00875870"/>
    <w:rsid w:val="0087588C"/>
    <w:rsid w:val="008758BE"/>
    <w:rsid w:val="008758E0"/>
    <w:rsid w:val="008759EC"/>
    <w:rsid w:val="00875C21"/>
    <w:rsid w:val="00875C5F"/>
    <w:rsid w:val="00875C62"/>
    <w:rsid w:val="00875D8E"/>
    <w:rsid w:val="00875DE0"/>
    <w:rsid w:val="00875E07"/>
    <w:rsid w:val="00875F72"/>
    <w:rsid w:val="00876220"/>
    <w:rsid w:val="0087626B"/>
    <w:rsid w:val="008763D7"/>
    <w:rsid w:val="0087644D"/>
    <w:rsid w:val="008764CA"/>
    <w:rsid w:val="008764DC"/>
    <w:rsid w:val="0087672C"/>
    <w:rsid w:val="008767D2"/>
    <w:rsid w:val="0087688A"/>
    <w:rsid w:val="00876963"/>
    <w:rsid w:val="0087697B"/>
    <w:rsid w:val="008769E2"/>
    <w:rsid w:val="00876A28"/>
    <w:rsid w:val="00876AB9"/>
    <w:rsid w:val="00876AC0"/>
    <w:rsid w:val="00876BFF"/>
    <w:rsid w:val="00876C49"/>
    <w:rsid w:val="00876DC3"/>
    <w:rsid w:val="00877283"/>
    <w:rsid w:val="00877287"/>
    <w:rsid w:val="00877396"/>
    <w:rsid w:val="00877402"/>
    <w:rsid w:val="00877559"/>
    <w:rsid w:val="008776EC"/>
    <w:rsid w:val="0087777F"/>
    <w:rsid w:val="008778D8"/>
    <w:rsid w:val="008779AC"/>
    <w:rsid w:val="00877A13"/>
    <w:rsid w:val="00877B7E"/>
    <w:rsid w:val="00877BC1"/>
    <w:rsid w:val="00877FE5"/>
    <w:rsid w:val="0088001B"/>
    <w:rsid w:val="00880176"/>
    <w:rsid w:val="008802F1"/>
    <w:rsid w:val="0088036E"/>
    <w:rsid w:val="0088069F"/>
    <w:rsid w:val="00880826"/>
    <w:rsid w:val="00880B43"/>
    <w:rsid w:val="00880C11"/>
    <w:rsid w:val="00880D5E"/>
    <w:rsid w:val="00880FBB"/>
    <w:rsid w:val="00881345"/>
    <w:rsid w:val="00881461"/>
    <w:rsid w:val="008816F1"/>
    <w:rsid w:val="00881737"/>
    <w:rsid w:val="00881745"/>
    <w:rsid w:val="00881809"/>
    <w:rsid w:val="00881847"/>
    <w:rsid w:val="008818E9"/>
    <w:rsid w:val="00881A77"/>
    <w:rsid w:val="00881EF8"/>
    <w:rsid w:val="00882340"/>
    <w:rsid w:val="00882510"/>
    <w:rsid w:val="0088275B"/>
    <w:rsid w:val="008827D9"/>
    <w:rsid w:val="00882925"/>
    <w:rsid w:val="00882EBD"/>
    <w:rsid w:val="00882EC5"/>
    <w:rsid w:val="0088305E"/>
    <w:rsid w:val="00883211"/>
    <w:rsid w:val="0088386C"/>
    <w:rsid w:val="00883902"/>
    <w:rsid w:val="008839A2"/>
    <w:rsid w:val="008839AC"/>
    <w:rsid w:val="00883B8D"/>
    <w:rsid w:val="00883C2E"/>
    <w:rsid w:val="00883E79"/>
    <w:rsid w:val="00883ED0"/>
    <w:rsid w:val="00883F3E"/>
    <w:rsid w:val="00883F69"/>
    <w:rsid w:val="00883F8E"/>
    <w:rsid w:val="0088428E"/>
    <w:rsid w:val="0088438B"/>
    <w:rsid w:val="0088469A"/>
    <w:rsid w:val="008846DE"/>
    <w:rsid w:val="008847E2"/>
    <w:rsid w:val="0088480A"/>
    <w:rsid w:val="008848CE"/>
    <w:rsid w:val="00884E39"/>
    <w:rsid w:val="00884F29"/>
    <w:rsid w:val="0088509F"/>
    <w:rsid w:val="0088518A"/>
    <w:rsid w:val="008853EA"/>
    <w:rsid w:val="008855C8"/>
    <w:rsid w:val="0088573B"/>
    <w:rsid w:val="0088576C"/>
    <w:rsid w:val="00885913"/>
    <w:rsid w:val="00885D56"/>
    <w:rsid w:val="00885FA2"/>
    <w:rsid w:val="00885FA6"/>
    <w:rsid w:val="00886092"/>
    <w:rsid w:val="008860BF"/>
    <w:rsid w:val="00886310"/>
    <w:rsid w:val="008865AC"/>
    <w:rsid w:val="00886793"/>
    <w:rsid w:val="0088680E"/>
    <w:rsid w:val="008868BC"/>
    <w:rsid w:val="00886923"/>
    <w:rsid w:val="00886A14"/>
    <w:rsid w:val="00886BC1"/>
    <w:rsid w:val="00886C76"/>
    <w:rsid w:val="00886C88"/>
    <w:rsid w:val="00886DBA"/>
    <w:rsid w:val="00886E32"/>
    <w:rsid w:val="0088712E"/>
    <w:rsid w:val="0088739F"/>
    <w:rsid w:val="008873DB"/>
    <w:rsid w:val="0088768D"/>
    <w:rsid w:val="0088785B"/>
    <w:rsid w:val="008878E4"/>
    <w:rsid w:val="0088792D"/>
    <w:rsid w:val="00887A07"/>
    <w:rsid w:val="00887C9E"/>
    <w:rsid w:val="00887CC5"/>
    <w:rsid w:val="00887D49"/>
    <w:rsid w:val="00887EA6"/>
    <w:rsid w:val="008900B4"/>
    <w:rsid w:val="00890138"/>
    <w:rsid w:val="00890181"/>
    <w:rsid w:val="008902E2"/>
    <w:rsid w:val="0089034C"/>
    <w:rsid w:val="00890353"/>
    <w:rsid w:val="00890598"/>
    <w:rsid w:val="00890741"/>
    <w:rsid w:val="00890744"/>
    <w:rsid w:val="00890812"/>
    <w:rsid w:val="00890900"/>
    <w:rsid w:val="00890A11"/>
    <w:rsid w:val="00890B97"/>
    <w:rsid w:val="00890D50"/>
    <w:rsid w:val="00890E28"/>
    <w:rsid w:val="00890F84"/>
    <w:rsid w:val="008915CA"/>
    <w:rsid w:val="00891899"/>
    <w:rsid w:val="0089193B"/>
    <w:rsid w:val="008919E6"/>
    <w:rsid w:val="00891A22"/>
    <w:rsid w:val="00891AE7"/>
    <w:rsid w:val="00891F0F"/>
    <w:rsid w:val="00891F82"/>
    <w:rsid w:val="00892193"/>
    <w:rsid w:val="008921C4"/>
    <w:rsid w:val="008923A1"/>
    <w:rsid w:val="008926FE"/>
    <w:rsid w:val="008928F5"/>
    <w:rsid w:val="00892C1B"/>
    <w:rsid w:val="00892E8E"/>
    <w:rsid w:val="00892F79"/>
    <w:rsid w:val="0089301C"/>
    <w:rsid w:val="00893131"/>
    <w:rsid w:val="008932A3"/>
    <w:rsid w:val="0089355D"/>
    <w:rsid w:val="008935A5"/>
    <w:rsid w:val="008939CB"/>
    <w:rsid w:val="00893B1F"/>
    <w:rsid w:val="00893B9B"/>
    <w:rsid w:val="00893D62"/>
    <w:rsid w:val="00893EB7"/>
    <w:rsid w:val="00894351"/>
    <w:rsid w:val="00894459"/>
    <w:rsid w:val="00894607"/>
    <w:rsid w:val="00894632"/>
    <w:rsid w:val="00894698"/>
    <w:rsid w:val="0089489D"/>
    <w:rsid w:val="008949EC"/>
    <w:rsid w:val="00894A0E"/>
    <w:rsid w:val="00894B9F"/>
    <w:rsid w:val="00894D93"/>
    <w:rsid w:val="00894E19"/>
    <w:rsid w:val="00894EE1"/>
    <w:rsid w:val="00894F9A"/>
    <w:rsid w:val="0089509E"/>
    <w:rsid w:val="00895149"/>
    <w:rsid w:val="00895305"/>
    <w:rsid w:val="00895419"/>
    <w:rsid w:val="00895790"/>
    <w:rsid w:val="00895832"/>
    <w:rsid w:val="008959C0"/>
    <w:rsid w:val="00895AB6"/>
    <w:rsid w:val="00895B98"/>
    <w:rsid w:val="00895C47"/>
    <w:rsid w:val="00895C88"/>
    <w:rsid w:val="00895FA1"/>
    <w:rsid w:val="00896045"/>
    <w:rsid w:val="00896060"/>
    <w:rsid w:val="00896223"/>
    <w:rsid w:val="00896396"/>
    <w:rsid w:val="008964D2"/>
    <w:rsid w:val="0089666E"/>
    <w:rsid w:val="008966C6"/>
    <w:rsid w:val="008969DD"/>
    <w:rsid w:val="00896A6E"/>
    <w:rsid w:val="00896D9E"/>
    <w:rsid w:val="00896EBA"/>
    <w:rsid w:val="00896F87"/>
    <w:rsid w:val="00897053"/>
    <w:rsid w:val="00897393"/>
    <w:rsid w:val="008978A3"/>
    <w:rsid w:val="00897961"/>
    <w:rsid w:val="00897C5E"/>
    <w:rsid w:val="00897CB9"/>
    <w:rsid w:val="00897CFB"/>
    <w:rsid w:val="00897D2F"/>
    <w:rsid w:val="00897D7A"/>
    <w:rsid w:val="00897D82"/>
    <w:rsid w:val="008A07D7"/>
    <w:rsid w:val="008A089E"/>
    <w:rsid w:val="008A0940"/>
    <w:rsid w:val="008A097E"/>
    <w:rsid w:val="008A0DF3"/>
    <w:rsid w:val="008A0E52"/>
    <w:rsid w:val="008A1002"/>
    <w:rsid w:val="008A1208"/>
    <w:rsid w:val="008A1253"/>
    <w:rsid w:val="008A127F"/>
    <w:rsid w:val="008A1586"/>
    <w:rsid w:val="008A162F"/>
    <w:rsid w:val="008A1631"/>
    <w:rsid w:val="008A16B3"/>
    <w:rsid w:val="008A174A"/>
    <w:rsid w:val="008A1801"/>
    <w:rsid w:val="008A1FF2"/>
    <w:rsid w:val="008A22B0"/>
    <w:rsid w:val="008A231A"/>
    <w:rsid w:val="008A2348"/>
    <w:rsid w:val="008A23A0"/>
    <w:rsid w:val="008A250C"/>
    <w:rsid w:val="008A2748"/>
    <w:rsid w:val="008A2D6E"/>
    <w:rsid w:val="008A2D9F"/>
    <w:rsid w:val="008A2E8F"/>
    <w:rsid w:val="008A2FD9"/>
    <w:rsid w:val="008A3016"/>
    <w:rsid w:val="008A305D"/>
    <w:rsid w:val="008A3150"/>
    <w:rsid w:val="008A3162"/>
    <w:rsid w:val="008A3426"/>
    <w:rsid w:val="008A353F"/>
    <w:rsid w:val="008A3763"/>
    <w:rsid w:val="008A37E3"/>
    <w:rsid w:val="008A3D23"/>
    <w:rsid w:val="008A4006"/>
    <w:rsid w:val="008A4045"/>
    <w:rsid w:val="008A4199"/>
    <w:rsid w:val="008A4242"/>
    <w:rsid w:val="008A4330"/>
    <w:rsid w:val="008A46E7"/>
    <w:rsid w:val="008A4792"/>
    <w:rsid w:val="008A4814"/>
    <w:rsid w:val="008A483C"/>
    <w:rsid w:val="008A484D"/>
    <w:rsid w:val="008A494A"/>
    <w:rsid w:val="008A4981"/>
    <w:rsid w:val="008A4C52"/>
    <w:rsid w:val="008A4CAD"/>
    <w:rsid w:val="008A5117"/>
    <w:rsid w:val="008A53CE"/>
    <w:rsid w:val="008A53FB"/>
    <w:rsid w:val="008A5519"/>
    <w:rsid w:val="008A5578"/>
    <w:rsid w:val="008A55C8"/>
    <w:rsid w:val="008A577C"/>
    <w:rsid w:val="008A5ACD"/>
    <w:rsid w:val="008A5B44"/>
    <w:rsid w:val="008A5CA3"/>
    <w:rsid w:val="008A5DE2"/>
    <w:rsid w:val="008A6233"/>
    <w:rsid w:val="008A62AE"/>
    <w:rsid w:val="008A6452"/>
    <w:rsid w:val="008A64A7"/>
    <w:rsid w:val="008A657A"/>
    <w:rsid w:val="008A65F9"/>
    <w:rsid w:val="008A6604"/>
    <w:rsid w:val="008A6874"/>
    <w:rsid w:val="008A699C"/>
    <w:rsid w:val="008A6B06"/>
    <w:rsid w:val="008A6B97"/>
    <w:rsid w:val="008A6BC5"/>
    <w:rsid w:val="008A6BDA"/>
    <w:rsid w:val="008A6D05"/>
    <w:rsid w:val="008A6E37"/>
    <w:rsid w:val="008A7038"/>
    <w:rsid w:val="008A744B"/>
    <w:rsid w:val="008A77C0"/>
    <w:rsid w:val="008A782E"/>
    <w:rsid w:val="008A7A06"/>
    <w:rsid w:val="008A7D0F"/>
    <w:rsid w:val="008A7DBA"/>
    <w:rsid w:val="008A7F03"/>
    <w:rsid w:val="008A7F1F"/>
    <w:rsid w:val="008B0146"/>
    <w:rsid w:val="008B036D"/>
    <w:rsid w:val="008B07F1"/>
    <w:rsid w:val="008B0804"/>
    <w:rsid w:val="008B09FC"/>
    <w:rsid w:val="008B0AD3"/>
    <w:rsid w:val="008B0F1E"/>
    <w:rsid w:val="008B1007"/>
    <w:rsid w:val="008B1042"/>
    <w:rsid w:val="008B106F"/>
    <w:rsid w:val="008B107A"/>
    <w:rsid w:val="008B110B"/>
    <w:rsid w:val="008B12B4"/>
    <w:rsid w:val="008B1584"/>
    <w:rsid w:val="008B16BB"/>
    <w:rsid w:val="008B17BC"/>
    <w:rsid w:val="008B1A06"/>
    <w:rsid w:val="008B1B1E"/>
    <w:rsid w:val="008B1C5B"/>
    <w:rsid w:val="008B1C60"/>
    <w:rsid w:val="008B1CB5"/>
    <w:rsid w:val="008B1D91"/>
    <w:rsid w:val="008B1FEF"/>
    <w:rsid w:val="008B209F"/>
    <w:rsid w:val="008B220B"/>
    <w:rsid w:val="008B2410"/>
    <w:rsid w:val="008B29C7"/>
    <w:rsid w:val="008B29E6"/>
    <w:rsid w:val="008B2A30"/>
    <w:rsid w:val="008B2B7A"/>
    <w:rsid w:val="008B2C23"/>
    <w:rsid w:val="008B2CF4"/>
    <w:rsid w:val="008B2D5D"/>
    <w:rsid w:val="008B2EBD"/>
    <w:rsid w:val="008B3113"/>
    <w:rsid w:val="008B311D"/>
    <w:rsid w:val="008B3152"/>
    <w:rsid w:val="008B31A5"/>
    <w:rsid w:val="008B33FC"/>
    <w:rsid w:val="008B35CD"/>
    <w:rsid w:val="008B362F"/>
    <w:rsid w:val="008B39E2"/>
    <w:rsid w:val="008B3D91"/>
    <w:rsid w:val="008B3E9E"/>
    <w:rsid w:val="008B3F95"/>
    <w:rsid w:val="008B4055"/>
    <w:rsid w:val="008B446B"/>
    <w:rsid w:val="008B45CC"/>
    <w:rsid w:val="008B4C76"/>
    <w:rsid w:val="008B4EC5"/>
    <w:rsid w:val="008B4FB5"/>
    <w:rsid w:val="008B502B"/>
    <w:rsid w:val="008B50BA"/>
    <w:rsid w:val="008B5129"/>
    <w:rsid w:val="008B51FA"/>
    <w:rsid w:val="008B5247"/>
    <w:rsid w:val="008B5254"/>
    <w:rsid w:val="008B53F3"/>
    <w:rsid w:val="008B53F4"/>
    <w:rsid w:val="008B54FD"/>
    <w:rsid w:val="008B55CB"/>
    <w:rsid w:val="008B5813"/>
    <w:rsid w:val="008B5A8A"/>
    <w:rsid w:val="008B5B05"/>
    <w:rsid w:val="008B5BF3"/>
    <w:rsid w:val="008B5C4A"/>
    <w:rsid w:val="008B5EF0"/>
    <w:rsid w:val="008B5F3D"/>
    <w:rsid w:val="008B625C"/>
    <w:rsid w:val="008B6354"/>
    <w:rsid w:val="008B66C7"/>
    <w:rsid w:val="008B670C"/>
    <w:rsid w:val="008B67D5"/>
    <w:rsid w:val="008B6828"/>
    <w:rsid w:val="008B6849"/>
    <w:rsid w:val="008B68E1"/>
    <w:rsid w:val="008B6D58"/>
    <w:rsid w:val="008B6DB6"/>
    <w:rsid w:val="008B6DE4"/>
    <w:rsid w:val="008B7024"/>
    <w:rsid w:val="008B72EC"/>
    <w:rsid w:val="008B738B"/>
    <w:rsid w:val="008B7413"/>
    <w:rsid w:val="008B741B"/>
    <w:rsid w:val="008B74AB"/>
    <w:rsid w:val="008B78D6"/>
    <w:rsid w:val="008B7AE3"/>
    <w:rsid w:val="008B7E80"/>
    <w:rsid w:val="008C035E"/>
    <w:rsid w:val="008C04FD"/>
    <w:rsid w:val="008C0664"/>
    <w:rsid w:val="008C0891"/>
    <w:rsid w:val="008C0986"/>
    <w:rsid w:val="008C0B84"/>
    <w:rsid w:val="008C0BEC"/>
    <w:rsid w:val="008C0F24"/>
    <w:rsid w:val="008C10ED"/>
    <w:rsid w:val="008C13E2"/>
    <w:rsid w:val="008C13EE"/>
    <w:rsid w:val="008C1557"/>
    <w:rsid w:val="008C1616"/>
    <w:rsid w:val="008C16C7"/>
    <w:rsid w:val="008C16E6"/>
    <w:rsid w:val="008C1759"/>
    <w:rsid w:val="008C1B06"/>
    <w:rsid w:val="008C1DAD"/>
    <w:rsid w:val="008C1E2C"/>
    <w:rsid w:val="008C2261"/>
    <w:rsid w:val="008C2315"/>
    <w:rsid w:val="008C248E"/>
    <w:rsid w:val="008C24A1"/>
    <w:rsid w:val="008C265F"/>
    <w:rsid w:val="008C29F1"/>
    <w:rsid w:val="008C2AA8"/>
    <w:rsid w:val="008C2B2D"/>
    <w:rsid w:val="008C2B8B"/>
    <w:rsid w:val="008C2E4A"/>
    <w:rsid w:val="008C310F"/>
    <w:rsid w:val="008C3290"/>
    <w:rsid w:val="008C329D"/>
    <w:rsid w:val="008C32C3"/>
    <w:rsid w:val="008C36B5"/>
    <w:rsid w:val="008C3739"/>
    <w:rsid w:val="008C381A"/>
    <w:rsid w:val="008C3861"/>
    <w:rsid w:val="008C3BAF"/>
    <w:rsid w:val="008C3DB0"/>
    <w:rsid w:val="008C3E81"/>
    <w:rsid w:val="008C45A5"/>
    <w:rsid w:val="008C45F4"/>
    <w:rsid w:val="008C475F"/>
    <w:rsid w:val="008C4AB4"/>
    <w:rsid w:val="008C4B75"/>
    <w:rsid w:val="008C4B9F"/>
    <w:rsid w:val="008C53D5"/>
    <w:rsid w:val="008C54CB"/>
    <w:rsid w:val="008C56C0"/>
    <w:rsid w:val="008C5794"/>
    <w:rsid w:val="008C5E00"/>
    <w:rsid w:val="008C5EF0"/>
    <w:rsid w:val="008C61A7"/>
    <w:rsid w:val="008C6398"/>
    <w:rsid w:val="008C6622"/>
    <w:rsid w:val="008C699B"/>
    <w:rsid w:val="008C6A10"/>
    <w:rsid w:val="008C6AD9"/>
    <w:rsid w:val="008C6CB6"/>
    <w:rsid w:val="008C6CE5"/>
    <w:rsid w:val="008C6EE6"/>
    <w:rsid w:val="008C70A7"/>
    <w:rsid w:val="008C71B9"/>
    <w:rsid w:val="008C721C"/>
    <w:rsid w:val="008C7380"/>
    <w:rsid w:val="008C751D"/>
    <w:rsid w:val="008C76DA"/>
    <w:rsid w:val="008C7716"/>
    <w:rsid w:val="008C797B"/>
    <w:rsid w:val="008C79DA"/>
    <w:rsid w:val="008C7AB7"/>
    <w:rsid w:val="008D02B6"/>
    <w:rsid w:val="008D032A"/>
    <w:rsid w:val="008D056E"/>
    <w:rsid w:val="008D0672"/>
    <w:rsid w:val="008D06A0"/>
    <w:rsid w:val="008D07B2"/>
    <w:rsid w:val="008D07CC"/>
    <w:rsid w:val="008D0C8A"/>
    <w:rsid w:val="008D0ECB"/>
    <w:rsid w:val="008D11DA"/>
    <w:rsid w:val="008D1439"/>
    <w:rsid w:val="008D14A3"/>
    <w:rsid w:val="008D14E2"/>
    <w:rsid w:val="008D1750"/>
    <w:rsid w:val="008D1828"/>
    <w:rsid w:val="008D19B8"/>
    <w:rsid w:val="008D1A07"/>
    <w:rsid w:val="008D1AB9"/>
    <w:rsid w:val="008D1D2A"/>
    <w:rsid w:val="008D1D93"/>
    <w:rsid w:val="008D1DD3"/>
    <w:rsid w:val="008D2211"/>
    <w:rsid w:val="008D23D0"/>
    <w:rsid w:val="008D256A"/>
    <w:rsid w:val="008D2582"/>
    <w:rsid w:val="008D2598"/>
    <w:rsid w:val="008D2828"/>
    <w:rsid w:val="008D2AB5"/>
    <w:rsid w:val="008D2C48"/>
    <w:rsid w:val="008D2DFE"/>
    <w:rsid w:val="008D2E00"/>
    <w:rsid w:val="008D2ED4"/>
    <w:rsid w:val="008D2F0B"/>
    <w:rsid w:val="008D30C3"/>
    <w:rsid w:val="008D30EE"/>
    <w:rsid w:val="008D3246"/>
    <w:rsid w:val="008D32D2"/>
    <w:rsid w:val="008D346F"/>
    <w:rsid w:val="008D34AA"/>
    <w:rsid w:val="008D3510"/>
    <w:rsid w:val="008D381A"/>
    <w:rsid w:val="008D389E"/>
    <w:rsid w:val="008D3A92"/>
    <w:rsid w:val="008D3D9B"/>
    <w:rsid w:val="008D40E1"/>
    <w:rsid w:val="008D4121"/>
    <w:rsid w:val="008D4148"/>
    <w:rsid w:val="008D4442"/>
    <w:rsid w:val="008D4685"/>
    <w:rsid w:val="008D473A"/>
    <w:rsid w:val="008D49CC"/>
    <w:rsid w:val="008D4B31"/>
    <w:rsid w:val="008D4BD3"/>
    <w:rsid w:val="008D4E50"/>
    <w:rsid w:val="008D4EFF"/>
    <w:rsid w:val="008D4F63"/>
    <w:rsid w:val="008D4FCF"/>
    <w:rsid w:val="008D527C"/>
    <w:rsid w:val="008D5A15"/>
    <w:rsid w:val="008D5DD7"/>
    <w:rsid w:val="008D5E3B"/>
    <w:rsid w:val="008D5E5C"/>
    <w:rsid w:val="008D6051"/>
    <w:rsid w:val="008D61C1"/>
    <w:rsid w:val="008D62B2"/>
    <w:rsid w:val="008D6381"/>
    <w:rsid w:val="008D6410"/>
    <w:rsid w:val="008D6441"/>
    <w:rsid w:val="008D652F"/>
    <w:rsid w:val="008D6629"/>
    <w:rsid w:val="008D669F"/>
    <w:rsid w:val="008D6768"/>
    <w:rsid w:val="008D68E1"/>
    <w:rsid w:val="008D6A4B"/>
    <w:rsid w:val="008D6A59"/>
    <w:rsid w:val="008D6A65"/>
    <w:rsid w:val="008D6F0D"/>
    <w:rsid w:val="008D705E"/>
    <w:rsid w:val="008D71F1"/>
    <w:rsid w:val="008D7332"/>
    <w:rsid w:val="008D73EB"/>
    <w:rsid w:val="008D7618"/>
    <w:rsid w:val="008D7731"/>
    <w:rsid w:val="008D7794"/>
    <w:rsid w:val="008D793F"/>
    <w:rsid w:val="008D7C7F"/>
    <w:rsid w:val="008D7CAE"/>
    <w:rsid w:val="008D7D81"/>
    <w:rsid w:val="008D7E20"/>
    <w:rsid w:val="008D7E47"/>
    <w:rsid w:val="008E011F"/>
    <w:rsid w:val="008E040B"/>
    <w:rsid w:val="008E056F"/>
    <w:rsid w:val="008E0614"/>
    <w:rsid w:val="008E066E"/>
    <w:rsid w:val="008E0849"/>
    <w:rsid w:val="008E09E6"/>
    <w:rsid w:val="008E0A23"/>
    <w:rsid w:val="008E0D02"/>
    <w:rsid w:val="008E0F1B"/>
    <w:rsid w:val="008E11DE"/>
    <w:rsid w:val="008E12A3"/>
    <w:rsid w:val="008E12E4"/>
    <w:rsid w:val="008E16E5"/>
    <w:rsid w:val="008E1771"/>
    <w:rsid w:val="008E17CE"/>
    <w:rsid w:val="008E1AC7"/>
    <w:rsid w:val="008E1BBF"/>
    <w:rsid w:val="008E1DE7"/>
    <w:rsid w:val="008E1E68"/>
    <w:rsid w:val="008E1F8F"/>
    <w:rsid w:val="008E21BC"/>
    <w:rsid w:val="008E224F"/>
    <w:rsid w:val="008E2930"/>
    <w:rsid w:val="008E2B55"/>
    <w:rsid w:val="008E316F"/>
    <w:rsid w:val="008E332C"/>
    <w:rsid w:val="008E33C7"/>
    <w:rsid w:val="008E3506"/>
    <w:rsid w:val="008E3568"/>
    <w:rsid w:val="008E3734"/>
    <w:rsid w:val="008E37AE"/>
    <w:rsid w:val="008E37E4"/>
    <w:rsid w:val="008E383E"/>
    <w:rsid w:val="008E38D5"/>
    <w:rsid w:val="008E3989"/>
    <w:rsid w:val="008E398C"/>
    <w:rsid w:val="008E3A8B"/>
    <w:rsid w:val="008E3A99"/>
    <w:rsid w:val="008E3B68"/>
    <w:rsid w:val="008E3D5C"/>
    <w:rsid w:val="008E3D67"/>
    <w:rsid w:val="008E3F1D"/>
    <w:rsid w:val="008E3F26"/>
    <w:rsid w:val="008E4015"/>
    <w:rsid w:val="008E45B1"/>
    <w:rsid w:val="008E45BA"/>
    <w:rsid w:val="008E4618"/>
    <w:rsid w:val="008E46AC"/>
    <w:rsid w:val="008E46E5"/>
    <w:rsid w:val="008E493C"/>
    <w:rsid w:val="008E4A2E"/>
    <w:rsid w:val="008E4A87"/>
    <w:rsid w:val="008E4C3A"/>
    <w:rsid w:val="008E4C4C"/>
    <w:rsid w:val="008E4C71"/>
    <w:rsid w:val="008E4CE8"/>
    <w:rsid w:val="008E4D31"/>
    <w:rsid w:val="008E5024"/>
    <w:rsid w:val="008E518B"/>
    <w:rsid w:val="008E51B1"/>
    <w:rsid w:val="008E5432"/>
    <w:rsid w:val="008E554D"/>
    <w:rsid w:val="008E55F2"/>
    <w:rsid w:val="008E560B"/>
    <w:rsid w:val="008E5779"/>
    <w:rsid w:val="008E57B2"/>
    <w:rsid w:val="008E592D"/>
    <w:rsid w:val="008E5C00"/>
    <w:rsid w:val="008E5C40"/>
    <w:rsid w:val="008E5C7A"/>
    <w:rsid w:val="008E5C9B"/>
    <w:rsid w:val="008E5DAE"/>
    <w:rsid w:val="008E61CC"/>
    <w:rsid w:val="008E649F"/>
    <w:rsid w:val="008E65C6"/>
    <w:rsid w:val="008E660E"/>
    <w:rsid w:val="008E6684"/>
    <w:rsid w:val="008E681A"/>
    <w:rsid w:val="008E68FC"/>
    <w:rsid w:val="008E6934"/>
    <w:rsid w:val="008E6CDA"/>
    <w:rsid w:val="008E6FA7"/>
    <w:rsid w:val="008E7104"/>
    <w:rsid w:val="008E71DE"/>
    <w:rsid w:val="008E7202"/>
    <w:rsid w:val="008E76AB"/>
    <w:rsid w:val="008E777B"/>
    <w:rsid w:val="008E7785"/>
    <w:rsid w:val="008E7879"/>
    <w:rsid w:val="008E78EB"/>
    <w:rsid w:val="008E7A34"/>
    <w:rsid w:val="008E7AEC"/>
    <w:rsid w:val="008E7C35"/>
    <w:rsid w:val="008E7CC9"/>
    <w:rsid w:val="008E7F19"/>
    <w:rsid w:val="008E7F22"/>
    <w:rsid w:val="008E7F80"/>
    <w:rsid w:val="008F0089"/>
    <w:rsid w:val="008F0204"/>
    <w:rsid w:val="008F02E6"/>
    <w:rsid w:val="008F0468"/>
    <w:rsid w:val="008F0537"/>
    <w:rsid w:val="008F0595"/>
    <w:rsid w:val="008F05CA"/>
    <w:rsid w:val="008F05DE"/>
    <w:rsid w:val="008F0741"/>
    <w:rsid w:val="008F07CB"/>
    <w:rsid w:val="008F0A55"/>
    <w:rsid w:val="008F0B03"/>
    <w:rsid w:val="008F0C40"/>
    <w:rsid w:val="008F0C42"/>
    <w:rsid w:val="008F0D61"/>
    <w:rsid w:val="008F0E42"/>
    <w:rsid w:val="008F10BF"/>
    <w:rsid w:val="008F113C"/>
    <w:rsid w:val="008F1157"/>
    <w:rsid w:val="008F1257"/>
    <w:rsid w:val="008F1474"/>
    <w:rsid w:val="008F16FA"/>
    <w:rsid w:val="008F170D"/>
    <w:rsid w:val="008F18DA"/>
    <w:rsid w:val="008F18E9"/>
    <w:rsid w:val="008F1926"/>
    <w:rsid w:val="008F1958"/>
    <w:rsid w:val="008F1A4E"/>
    <w:rsid w:val="008F1A5C"/>
    <w:rsid w:val="008F1B00"/>
    <w:rsid w:val="008F1D08"/>
    <w:rsid w:val="008F1F24"/>
    <w:rsid w:val="008F2211"/>
    <w:rsid w:val="008F2421"/>
    <w:rsid w:val="008F24A2"/>
    <w:rsid w:val="008F2658"/>
    <w:rsid w:val="008F284D"/>
    <w:rsid w:val="008F2C08"/>
    <w:rsid w:val="008F2C8B"/>
    <w:rsid w:val="008F2D65"/>
    <w:rsid w:val="008F2DDD"/>
    <w:rsid w:val="008F2F3C"/>
    <w:rsid w:val="008F2FFD"/>
    <w:rsid w:val="008F3183"/>
    <w:rsid w:val="008F34F4"/>
    <w:rsid w:val="008F3B3C"/>
    <w:rsid w:val="008F3D20"/>
    <w:rsid w:val="008F3DCC"/>
    <w:rsid w:val="008F3F11"/>
    <w:rsid w:val="008F3FC3"/>
    <w:rsid w:val="008F4043"/>
    <w:rsid w:val="008F4156"/>
    <w:rsid w:val="008F43E2"/>
    <w:rsid w:val="008F43F7"/>
    <w:rsid w:val="008F4462"/>
    <w:rsid w:val="008F449C"/>
    <w:rsid w:val="008F4623"/>
    <w:rsid w:val="008F497A"/>
    <w:rsid w:val="008F4B14"/>
    <w:rsid w:val="008F4D1D"/>
    <w:rsid w:val="008F4DAB"/>
    <w:rsid w:val="008F4DF1"/>
    <w:rsid w:val="008F50EF"/>
    <w:rsid w:val="008F552D"/>
    <w:rsid w:val="008F55E6"/>
    <w:rsid w:val="008F55E8"/>
    <w:rsid w:val="008F5918"/>
    <w:rsid w:val="008F5AAC"/>
    <w:rsid w:val="008F5D52"/>
    <w:rsid w:val="008F5EDD"/>
    <w:rsid w:val="008F62F1"/>
    <w:rsid w:val="008F639F"/>
    <w:rsid w:val="008F6620"/>
    <w:rsid w:val="008F668C"/>
    <w:rsid w:val="008F66A7"/>
    <w:rsid w:val="008F66C3"/>
    <w:rsid w:val="008F6708"/>
    <w:rsid w:val="008F671C"/>
    <w:rsid w:val="008F6AD2"/>
    <w:rsid w:val="008F6B46"/>
    <w:rsid w:val="008F6EB1"/>
    <w:rsid w:val="008F6FBC"/>
    <w:rsid w:val="008F72EE"/>
    <w:rsid w:val="008F73C9"/>
    <w:rsid w:val="008F759A"/>
    <w:rsid w:val="008F76E0"/>
    <w:rsid w:val="008F7802"/>
    <w:rsid w:val="008F79B4"/>
    <w:rsid w:val="00900281"/>
    <w:rsid w:val="009005F4"/>
    <w:rsid w:val="00900659"/>
    <w:rsid w:val="0090077B"/>
    <w:rsid w:val="00900A7A"/>
    <w:rsid w:val="00900AF1"/>
    <w:rsid w:val="00900B04"/>
    <w:rsid w:val="00900B20"/>
    <w:rsid w:val="00900BBE"/>
    <w:rsid w:val="00900C0C"/>
    <w:rsid w:val="00900C51"/>
    <w:rsid w:val="00900C75"/>
    <w:rsid w:val="00900CE7"/>
    <w:rsid w:val="00900E6D"/>
    <w:rsid w:val="009010D7"/>
    <w:rsid w:val="00901125"/>
    <w:rsid w:val="009011E7"/>
    <w:rsid w:val="00901CE1"/>
    <w:rsid w:val="00902302"/>
    <w:rsid w:val="0090232A"/>
    <w:rsid w:val="0090258F"/>
    <w:rsid w:val="00902874"/>
    <w:rsid w:val="00902BAB"/>
    <w:rsid w:val="00902C02"/>
    <w:rsid w:val="00902C87"/>
    <w:rsid w:val="00902CCF"/>
    <w:rsid w:val="00902CDA"/>
    <w:rsid w:val="00902D0F"/>
    <w:rsid w:val="00902DA4"/>
    <w:rsid w:val="00902EAB"/>
    <w:rsid w:val="009030AA"/>
    <w:rsid w:val="00903423"/>
    <w:rsid w:val="00903446"/>
    <w:rsid w:val="009034A4"/>
    <w:rsid w:val="0090370E"/>
    <w:rsid w:val="00903763"/>
    <w:rsid w:val="00903918"/>
    <w:rsid w:val="00903CD3"/>
    <w:rsid w:val="00903E80"/>
    <w:rsid w:val="00903F8B"/>
    <w:rsid w:val="0090413F"/>
    <w:rsid w:val="009041C6"/>
    <w:rsid w:val="009043AF"/>
    <w:rsid w:val="0090441E"/>
    <w:rsid w:val="009045E1"/>
    <w:rsid w:val="009048F4"/>
    <w:rsid w:val="00904A92"/>
    <w:rsid w:val="00904B7F"/>
    <w:rsid w:val="00904BB0"/>
    <w:rsid w:val="00904CFE"/>
    <w:rsid w:val="00905197"/>
    <w:rsid w:val="0090519E"/>
    <w:rsid w:val="009051A6"/>
    <w:rsid w:val="009053F1"/>
    <w:rsid w:val="009055F5"/>
    <w:rsid w:val="00905714"/>
    <w:rsid w:val="00905BC8"/>
    <w:rsid w:val="00905E3B"/>
    <w:rsid w:val="00905F73"/>
    <w:rsid w:val="009062D8"/>
    <w:rsid w:val="00906333"/>
    <w:rsid w:val="0090643C"/>
    <w:rsid w:val="00906712"/>
    <w:rsid w:val="00906B1B"/>
    <w:rsid w:val="00906C59"/>
    <w:rsid w:val="00906C8F"/>
    <w:rsid w:val="00906D05"/>
    <w:rsid w:val="0090705E"/>
    <w:rsid w:val="009073F0"/>
    <w:rsid w:val="0090760E"/>
    <w:rsid w:val="00907853"/>
    <w:rsid w:val="00907DF9"/>
    <w:rsid w:val="00907F57"/>
    <w:rsid w:val="00910216"/>
    <w:rsid w:val="009104A6"/>
    <w:rsid w:val="009108CA"/>
    <w:rsid w:val="009109ED"/>
    <w:rsid w:val="009109F3"/>
    <w:rsid w:val="00910A08"/>
    <w:rsid w:val="00910AB1"/>
    <w:rsid w:val="00910D36"/>
    <w:rsid w:val="00910DE1"/>
    <w:rsid w:val="00910E68"/>
    <w:rsid w:val="00910FFC"/>
    <w:rsid w:val="009110F6"/>
    <w:rsid w:val="0091112B"/>
    <w:rsid w:val="0091115B"/>
    <w:rsid w:val="00911169"/>
    <w:rsid w:val="00911194"/>
    <w:rsid w:val="00911490"/>
    <w:rsid w:val="00911A9F"/>
    <w:rsid w:val="00911AA0"/>
    <w:rsid w:val="00911AA2"/>
    <w:rsid w:val="00911C5C"/>
    <w:rsid w:val="00911EDA"/>
    <w:rsid w:val="0091208C"/>
    <w:rsid w:val="009121DC"/>
    <w:rsid w:val="0091223B"/>
    <w:rsid w:val="0091263A"/>
    <w:rsid w:val="00912707"/>
    <w:rsid w:val="00912746"/>
    <w:rsid w:val="00912A3C"/>
    <w:rsid w:val="00912A4A"/>
    <w:rsid w:val="00912CB7"/>
    <w:rsid w:val="00912DE9"/>
    <w:rsid w:val="00912E7A"/>
    <w:rsid w:val="00912E9C"/>
    <w:rsid w:val="00912FD3"/>
    <w:rsid w:val="00912FFE"/>
    <w:rsid w:val="00913233"/>
    <w:rsid w:val="00913319"/>
    <w:rsid w:val="00913326"/>
    <w:rsid w:val="00913417"/>
    <w:rsid w:val="0091357D"/>
    <w:rsid w:val="009135A3"/>
    <w:rsid w:val="00913681"/>
    <w:rsid w:val="00913BBC"/>
    <w:rsid w:val="00913BE1"/>
    <w:rsid w:val="00914162"/>
    <w:rsid w:val="009141FB"/>
    <w:rsid w:val="00914343"/>
    <w:rsid w:val="0091436D"/>
    <w:rsid w:val="009149A1"/>
    <w:rsid w:val="00914B18"/>
    <w:rsid w:val="00914DAE"/>
    <w:rsid w:val="00914E91"/>
    <w:rsid w:val="00915366"/>
    <w:rsid w:val="0091539B"/>
    <w:rsid w:val="009153AB"/>
    <w:rsid w:val="009153B4"/>
    <w:rsid w:val="00915462"/>
    <w:rsid w:val="009154A7"/>
    <w:rsid w:val="009155D5"/>
    <w:rsid w:val="009156D5"/>
    <w:rsid w:val="00915726"/>
    <w:rsid w:val="0091582E"/>
    <w:rsid w:val="00915BB0"/>
    <w:rsid w:val="00915C58"/>
    <w:rsid w:val="00915E08"/>
    <w:rsid w:val="009160BB"/>
    <w:rsid w:val="0091643E"/>
    <w:rsid w:val="009164F0"/>
    <w:rsid w:val="00916860"/>
    <w:rsid w:val="00916861"/>
    <w:rsid w:val="009169C3"/>
    <w:rsid w:val="00916AC3"/>
    <w:rsid w:val="00916B7F"/>
    <w:rsid w:val="00916E37"/>
    <w:rsid w:val="00916E73"/>
    <w:rsid w:val="00916FE1"/>
    <w:rsid w:val="0091716A"/>
    <w:rsid w:val="0091731B"/>
    <w:rsid w:val="009179C0"/>
    <w:rsid w:val="00917B72"/>
    <w:rsid w:val="00917E09"/>
    <w:rsid w:val="00917F17"/>
    <w:rsid w:val="0092005D"/>
    <w:rsid w:val="00920176"/>
    <w:rsid w:val="00920209"/>
    <w:rsid w:val="009202E0"/>
    <w:rsid w:val="0092039A"/>
    <w:rsid w:val="00920474"/>
    <w:rsid w:val="0092050F"/>
    <w:rsid w:val="009205FD"/>
    <w:rsid w:val="00920977"/>
    <w:rsid w:val="009209F7"/>
    <w:rsid w:val="00920A63"/>
    <w:rsid w:val="00920D45"/>
    <w:rsid w:val="00920DEC"/>
    <w:rsid w:val="00920EC8"/>
    <w:rsid w:val="00920F29"/>
    <w:rsid w:val="009211F5"/>
    <w:rsid w:val="0092130D"/>
    <w:rsid w:val="009213AE"/>
    <w:rsid w:val="00921465"/>
    <w:rsid w:val="009215D4"/>
    <w:rsid w:val="009219BC"/>
    <w:rsid w:val="00921A79"/>
    <w:rsid w:val="00921D39"/>
    <w:rsid w:val="00921DDC"/>
    <w:rsid w:val="00921E84"/>
    <w:rsid w:val="00921EAF"/>
    <w:rsid w:val="00921F29"/>
    <w:rsid w:val="00922265"/>
    <w:rsid w:val="009225CA"/>
    <w:rsid w:val="0092289F"/>
    <w:rsid w:val="00922B0A"/>
    <w:rsid w:val="00922B5E"/>
    <w:rsid w:val="00922E0A"/>
    <w:rsid w:val="00922ED3"/>
    <w:rsid w:val="009230B8"/>
    <w:rsid w:val="00923175"/>
    <w:rsid w:val="009235E5"/>
    <w:rsid w:val="009236EE"/>
    <w:rsid w:val="009239B8"/>
    <w:rsid w:val="009239C2"/>
    <w:rsid w:val="00923ABA"/>
    <w:rsid w:val="00923BC3"/>
    <w:rsid w:val="00923D1A"/>
    <w:rsid w:val="00923DC7"/>
    <w:rsid w:val="00923E4A"/>
    <w:rsid w:val="009243F3"/>
    <w:rsid w:val="009244DC"/>
    <w:rsid w:val="00924564"/>
    <w:rsid w:val="00924842"/>
    <w:rsid w:val="009249B5"/>
    <w:rsid w:val="009249BC"/>
    <w:rsid w:val="00924A4E"/>
    <w:rsid w:val="00924DE4"/>
    <w:rsid w:val="00924DFD"/>
    <w:rsid w:val="0092506F"/>
    <w:rsid w:val="00925180"/>
    <w:rsid w:val="0092553A"/>
    <w:rsid w:val="009255C4"/>
    <w:rsid w:val="009256C6"/>
    <w:rsid w:val="00925938"/>
    <w:rsid w:val="00925B68"/>
    <w:rsid w:val="00925CF4"/>
    <w:rsid w:val="00925DB1"/>
    <w:rsid w:val="00925F97"/>
    <w:rsid w:val="00925FA9"/>
    <w:rsid w:val="00926028"/>
    <w:rsid w:val="00926048"/>
    <w:rsid w:val="00926054"/>
    <w:rsid w:val="00926228"/>
    <w:rsid w:val="00926423"/>
    <w:rsid w:val="0092645A"/>
    <w:rsid w:val="00926471"/>
    <w:rsid w:val="0092670F"/>
    <w:rsid w:val="00926910"/>
    <w:rsid w:val="00926A6E"/>
    <w:rsid w:val="00926C79"/>
    <w:rsid w:val="00926C88"/>
    <w:rsid w:val="00926DFC"/>
    <w:rsid w:val="00926EED"/>
    <w:rsid w:val="00927023"/>
    <w:rsid w:val="00927113"/>
    <w:rsid w:val="00927135"/>
    <w:rsid w:val="00927263"/>
    <w:rsid w:val="0092736A"/>
    <w:rsid w:val="009273DA"/>
    <w:rsid w:val="00927628"/>
    <w:rsid w:val="009277A8"/>
    <w:rsid w:val="009277E8"/>
    <w:rsid w:val="0092786C"/>
    <w:rsid w:val="0092786E"/>
    <w:rsid w:val="00927936"/>
    <w:rsid w:val="009279B9"/>
    <w:rsid w:val="00927C20"/>
    <w:rsid w:val="00927C96"/>
    <w:rsid w:val="00927D6F"/>
    <w:rsid w:val="00930435"/>
    <w:rsid w:val="009306DB"/>
    <w:rsid w:val="009306F1"/>
    <w:rsid w:val="00930855"/>
    <w:rsid w:val="009309EE"/>
    <w:rsid w:val="00930A54"/>
    <w:rsid w:val="00930B77"/>
    <w:rsid w:val="00930C77"/>
    <w:rsid w:val="00930D72"/>
    <w:rsid w:val="00930F88"/>
    <w:rsid w:val="0093100A"/>
    <w:rsid w:val="00931040"/>
    <w:rsid w:val="009311D1"/>
    <w:rsid w:val="009316D9"/>
    <w:rsid w:val="00931758"/>
    <w:rsid w:val="009319A9"/>
    <w:rsid w:val="009319C5"/>
    <w:rsid w:val="00931DE0"/>
    <w:rsid w:val="00931E75"/>
    <w:rsid w:val="00931F18"/>
    <w:rsid w:val="009321ED"/>
    <w:rsid w:val="00932219"/>
    <w:rsid w:val="00932910"/>
    <w:rsid w:val="00932E2D"/>
    <w:rsid w:val="00933057"/>
    <w:rsid w:val="00933081"/>
    <w:rsid w:val="009330AF"/>
    <w:rsid w:val="009331A8"/>
    <w:rsid w:val="009331E4"/>
    <w:rsid w:val="00933235"/>
    <w:rsid w:val="0093361D"/>
    <w:rsid w:val="0093371D"/>
    <w:rsid w:val="009338AC"/>
    <w:rsid w:val="00933AB9"/>
    <w:rsid w:val="00933BCD"/>
    <w:rsid w:val="00933D5A"/>
    <w:rsid w:val="00934037"/>
    <w:rsid w:val="0093436A"/>
    <w:rsid w:val="00934441"/>
    <w:rsid w:val="00934704"/>
    <w:rsid w:val="00934716"/>
    <w:rsid w:val="0093477F"/>
    <w:rsid w:val="009348D6"/>
    <w:rsid w:val="009349B0"/>
    <w:rsid w:val="00934AFE"/>
    <w:rsid w:val="00934B4E"/>
    <w:rsid w:val="00934D61"/>
    <w:rsid w:val="00935381"/>
    <w:rsid w:val="009354E0"/>
    <w:rsid w:val="009355E6"/>
    <w:rsid w:val="00935653"/>
    <w:rsid w:val="0093576F"/>
    <w:rsid w:val="00935C30"/>
    <w:rsid w:val="00935C9F"/>
    <w:rsid w:val="00935DEF"/>
    <w:rsid w:val="00935F5B"/>
    <w:rsid w:val="0093607A"/>
    <w:rsid w:val="00936259"/>
    <w:rsid w:val="009363E3"/>
    <w:rsid w:val="00936573"/>
    <w:rsid w:val="0093661F"/>
    <w:rsid w:val="0093678E"/>
    <w:rsid w:val="00936999"/>
    <w:rsid w:val="009369CD"/>
    <w:rsid w:val="00936A61"/>
    <w:rsid w:val="00936BF1"/>
    <w:rsid w:val="00936C55"/>
    <w:rsid w:val="00937024"/>
    <w:rsid w:val="009370CF"/>
    <w:rsid w:val="00937675"/>
    <w:rsid w:val="009376C8"/>
    <w:rsid w:val="009378E3"/>
    <w:rsid w:val="00937C63"/>
    <w:rsid w:val="00937DBF"/>
    <w:rsid w:val="00937DC1"/>
    <w:rsid w:val="00937E8A"/>
    <w:rsid w:val="00937F76"/>
    <w:rsid w:val="00940030"/>
    <w:rsid w:val="00940129"/>
    <w:rsid w:val="00940503"/>
    <w:rsid w:val="00940524"/>
    <w:rsid w:val="009408AC"/>
    <w:rsid w:val="00940967"/>
    <w:rsid w:val="00940A3B"/>
    <w:rsid w:val="00940CC4"/>
    <w:rsid w:val="00940CEB"/>
    <w:rsid w:val="00940EFF"/>
    <w:rsid w:val="009410DF"/>
    <w:rsid w:val="00941687"/>
    <w:rsid w:val="00941721"/>
    <w:rsid w:val="00941879"/>
    <w:rsid w:val="009418E6"/>
    <w:rsid w:val="009419CF"/>
    <w:rsid w:val="00941C77"/>
    <w:rsid w:val="00941CBA"/>
    <w:rsid w:val="00941DCF"/>
    <w:rsid w:val="009423EE"/>
    <w:rsid w:val="0094260B"/>
    <w:rsid w:val="00942644"/>
    <w:rsid w:val="00942833"/>
    <w:rsid w:val="0094289A"/>
    <w:rsid w:val="009428A7"/>
    <w:rsid w:val="00942D86"/>
    <w:rsid w:val="00943152"/>
    <w:rsid w:val="0094316C"/>
    <w:rsid w:val="00943242"/>
    <w:rsid w:val="0094324A"/>
    <w:rsid w:val="009433A1"/>
    <w:rsid w:val="00943541"/>
    <w:rsid w:val="009435B7"/>
    <w:rsid w:val="00943A6A"/>
    <w:rsid w:val="00943B5D"/>
    <w:rsid w:val="00943C53"/>
    <w:rsid w:val="00943D20"/>
    <w:rsid w:val="00943D5E"/>
    <w:rsid w:val="00943FFA"/>
    <w:rsid w:val="00944093"/>
    <w:rsid w:val="00944100"/>
    <w:rsid w:val="00944268"/>
    <w:rsid w:val="0094434C"/>
    <w:rsid w:val="0094444D"/>
    <w:rsid w:val="00944798"/>
    <w:rsid w:val="00944933"/>
    <w:rsid w:val="00944A1E"/>
    <w:rsid w:val="00944B37"/>
    <w:rsid w:val="00944BEB"/>
    <w:rsid w:val="00944C73"/>
    <w:rsid w:val="00944E9D"/>
    <w:rsid w:val="00944F09"/>
    <w:rsid w:val="00944FA2"/>
    <w:rsid w:val="0094514F"/>
    <w:rsid w:val="00945374"/>
    <w:rsid w:val="0094543D"/>
    <w:rsid w:val="009454D8"/>
    <w:rsid w:val="009454F7"/>
    <w:rsid w:val="0094552D"/>
    <w:rsid w:val="0094553D"/>
    <w:rsid w:val="00945F34"/>
    <w:rsid w:val="00946255"/>
    <w:rsid w:val="0094662F"/>
    <w:rsid w:val="0094670A"/>
    <w:rsid w:val="009467E4"/>
    <w:rsid w:val="0094680F"/>
    <w:rsid w:val="0094683E"/>
    <w:rsid w:val="0094685E"/>
    <w:rsid w:val="009468FB"/>
    <w:rsid w:val="00946A31"/>
    <w:rsid w:val="00946F40"/>
    <w:rsid w:val="00946F56"/>
    <w:rsid w:val="00946F85"/>
    <w:rsid w:val="00947199"/>
    <w:rsid w:val="009471E5"/>
    <w:rsid w:val="00947429"/>
    <w:rsid w:val="009474BB"/>
    <w:rsid w:val="009477AF"/>
    <w:rsid w:val="00947B0E"/>
    <w:rsid w:val="00947B28"/>
    <w:rsid w:val="00947D92"/>
    <w:rsid w:val="00947DA1"/>
    <w:rsid w:val="00947DCB"/>
    <w:rsid w:val="00947F80"/>
    <w:rsid w:val="009500AD"/>
    <w:rsid w:val="009500E8"/>
    <w:rsid w:val="0095011D"/>
    <w:rsid w:val="0095026B"/>
    <w:rsid w:val="009502D0"/>
    <w:rsid w:val="0095037F"/>
    <w:rsid w:val="00950954"/>
    <w:rsid w:val="00950AA1"/>
    <w:rsid w:val="00950AA6"/>
    <w:rsid w:val="00950E42"/>
    <w:rsid w:val="00950E62"/>
    <w:rsid w:val="00950E7E"/>
    <w:rsid w:val="00951042"/>
    <w:rsid w:val="0095106A"/>
    <w:rsid w:val="009510C5"/>
    <w:rsid w:val="00951108"/>
    <w:rsid w:val="00951147"/>
    <w:rsid w:val="00951284"/>
    <w:rsid w:val="00951398"/>
    <w:rsid w:val="00951483"/>
    <w:rsid w:val="009514BE"/>
    <w:rsid w:val="00951506"/>
    <w:rsid w:val="00951B01"/>
    <w:rsid w:val="00951DAE"/>
    <w:rsid w:val="00952075"/>
    <w:rsid w:val="00952465"/>
    <w:rsid w:val="009525E5"/>
    <w:rsid w:val="009526B2"/>
    <w:rsid w:val="009529BB"/>
    <w:rsid w:val="009529EB"/>
    <w:rsid w:val="00952AD2"/>
    <w:rsid w:val="00952AE5"/>
    <w:rsid w:val="00952F9B"/>
    <w:rsid w:val="00952FAC"/>
    <w:rsid w:val="00952FC2"/>
    <w:rsid w:val="0095308D"/>
    <w:rsid w:val="00953117"/>
    <w:rsid w:val="00953342"/>
    <w:rsid w:val="009535E6"/>
    <w:rsid w:val="00953629"/>
    <w:rsid w:val="0095398B"/>
    <w:rsid w:val="00953D1E"/>
    <w:rsid w:val="009540D4"/>
    <w:rsid w:val="009541C3"/>
    <w:rsid w:val="009543F0"/>
    <w:rsid w:val="0095468D"/>
    <w:rsid w:val="00954749"/>
    <w:rsid w:val="00954766"/>
    <w:rsid w:val="00954A70"/>
    <w:rsid w:val="00954A79"/>
    <w:rsid w:val="00954E93"/>
    <w:rsid w:val="00954EB0"/>
    <w:rsid w:val="00954EB1"/>
    <w:rsid w:val="00954EC2"/>
    <w:rsid w:val="009551BA"/>
    <w:rsid w:val="009551EA"/>
    <w:rsid w:val="00955529"/>
    <w:rsid w:val="00955696"/>
    <w:rsid w:val="009556E4"/>
    <w:rsid w:val="009558C3"/>
    <w:rsid w:val="00955ACD"/>
    <w:rsid w:val="00955B8C"/>
    <w:rsid w:val="00955E19"/>
    <w:rsid w:val="00955EEF"/>
    <w:rsid w:val="009560C6"/>
    <w:rsid w:val="00956194"/>
    <w:rsid w:val="0095625B"/>
    <w:rsid w:val="00956304"/>
    <w:rsid w:val="009563BA"/>
    <w:rsid w:val="0095655C"/>
    <w:rsid w:val="00956604"/>
    <w:rsid w:val="009566D0"/>
    <w:rsid w:val="00956905"/>
    <w:rsid w:val="0095693A"/>
    <w:rsid w:val="00956B6C"/>
    <w:rsid w:val="00956CFC"/>
    <w:rsid w:val="00956D8A"/>
    <w:rsid w:val="00956F8B"/>
    <w:rsid w:val="00957177"/>
    <w:rsid w:val="0095719E"/>
    <w:rsid w:val="00957282"/>
    <w:rsid w:val="0095746A"/>
    <w:rsid w:val="009574F9"/>
    <w:rsid w:val="00957571"/>
    <w:rsid w:val="0095761A"/>
    <w:rsid w:val="009576A5"/>
    <w:rsid w:val="009579B7"/>
    <w:rsid w:val="00957ABD"/>
    <w:rsid w:val="00957B35"/>
    <w:rsid w:val="00957BD1"/>
    <w:rsid w:val="00957CD9"/>
    <w:rsid w:val="00957F6E"/>
    <w:rsid w:val="0096023A"/>
    <w:rsid w:val="0096024B"/>
    <w:rsid w:val="0096027E"/>
    <w:rsid w:val="0096054E"/>
    <w:rsid w:val="0096057E"/>
    <w:rsid w:val="009605E1"/>
    <w:rsid w:val="00960752"/>
    <w:rsid w:val="00960B7E"/>
    <w:rsid w:val="00960C4D"/>
    <w:rsid w:val="00960D78"/>
    <w:rsid w:val="00960DFA"/>
    <w:rsid w:val="00960F6D"/>
    <w:rsid w:val="00961036"/>
    <w:rsid w:val="00961487"/>
    <w:rsid w:val="00961596"/>
    <w:rsid w:val="009615AF"/>
    <w:rsid w:val="00961609"/>
    <w:rsid w:val="00961842"/>
    <w:rsid w:val="009619F7"/>
    <w:rsid w:val="00961DB9"/>
    <w:rsid w:val="00961DFA"/>
    <w:rsid w:val="00961E28"/>
    <w:rsid w:val="00962069"/>
    <w:rsid w:val="00962109"/>
    <w:rsid w:val="009621C5"/>
    <w:rsid w:val="009623DA"/>
    <w:rsid w:val="00962402"/>
    <w:rsid w:val="00962719"/>
    <w:rsid w:val="00962DB0"/>
    <w:rsid w:val="00962DD5"/>
    <w:rsid w:val="00962EDD"/>
    <w:rsid w:val="00963387"/>
    <w:rsid w:val="0096339D"/>
    <w:rsid w:val="009633A2"/>
    <w:rsid w:val="00963483"/>
    <w:rsid w:val="00963649"/>
    <w:rsid w:val="009637FA"/>
    <w:rsid w:val="0096385B"/>
    <w:rsid w:val="00963AE3"/>
    <w:rsid w:val="00963AF7"/>
    <w:rsid w:val="00963B60"/>
    <w:rsid w:val="00963B85"/>
    <w:rsid w:val="00963DD3"/>
    <w:rsid w:val="00963E60"/>
    <w:rsid w:val="009642C7"/>
    <w:rsid w:val="009644F4"/>
    <w:rsid w:val="0096470F"/>
    <w:rsid w:val="0096492D"/>
    <w:rsid w:val="00964E7E"/>
    <w:rsid w:val="00964ED8"/>
    <w:rsid w:val="0096502C"/>
    <w:rsid w:val="00965108"/>
    <w:rsid w:val="0096532C"/>
    <w:rsid w:val="009653FD"/>
    <w:rsid w:val="009656EB"/>
    <w:rsid w:val="00965AC8"/>
    <w:rsid w:val="00965ACF"/>
    <w:rsid w:val="00965D6E"/>
    <w:rsid w:val="00966102"/>
    <w:rsid w:val="0096624D"/>
    <w:rsid w:val="00966413"/>
    <w:rsid w:val="00966614"/>
    <w:rsid w:val="00966667"/>
    <w:rsid w:val="00966979"/>
    <w:rsid w:val="00966A7C"/>
    <w:rsid w:val="00966B2B"/>
    <w:rsid w:val="00966EF2"/>
    <w:rsid w:val="00966F4C"/>
    <w:rsid w:val="00967241"/>
    <w:rsid w:val="0096785A"/>
    <w:rsid w:val="0096795E"/>
    <w:rsid w:val="00967B0B"/>
    <w:rsid w:val="00967BC1"/>
    <w:rsid w:val="00967EE7"/>
    <w:rsid w:val="00967EE8"/>
    <w:rsid w:val="0097019F"/>
    <w:rsid w:val="009701DC"/>
    <w:rsid w:val="00970441"/>
    <w:rsid w:val="009704A8"/>
    <w:rsid w:val="009707E1"/>
    <w:rsid w:val="009707F0"/>
    <w:rsid w:val="0097087A"/>
    <w:rsid w:val="00970B0C"/>
    <w:rsid w:val="00970B23"/>
    <w:rsid w:val="00971017"/>
    <w:rsid w:val="0097128B"/>
    <w:rsid w:val="0097128C"/>
    <w:rsid w:val="0097143C"/>
    <w:rsid w:val="00971446"/>
    <w:rsid w:val="00971484"/>
    <w:rsid w:val="00971631"/>
    <w:rsid w:val="009716F8"/>
    <w:rsid w:val="00971E12"/>
    <w:rsid w:val="00971E59"/>
    <w:rsid w:val="00971EBC"/>
    <w:rsid w:val="00971FD5"/>
    <w:rsid w:val="009720AD"/>
    <w:rsid w:val="0097216F"/>
    <w:rsid w:val="00972174"/>
    <w:rsid w:val="0097221E"/>
    <w:rsid w:val="00972487"/>
    <w:rsid w:val="00972614"/>
    <w:rsid w:val="0097261C"/>
    <w:rsid w:val="00972CC4"/>
    <w:rsid w:val="00972F1D"/>
    <w:rsid w:val="009730D7"/>
    <w:rsid w:val="009731A3"/>
    <w:rsid w:val="009731E0"/>
    <w:rsid w:val="009733DB"/>
    <w:rsid w:val="009737A9"/>
    <w:rsid w:val="00973911"/>
    <w:rsid w:val="00973AF8"/>
    <w:rsid w:val="00973E33"/>
    <w:rsid w:val="00973F15"/>
    <w:rsid w:val="00973F23"/>
    <w:rsid w:val="00973F95"/>
    <w:rsid w:val="00974085"/>
    <w:rsid w:val="00974327"/>
    <w:rsid w:val="0097440C"/>
    <w:rsid w:val="0097442C"/>
    <w:rsid w:val="00974486"/>
    <w:rsid w:val="00974765"/>
    <w:rsid w:val="00974AF7"/>
    <w:rsid w:val="00974BE2"/>
    <w:rsid w:val="00974C9D"/>
    <w:rsid w:val="00974CAF"/>
    <w:rsid w:val="00974D3E"/>
    <w:rsid w:val="00974E2C"/>
    <w:rsid w:val="00974FEC"/>
    <w:rsid w:val="0097500E"/>
    <w:rsid w:val="00975027"/>
    <w:rsid w:val="0097505A"/>
    <w:rsid w:val="00975447"/>
    <w:rsid w:val="009754DE"/>
    <w:rsid w:val="00975534"/>
    <w:rsid w:val="00975554"/>
    <w:rsid w:val="00975766"/>
    <w:rsid w:val="0097577D"/>
    <w:rsid w:val="00975AF3"/>
    <w:rsid w:val="00975C0F"/>
    <w:rsid w:val="00975C9F"/>
    <w:rsid w:val="00975DE0"/>
    <w:rsid w:val="0097611B"/>
    <w:rsid w:val="009761F2"/>
    <w:rsid w:val="009765C7"/>
    <w:rsid w:val="009767D9"/>
    <w:rsid w:val="00976C9E"/>
    <w:rsid w:val="00976CA8"/>
    <w:rsid w:val="00976F19"/>
    <w:rsid w:val="00976F64"/>
    <w:rsid w:val="00977144"/>
    <w:rsid w:val="009771FC"/>
    <w:rsid w:val="0097720E"/>
    <w:rsid w:val="00977352"/>
    <w:rsid w:val="00977404"/>
    <w:rsid w:val="00977456"/>
    <w:rsid w:val="00977470"/>
    <w:rsid w:val="0097755B"/>
    <w:rsid w:val="009776F4"/>
    <w:rsid w:val="00977738"/>
    <w:rsid w:val="009777A3"/>
    <w:rsid w:val="0097791C"/>
    <w:rsid w:val="009779CD"/>
    <w:rsid w:val="009779F2"/>
    <w:rsid w:val="00977B50"/>
    <w:rsid w:val="00977B94"/>
    <w:rsid w:val="00977BED"/>
    <w:rsid w:val="00977C5B"/>
    <w:rsid w:val="00977F22"/>
    <w:rsid w:val="0098006A"/>
    <w:rsid w:val="009800BC"/>
    <w:rsid w:val="0098015F"/>
    <w:rsid w:val="00980526"/>
    <w:rsid w:val="00980680"/>
    <w:rsid w:val="0098084F"/>
    <w:rsid w:val="009808BB"/>
    <w:rsid w:val="00980B67"/>
    <w:rsid w:val="00980C2B"/>
    <w:rsid w:val="00980CCD"/>
    <w:rsid w:val="00980F22"/>
    <w:rsid w:val="009810BF"/>
    <w:rsid w:val="009811D1"/>
    <w:rsid w:val="00981549"/>
    <w:rsid w:val="00981672"/>
    <w:rsid w:val="00981766"/>
    <w:rsid w:val="009819BF"/>
    <w:rsid w:val="00981A37"/>
    <w:rsid w:val="00981BC4"/>
    <w:rsid w:val="00981F83"/>
    <w:rsid w:val="00981FA0"/>
    <w:rsid w:val="0098204F"/>
    <w:rsid w:val="00982118"/>
    <w:rsid w:val="0098220D"/>
    <w:rsid w:val="009827F2"/>
    <w:rsid w:val="00982807"/>
    <w:rsid w:val="00982869"/>
    <w:rsid w:val="009829E4"/>
    <w:rsid w:val="00982A7F"/>
    <w:rsid w:val="00982C52"/>
    <w:rsid w:val="00982C8E"/>
    <w:rsid w:val="00982E52"/>
    <w:rsid w:val="00982F7A"/>
    <w:rsid w:val="00983141"/>
    <w:rsid w:val="009836F9"/>
    <w:rsid w:val="0098374C"/>
    <w:rsid w:val="00983855"/>
    <w:rsid w:val="00983B25"/>
    <w:rsid w:val="00983B51"/>
    <w:rsid w:val="00983B83"/>
    <w:rsid w:val="00983C57"/>
    <w:rsid w:val="00983D24"/>
    <w:rsid w:val="00983D5C"/>
    <w:rsid w:val="00983E08"/>
    <w:rsid w:val="00983EAA"/>
    <w:rsid w:val="00983F7A"/>
    <w:rsid w:val="00983FE3"/>
    <w:rsid w:val="00984173"/>
    <w:rsid w:val="00984176"/>
    <w:rsid w:val="00984415"/>
    <w:rsid w:val="009844D6"/>
    <w:rsid w:val="009844FD"/>
    <w:rsid w:val="00984510"/>
    <w:rsid w:val="009848F8"/>
    <w:rsid w:val="00984914"/>
    <w:rsid w:val="00984AD1"/>
    <w:rsid w:val="00984D35"/>
    <w:rsid w:val="00984D63"/>
    <w:rsid w:val="00985079"/>
    <w:rsid w:val="00985238"/>
    <w:rsid w:val="00985337"/>
    <w:rsid w:val="00985449"/>
    <w:rsid w:val="009855A2"/>
    <w:rsid w:val="009857D4"/>
    <w:rsid w:val="009857FC"/>
    <w:rsid w:val="009858EF"/>
    <w:rsid w:val="009859DB"/>
    <w:rsid w:val="00985BEF"/>
    <w:rsid w:val="00985D3B"/>
    <w:rsid w:val="00985D74"/>
    <w:rsid w:val="00985EBD"/>
    <w:rsid w:val="00985EEF"/>
    <w:rsid w:val="00985FC9"/>
    <w:rsid w:val="00985FD5"/>
    <w:rsid w:val="00985FE8"/>
    <w:rsid w:val="00985FF3"/>
    <w:rsid w:val="00986679"/>
    <w:rsid w:val="009866E9"/>
    <w:rsid w:val="00986952"/>
    <w:rsid w:val="00986C6F"/>
    <w:rsid w:val="00986D6D"/>
    <w:rsid w:val="00987023"/>
    <w:rsid w:val="00987280"/>
    <w:rsid w:val="0098749E"/>
    <w:rsid w:val="0098750E"/>
    <w:rsid w:val="0098760D"/>
    <w:rsid w:val="00987674"/>
    <w:rsid w:val="009876A4"/>
    <w:rsid w:val="00987776"/>
    <w:rsid w:val="009879F2"/>
    <w:rsid w:val="00987A29"/>
    <w:rsid w:val="00987B15"/>
    <w:rsid w:val="00987EA9"/>
    <w:rsid w:val="00990443"/>
    <w:rsid w:val="009904DA"/>
    <w:rsid w:val="009907FF"/>
    <w:rsid w:val="0099086B"/>
    <w:rsid w:val="00990E7E"/>
    <w:rsid w:val="009911F8"/>
    <w:rsid w:val="00991221"/>
    <w:rsid w:val="0099136F"/>
    <w:rsid w:val="0099139D"/>
    <w:rsid w:val="00991406"/>
    <w:rsid w:val="00991467"/>
    <w:rsid w:val="00991584"/>
    <w:rsid w:val="009915BD"/>
    <w:rsid w:val="0099167A"/>
    <w:rsid w:val="009917E7"/>
    <w:rsid w:val="009918D3"/>
    <w:rsid w:val="00991958"/>
    <w:rsid w:val="00991A8A"/>
    <w:rsid w:val="00991AAA"/>
    <w:rsid w:val="00991CE7"/>
    <w:rsid w:val="00991E81"/>
    <w:rsid w:val="00991EE5"/>
    <w:rsid w:val="009923C6"/>
    <w:rsid w:val="00992477"/>
    <w:rsid w:val="00992556"/>
    <w:rsid w:val="0099273F"/>
    <w:rsid w:val="009927C5"/>
    <w:rsid w:val="00992934"/>
    <w:rsid w:val="009929C0"/>
    <w:rsid w:val="00992B8B"/>
    <w:rsid w:val="00992BFB"/>
    <w:rsid w:val="00992EC7"/>
    <w:rsid w:val="0099300C"/>
    <w:rsid w:val="009932B1"/>
    <w:rsid w:val="00993388"/>
    <w:rsid w:val="009934AC"/>
    <w:rsid w:val="009937FC"/>
    <w:rsid w:val="00993838"/>
    <w:rsid w:val="00993E1E"/>
    <w:rsid w:val="009940D1"/>
    <w:rsid w:val="00994235"/>
    <w:rsid w:val="009942DB"/>
    <w:rsid w:val="009944B6"/>
    <w:rsid w:val="009948BF"/>
    <w:rsid w:val="00994A7B"/>
    <w:rsid w:val="00994D84"/>
    <w:rsid w:val="00995067"/>
    <w:rsid w:val="0099532B"/>
    <w:rsid w:val="009955A3"/>
    <w:rsid w:val="009957FA"/>
    <w:rsid w:val="009958F3"/>
    <w:rsid w:val="009959F0"/>
    <w:rsid w:val="00995AA8"/>
    <w:rsid w:val="00995CF7"/>
    <w:rsid w:val="00995DD4"/>
    <w:rsid w:val="00995EEF"/>
    <w:rsid w:val="0099603C"/>
    <w:rsid w:val="0099643E"/>
    <w:rsid w:val="009966FA"/>
    <w:rsid w:val="009969FA"/>
    <w:rsid w:val="00996AC2"/>
    <w:rsid w:val="00996BEB"/>
    <w:rsid w:val="00996D09"/>
    <w:rsid w:val="00997004"/>
    <w:rsid w:val="00997043"/>
    <w:rsid w:val="0099711C"/>
    <w:rsid w:val="00997219"/>
    <w:rsid w:val="009972EF"/>
    <w:rsid w:val="00997325"/>
    <w:rsid w:val="009973AD"/>
    <w:rsid w:val="009974D9"/>
    <w:rsid w:val="00997866"/>
    <w:rsid w:val="009978FD"/>
    <w:rsid w:val="00997981"/>
    <w:rsid w:val="00997AF2"/>
    <w:rsid w:val="00997EBF"/>
    <w:rsid w:val="00997EEA"/>
    <w:rsid w:val="009A0278"/>
    <w:rsid w:val="009A0334"/>
    <w:rsid w:val="009A03B1"/>
    <w:rsid w:val="009A0471"/>
    <w:rsid w:val="009A04B4"/>
    <w:rsid w:val="009A04F6"/>
    <w:rsid w:val="009A0511"/>
    <w:rsid w:val="009A058E"/>
    <w:rsid w:val="009A0687"/>
    <w:rsid w:val="009A0858"/>
    <w:rsid w:val="009A0875"/>
    <w:rsid w:val="009A0CE7"/>
    <w:rsid w:val="009A0EEC"/>
    <w:rsid w:val="009A0F98"/>
    <w:rsid w:val="009A0FA2"/>
    <w:rsid w:val="009A102B"/>
    <w:rsid w:val="009A115B"/>
    <w:rsid w:val="009A1173"/>
    <w:rsid w:val="009A127F"/>
    <w:rsid w:val="009A12BB"/>
    <w:rsid w:val="009A1739"/>
    <w:rsid w:val="009A178C"/>
    <w:rsid w:val="009A1844"/>
    <w:rsid w:val="009A1867"/>
    <w:rsid w:val="009A1B0F"/>
    <w:rsid w:val="009A1CA0"/>
    <w:rsid w:val="009A1CE6"/>
    <w:rsid w:val="009A1DDA"/>
    <w:rsid w:val="009A1F86"/>
    <w:rsid w:val="009A2161"/>
    <w:rsid w:val="009A23CC"/>
    <w:rsid w:val="009A23FA"/>
    <w:rsid w:val="009A261F"/>
    <w:rsid w:val="009A2726"/>
    <w:rsid w:val="009A280A"/>
    <w:rsid w:val="009A2815"/>
    <w:rsid w:val="009A2902"/>
    <w:rsid w:val="009A2A68"/>
    <w:rsid w:val="009A2AC8"/>
    <w:rsid w:val="009A2BC3"/>
    <w:rsid w:val="009A2C43"/>
    <w:rsid w:val="009A2D2E"/>
    <w:rsid w:val="009A3018"/>
    <w:rsid w:val="009A30FA"/>
    <w:rsid w:val="009A3144"/>
    <w:rsid w:val="009A31FC"/>
    <w:rsid w:val="009A32B3"/>
    <w:rsid w:val="009A3458"/>
    <w:rsid w:val="009A3500"/>
    <w:rsid w:val="009A362C"/>
    <w:rsid w:val="009A3681"/>
    <w:rsid w:val="009A37F0"/>
    <w:rsid w:val="009A38A4"/>
    <w:rsid w:val="009A38E8"/>
    <w:rsid w:val="009A3A02"/>
    <w:rsid w:val="009A3A8D"/>
    <w:rsid w:val="009A3BCC"/>
    <w:rsid w:val="009A3BD8"/>
    <w:rsid w:val="009A3CE4"/>
    <w:rsid w:val="009A3DD5"/>
    <w:rsid w:val="009A3EB0"/>
    <w:rsid w:val="009A402D"/>
    <w:rsid w:val="009A4097"/>
    <w:rsid w:val="009A449E"/>
    <w:rsid w:val="009A44BC"/>
    <w:rsid w:val="009A45D6"/>
    <w:rsid w:val="009A4635"/>
    <w:rsid w:val="009A46C4"/>
    <w:rsid w:val="009A49B5"/>
    <w:rsid w:val="009A4A9B"/>
    <w:rsid w:val="009A4BA4"/>
    <w:rsid w:val="009A4F38"/>
    <w:rsid w:val="009A4FD5"/>
    <w:rsid w:val="009A5104"/>
    <w:rsid w:val="009A5213"/>
    <w:rsid w:val="009A55E3"/>
    <w:rsid w:val="009A59EE"/>
    <w:rsid w:val="009A5B59"/>
    <w:rsid w:val="009A5D99"/>
    <w:rsid w:val="009A5DAF"/>
    <w:rsid w:val="009A5EA8"/>
    <w:rsid w:val="009A5F41"/>
    <w:rsid w:val="009A604F"/>
    <w:rsid w:val="009A6078"/>
    <w:rsid w:val="009A6082"/>
    <w:rsid w:val="009A62F5"/>
    <w:rsid w:val="009A632D"/>
    <w:rsid w:val="009A6334"/>
    <w:rsid w:val="009A6547"/>
    <w:rsid w:val="009A663B"/>
    <w:rsid w:val="009A6A5A"/>
    <w:rsid w:val="009A6B12"/>
    <w:rsid w:val="009A6B92"/>
    <w:rsid w:val="009A6C4E"/>
    <w:rsid w:val="009A6D8E"/>
    <w:rsid w:val="009A6E9D"/>
    <w:rsid w:val="009A7008"/>
    <w:rsid w:val="009A709B"/>
    <w:rsid w:val="009A7107"/>
    <w:rsid w:val="009A7131"/>
    <w:rsid w:val="009A7271"/>
    <w:rsid w:val="009A740F"/>
    <w:rsid w:val="009A76BC"/>
    <w:rsid w:val="009A77AB"/>
    <w:rsid w:val="009A780D"/>
    <w:rsid w:val="009A7957"/>
    <w:rsid w:val="009A7AD0"/>
    <w:rsid w:val="009A7EC0"/>
    <w:rsid w:val="009B00CC"/>
    <w:rsid w:val="009B01E4"/>
    <w:rsid w:val="009B0396"/>
    <w:rsid w:val="009B065F"/>
    <w:rsid w:val="009B06AD"/>
    <w:rsid w:val="009B081C"/>
    <w:rsid w:val="009B0878"/>
    <w:rsid w:val="009B08A6"/>
    <w:rsid w:val="009B09B5"/>
    <w:rsid w:val="009B0AC9"/>
    <w:rsid w:val="009B0B99"/>
    <w:rsid w:val="009B11C8"/>
    <w:rsid w:val="009B1228"/>
    <w:rsid w:val="009B1250"/>
    <w:rsid w:val="009B1549"/>
    <w:rsid w:val="009B1590"/>
    <w:rsid w:val="009B1886"/>
    <w:rsid w:val="009B1E01"/>
    <w:rsid w:val="009B1EBC"/>
    <w:rsid w:val="009B2094"/>
    <w:rsid w:val="009B2183"/>
    <w:rsid w:val="009B22E2"/>
    <w:rsid w:val="009B2406"/>
    <w:rsid w:val="009B248B"/>
    <w:rsid w:val="009B251C"/>
    <w:rsid w:val="009B2A03"/>
    <w:rsid w:val="009B2B2F"/>
    <w:rsid w:val="009B2E09"/>
    <w:rsid w:val="009B2F1F"/>
    <w:rsid w:val="009B2F42"/>
    <w:rsid w:val="009B32AC"/>
    <w:rsid w:val="009B331B"/>
    <w:rsid w:val="009B34D3"/>
    <w:rsid w:val="009B34E8"/>
    <w:rsid w:val="009B3557"/>
    <w:rsid w:val="009B3610"/>
    <w:rsid w:val="009B3BF0"/>
    <w:rsid w:val="009B3C44"/>
    <w:rsid w:val="009B3CA5"/>
    <w:rsid w:val="009B4163"/>
    <w:rsid w:val="009B448B"/>
    <w:rsid w:val="009B44D7"/>
    <w:rsid w:val="009B46B3"/>
    <w:rsid w:val="009B49CE"/>
    <w:rsid w:val="009B4AD2"/>
    <w:rsid w:val="009B4AD5"/>
    <w:rsid w:val="009B4B93"/>
    <w:rsid w:val="009B5005"/>
    <w:rsid w:val="009B5097"/>
    <w:rsid w:val="009B50C1"/>
    <w:rsid w:val="009B51BC"/>
    <w:rsid w:val="009B54A1"/>
    <w:rsid w:val="009B54DD"/>
    <w:rsid w:val="009B575B"/>
    <w:rsid w:val="009B575F"/>
    <w:rsid w:val="009B5789"/>
    <w:rsid w:val="009B5AA2"/>
    <w:rsid w:val="009B5ACA"/>
    <w:rsid w:val="009B5E79"/>
    <w:rsid w:val="009B5EE7"/>
    <w:rsid w:val="009B5FE3"/>
    <w:rsid w:val="009B6042"/>
    <w:rsid w:val="009B618E"/>
    <w:rsid w:val="009B6197"/>
    <w:rsid w:val="009B62A6"/>
    <w:rsid w:val="009B64AA"/>
    <w:rsid w:val="009B6663"/>
    <w:rsid w:val="009B68F6"/>
    <w:rsid w:val="009B6CC6"/>
    <w:rsid w:val="009B6D7C"/>
    <w:rsid w:val="009B6E74"/>
    <w:rsid w:val="009B6F3D"/>
    <w:rsid w:val="009B7356"/>
    <w:rsid w:val="009B747B"/>
    <w:rsid w:val="009B749D"/>
    <w:rsid w:val="009B755F"/>
    <w:rsid w:val="009B75F2"/>
    <w:rsid w:val="009B7758"/>
    <w:rsid w:val="009B775A"/>
    <w:rsid w:val="009B7860"/>
    <w:rsid w:val="009B7B74"/>
    <w:rsid w:val="009B7CE9"/>
    <w:rsid w:val="009B7FEF"/>
    <w:rsid w:val="009C00C0"/>
    <w:rsid w:val="009C0113"/>
    <w:rsid w:val="009C0181"/>
    <w:rsid w:val="009C01B3"/>
    <w:rsid w:val="009C02B2"/>
    <w:rsid w:val="009C03CB"/>
    <w:rsid w:val="009C049A"/>
    <w:rsid w:val="009C0596"/>
    <w:rsid w:val="009C0660"/>
    <w:rsid w:val="009C070E"/>
    <w:rsid w:val="009C09DF"/>
    <w:rsid w:val="009C0A46"/>
    <w:rsid w:val="009C0D9E"/>
    <w:rsid w:val="009C0DAB"/>
    <w:rsid w:val="009C0DAC"/>
    <w:rsid w:val="009C0E43"/>
    <w:rsid w:val="009C124A"/>
    <w:rsid w:val="009C1597"/>
    <w:rsid w:val="009C18DC"/>
    <w:rsid w:val="009C19C4"/>
    <w:rsid w:val="009C1CB9"/>
    <w:rsid w:val="009C1E11"/>
    <w:rsid w:val="009C1F7A"/>
    <w:rsid w:val="009C2035"/>
    <w:rsid w:val="009C20BA"/>
    <w:rsid w:val="009C20FA"/>
    <w:rsid w:val="009C2437"/>
    <w:rsid w:val="009C26E0"/>
    <w:rsid w:val="009C286B"/>
    <w:rsid w:val="009C289A"/>
    <w:rsid w:val="009C2A0A"/>
    <w:rsid w:val="009C2A36"/>
    <w:rsid w:val="009C2A58"/>
    <w:rsid w:val="009C2A6E"/>
    <w:rsid w:val="009C2B1E"/>
    <w:rsid w:val="009C2B50"/>
    <w:rsid w:val="009C2C1F"/>
    <w:rsid w:val="009C2CB2"/>
    <w:rsid w:val="009C2CCF"/>
    <w:rsid w:val="009C2D27"/>
    <w:rsid w:val="009C2DF1"/>
    <w:rsid w:val="009C2F08"/>
    <w:rsid w:val="009C30BC"/>
    <w:rsid w:val="009C367E"/>
    <w:rsid w:val="009C3745"/>
    <w:rsid w:val="009C3812"/>
    <w:rsid w:val="009C38F7"/>
    <w:rsid w:val="009C392F"/>
    <w:rsid w:val="009C3967"/>
    <w:rsid w:val="009C453B"/>
    <w:rsid w:val="009C47A9"/>
    <w:rsid w:val="009C49A4"/>
    <w:rsid w:val="009C49F2"/>
    <w:rsid w:val="009C4BA9"/>
    <w:rsid w:val="009C4C66"/>
    <w:rsid w:val="009C4CBC"/>
    <w:rsid w:val="009C4D8C"/>
    <w:rsid w:val="009C4F53"/>
    <w:rsid w:val="009C4FE6"/>
    <w:rsid w:val="009C523D"/>
    <w:rsid w:val="009C5262"/>
    <w:rsid w:val="009C535F"/>
    <w:rsid w:val="009C539B"/>
    <w:rsid w:val="009C5406"/>
    <w:rsid w:val="009C5443"/>
    <w:rsid w:val="009C5531"/>
    <w:rsid w:val="009C57A8"/>
    <w:rsid w:val="009C57D2"/>
    <w:rsid w:val="009C587A"/>
    <w:rsid w:val="009C5A41"/>
    <w:rsid w:val="009C5A7E"/>
    <w:rsid w:val="009C5C46"/>
    <w:rsid w:val="009C5FF8"/>
    <w:rsid w:val="009C60D9"/>
    <w:rsid w:val="009C6860"/>
    <w:rsid w:val="009C6A34"/>
    <w:rsid w:val="009C6D03"/>
    <w:rsid w:val="009C72D2"/>
    <w:rsid w:val="009C738F"/>
    <w:rsid w:val="009C7393"/>
    <w:rsid w:val="009C7677"/>
    <w:rsid w:val="009C77D8"/>
    <w:rsid w:val="009C78E6"/>
    <w:rsid w:val="009C7977"/>
    <w:rsid w:val="009C79A7"/>
    <w:rsid w:val="009C7C31"/>
    <w:rsid w:val="009D00A6"/>
    <w:rsid w:val="009D0393"/>
    <w:rsid w:val="009D0416"/>
    <w:rsid w:val="009D06B8"/>
    <w:rsid w:val="009D0727"/>
    <w:rsid w:val="009D0923"/>
    <w:rsid w:val="009D09EA"/>
    <w:rsid w:val="009D0A51"/>
    <w:rsid w:val="009D0C04"/>
    <w:rsid w:val="009D0CDC"/>
    <w:rsid w:val="009D106B"/>
    <w:rsid w:val="009D1224"/>
    <w:rsid w:val="009D1341"/>
    <w:rsid w:val="009D143F"/>
    <w:rsid w:val="009D16D2"/>
    <w:rsid w:val="009D17AB"/>
    <w:rsid w:val="009D17C1"/>
    <w:rsid w:val="009D1C83"/>
    <w:rsid w:val="009D1F9B"/>
    <w:rsid w:val="009D212C"/>
    <w:rsid w:val="009D2338"/>
    <w:rsid w:val="009D2513"/>
    <w:rsid w:val="009D25CA"/>
    <w:rsid w:val="009D2655"/>
    <w:rsid w:val="009D27FF"/>
    <w:rsid w:val="009D2848"/>
    <w:rsid w:val="009D2892"/>
    <w:rsid w:val="009D29A8"/>
    <w:rsid w:val="009D2B5E"/>
    <w:rsid w:val="009D2B87"/>
    <w:rsid w:val="009D2C01"/>
    <w:rsid w:val="009D2F02"/>
    <w:rsid w:val="009D2F47"/>
    <w:rsid w:val="009D3277"/>
    <w:rsid w:val="009D332E"/>
    <w:rsid w:val="009D336D"/>
    <w:rsid w:val="009D3461"/>
    <w:rsid w:val="009D3518"/>
    <w:rsid w:val="009D35CB"/>
    <w:rsid w:val="009D3676"/>
    <w:rsid w:val="009D369A"/>
    <w:rsid w:val="009D36A5"/>
    <w:rsid w:val="009D37C5"/>
    <w:rsid w:val="009D3865"/>
    <w:rsid w:val="009D38FF"/>
    <w:rsid w:val="009D3AF6"/>
    <w:rsid w:val="009D3B0A"/>
    <w:rsid w:val="009D3DC9"/>
    <w:rsid w:val="009D3E2C"/>
    <w:rsid w:val="009D3E67"/>
    <w:rsid w:val="009D3E89"/>
    <w:rsid w:val="009D3EA7"/>
    <w:rsid w:val="009D3F31"/>
    <w:rsid w:val="009D3FD1"/>
    <w:rsid w:val="009D4002"/>
    <w:rsid w:val="009D4201"/>
    <w:rsid w:val="009D4273"/>
    <w:rsid w:val="009D45D5"/>
    <w:rsid w:val="009D47AC"/>
    <w:rsid w:val="009D482C"/>
    <w:rsid w:val="009D4B38"/>
    <w:rsid w:val="009D4C17"/>
    <w:rsid w:val="009D4C4E"/>
    <w:rsid w:val="009D4DF6"/>
    <w:rsid w:val="009D4F3A"/>
    <w:rsid w:val="009D5099"/>
    <w:rsid w:val="009D516B"/>
    <w:rsid w:val="009D525B"/>
    <w:rsid w:val="009D52DB"/>
    <w:rsid w:val="009D5308"/>
    <w:rsid w:val="009D532B"/>
    <w:rsid w:val="009D5CE8"/>
    <w:rsid w:val="009D5D30"/>
    <w:rsid w:val="009D60C9"/>
    <w:rsid w:val="009D6106"/>
    <w:rsid w:val="009D611C"/>
    <w:rsid w:val="009D661C"/>
    <w:rsid w:val="009D6A49"/>
    <w:rsid w:val="009D6AA7"/>
    <w:rsid w:val="009D6ABD"/>
    <w:rsid w:val="009D6BA0"/>
    <w:rsid w:val="009D6BED"/>
    <w:rsid w:val="009D6C88"/>
    <w:rsid w:val="009D6D56"/>
    <w:rsid w:val="009D6EB6"/>
    <w:rsid w:val="009D6EBB"/>
    <w:rsid w:val="009D7211"/>
    <w:rsid w:val="009D74EB"/>
    <w:rsid w:val="009D755C"/>
    <w:rsid w:val="009D781E"/>
    <w:rsid w:val="009D7D35"/>
    <w:rsid w:val="009D7D99"/>
    <w:rsid w:val="009D7F33"/>
    <w:rsid w:val="009D7F4A"/>
    <w:rsid w:val="009E0189"/>
    <w:rsid w:val="009E02A5"/>
    <w:rsid w:val="009E0849"/>
    <w:rsid w:val="009E089D"/>
    <w:rsid w:val="009E0B0B"/>
    <w:rsid w:val="009E0DC7"/>
    <w:rsid w:val="009E0EA2"/>
    <w:rsid w:val="009E0F0C"/>
    <w:rsid w:val="009E112D"/>
    <w:rsid w:val="009E1570"/>
    <w:rsid w:val="009E1741"/>
    <w:rsid w:val="009E18AB"/>
    <w:rsid w:val="009E1F25"/>
    <w:rsid w:val="009E2036"/>
    <w:rsid w:val="009E228D"/>
    <w:rsid w:val="009E22BF"/>
    <w:rsid w:val="009E234F"/>
    <w:rsid w:val="009E2496"/>
    <w:rsid w:val="009E2722"/>
    <w:rsid w:val="009E297B"/>
    <w:rsid w:val="009E297D"/>
    <w:rsid w:val="009E30B3"/>
    <w:rsid w:val="009E3311"/>
    <w:rsid w:val="009E348D"/>
    <w:rsid w:val="009E383F"/>
    <w:rsid w:val="009E384E"/>
    <w:rsid w:val="009E38FC"/>
    <w:rsid w:val="009E3A39"/>
    <w:rsid w:val="009E3EDE"/>
    <w:rsid w:val="009E3F89"/>
    <w:rsid w:val="009E402E"/>
    <w:rsid w:val="009E40CC"/>
    <w:rsid w:val="009E413B"/>
    <w:rsid w:val="009E417D"/>
    <w:rsid w:val="009E4183"/>
    <w:rsid w:val="009E4371"/>
    <w:rsid w:val="009E4375"/>
    <w:rsid w:val="009E4386"/>
    <w:rsid w:val="009E4493"/>
    <w:rsid w:val="009E48D0"/>
    <w:rsid w:val="009E4927"/>
    <w:rsid w:val="009E493E"/>
    <w:rsid w:val="009E49E8"/>
    <w:rsid w:val="009E4B2B"/>
    <w:rsid w:val="009E4D8F"/>
    <w:rsid w:val="009E5212"/>
    <w:rsid w:val="009E5312"/>
    <w:rsid w:val="009E532D"/>
    <w:rsid w:val="009E5342"/>
    <w:rsid w:val="009E55B0"/>
    <w:rsid w:val="009E56C0"/>
    <w:rsid w:val="009E5875"/>
    <w:rsid w:val="009E590B"/>
    <w:rsid w:val="009E595A"/>
    <w:rsid w:val="009E59AB"/>
    <w:rsid w:val="009E5ABB"/>
    <w:rsid w:val="009E5D01"/>
    <w:rsid w:val="009E5DD8"/>
    <w:rsid w:val="009E6047"/>
    <w:rsid w:val="009E60F9"/>
    <w:rsid w:val="009E64DF"/>
    <w:rsid w:val="009E65F4"/>
    <w:rsid w:val="009E662A"/>
    <w:rsid w:val="009E6912"/>
    <w:rsid w:val="009E6CAA"/>
    <w:rsid w:val="009E6EB4"/>
    <w:rsid w:val="009E6EDA"/>
    <w:rsid w:val="009E6FED"/>
    <w:rsid w:val="009E728B"/>
    <w:rsid w:val="009E72C9"/>
    <w:rsid w:val="009E7449"/>
    <w:rsid w:val="009E746C"/>
    <w:rsid w:val="009E79A5"/>
    <w:rsid w:val="009E7A8E"/>
    <w:rsid w:val="009E7B36"/>
    <w:rsid w:val="009E7B39"/>
    <w:rsid w:val="009E7DC3"/>
    <w:rsid w:val="009E7E29"/>
    <w:rsid w:val="009F01C1"/>
    <w:rsid w:val="009F041A"/>
    <w:rsid w:val="009F059D"/>
    <w:rsid w:val="009F05BA"/>
    <w:rsid w:val="009F092C"/>
    <w:rsid w:val="009F094C"/>
    <w:rsid w:val="009F0B6A"/>
    <w:rsid w:val="009F0DB7"/>
    <w:rsid w:val="009F0DFD"/>
    <w:rsid w:val="009F0E71"/>
    <w:rsid w:val="009F0F19"/>
    <w:rsid w:val="009F0F49"/>
    <w:rsid w:val="009F0F97"/>
    <w:rsid w:val="009F0FBE"/>
    <w:rsid w:val="009F1183"/>
    <w:rsid w:val="009F1239"/>
    <w:rsid w:val="009F1337"/>
    <w:rsid w:val="009F13BA"/>
    <w:rsid w:val="009F147A"/>
    <w:rsid w:val="009F1669"/>
    <w:rsid w:val="009F17FB"/>
    <w:rsid w:val="009F1833"/>
    <w:rsid w:val="009F1AA4"/>
    <w:rsid w:val="009F1AAD"/>
    <w:rsid w:val="009F1ACA"/>
    <w:rsid w:val="009F1B9B"/>
    <w:rsid w:val="009F1D12"/>
    <w:rsid w:val="009F1D48"/>
    <w:rsid w:val="009F1DA5"/>
    <w:rsid w:val="009F1EA1"/>
    <w:rsid w:val="009F1F5D"/>
    <w:rsid w:val="009F2515"/>
    <w:rsid w:val="009F298A"/>
    <w:rsid w:val="009F2B83"/>
    <w:rsid w:val="009F2C46"/>
    <w:rsid w:val="009F3089"/>
    <w:rsid w:val="009F328D"/>
    <w:rsid w:val="009F34FF"/>
    <w:rsid w:val="009F369A"/>
    <w:rsid w:val="009F3746"/>
    <w:rsid w:val="009F3747"/>
    <w:rsid w:val="009F3750"/>
    <w:rsid w:val="009F3985"/>
    <w:rsid w:val="009F3A15"/>
    <w:rsid w:val="009F3A63"/>
    <w:rsid w:val="009F3A6E"/>
    <w:rsid w:val="009F3C75"/>
    <w:rsid w:val="009F3CF4"/>
    <w:rsid w:val="009F3D90"/>
    <w:rsid w:val="009F4156"/>
    <w:rsid w:val="009F44BE"/>
    <w:rsid w:val="009F46AA"/>
    <w:rsid w:val="009F47EF"/>
    <w:rsid w:val="009F4C1B"/>
    <w:rsid w:val="009F4D2B"/>
    <w:rsid w:val="009F4D63"/>
    <w:rsid w:val="009F4D76"/>
    <w:rsid w:val="009F4ED0"/>
    <w:rsid w:val="009F4F0C"/>
    <w:rsid w:val="009F563B"/>
    <w:rsid w:val="009F5871"/>
    <w:rsid w:val="009F58F8"/>
    <w:rsid w:val="009F598C"/>
    <w:rsid w:val="009F59EF"/>
    <w:rsid w:val="009F5B29"/>
    <w:rsid w:val="009F5BA0"/>
    <w:rsid w:val="009F5E51"/>
    <w:rsid w:val="009F5FA3"/>
    <w:rsid w:val="009F6131"/>
    <w:rsid w:val="009F6593"/>
    <w:rsid w:val="009F661B"/>
    <w:rsid w:val="009F68F6"/>
    <w:rsid w:val="009F6B6F"/>
    <w:rsid w:val="009F6C6D"/>
    <w:rsid w:val="009F6D10"/>
    <w:rsid w:val="009F6D98"/>
    <w:rsid w:val="009F6DFC"/>
    <w:rsid w:val="009F6F3D"/>
    <w:rsid w:val="009F706B"/>
    <w:rsid w:val="009F7175"/>
    <w:rsid w:val="009F7307"/>
    <w:rsid w:val="009F74E7"/>
    <w:rsid w:val="009F75EF"/>
    <w:rsid w:val="009F775C"/>
    <w:rsid w:val="009F7AA4"/>
    <w:rsid w:val="009F7BC0"/>
    <w:rsid w:val="009F7CB0"/>
    <w:rsid w:val="009F7DF3"/>
    <w:rsid w:val="009F7ED8"/>
    <w:rsid w:val="00A001A3"/>
    <w:rsid w:val="00A001B6"/>
    <w:rsid w:val="00A0080B"/>
    <w:rsid w:val="00A00831"/>
    <w:rsid w:val="00A00894"/>
    <w:rsid w:val="00A00D3B"/>
    <w:rsid w:val="00A00DBC"/>
    <w:rsid w:val="00A01021"/>
    <w:rsid w:val="00A01195"/>
    <w:rsid w:val="00A012FC"/>
    <w:rsid w:val="00A01493"/>
    <w:rsid w:val="00A01552"/>
    <w:rsid w:val="00A0157B"/>
    <w:rsid w:val="00A01718"/>
    <w:rsid w:val="00A017B4"/>
    <w:rsid w:val="00A01A2F"/>
    <w:rsid w:val="00A01A3E"/>
    <w:rsid w:val="00A01EFC"/>
    <w:rsid w:val="00A01F69"/>
    <w:rsid w:val="00A0221C"/>
    <w:rsid w:val="00A02290"/>
    <w:rsid w:val="00A02389"/>
    <w:rsid w:val="00A024E1"/>
    <w:rsid w:val="00A025F6"/>
    <w:rsid w:val="00A02744"/>
    <w:rsid w:val="00A027BE"/>
    <w:rsid w:val="00A02914"/>
    <w:rsid w:val="00A029AA"/>
    <w:rsid w:val="00A02A69"/>
    <w:rsid w:val="00A02F0D"/>
    <w:rsid w:val="00A03067"/>
    <w:rsid w:val="00A03483"/>
    <w:rsid w:val="00A035D8"/>
    <w:rsid w:val="00A0384D"/>
    <w:rsid w:val="00A03914"/>
    <w:rsid w:val="00A0393A"/>
    <w:rsid w:val="00A039FE"/>
    <w:rsid w:val="00A03AB2"/>
    <w:rsid w:val="00A03BED"/>
    <w:rsid w:val="00A03D67"/>
    <w:rsid w:val="00A0420A"/>
    <w:rsid w:val="00A0434C"/>
    <w:rsid w:val="00A04430"/>
    <w:rsid w:val="00A04520"/>
    <w:rsid w:val="00A048EF"/>
    <w:rsid w:val="00A04F2A"/>
    <w:rsid w:val="00A05085"/>
    <w:rsid w:val="00A0514E"/>
    <w:rsid w:val="00A05366"/>
    <w:rsid w:val="00A05407"/>
    <w:rsid w:val="00A054FA"/>
    <w:rsid w:val="00A05559"/>
    <w:rsid w:val="00A05952"/>
    <w:rsid w:val="00A059D4"/>
    <w:rsid w:val="00A05BBF"/>
    <w:rsid w:val="00A05F6F"/>
    <w:rsid w:val="00A060D8"/>
    <w:rsid w:val="00A0619C"/>
    <w:rsid w:val="00A061E3"/>
    <w:rsid w:val="00A06215"/>
    <w:rsid w:val="00A0650D"/>
    <w:rsid w:val="00A066D1"/>
    <w:rsid w:val="00A066DD"/>
    <w:rsid w:val="00A06928"/>
    <w:rsid w:val="00A06945"/>
    <w:rsid w:val="00A06A80"/>
    <w:rsid w:val="00A06B6D"/>
    <w:rsid w:val="00A06D72"/>
    <w:rsid w:val="00A07374"/>
    <w:rsid w:val="00A07456"/>
    <w:rsid w:val="00A0746C"/>
    <w:rsid w:val="00A07564"/>
    <w:rsid w:val="00A0756D"/>
    <w:rsid w:val="00A079B0"/>
    <w:rsid w:val="00A07A30"/>
    <w:rsid w:val="00A07AAA"/>
    <w:rsid w:val="00A07FC0"/>
    <w:rsid w:val="00A100B6"/>
    <w:rsid w:val="00A1050D"/>
    <w:rsid w:val="00A1057E"/>
    <w:rsid w:val="00A10687"/>
    <w:rsid w:val="00A106C8"/>
    <w:rsid w:val="00A107AB"/>
    <w:rsid w:val="00A10962"/>
    <w:rsid w:val="00A10A9D"/>
    <w:rsid w:val="00A10C2D"/>
    <w:rsid w:val="00A10F92"/>
    <w:rsid w:val="00A11045"/>
    <w:rsid w:val="00A1110C"/>
    <w:rsid w:val="00A11261"/>
    <w:rsid w:val="00A114B9"/>
    <w:rsid w:val="00A1178F"/>
    <w:rsid w:val="00A11856"/>
    <w:rsid w:val="00A1199A"/>
    <w:rsid w:val="00A11A40"/>
    <w:rsid w:val="00A11A7C"/>
    <w:rsid w:val="00A11B47"/>
    <w:rsid w:val="00A11CD4"/>
    <w:rsid w:val="00A11E27"/>
    <w:rsid w:val="00A11E7C"/>
    <w:rsid w:val="00A12096"/>
    <w:rsid w:val="00A120F6"/>
    <w:rsid w:val="00A12100"/>
    <w:rsid w:val="00A1226F"/>
    <w:rsid w:val="00A122ED"/>
    <w:rsid w:val="00A1242A"/>
    <w:rsid w:val="00A12640"/>
    <w:rsid w:val="00A1283E"/>
    <w:rsid w:val="00A12BAC"/>
    <w:rsid w:val="00A12C27"/>
    <w:rsid w:val="00A12CC6"/>
    <w:rsid w:val="00A12E6C"/>
    <w:rsid w:val="00A13282"/>
    <w:rsid w:val="00A1356D"/>
    <w:rsid w:val="00A135D2"/>
    <w:rsid w:val="00A137D9"/>
    <w:rsid w:val="00A14048"/>
    <w:rsid w:val="00A1417C"/>
    <w:rsid w:val="00A141AB"/>
    <w:rsid w:val="00A142C9"/>
    <w:rsid w:val="00A14328"/>
    <w:rsid w:val="00A14399"/>
    <w:rsid w:val="00A1458B"/>
    <w:rsid w:val="00A146C2"/>
    <w:rsid w:val="00A1476C"/>
    <w:rsid w:val="00A14973"/>
    <w:rsid w:val="00A149DF"/>
    <w:rsid w:val="00A14B94"/>
    <w:rsid w:val="00A14DAA"/>
    <w:rsid w:val="00A14E35"/>
    <w:rsid w:val="00A14FFF"/>
    <w:rsid w:val="00A15215"/>
    <w:rsid w:val="00A154E2"/>
    <w:rsid w:val="00A155ED"/>
    <w:rsid w:val="00A157A0"/>
    <w:rsid w:val="00A1581E"/>
    <w:rsid w:val="00A158AA"/>
    <w:rsid w:val="00A159BB"/>
    <w:rsid w:val="00A15A25"/>
    <w:rsid w:val="00A15AE2"/>
    <w:rsid w:val="00A15B10"/>
    <w:rsid w:val="00A15BC1"/>
    <w:rsid w:val="00A15DAB"/>
    <w:rsid w:val="00A16079"/>
    <w:rsid w:val="00A16153"/>
    <w:rsid w:val="00A163D5"/>
    <w:rsid w:val="00A16468"/>
    <w:rsid w:val="00A165AD"/>
    <w:rsid w:val="00A165D7"/>
    <w:rsid w:val="00A16679"/>
    <w:rsid w:val="00A166A5"/>
    <w:rsid w:val="00A16767"/>
    <w:rsid w:val="00A16C3D"/>
    <w:rsid w:val="00A16CB7"/>
    <w:rsid w:val="00A16D14"/>
    <w:rsid w:val="00A16F47"/>
    <w:rsid w:val="00A17184"/>
    <w:rsid w:val="00A17429"/>
    <w:rsid w:val="00A17533"/>
    <w:rsid w:val="00A175E3"/>
    <w:rsid w:val="00A1770F"/>
    <w:rsid w:val="00A1785D"/>
    <w:rsid w:val="00A178F6"/>
    <w:rsid w:val="00A17A27"/>
    <w:rsid w:val="00A17C2E"/>
    <w:rsid w:val="00A201CF"/>
    <w:rsid w:val="00A20318"/>
    <w:rsid w:val="00A20653"/>
    <w:rsid w:val="00A20854"/>
    <w:rsid w:val="00A20865"/>
    <w:rsid w:val="00A20C4A"/>
    <w:rsid w:val="00A20CCE"/>
    <w:rsid w:val="00A20CF1"/>
    <w:rsid w:val="00A20D48"/>
    <w:rsid w:val="00A212F1"/>
    <w:rsid w:val="00A21359"/>
    <w:rsid w:val="00A21483"/>
    <w:rsid w:val="00A2168F"/>
    <w:rsid w:val="00A216E5"/>
    <w:rsid w:val="00A218C4"/>
    <w:rsid w:val="00A21AA7"/>
    <w:rsid w:val="00A21AE2"/>
    <w:rsid w:val="00A21BD9"/>
    <w:rsid w:val="00A21C8F"/>
    <w:rsid w:val="00A21DD6"/>
    <w:rsid w:val="00A21E6D"/>
    <w:rsid w:val="00A21E73"/>
    <w:rsid w:val="00A21EAF"/>
    <w:rsid w:val="00A21EE4"/>
    <w:rsid w:val="00A21FE0"/>
    <w:rsid w:val="00A21FE9"/>
    <w:rsid w:val="00A222D6"/>
    <w:rsid w:val="00A2246E"/>
    <w:rsid w:val="00A22A1E"/>
    <w:rsid w:val="00A22B1B"/>
    <w:rsid w:val="00A22EDF"/>
    <w:rsid w:val="00A23170"/>
    <w:rsid w:val="00A231A5"/>
    <w:rsid w:val="00A232F1"/>
    <w:rsid w:val="00A2330F"/>
    <w:rsid w:val="00A23405"/>
    <w:rsid w:val="00A23428"/>
    <w:rsid w:val="00A234CF"/>
    <w:rsid w:val="00A236FC"/>
    <w:rsid w:val="00A2375F"/>
    <w:rsid w:val="00A238B7"/>
    <w:rsid w:val="00A23924"/>
    <w:rsid w:val="00A239D0"/>
    <w:rsid w:val="00A23ACD"/>
    <w:rsid w:val="00A23ED1"/>
    <w:rsid w:val="00A23F3B"/>
    <w:rsid w:val="00A24587"/>
    <w:rsid w:val="00A24596"/>
    <w:rsid w:val="00A245A2"/>
    <w:rsid w:val="00A246E8"/>
    <w:rsid w:val="00A2473A"/>
    <w:rsid w:val="00A2474D"/>
    <w:rsid w:val="00A248B3"/>
    <w:rsid w:val="00A24915"/>
    <w:rsid w:val="00A24949"/>
    <w:rsid w:val="00A24997"/>
    <w:rsid w:val="00A249C9"/>
    <w:rsid w:val="00A24A9B"/>
    <w:rsid w:val="00A24C50"/>
    <w:rsid w:val="00A24DD5"/>
    <w:rsid w:val="00A24E3A"/>
    <w:rsid w:val="00A24FB6"/>
    <w:rsid w:val="00A2505F"/>
    <w:rsid w:val="00A253FE"/>
    <w:rsid w:val="00A25502"/>
    <w:rsid w:val="00A25685"/>
    <w:rsid w:val="00A2593B"/>
    <w:rsid w:val="00A25AB3"/>
    <w:rsid w:val="00A25BE5"/>
    <w:rsid w:val="00A25C0E"/>
    <w:rsid w:val="00A25DF4"/>
    <w:rsid w:val="00A26395"/>
    <w:rsid w:val="00A26400"/>
    <w:rsid w:val="00A26592"/>
    <w:rsid w:val="00A26785"/>
    <w:rsid w:val="00A267DF"/>
    <w:rsid w:val="00A26978"/>
    <w:rsid w:val="00A26B2C"/>
    <w:rsid w:val="00A26CBB"/>
    <w:rsid w:val="00A26D6A"/>
    <w:rsid w:val="00A2729A"/>
    <w:rsid w:val="00A272B5"/>
    <w:rsid w:val="00A27435"/>
    <w:rsid w:val="00A2755F"/>
    <w:rsid w:val="00A2769B"/>
    <w:rsid w:val="00A27712"/>
    <w:rsid w:val="00A27830"/>
    <w:rsid w:val="00A279EA"/>
    <w:rsid w:val="00A27C1A"/>
    <w:rsid w:val="00A27C97"/>
    <w:rsid w:val="00A27CD0"/>
    <w:rsid w:val="00A27E9B"/>
    <w:rsid w:val="00A302B2"/>
    <w:rsid w:val="00A3033B"/>
    <w:rsid w:val="00A30652"/>
    <w:rsid w:val="00A30747"/>
    <w:rsid w:val="00A30967"/>
    <w:rsid w:val="00A3098C"/>
    <w:rsid w:val="00A30BCC"/>
    <w:rsid w:val="00A30D41"/>
    <w:rsid w:val="00A30E42"/>
    <w:rsid w:val="00A3114A"/>
    <w:rsid w:val="00A311A1"/>
    <w:rsid w:val="00A312A3"/>
    <w:rsid w:val="00A3136A"/>
    <w:rsid w:val="00A31441"/>
    <w:rsid w:val="00A31577"/>
    <w:rsid w:val="00A315EB"/>
    <w:rsid w:val="00A31687"/>
    <w:rsid w:val="00A31975"/>
    <w:rsid w:val="00A319B3"/>
    <w:rsid w:val="00A31AF1"/>
    <w:rsid w:val="00A31C09"/>
    <w:rsid w:val="00A31C63"/>
    <w:rsid w:val="00A31E25"/>
    <w:rsid w:val="00A31F38"/>
    <w:rsid w:val="00A320EE"/>
    <w:rsid w:val="00A32142"/>
    <w:rsid w:val="00A32278"/>
    <w:rsid w:val="00A32790"/>
    <w:rsid w:val="00A327F9"/>
    <w:rsid w:val="00A3281C"/>
    <w:rsid w:val="00A3289B"/>
    <w:rsid w:val="00A3298C"/>
    <w:rsid w:val="00A32C0A"/>
    <w:rsid w:val="00A32C9E"/>
    <w:rsid w:val="00A32CBA"/>
    <w:rsid w:val="00A32EF6"/>
    <w:rsid w:val="00A32F3F"/>
    <w:rsid w:val="00A32F7D"/>
    <w:rsid w:val="00A33073"/>
    <w:rsid w:val="00A331DA"/>
    <w:rsid w:val="00A334DE"/>
    <w:rsid w:val="00A337D9"/>
    <w:rsid w:val="00A33802"/>
    <w:rsid w:val="00A33AE8"/>
    <w:rsid w:val="00A33C7F"/>
    <w:rsid w:val="00A33F8F"/>
    <w:rsid w:val="00A3401B"/>
    <w:rsid w:val="00A34054"/>
    <w:rsid w:val="00A34182"/>
    <w:rsid w:val="00A34324"/>
    <w:rsid w:val="00A343AB"/>
    <w:rsid w:val="00A34491"/>
    <w:rsid w:val="00A345E0"/>
    <w:rsid w:val="00A34A99"/>
    <w:rsid w:val="00A34BA7"/>
    <w:rsid w:val="00A34CDC"/>
    <w:rsid w:val="00A34EFB"/>
    <w:rsid w:val="00A34F16"/>
    <w:rsid w:val="00A34FA8"/>
    <w:rsid w:val="00A3513A"/>
    <w:rsid w:val="00A35288"/>
    <w:rsid w:val="00A35333"/>
    <w:rsid w:val="00A354B3"/>
    <w:rsid w:val="00A35587"/>
    <w:rsid w:val="00A358DF"/>
    <w:rsid w:val="00A35928"/>
    <w:rsid w:val="00A35962"/>
    <w:rsid w:val="00A35C4D"/>
    <w:rsid w:val="00A35E55"/>
    <w:rsid w:val="00A35F9E"/>
    <w:rsid w:val="00A362BC"/>
    <w:rsid w:val="00A3645E"/>
    <w:rsid w:val="00A36642"/>
    <w:rsid w:val="00A3667D"/>
    <w:rsid w:val="00A3669A"/>
    <w:rsid w:val="00A367C2"/>
    <w:rsid w:val="00A367D1"/>
    <w:rsid w:val="00A3692E"/>
    <w:rsid w:val="00A369D6"/>
    <w:rsid w:val="00A369FD"/>
    <w:rsid w:val="00A36D13"/>
    <w:rsid w:val="00A36DFF"/>
    <w:rsid w:val="00A3702E"/>
    <w:rsid w:val="00A37081"/>
    <w:rsid w:val="00A37210"/>
    <w:rsid w:val="00A3734B"/>
    <w:rsid w:val="00A37368"/>
    <w:rsid w:val="00A37466"/>
    <w:rsid w:val="00A3782E"/>
    <w:rsid w:val="00A37A7B"/>
    <w:rsid w:val="00A37D4E"/>
    <w:rsid w:val="00A37DC5"/>
    <w:rsid w:val="00A37E17"/>
    <w:rsid w:val="00A37E3A"/>
    <w:rsid w:val="00A37E69"/>
    <w:rsid w:val="00A40147"/>
    <w:rsid w:val="00A402F8"/>
    <w:rsid w:val="00A40348"/>
    <w:rsid w:val="00A405E1"/>
    <w:rsid w:val="00A40624"/>
    <w:rsid w:val="00A4083A"/>
    <w:rsid w:val="00A4096B"/>
    <w:rsid w:val="00A409DD"/>
    <w:rsid w:val="00A40E55"/>
    <w:rsid w:val="00A40F71"/>
    <w:rsid w:val="00A40FBB"/>
    <w:rsid w:val="00A4112E"/>
    <w:rsid w:val="00A41187"/>
    <w:rsid w:val="00A411A5"/>
    <w:rsid w:val="00A412E8"/>
    <w:rsid w:val="00A41480"/>
    <w:rsid w:val="00A41620"/>
    <w:rsid w:val="00A41B46"/>
    <w:rsid w:val="00A41BDE"/>
    <w:rsid w:val="00A41C8A"/>
    <w:rsid w:val="00A4206E"/>
    <w:rsid w:val="00A4223E"/>
    <w:rsid w:val="00A4231B"/>
    <w:rsid w:val="00A4237A"/>
    <w:rsid w:val="00A424F7"/>
    <w:rsid w:val="00A4254C"/>
    <w:rsid w:val="00A425F9"/>
    <w:rsid w:val="00A428F8"/>
    <w:rsid w:val="00A429A8"/>
    <w:rsid w:val="00A42AF4"/>
    <w:rsid w:val="00A42B3C"/>
    <w:rsid w:val="00A42FAC"/>
    <w:rsid w:val="00A43229"/>
    <w:rsid w:val="00A43248"/>
    <w:rsid w:val="00A434D9"/>
    <w:rsid w:val="00A435C5"/>
    <w:rsid w:val="00A4378B"/>
    <w:rsid w:val="00A43CA1"/>
    <w:rsid w:val="00A43D3D"/>
    <w:rsid w:val="00A43EC9"/>
    <w:rsid w:val="00A43F34"/>
    <w:rsid w:val="00A43F3B"/>
    <w:rsid w:val="00A44147"/>
    <w:rsid w:val="00A4414C"/>
    <w:rsid w:val="00A44187"/>
    <w:rsid w:val="00A4442A"/>
    <w:rsid w:val="00A4480C"/>
    <w:rsid w:val="00A44AE8"/>
    <w:rsid w:val="00A44BEF"/>
    <w:rsid w:val="00A44CD8"/>
    <w:rsid w:val="00A44D09"/>
    <w:rsid w:val="00A44D4A"/>
    <w:rsid w:val="00A455F4"/>
    <w:rsid w:val="00A457AC"/>
    <w:rsid w:val="00A45B29"/>
    <w:rsid w:val="00A45B71"/>
    <w:rsid w:val="00A45C46"/>
    <w:rsid w:val="00A45D4A"/>
    <w:rsid w:val="00A45E06"/>
    <w:rsid w:val="00A45EC3"/>
    <w:rsid w:val="00A45F8E"/>
    <w:rsid w:val="00A46021"/>
    <w:rsid w:val="00A460C1"/>
    <w:rsid w:val="00A461E4"/>
    <w:rsid w:val="00A46289"/>
    <w:rsid w:val="00A463AB"/>
    <w:rsid w:val="00A463E9"/>
    <w:rsid w:val="00A46566"/>
    <w:rsid w:val="00A46606"/>
    <w:rsid w:val="00A46A3C"/>
    <w:rsid w:val="00A46AF1"/>
    <w:rsid w:val="00A46B8C"/>
    <w:rsid w:val="00A46C10"/>
    <w:rsid w:val="00A46C80"/>
    <w:rsid w:val="00A46E1C"/>
    <w:rsid w:val="00A46F9E"/>
    <w:rsid w:val="00A47019"/>
    <w:rsid w:val="00A4717C"/>
    <w:rsid w:val="00A471A8"/>
    <w:rsid w:val="00A47A10"/>
    <w:rsid w:val="00A47BB6"/>
    <w:rsid w:val="00A47C08"/>
    <w:rsid w:val="00A47E45"/>
    <w:rsid w:val="00A47FE6"/>
    <w:rsid w:val="00A50044"/>
    <w:rsid w:val="00A500FE"/>
    <w:rsid w:val="00A506AA"/>
    <w:rsid w:val="00A506AE"/>
    <w:rsid w:val="00A50867"/>
    <w:rsid w:val="00A50A1F"/>
    <w:rsid w:val="00A510B3"/>
    <w:rsid w:val="00A51141"/>
    <w:rsid w:val="00A5117E"/>
    <w:rsid w:val="00A511DC"/>
    <w:rsid w:val="00A513B1"/>
    <w:rsid w:val="00A5152F"/>
    <w:rsid w:val="00A515AF"/>
    <w:rsid w:val="00A51634"/>
    <w:rsid w:val="00A5169F"/>
    <w:rsid w:val="00A5192C"/>
    <w:rsid w:val="00A51A12"/>
    <w:rsid w:val="00A51B24"/>
    <w:rsid w:val="00A51C72"/>
    <w:rsid w:val="00A521E2"/>
    <w:rsid w:val="00A52226"/>
    <w:rsid w:val="00A524A0"/>
    <w:rsid w:val="00A52761"/>
    <w:rsid w:val="00A5298D"/>
    <w:rsid w:val="00A529F0"/>
    <w:rsid w:val="00A52A57"/>
    <w:rsid w:val="00A52C4C"/>
    <w:rsid w:val="00A52DB1"/>
    <w:rsid w:val="00A52EDA"/>
    <w:rsid w:val="00A52FB2"/>
    <w:rsid w:val="00A53362"/>
    <w:rsid w:val="00A53447"/>
    <w:rsid w:val="00A53505"/>
    <w:rsid w:val="00A53695"/>
    <w:rsid w:val="00A53A5B"/>
    <w:rsid w:val="00A53B94"/>
    <w:rsid w:val="00A53BF3"/>
    <w:rsid w:val="00A53C97"/>
    <w:rsid w:val="00A53D50"/>
    <w:rsid w:val="00A53F6E"/>
    <w:rsid w:val="00A54080"/>
    <w:rsid w:val="00A540DB"/>
    <w:rsid w:val="00A54524"/>
    <w:rsid w:val="00A549A3"/>
    <w:rsid w:val="00A549ED"/>
    <w:rsid w:val="00A54D80"/>
    <w:rsid w:val="00A54F8B"/>
    <w:rsid w:val="00A54FBC"/>
    <w:rsid w:val="00A55003"/>
    <w:rsid w:val="00A55100"/>
    <w:rsid w:val="00A551D8"/>
    <w:rsid w:val="00A556E3"/>
    <w:rsid w:val="00A556F6"/>
    <w:rsid w:val="00A55794"/>
    <w:rsid w:val="00A557F3"/>
    <w:rsid w:val="00A557FA"/>
    <w:rsid w:val="00A55A10"/>
    <w:rsid w:val="00A55AAF"/>
    <w:rsid w:val="00A55AF9"/>
    <w:rsid w:val="00A55C84"/>
    <w:rsid w:val="00A55E37"/>
    <w:rsid w:val="00A55F76"/>
    <w:rsid w:val="00A5607B"/>
    <w:rsid w:val="00A56169"/>
    <w:rsid w:val="00A562B9"/>
    <w:rsid w:val="00A562FD"/>
    <w:rsid w:val="00A56377"/>
    <w:rsid w:val="00A566B4"/>
    <w:rsid w:val="00A5677E"/>
    <w:rsid w:val="00A56A5B"/>
    <w:rsid w:val="00A56B57"/>
    <w:rsid w:val="00A56BC5"/>
    <w:rsid w:val="00A56E69"/>
    <w:rsid w:val="00A5705D"/>
    <w:rsid w:val="00A57082"/>
    <w:rsid w:val="00A57215"/>
    <w:rsid w:val="00A572F6"/>
    <w:rsid w:val="00A57575"/>
    <w:rsid w:val="00A575FA"/>
    <w:rsid w:val="00A5773C"/>
    <w:rsid w:val="00A57A35"/>
    <w:rsid w:val="00A57A43"/>
    <w:rsid w:val="00A57B3E"/>
    <w:rsid w:val="00A57EF8"/>
    <w:rsid w:val="00A57FF4"/>
    <w:rsid w:val="00A60044"/>
    <w:rsid w:val="00A60137"/>
    <w:rsid w:val="00A60368"/>
    <w:rsid w:val="00A60791"/>
    <w:rsid w:val="00A60932"/>
    <w:rsid w:val="00A60945"/>
    <w:rsid w:val="00A60B54"/>
    <w:rsid w:val="00A60BA9"/>
    <w:rsid w:val="00A60D2C"/>
    <w:rsid w:val="00A61229"/>
    <w:rsid w:val="00A6144E"/>
    <w:rsid w:val="00A61679"/>
    <w:rsid w:val="00A6170C"/>
    <w:rsid w:val="00A61742"/>
    <w:rsid w:val="00A6175C"/>
    <w:rsid w:val="00A61A52"/>
    <w:rsid w:val="00A61A70"/>
    <w:rsid w:val="00A61AB6"/>
    <w:rsid w:val="00A61B7B"/>
    <w:rsid w:val="00A61C4D"/>
    <w:rsid w:val="00A61CD3"/>
    <w:rsid w:val="00A61D3B"/>
    <w:rsid w:val="00A61D68"/>
    <w:rsid w:val="00A61ED3"/>
    <w:rsid w:val="00A62303"/>
    <w:rsid w:val="00A6251D"/>
    <w:rsid w:val="00A6268B"/>
    <w:rsid w:val="00A626CE"/>
    <w:rsid w:val="00A62785"/>
    <w:rsid w:val="00A629FA"/>
    <w:rsid w:val="00A62AB9"/>
    <w:rsid w:val="00A62ACE"/>
    <w:rsid w:val="00A62C4D"/>
    <w:rsid w:val="00A62C6F"/>
    <w:rsid w:val="00A62CAC"/>
    <w:rsid w:val="00A62DD5"/>
    <w:rsid w:val="00A62F83"/>
    <w:rsid w:val="00A6326F"/>
    <w:rsid w:val="00A634E4"/>
    <w:rsid w:val="00A6351D"/>
    <w:rsid w:val="00A63794"/>
    <w:rsid w:val="00A63824"/>
    <w:rsid w:val="00A638BB"/>
    <w:rsid w:val="00A638FC"/>
    <w:rsid w:val="00A63BB8"/>
    <w:rsid w:val="00A63CFC"/>
    <w:rsid w:val="00A63E03"/>
    <w:rsid w:val="00A63F69"/>
    <w:rsid w:val="00A63FD2"/>
    <w:rsid w:val="00A640BD"/>
    <w:rsid w:val="00A6421D"/>
    <w:rsid w:val="00A6448F"/>
    <w:rsid w:val="00A64576"/>
    <w:rsid w:val="00A64596"/>
    <w:rsid w:val="00A64635"/>
    <w:rsid w:val="00A6469E"/>
    <w:rsid w:val="00A646DF"/>
    <w:rsid w:val="00A64953"/>
    <w:rsid w:val="00A64A6D"/>
    <w:rsid w:val="00A64A70"/>
    <w:rsid w:val="00A64A89"/>
    <w:rsid w:val="00A64B58"/>
    <w:rsid w:val="00A64C60"/>
    <w:rsid w:val="00A64E3A"/>
    <w:rsid w:val="00A64E5B"/>
    <w:rsid w:val="00A64F8A"/>
    <w:rsid w:val="00A651B5"/>
    <w:rsid w:val="00A656AD"/>
    <w:rsid w:val="00A65AA2"/>
    <w:rsid w:val="00A65EAF"/>
    <w:rsid w:val="00A660A2"/>
    <w:rsid w:val="00A66140"/>
    <w:rsid w:val="00A66167"/>
    <w:rsid w:val="00A663A8"/>
    <w:rsid w:val="00A6641E"/>
    <w:rsid w:val="00A6663D"/>
    <w:rsid w:val="00A666E8"/>
    <w:rsid w:val="00A6673D"/>
    <w:rsid w:val="00A66761"/>
    <w:rsid w:val="00A668FA"/>
    <w:rsid w:val="00A66966"/>
    <w:rsid w:val="00A66ACA"/>
    <w:rsid w:val="00A66B9B"/>
    <w:rsid w:val="00A66C0A"/>
    <w:rsid w:val="00A66D0B"/>
    <w:rsid w:val="00A66D86"/>
    <w:rsid w:val="00A66D92"/>
    <w:rsid w:val="00A66E02"/>
    <w:rsid w:val="00A6708A"/>
    <w:rsid w:val="00A671D2"/>
    <w:rsid w:val="00A67283"/>
    <w:rsid w:val="00A672F5"/>
    <w:rsid w:val="00A67398"/>
    <w:rsid w:val="00A673E0"/>
    <w:rsid w:val="00A6767A"/>
    <w:rsid w:val="00A677E1"/>
    <w:rsid w:val="00A677F3"/>
    <w:rsid w:val="00A6783C"/>
    <w:rsid w:val="00A6787A"/>
    <w:rsid w:val="00A679B5"/>
    <w:rsid w:val="00A67C85"/>
    <w:rsid w:val="00A67CAD"/>
    <w:rsid w:val="00A67CB9"/>
    <w:rsid w:val="00A67CC4"/>
    <w:rsid w:val="00A67CDD"/>
    <w:rsid w:val="00A67CF8"/>
    <w:rsid w:val="00A67EDC"/>
    <w:rsid w:val="00A67F01"/>
    <w:rsid w:val="00A67F1C"/>
    <w:rsid w:val="00A67F24"/>
    <w:rsid w:val="00A70309"/>
    <w:rsid w:val="00A706C4"/>
    <w:rsid w:val="00A70740"/>
    <w:rsid w:val="00A7077C"/>
    <w:rsid w:val="00A707D3"/>
    <w:rsid w:val="00A70920"/>
    <w:rsid w:val="00A709A9"/>
    <w:rsid w:val="00A709F3"/>
    <w:rsid w:val="00A709F6"/>
    <w:rsid w:val="00A70CB1"/>
    <w:rsid w:val="00A70E50"/>
    <w:rsid w:val="00A7152F"/>
    <w:rsid w:val="00A716F5"/>
    <w:rsid w:val="00A719D7"/>
    <w:rsid w:val="00A71A29"/>
    <w:rsid w:val="00A71ADA"/>
    <w:rsid w:val="00A71E13"/>
    <w:rsid w:val="00A720C3"/>
    <w:rsid w:val="00A7284F"/>
    <w:rsid w:val="00A72935"/>
    <w:rsid w:val="00A72997"/>
    <w:rsid w:val="00A72D76"/>
    <w:rsid w:val="00A72DF7"/>
    <w:rsid w:val="00A730EC"/>
    <w:rsid w:val="00A7333B"/>
    <w:rsid w:val="00A73695"/>
    <w:rsid w:val="00A737B8"/>
    <w:rsid w:val="00A7384B"/>
    <w:rsid w:val="00A739F4"/>
    <w:rsid w:val="00A73BCC"/>
    <w:rsid w:val="00A73CFA"/>
    <w:rsid w:val="00A73D79"/>
    <w:rsid w:val="00A73DB3"/>
    <w:rsid w:val="00A73E5B"/>
    <w:rsid w:val="00A73E8D"/>
    <w:rsid w:val="00A73EEF"/>
    <w:rsid w:val="00A73FF6"/>
    <w:rsid w:val="00A740F5"/>
    <w:rsid w:val="00A74129"/>
    <w:rsid w:val="00A74413"/>
    <w:rsid w:val="00A7483A"/>
    <w:rsid w:val="00A748C6"/>
    <w:rsid w:val="00A74B21"/>
    <w:rsid w:val="00A74BDD"/>
    <w:rsid w:val="00A74BE2"/>
    <w:rsid w:val="00A74DF7"/>
    <w:rsid w:val="00A750A9"/>
    <w:rsid w:val="00A75162"/>
    <w:rsid w:val="00A75216"/>
    <w:rsid w:val="00A752B8"/>
    <w:rsid w:val="00A752F6"/>
    <w:rsid w:val="00A753F4"/>
    <w:rsid w:val="00A7545A"/>
    <w:rsid w:val="00A7568C"/>
    <w:rsid w:val="00A756CC"/>
    <w:rsid w:val="00A7587D"/>
    <w:rsid w:val="00A758AA"/>
    <w:rsid w:val="00A759E7"/>
    <w:rsid w:val="00A75B90"/>
    <w:rsid w:val="00A75BB9"/>
    <w:rsid w:val="00A75D04"/>
    <w:rsid w:val="00A75D2A"/>
    <w:rsid w:val="00A76046"/>
    <w:rsid w:val="00A7613E"/>
    <w:rsid w:val="00A76381"/>
    <w:rsid w:val="00A76583"/>
    <w:rsid w:val="00A766D8"/>
    <w:rsid w:val="00A76BD3"/>
    <w:rsid w:val="00A76C1A"/>
    <w:rsid w:val="00A76D69"/>
    <w:rsid w:val="00A76F3E"/>
    <w:rsid w:val="00A76F89"/>
    <w:rsid w:val="00A76FC7"/>
    <w:rsid w:val="00A770B2"/>
    <w:rsid w:val="00A77173"/>
    <w:rsid w:val="00A77253"/>
    <w:rsid w:val="00A773BA"/>
    <w:rsid w:val="00A77414"/>
    <w:rsid w:val="00A7797E"/>
    <w:rsid w:val="00A77A9C"/>
    <w:rsid w:val="00A77C5C"/>
    <w:rsid w:val="00A80166"/>
    <w:rsid w:val="00A80264"/>
    <w:rsid w:val="00A803BF"/>
    <w:rsid w:val="00A8041B"/>
    <w:rsid w:val="00A805EF"/>
    <w:rsid w:val="00A806EB"/>
    <w:rsid w:val="00A808C3"/>
    <w:rsid w:val="00A8094D"/>
    <w:rsid w:val="00A809C4"/>
    <w:rsid w:val="00A812CF"/>
    <w:rsid w:val="00A816D8"/>
    <w:rsid w:val="00A81AAF"/>
    <w:rsid w:val="00A81ED8"/>
    <w:rsid w:val="00A81F55"/>
    <w:rsid w:val="00A81F7E"/>
    <w:rsid w:val="00A820E3"/>
    <w:rsid w:val="00A821FD"/>
    <w:rsid w:val="00A8222D"/>
    <w:rsid w:val="00A82262"/>
    <w:rsid w:val="00A82280"/>
    <w:rsid w:val="00A8249F"/>
    <w:rsid w:val="00A82743"/>
    <w:rsid w:val="00A82A31"/>
    <w:rsid w:val="00A82A91"/>
    <w:rsid w:val="00A82B90"/>
    <w:rsid w:val="00A82BED"/>
    <w:rsid w:val="00A82CAD"/>
    <w:rsid w:val="00A82CE0"/>
    <w:rsid w:val="00A82D1C"/>
    <w:rsid w:val="00A82E66"/>
    <w:rsid w:val="00A82FBF"/>
    <w:rsid w:val="00A835AC"/>
    <w:rsid w:val="00A835E0"/>
    <w:rsid w:val="00A83885"/>
    <w:rsid w:val="00A83DE5"/>
    <w:rsid w:val="00A83E6A"/>
    <w:rsid w:val="00A83E7D"/>
    <w:rsid w:val="00A83F35"/>
    <w:rsid w:val="00A83F5B"/>
    <w:rsid w:val="00A83FCB"/>
    <w:rsid w:val="00A84161"/>
    <w:rsid w:val="00A84400"/>
    <w:rsid w:val="00A845B5"/>
    <w:rsid w:val="00A848F4"/>
    <w:rsid w:val="00A84AB1"/>
    <w:rsid w:val="00A84C80"/>
    <w:rsid w:val="00A84C9D"/>
    <w:rsid w:val="00A8565C"/>
    <w:rsid w:val="00A85735"/>
    <w:rsid w:val="00A8573D"/>
    <w:rsid w:val="00A85768"/>
    <w:rsid w:val="00A85886"/>
    <w:rsid w:val="00A85A89"/>
    <w:rsid w:val="00A85B2B"/>
    <w:rsid w:val="00A85BF0"/>
    <w:rsid w:val="00A85C52"/>
    <w:rsid w:val="00A85D9C"/>
    <w:rsid w:val="00A85DD8"/>
    <w:rsid w:val="00A86122"/>
    <w:rsid w:val="00A862DE"/>
    <w:rsid w:val="00A862E1"/>
    <w:rsid w:val="00A86347"/>
    <w:rsid w:val="00A86510"/>
    <w:rsid w:val="00A86723"/>
    <w:rsid w:val="00A86835"/>
    <w:rsid w:val="00A868EB"/>
    <w:rsid w:val="00A86933"/>
    <w:rsid w:val="00A86BCA"/>
    <w:rsid w:val="00A8714C"/>
    <w:rsid w:val="00A871B5"/>
    <w:rsid w:val="00A876A4"/>
    <w:rsid w:val="00A8776A"/>
    <w:rsid w:val="00A87B19"/>
    <w:rsid w:val="00A9002E"/>
    <w:rsid w:val="00A9015F"/>
    <w:rsid w:val="00A901F6"/>
    <w:rsid w:val="00A90341"/>
    <w:rsid w:val="00A904B9"/>
    <w:rsid w:val="00A9061B"/>
    <w:rsid w:val="00A9083E"/>
    <w:rsid w:val="00A90A65"/>
    <w:rsid w:val="00A90C17"/>
    <w:rsid w:val="00A90D00"/>
    <w:rsid w:val="00A90FE1"/>
    <w:rsid w:val="00A9111A"/>
    <w:rsid w:val="00A91130"/>
    <w:rsid w:val="00A91132"/>
    <w:rsid w:val="00A913B3"/>
    <w:rsid w:val="00A913BE"/>
    <w:rsid w:val="00A91417"/>
    <w:rsid w:val="00A9149E"/>
    <w:rsid w:val="00A915B1"/>
    <w:rsid w:val="00A91842"/>
    <w:rsid w:val="00A91C0E"/>
    <w:rsid w:val="00A91D56"/>
    <w:rsid w:val="00A91E8B"/>
    <w:rsid w:val="00A920E3"/>
    <w:rsid w:val="00A92107"/>
    <w:rsid w:val="00A92237"/>
    <w:rsid w:val="00A92287"/>
    <w:rsid w:val="00A923F9"/>
    <w:rsid w:val="00A9244C"/>
    <w:rsid w:val="00A926F1"/>
    <w:rsid w:val="00A92752"/>
    <w:rsid w:val="00A92BDA"/>
    <w:rsid w:val="00A92C43"/>
    <w:rsid w:val="00A93037"/>
    <w:rsid w:val="00A930A4"/>
    <w:rsid w:val="00A9339B"/>
    <w:rsid w:val="00A937C8"/>
    <w:rsid w:val="00A9381E"/>
    <w:rsid w:val="00A93B3D"/>
    <w:rsid w:val="00A93B47"/>
    <w:rsid w:val="00A93B65"/>
    <w:rsid w:val="00A93BC5"/>
    <w:rsid w:val="00A93C8D"/>
    <w:rsid w:val="00A93CFD"/>
    <w:rsid w:val="00A93D6D"/>
    <w:rsid w:val="00A93E6B"/>
    <w:rsid w:val="00A942B4"/>
    <w:rsid w:val="00A9455D"/>
    <w:rsid w:val="00A945C3"/>
    <w:rsid w:val="00A945D7"/>
    <w:rsid w:val="00A94650"/>
    <w:rsid w:val="00A94696"/>
    <w:rsid w:val="00A94951"/>
    <w:rsid w:val="00A94BA2"/>
    <w:rsid w:val="00A94D7A"/>
    <w:rsid w:val="00A94D82"/>
    <w:rsid w:val="00A94D9D"/>
    <w:rsid w:val="00A94EE7"/>
    <w:rsid w:val="00A95051"/>
    <w:rsid w:val="00A95079"/>
    <w:rsid w:val="00A952B4"/>
    <w:rsid w:val="00A952F6"/>
    <w:rsid w:val="00A953EB"/>
    <w:rsid w:val="00A95425"/>
    <w:rsid w:val="00A954F5"/>
    <w:rsid w:val="00A9556E"/>
    <w:rsid w:val="00A95597"/>
    <w:rsid w:val="00A955D1"/>
    <w:rsid w:val="00A956DE"/>
    <w:rsid w:val="00A95982"/>
    <w:rsid w:val="00A95A6E"/>
    <w:rsid w:val="00A95BF6"/>
    <w:rsid w:val="00A95C4C"/>
    <w:rsid w:val="00A95D22"/>
    <w:rsid w:val="00A95EE3"/>
    <w:rsid w:val="00A96018"/>
    <w:rsid w:val="00A96059"/>
    <w:rsid w:val="00A9605D"/>
    <w:rsid w:val="00A96104"/>
    <w:rsid w:val="00A9628D"/>
    <w:rsid w:val="00A964B0"/>
    <w:rsid w:val="00A9666F"/>
    <w:rsid w:val="00A968D9"/>
    <w:rsid w:val="00A9694A"/>
    <w:rsid w:val="00A96A35"/>
    <w:rsid w:val="00A96A6E"/>
    <w:rsid w:val="00A96A7C"/>
    <w:rsid w:val="00A96B50"/>
    <w:rsid w:val="00A96D40"/>
    <w:rsid w:val="00A97501"/>
    <w:rsid w:val="00A975F1"/>
    <w:rsid w:val="00A9779D"/>
    <w:rsid w:val="00A97827"/>
    <w:rsid w:val="00A9795A"/>
    <w:rsid w:val="00A97A6D"/>
    <w:rsid w:val="00A97B48"/>
    <w:rsid w:val="00A97C3F"/>
    <w:rsid w:val="00A97D07"/>
    <w:rsid w:val="00A97D2B"/>
    <w:rsid w:val="00A97D7C"/>
    <w:rsid w:val="00A97F99"/>
    <w:rsid w:val="00AA017F"/>
    <w:rsid w:val="00AA01B4"/>
    <w:rsid w:val="00AA01F0"/>
    <w:rsid w:val="00AA04E9"/>
    <w:rsid w:val="00AA04ED"/>
    <w:rsid w:val="00AA0601"/>
    <w:rsid w:val="00AA06C0"/>
    <w:rsid w:val="00AA07D9"/>
    <w:rsid w:val="00AA0B8B"/>
    <w:rsid w:val="00AA0C16"/>
    <w:rsid w:val="00AA0D09"/>
    <w:rsid w:val="00AA0EB9"/>
    <w:rsid w:val="00AA1142"/>
    <w:rsid w:val="00AA1922"/>
    <w:rsid w:val="00AA1AE2"/>
    <w:rsid w:val="00AA1B45"/>
    <w:rsid w:val="00AA1B7A"/>
    <w:rsid w:val="00AA1C28"/>
    <w:rsid w:val="00AA1E97"/>
    <w:rsid w:val="00AA1F1C"/>
    <w:rsid w:val="00AA259F"/>
    <w:rsid w:val="00AA2755"/>
    <w:rsid w:val="00AA2919"/>
    <w:rsid w:val="00AA292E"/>
    <w:rsid w:val="00AA2955"/>
    <w:rsid w:val="00AA2E1C"/>
    <w:rsid w:val="00AA3325"/>
    <w:rsid w:val="00AA3850"/>
    <w:rsid w:val="00AA3955"/>
    <w:rsid w:val="00AA3C81"/>
    <w:rsid w:val="00AA3CE9"/>
    <w:rsid w:val="00AA3DFA"/>
    <w:rsid w:val="00AA4303"/>
    <w:rsid w:val="00AA45DA"/>
    <w:rsid w:val="00AA45F7"/>
    <w:rsid w:val="00AA4619"/>
    <w:rsid w:val="00AA4718"/>
    <w:rsid w:val="00AA49BD"/>
    <w:rsid w:val="00AA4B42"/>
    <w:rsid w:val="00AA4BA3"/>
    <w:rsid w:val="00AA4CBE"/>
    <w:rsid w:val="00AA4D3D"/>
    <w:rsid w:val="00AA4F95"/>
    <w:rsid w:val="00AA4FDB"/>
    <w:rsid w:val="00AA5077"/>
    <w:rsid w:val="00AA50B4"/>
    <w:rsid w:val="00AA54F2"/>
    <w:rsid w:val="00AA553A"/>
    <w:rsid w:val="00AA5792"/>
    <w:rsid w:val="00AA5AF0"/>
    <w:rsid w:val="00AA5CE0"/>
    <w:rsid w:val="00AA5DC6"/>
    <w:rsid w:val="00AA5E1B"/>
    <w:rsid w:val="00AA5FF9"/>
    <w:rsid w:val="00AA62EF"/>
    <w:rsid w:val="00AA654E"/>
    <w:rsid w:val="00AA6586"/>
    <w:rsid w:val="00AA658B"/>
    <w:rsid w:val="00AA66F7"/>
    <w:rsid w:val="00AA6714"/>
    <w:rsid w:val="00AA69AC"/>
    <w:rsid w:val="00AA69C6"/>
    <w:rsid w:val="00AA6AA8"/>
    <w:rsid w:val="00AA6BAF"/>
    <w:rsid w:val="00AA6FFF"/>
    <w:rsid w:val="00AA7081"/>
    <w:rsid w:val="00AA7268"/>
    <w:rsid w:val="00AA729A"/>
    <w:rsid w:val="00AA7356"/>
    <w:rsid w:val="00AA740E"/>
    <w:rsid w:val="00AA768F"/>
    <w:rsid w:val="00AA77A4"/>
    <w:rsid w:val="00AA7A2D"/>
    <w:rsid w:val="00AA7ADF"/>
    <w:rsid w:val="00AA7D61"/>
    <w:rsid w:val="00AA7ED8"/>
    <w:rsid w:val="00AA7EFB"/>
    <w:rsid w:val="00AA7FD3"/>
    <w:rsid w:val="00AB024D"/>
    <w:rsid w:val="00AB02E2"/>
    <w:rsid w:val="00AB03AD"/>
    <w:rsid w:val="00AB0407"/>
    <w:rsid w:val="00AB06FF"/>
    <w:rsid w:val="00AB087A"/>
    <w:rsid w:val="00AB0A3E"/>
    <w:rsid w:val="00AB0B66"/>
    <w:rsid w:val="00AB0C57"/>
    <w:rsid w:val="00AB0C5A"/>
    <w:rsid w:val="00AB0D14"/>
    <w:rsid w:val="00AB1016"/>
    <w:rsid w:val="00AB107C"/>
    <w:rsid w:val="00AB1730"/>
    <w:rsid w:val="00AB1AA8"/>
    <w:rsid w:val="00AB1CB8"/>
    <w:rsid w:val="00AB1E54"/>
    <w:rsid w:val="00AB1FF3"/>
    <w:rsid w:val="00AB217D"/>
    <w:rsid w:val="00AB2197"/>
    <w:rsid w:val="00AB22CE"/>
    <w:rsid w:val="00AB235E"/>
    <w:rsid w:val="00AB2481"/>
    <w:rsid w:val="00AB25E3"/>
    <w:rsid w:val="00AB267B"/>
    <w:rsid w:val="00AB26DF"/>
    <w:rsid w:val="00AB271C"/>
    <w:rsid w:val="00AB275E"/>
    <w:rsid w:val="00AB279E"/>
    <w:rsid w:val="00AB2BB6"/>
    <w:rsid w:val="00AB2C23"/>
    <w:rsid w:val="00AB2DEE"/>
    <w:rsid w:val="00AB2FCC"/>
    <w:rsid w:val="00AB344F"/>
    <w:rsid w:val="00AB3578"/>
    <w:rsid w:val="00AB36EF"/>
    <w:rsid w:val="00AB3749"/>
    <w:rsid w:val="00AB376A"/>
    <w:rsid w:val="00AB37FF"/>
    <w:rsid w:val="00AB39B2"/>
    <w:rsid w:val="00AB3A90"/>
    <w:rsid w:val="00AB3B6A"/>
    <w:rsid w:val="00AB3BCE"/>
    <w:rsid w:val="00AB3D21"/>
    <w:rsid w:val="00AB3F06"/>
    <w:rsid w:val="00AB3F0F"/>
    <w:rsid w:val="00AB3FB4"/>
    <w:rsid w:val="00AB4153"/>
    <w:rsid w:val="00AB4498"/>
    <w:rsid w:val="00AB45DE"/>
    <w:rsid w:val="00AB4647"/>
    <w:rsid w:val="00AB4657"/>
    <w:rsid w:val="00AB4D27"/>
    <w:rsid w:val="00AB4DD7"/>
    <w:rsid w:val="00AB4F4C"/>
    <w:rsid w:val="00AB5191"/>
    <w:rsid w:val="00AB533C"/>
    <w:rsid w:val="00AB536B"/>
    <w:rsid w:val="00AB59B8"/>
    <w:rsid w:val="00AB5ACA"/>
    <w:rsid w:val="00AB5C1D"/>
    <w:rsid w:val="00AB5F0E"/>
    <w:rsid w:val="00AB604C"/>
    <w:rsid w:val="00AB60E7"/>
    <w:rsid w:val="00AB6202"/>
    <w:rsid w:val="00AB6248"/>
    <w:rsid w:val="00AB68B1"/>
    <w:rsid w:val="00AB68DC"/>
    <w:rsid w:val="00AB69C8"/>
    <w:rsid w:val="00AB6A22"/>
    <w:rsid w:val="00AB6BE7"/>
    <w:rsid w:val="00AB7206"/>
    <w:rsid w:val="00AB736A"/>
    <w:rsid w:val="00AB73F9"/>
    <w:rsid w:val="00AB7679"/>
    <w:rsid w:val="00AB7A3A"/>
    <w:rsid w:val="00AB7AB2"/>
    <w:rsid w:val="00AB7AE2"/>
    <w:rsid w:val="00AB7B2D"/>
    <w:rsid w:val="00AB7B49"/>
    <w:rsid w:val="00AB7C4D"/>
    <w:rsid w:val="00AB7CDC"/>
    <w:rsid w:val="00AB7E55"/>
    <w:rsid w:val="00AB7E6E"/>
    <w:rsid w:val="00AB7FE2"/>
    <w:rsid w:val="00AC003D"/>
    <w:rsid w:val="00AC0132"/>
    <w:rsid w:val="00AC0685"/>
    <w:rsid w:val="00AC079D"/>
    <w:rsid w:val="00AC07F9"/>
    <w:rsid w:val="00AC08BB"/>
    <w:rsid w:val="00AC08FD"/>
    <w:rsid w:val="00AC0B28"/>
    <w:rsid w:val="00AC0C7D"/>
    <w:rsid w:val="00AC0DC4"/>
    <w:rsid w:val="00AC1031"/>
    <w:rsid w:val="00AC1184"/>
    <w:rsid w:val="00AC11E3"/>
    <w:rsid w:val="00AC1283"/>
    <w:rsid w:val="00AC12B5"/>
    <w:rsid w:val="00AC1308"/>
    <w:rsid w:val="00AC13B4"/>
    <w:rsid w:val="00AC1611"/>
    <w:rsid w:val="00AC167A"/>
    <w:rsid w:val="00AC16FA"/>
    <w:rsid w:val="00AC174A"/>
    <w:rsid w:val="00AC18C3"/>
    <w:rsid w:val="00AC1B9D"/>
    <w:rsid w:val="00AC1E3D"/>
    <w:rsid w:val="00AC1E63"/>
    <w:rsid w:val="00AC1EC9"/>
    <w:rsid w:val="00AC1F08"/>
    <w:rsid w:val="00AC2062"/>
    <w:rsid w:val="00AC2091"/>
    <w:rsid w:val="00AC212B"/>
    <w:rsid w:val="00AC22DE"/>
    <w:rsid w:val="00AC242B"/>
    <w:rsid w:val="00AC2491"/>
    <w:rsid w:val="00AC24A2"/>
    <w:rsid w:val="00AC24B3"/>
    <w:rsid w:val="00AC2526"/>
    <w:rsid w:val="00AC254E"/>
    <w:rsid w:val="00AC2568"/>
    <w:rsid w:val="00AC25A0"/>
    <w:rsid w:val="00AC2641"/>
    <w:rsid w:val="00AC27CA"/>
    <w:rsid w:val="00AC28E3"/>
    <w:rsid w:val="00AC2A2E"/>
    <w:rsid w:val="00AC2C09"/>
    <w:rsid w:val="00AC2FB9"/>
    <w:rsid w:val="00AC2FE8"/>
    <w:rsid w:val="00AC3415"/>
    <w:rsid w:val="00AC35C6"/>
    <w:rsid w:val="00AC36F6"/>
    <w:rsid w:val="00AC375A"/>
    <w:rsid w:val="00AC37BC"/>
    <w:rsid w:val="00AC3849"/>
    <w:rsid w:val="00AC38EF"/>
    <w:rsid w:val="00AC399A"/>
    <w:rsid w:val="00AC3AF0"/>
    <w:rsid w:val="00AC3C54"/>
    <w:rsid w:val="00AC3D4A"/>
    <w:rsid w:val="00AC3DAA"/>
    <w:rsid w:val="00AC3F35"/>
    <w:rsid w:val="00AC3FA0"/>
    <w:rsid w:val="00AC403E"/>
    <w:rsid w:val="00AC433B"/>
    <w:rsid w:val="00AC43A9"/>
    <w:rsid w:val="00AC43FF"/>
    <w:rsid w:val="00AC4767"/>
    <w:rsid w:val="00AC4830"/>
    <w:rsid w:val="00AC4C2D"/>
    <w:rsid w:val="00AC4CDD"/>
    <w:rsid w:val="00AC4E05"/>
    <w:rsid w:val="00AC4E3C"/>
    <w:rsid w:val="00AC4E71"/>
    <w:rsid w:val="00AC4F82"/>
    <w:rsid w:val="00AC4F96"/>
    <w:rsid w:val="00AC51BB"/>
    <w:rsid w:val="00AC51E4"/>
    <w:rsid w:val="00AC5495"/>
    <w:rsid w:val="00AC55EC"/>
    <w:rsid w:val="00AC5663"/>
    <w:rsid w:val="00AC566C"/>
    <w:rsid w:val="00AC582F"/>
    <w:rsid w:val="00AC5924"/>
    <w:rsid w:val="00AC5A65"/>
    <w:rsid w:val="00AC5A71"/>
    <w:rsid w:val="00AC5EC1"/>
    <w:rsid w:val="00AC6160"/>
    <w:rsid w:val="00AC631F"/>
    <w:rsid w:val="00AC6540"/>
    <w:rsid w:val="00AC665B"/>
    <w:rsid w:val="00AC66A8"/>
    <w:rsid w:val="00AC67F4"/>
    <w:rsid w:val="00AC6B0E"/>
    <w:rsid w:val="00AC6B11"/>
    <w:rsid w:val="00AC6C6B"/>
    <w:rsid w:val="00AC6F72"/>
    <w:rsid w:val="00AC74A5"/>
    <w:rsid w:val="00AC7893"/>
    <w:rsid w:val="00AC797E"/>
    <w:rsid w:val="00AC7E31"/>
    <w:rsid w:val="00AC7E50"/>
    <w:rsid w:val="00AC7F88"/>
    <w:rsid w:val="00AD0065"/>
    <w:rsid w:val="00AD01ED"/>
    <w:rsid w:val="00AD024A"/>
    <w:rsid w:val="00AD02C4"/>
    <w:rsid w:val="00AD0348"/>
    <w:rsid w:val="00AD03CE"/>
    <w:rsid w:val="00AD058A"/>
    <w:rsid w:val="00AD060C"/>
    <w:rsid w:val="00AD0782"/>
    <w:rsid w:val="00AD07B0"/>
    <w:rsid w:val="00AD094D"/>
    <w:rsid w:val="00AD0C4C"/>
    <w:rsid w:val="00AD0D53"/>
    <w:rsid w:val="00AD0DA7"/>
    <w:rsid w:val="00AD1289"/>
    <w:rsid w:val="00AD12D4"/>
    <w:rsid w:val="00AD1339"/>
    <w:rsid w:val="00AD1455"/>
    <w:rsid w:val="00AD1616"/>
    <w:rsid w:val="00AD1666"/>
    <w:rsid w:val="00AD1763"/>
    <w:rsid w:val="00AD1C19"/>
    <w:rsid w:val="00AD1C66"/>
    <w:rsid w:val="00AD1CDD"/>
    <w:rsid w:val="00AD1D4F"/>
    <w:rsid w:val="00AD213B"/>
    <w:rsid w:val="00AD22B2"/>
    <w:rsid w:val="00AD22CA"/>
    <w:rsid w:val="00AD22F2"/>
    <w:rsid w:val="00AD2468"/>
    <w:rsid w:val="00AD261C"/>
    <w:rsid w:val="00AD2A10"/>
    <w:rsid w:val="00AD2CAF"/>
    <w:rsid w:val="00AD2D32"/>
    <w:rsid w:val="00AD2E03"/>
    <w:rsid w:val="00AD2EA8"/>
    <w:rsid w:val="00AD2FAB"/>
    <w:rsid w:val="00AD303B"/>
    <w:rsid w:val="00AD3041"/>
    <w:rsid w:val="00AD30AF"/>
    <w:rsid w:val="00AD315F"/>
    <w:rsid w:val="00AD3297"/>
    <w:rsid w:val="00AD32CD"/>
    <w:rsid w:val="00AD354A"/>
    <w:rsid w:val="00AD35B6"/>
    <w:rsid w:val="00AD378C"/>
    <w:rsid w:val="00AD3837"/>
    <w:rsid w:val="00AD38FF"/>
    <w:rsid w:val="00AD3918"/>
    <w:rsid w:val="00AD3B62"/>
    <w:rsid w:val="00AD3D4F"/>
    <w:rsid w:val="00AD3ED6"/>
    <w:rsid w:val="00AD3F3C"/>
    <w:rsid w:val="00AD4185"/>
    <w:rsid w:val="00AD41E6"/>
    <w:rsid w:val="00AD423B"/>
    <w:rsid w:val="00AD4240"/>
    <w:rsid w:val="00AD4471"/>
    <w:rsid w:val="00AD451C"/>
    <w:rsid w:val="00AD4587"/>
    <w:rsid w:val="00AD46DF"/>
    <w:rsid w:val="00AD46E5"/>
    <w:rsid w:val="00AD4847"/>
    <w:rsid w:val="00AD494B"/>
    <w:rsid w:val="00AD4970"/>
    <w:rsid w:val="00AD4A44"/>
    <w:rsid w:val="00AD4C20"/>
    <w:rsid w:val="00AD4C43"/>
    <w:rsid w:val="00AD4D57"/>
    <w:rsid w:val="00AD4E45"/>
    <w:rsid w:val="00AD4FE5"/>
    <w:rsid w:val="00AD510A"/>
    <w:rsid w:val="00AD51C4"/>
    <w:rsid w:val="00AD54C1"/>
    <w:rsid w:val="00AD55B6"/>
    <w:rsid w:val="00AD5643"/>
    <w:rsid w:val="00AD5B64"/>
    <w:rsid w:val="00AD5D19"/>
    <w:rsid w:val="00AD5D36"/>
    <w:rsid w:val="00AD5E17"/>
    <w:rsid w:val="00AD5E2C"/>
    <w:rsid w:val="00AD5EAC"/>
    <w:rsid w:val="00AD5FFF"/>
    <w:rsid w:val="00AD6287"/>
    <w:rsid w:val="00AD63D3"/>
    <w:rsid w:val="00AD6403"/>
    <w:rsid w:val="00AD652E"/>
    <w:rsid w:val="00AD657A"/>
    <w:rsid w:val="00AD6769"/>
    <w:rsid w:val="00AD6989"/>
    <w:rsid w:val="00AD6B4D"/>
    <w:rsid w:val="00AD6C9E"/>
    <w:rsid w:val="00AD6CCE"/>
    <w:rsid w:val="00AD6DB1"/>
    <w:rsid w:val="00AD7041"/>
    <w:rsid w:val="00AD73C8"/>
    <w:rsid w:val="00AD74C0"/>
    <w:rsid w:val="00AD75F0"/>
    <w:rsid w:val="00AD7A7F"/>
    <w:rsid w:val="00AD7B2F"/>
    <w:rsid w:val="00AD7EFB"/>
    <w:rsid w:val="00AD7F46"/>
    <w:rsid w:val="00AE03C0"/>
    <w:rsid w:val="00AE03CD"/>
    <w:rsid w:val="00AE04B5"/>
    <w:rsid w:val="00AE04EE"/>
    <w:rsid w:val="00AE0561"/>
    <w:rsid w:val="00AE06D2"/>
    <w:rsid w:val="00AE0893"/>
    <w:rsid w:val="00AE08F5"/>
    <w:rsid w:val="00AE0F63"/>
    <w:rsid w:val="00AE1019"/>
    <w:rsid w:val="00AE10ED"/>
    <w:rsid w:val="00AE114C"/>
    <w:rsid w:val="00AE12AE"/>
    <w:rsid w:val="00AE1302"/>
    <w:rsid w:val="00AE15E7"/>
    <w:rsid w:val="00AE1BA8"/>
    <w:rsid w:val="00AE1CE7"/>
    <w:rsid w:val="00AE1F7A"/>
    <w:rsid w:val="00AE1F9F"/>
    <w:rsid w:val="00AE21D8"/>
    <w:rsid w:val="00AE22CD"/>
    <w:rsid w:val="00AE23F0"/>
    <w:rsid w:val="00AE24F2"/>
    <w:rsid w:val="00AE25B1"/>
    <w:rsid w:val="00AE27C1"/>
    <w:rsid w:val="00AE27FA"/>
    <w:rsid w:val="00AE290D"/>
    <w:rsid w:val="00AE2BF6"/>
    <w:rsid w:val="00AE2D5A"/>
    <w:rsid w:val="00AE2DF1"/>
    <w:rsid w:val="00AE2E45"/>
    <w:rsid w:val="00AE2E5B"/>
    <w:rsid w:val="00AE2F49"/>
    <w:rsid w:val="00AE305E"/>
    <w:rsid w:val="00AE308F"/>
    <w:rsid w:val="00AE30C0"/>
    <w:rsid w:val="00AE323F"/>
    <w:rsid w:val="00AE329B"/>
    <w:rsid w:val="00AE32C3"/>
    <w:rsid w:val="00AE3382"/>
    <w:rsid w:val="00AE36F2"/>
    <w:rsid w:val="00AE36F8"/>
    <w:rsid w:val="00AE375A"/>
    <w:rsid w:val="00AE3A06"/>
    <w:rsid w:val="00AE3CF6"/>
    <w:rsid w:val="00AE3D2F"/>
    <w:rsid w:val="00AE3DCF"/>
    <w:rsid w:val="00AE4171"/>
    <w:rsid w:val="00AE42A8"/>
    <w:rsid w:val="00AE4403"/>
    <w:rsid w:val="00AE4591"/>
    <w:rsid w:val="00AE45F7"/>
    <w:rsid w:val="00AE4641"/>
    <w:rsid w:val="00AE464E"/>
    <w:rsid w:val="00AE47BB"/>
    <w:rsid w:val="00AE4A46"/>
    <w:rsid w:val="00AE4D75"/>
    <w:rsid w:val="00AE4FC4"/>
    <w:rsid w:val="00AE50AD"/>
    <w:rsid w:val="00AE524B"/>
    <w:rsid w:val="00AE537F"/>
    <w:rsid w:val="00AE5542"/>
    <w:rsid w:val="00AE5545"/>
    <w:rsid w:val="00AE57B7"/>
    <w:rsid w:val="00AE5898"/>
    <w:rsid w:val="00AE5C4A"/>
    <w:rsid w:val="00AE5E31"/>
    <w:rsid w:val="00AE5ECB"/>
    <w:rsid w:val="00AE5FA2"/>
    <w:rsid w:val="00AE604F"/>
    <w:rsid w:val="00AE62B5"/>
    <w:rsid w:val="00AE62E5"/>
    <w:rsid w:val="00AE63C1"/>
    <w:rsid w:val="00AE66CA"/>
    <w:rsid w:val="00AE66CB"/>
    <w:rsid w:val="00AE6721"/>
    <w:rsid w:val="00AE68C0"/>
    <w:rsid w:val="00AE6948"/>
    <w:rsid w:val="00AE6953"/>
    <w:rsid w:val="00AE695E"/>
    <w:rsid w:val="00AE6A30"/>
    <w:rsid w:val="00AE6B9E"/>
    <w:rsid w:val="00AE6C20"/>
    <w:rsid w:val="00AE6DB7"/>
    <w:rsid w:val="00AE6ECA"/>
    <w:rsid w:val="00AE727F"/>
    <w:rsid w:val="00AE7340"/>
    <w:rsid w:val="00AE7655"/>
    <w:rsid w:val="00AE78C5"/>
    <w:rsid w:val="00AE7A29"/>
    <w:rsid w:val="00AE7C21"/>
    <w:rsid w:val="00AE7C79"/>
    <w:rsid w:val="00AE7C98"/>
    <w:rsid w:val="00AE7F34"/>
    <w:rsid w:val="00AF00B6"/>
    <w:rsid w:val="00AF01CF"/>
    <w:rsid w:val="00AF0252"/>
    <w:rsid w:val="00AF027B"/>
    <w:rsid w:val="00AF02C3"/>
    <w:rsid w:val="00AF03F8"/>
    <w:rsid w:val="00AF03F9"/>
    <w:rsid w:val="00AF0647"/>
    <w:rsid w:val="00AF0758"/>
    <w:rsid w:val="00AF0971"/>
    <w:rsid w:val="00AF0E12"/>
    <w:rsid w:val="00AF102D"/>
    <w:rsid w:val="00AF1320"/>
    <w:rsid w:val="00AF13DB"/>
    <w:rsid w:val="00AF144F"/>
    <w:rsid w:val="00AF15C1"/>
    <w:rsid w:val="00AF1634"/>
    <w:rsid w:val="00AF195E"/>
    <w:rsid w:val="00AF19EE"/>
    <w:rsid w:val="00AF1A77"/>
    <w:rsid w:val="00AF1B80"/>
    <w:rsid w:val="00AF1B94"/>
    <w:rsid w:val="00AF1BED"/>
    <w:rsid w:val="00AF1DCC"/>
    <w:rsid w:val="00AF21AE"/>
    <w:rsid w:val="00AF21C8"/>
    <w:rsid w:val="00AF21E1"/>
    <w:rsid w:val="00AF2203"/>
    <w:rsid w:val="00AF2217"/>
    <w:rsid w:val="00AF229A"/>
    <w:rsid w:val="00AF22AF"/>
    <w:rsid w:val="00AF2331"/>
    <w:rsid w:val="00AF2378"/>
    <w:rsid w:val="00AF27C5"/>
    <w:rsid w:val="00AF27C9"/>
    <w:rsid w:val="00AF2804"/>
    <w:rsid w:val="00AF2820"/>
    <w:rsid w:val="00AF2A94"/>
    <w:rsid w:val="00AF2B05"/>
    <w:rsid w:val="00AF2C13"/>
    <w:rsid w:val="00AF2EF5"/>
    <w:rsid w:val="00AF303E"/>
    <w:rsid w:val="00AF317D"/>
    <w:rsid w:val="00AF3399"/>
    <w:rsid w:val="00AF3467"/>
    <w:rsid w:val="00AF3531"/>
    <w:rsid w:val="00AF3648"/>
    <w:rsid w:val="00AF366C"/>
    <w:rsid w:val="00AF39A4"/>
    <w:rsid w:val="00AF3B64"/>
    <w:rsid w:val="00AF3CD9"/>
    <w:rsid w:val="00AF3D54"/>
    <w:rsid w:val="00AF3DCC"/>
    <w:rsid w:val="00AF4042"/>
    <w:rsid w:val="00AF40D9"/>
    <w:rsid w:val="00AF43B4"/>
    <w:rsid w:val="00AF4561"/>
    <w:rsid w:val="00AF4692"/>
    <w:rsid w:val="00AF4926"/>
    <w:rsid w:val="00AF4958"/>
    <w:rsid w:val="00AF4B3D"/>
    <w:rsid w:val="00AF4C29"/>
    <w:rsid w:val="00AF4C49"/>
    <w:rsid w:val="00AF4CC6"/>
    <w:rsid w:val="00AF4F21"/>
    <w:rsid w:val="00AF50D7"/>
    <w:rsid w:val="00AF52B5"/>
    <w:rsid w:val="00AF590E"/>
    <w:rsid w:val="00AF5CA7"/>
    <w:rsid w:val="00AF5FD3"/>
    <w:rsid w:val="00AF60F4"/>
    <w:rsid w:val="00AF6302"/>
    <w:rsid w:val="00AF63BC"/>
    <w:rsid w:val="00AF64E8"/>
    <w:rsid w:val="00AF6606"/>
    <w:rsid w:val="00AF67BB"/>
    <w:rsid w:val="00AF6934"/>
    <w:rsid w:val="00AF69A5"/>
    <w:rsid w:val="00AF6A8C"/>
    <w:rsid w:val="00AF6C28"/>
    <w:rsid w:val="00AF6C67"/>
    <w:rsid w:val="00AF70E3"/>
    <w:rsid w:val="00AF7514"/>
    <w:rsid w:val="00AF7C24"/>
    <w:rsid w:val="00AF7ED5"/>
    <w:rsid w:val="00B00421"/>
    <w:rsid w:val="00B00458"/>
    <w:rsid w:val="00B00479"/>
    <w:rsid w:val="00B00627"/>
    <w:rsid w:val="00B00796"/>
    <w:rsid w:val="00B0087E"/>
    <w:rsid w:val="00B00B07"/>
    <w:rsid w:val="00B00C3B"/>
    <w:rsid w:val="00B00DAA"/>
    <w:rsid w:val="00B00EB6"/>
    <w:rsid w:val="00B00EF6"/>
    <w:rsid w:val="00B00F37"/>
    <w:rsid w:val="00B0133C"/>
    <w:rsid w:val="00B0138E"/>
    <w:rsid w:val="00B01549"/>
    <w:rsid w:val="00B01A2F"/>
    <w:rsid w:val="00B01DB3"/>
    <w:rsid w:val="00B01DCA"/>
    <w:rsid w:val="00B01E0B"/>
    <w:rsid w:val="00B01F1B"/>
    <w:rsid w:val="00B01FC4"/>
    <w:rsid w:val="00B02109"/>
    <w:rsid w:val="00B02119"/>
    <w:rsid w:val="00B02177"/>
    <w:rsid w:val="00B0218E"/>
    <w:rsid w:val="00B023B4"/>
    <w:rsid w:val="00B02510"/>
    <w:rsid w:val="00B02520"/>
    <w:rsid w:val="00B02522"/>
    <w:rsid w:val="00B025E9"/>
    <w:rsid w:val="00B02A20"/>
    <w:rsid w:val="00B02A77"/>
    <w:rsid w:val="00B0309C"/>
    <w:rsid w:val="00B031AA"/>
    <w:rsid w:val="00B03252"/>
    <w:rsid w:val="00B0358C"/>
    <w:rsid w:val="00B0363B"/>
    <w:rsid w:val="00B03644"/>
    <w:rsid w:val="00B0379E"/>
    <w:rsid w:val="00B038A1"/>
    <w:rsid w:val="00B0395E"/>
    <w:rsid w:val="00B039F4"/>
    <w:rsid w:val="00B03EF3"/>
    <w:rsid w:val="00B04071"/>
    <w:rsid w:val="00B0408F"/>
    <w:rsid w:val="00B04271"/>
    <w:rsid w:val="00B043CB"/>
    <w:rsid w:val="00B0440E"/>
    <w:rsid w:val="00B044F6"/>
    <w:rsid w:val="00B045B1"/>
    <w:rsid w:val="00B0469E"/>
    <w:rsid w:val="00B04A5D"/>
    <w:rsid w:val="00B04E65"/>
    <w:rsid w:val="00B04E83"/>
    <w:rsid w:val="00B04F43"/>
    <w:rsid w:val="00B05015"/>
    <w:rsid w:val="00B0568A"/>
    <w:rsid w:val="00B057C5"/>
    <w:rsid w:val="00B058D3"/>
    <w:rsid w:val="00B0592A"/>
    <w:rsid w:val="00B05BB6"/>
    <w:rsid w:val="00B05D54"/>
    <w:rsid w:val="00B05EFB"/>
    <w:rsid w:val="00B0604F"/>
    <w:rsid w:val="00B060FE"/>
    <w:rsid w:val="00B0632D"/>
    <w:rsid w:val="00B06418"/>
    <w:rsid w:val="00B06461"/>
    <w:rsid w:val="00B064AB"/>
    <w:rsid w:val="00B065CC"/>
    <w:rsid w:val="00B06700"/>
    <w:rsid w:val="00B06B0A"/>
    <w:rsid w:val="00B06BA1"/>
    <w:rsid w:val="00B06BB2"/>
    <w:rsid w:val="00B06CBB"/>
    <w:rsid w:val="00B06D2B"/>
    <w:rsid w:val="00B06FB6"/>
    <w:rsid w:val="00B071AC"/>
    <w:rsid w:val="00B0723C"/>
    <w:rsid w:val="00B07641"/>
    <w:rsid w:val="00B0767C"/>
    <w:rsid w:val="00B07726"/>
    <w:rsid w:val="00B0780A"/>
    <w:rsid w:val="00B07969"/>
    <w:rsid w:val="00B1007B"/>
    <w:rsid w:val="00B1007D"/>
    <w:rsid w:val="00B103BF"/>
    <w:rsid w:val="00B107DD"/>
    <w:rsid w:val="00B10A99"/>
    <w:rsid w:val="00B10AAE"/>
    <w:rsid w:val="00B10AF9"/>
    <w:rsid w:val="00B10B93"/>
    <w:rsid w:val="00B10C8D"/>
    <w:rsid w:val="00B10CEB"/>
    <w:rsid w:val="00B10D00"/>
    <w:rsid w:val="00B10FEC"/>
    <w:rsid w:val="00B10FF1"/>
    <w:rsid w:val="00B110D7"/>
    <w:rsid w:val="00B11215"/>
    <w:rsid w:val="00B114F8"/>
    <w:rsid w:val="00B11678"/>
    <w:rsid w:val="00B11986"/>
    <w:rsid w:val="00B11992"/>
    <w:rsid w:val="00B11B0D"/>
    <w:rsid w:val="00B11D03"/>
    <w:rsid w:val="00B11DDB"/>
    <w:rsid w:val="00B11F56"/>
    <w:rsid w:val="00B12007"/>
    <w:rsid w:val="00B12389"/>
    <w:rsid w:val="00B125B4"/>
    <w:rsid w:val="00B12603"/>
    <w:rsid w:val="00B127FF"/>
    <w:rsid w:val="00B12E4F"/>
    <w:rsid w:val="00B12F19"/>
    <w:rsid w:val="00B130F1"/>
    <w:rsid w:val="00B131C3"/>
    <w:rsid w:val="00B1364C"/>
    <w:rsid w:val="00B13720"/>
    <w:rsid w:val="00B13775"/>
    <w:rsid w:val="00B1392A"/>
    <w:rsid w:val="00B13AF4"/>
    <w:rsid w:val="00B13C06"/>
    <w:rsid w:val="00B13CC3"/>
    <w:rsid w:val="00B141D7"/>
    <w:rsid w:val="00B14278"/>
    <w:rsid w:val="00B142C8"/>
    <w:rsid w:val="00B144C7"/>
    <w:rsid w:val="00B14605"/>
    <w:rsid w:val="00B14618"/>
    <w:rsid w:val="00B14994"/>
    <w:rsid w:val="00B14E33"/>
    <w:rsid w:val="00B14F78"/>
    <w:rsid w:val="00B15282"/>
    <w:rsid w:val="00B15428"/>
    <w:rsid w:val="00B154F7"/>
    <w:rsid w:val="00B159D8"/>
    <w:rsid w:val="00B159F3"/>
    <w:rsid w:val="00B15B39"/>
    <w:rsid w:val="00B15B41"/>
    <w:rsid w:val="00B15C82"/>
    <w:rsid w:val="00B15D80"/>
    <w:rsid w:val="00B15D8F"/>
    <w:rsid w:val="00B15DEA"/>
    <w:rsid w:val="00B15E09"/>
    <w:rsid w:val="00B15F2A"/>
    <w:rsid w:val="00B15F2F"/>
    <w:rsid w:val="00B15FD0"/>
    <w:rsid w:val="00B1622C"/>
    <w:rsid w:val="00B166BE"/>
    <w:rsid w:val="00B16787"/>
    <w:rsid w:val="00B168B4"/>
    <w:rsid w:val="00B16A3E"/>
    <w:rsid w:val="00B16AF8"/>
    <w:rsid w:val="00B17148"/>
    <w:rsid w:val="00B1750C"/>
    <w:rsid w:val="00B17679"/>
    <w:rsid w:val="00B17686"/>
    <w:rsid w:val="00B17A1B"/>
    <w:rsid w:val="00B17A9E"/>
    <w:rsid w:val="00B17B49"/>
    <w:rsid w:val="00B17FEC"/>
    <w:rsid w:val="00B20295"/>
    <w:rsid w:val="00B20528"/>
    <w:rsid w:val="00B20614"/>
    <w:rsid w:val="00B206AC"/>
    <w:rsid w:val="00B208D9"/>
    <w:rsid w:val="00B20981"/>
    <w:rsid w:val="00B20A93"/>
    <w:rsid w:val="00B20AAD"/>
    <w:rsid w:val="00B20B25"/>
    <w:rsid w:val="00B20D5D"/>
    <w:rsid w:val="00B20ECD"/>
    <w:rsid w:val="00B20EE1"/>
    <w:rsid w:val="00B20FEE"/>
    <w:rsid w:val="00B2101E"/>
    <w:rsid w:val="00B2123A"/>
    <w:rsid w:val="00B21299"/>
    <w:rsid w:val="00B212DA"/>
    <w:rsid w:val="00B21352"/>
    <w:rsid w:val="00B21375"/>
    <w:rsid w:val="00B21447"/>
    <w:rsid w:val="00B2146B"/>
    <w:rsid w:val="00B21521"/>
    <w:rsid w:val="00B217BC"/>
    <w:rsid w:val="00B21866"/>
    <w:rsid w:val="00B218A9"/>
    <w:rsid w:val="00B218FB"/>
    <w:rsid w:val="00B218FE"/>
    <w:rsid w:val="00B21AA6"/>
    <w:rsid w:val="00B21B9B"/>
    <w:rsid w:val="00B21DBF"/>
    <w:rsid w:val="00B21DEB"/>
    <w:rsid w:val="00B21E82"/>
    <w:rsid w:val="00B21F8F"/>
    <w:rsid w:val="00B22206"/>
    <w:rsid w:val="00B224C8"/>
    <w:rsid w:val="00B22691"/>
    <w:rsid w:val="00B22708"/>
    <w:rsid w:val="00B22713"/>
    <w:rsid w:val="00B227A7"/>
    <w:rsid w:val="00B22954"/>
    <w:rsid w:val="00B22A61"/>
    <w:rsid w:val="00B22AA3"/>
    <w:rsid w:val="00B22C0C"/>
    <w:rsid w:val="00B22E95"/>
    <w:rsid w:val="00B22FF0"/>
    <w:rsid w:val="00B2349B"/>
    <w:rsid w:val="00B237B5"/>
    <w:rsid w:val="00B237DF"/>
    <w:rsid w:val="00B2381A"/>
    <w:rsid w:val="00B238D0"/>
    <w:rsid w:val="00B23927"/>
    <w:rsid w:val="00B23934"/>
    <w:rsid w:val="00B23A42"/>
    <w:rsid w:val="00B23CD0"/>
    <w:rsid w:val="00B23F8A"/>
    <w:rsid w:val="00B242C8"/>
    <w:rsid w:val="00B2432B"/>
    <w:rsid w:val="00B24578"/>
    <w:rsid w:val="00B245BF"/>
    <w:rsid w:val="00B2463D"/>
    <w:rsid w:val="00B2473D"/>
    <w:rsid w:val="00B24985"/>
    <w:rsid w:val="00B24BDC"/>
    <w:rsid w:val="00B24C1F"/>
    <w:rsid w:val="00B24D7F"/>
    <w:rsid w:val="00B24EFA"/>
    <w:rsid w:val="00B24F0F"/>
    <w:rsid w:val="00B24F42"/>
    <w:rsid w:val="00B2525E"/>
    <w:rsid w:val="00B252EC"/>
    <w:rsid w:val="00B2549E"/>
    <w:rsid w:val="00B255A3"/>
    <w:rsid w:val="00B25763"/>
    <w:rsid w:val="00B258D4"/>
    <w:rsid w:val="00B25A72"/>
    <w:rsid w:val="00B25D89"/>
    <w:rsid w:val="00B25D99"/>
    <w:rsid w:val="00B260BA"/>
    <w:rsid w:val="00B26172"/>
    <w:rsid w:val="00B263B7"/>
    <w:rsid w:val="00B2644A"/>
    <w:rsid w:val="00B269B6"/>
    <w:rsid w:val="00B26A63"/>
    <w:rsid w:val="00B26AA3"/>
    <w:rsid w:val="00B26BB7"/>
    <w:rsid w:val="00B26CDF"/>
    <w:rsid w:val="00B26E40"/>
    <w:rsid w:val="00B26F61"/>
    <w:rsid w:val="00B26F95"/>
    <w:rsid w:val="00B27091"/>
    <w:rsid w:val="00B271B9"/>
    <w:rsid w:val="00B27230"/>
    <w:rsid w:val="00B275B8"/>
    <w:rsid w:val="00B2763D"/>
    <w:rsid w:val="00B27692"/>
    <w:rsid w:val="00B27715"/>
    <w:rsid w:val="00B27842"/>
    <w:rsid w:val="00B27880"/>
    <w:rsid w:val="00B278C4"/>
    <w:rsid w:val="00B278C8"/>
    <w:rsid w:val="00B27B49"/>
    <w:rsid w:val="00B27E47"/>
    <w:rsid w:val="00B300E4"/>
    <w:rsid w:val="00B30101"/>
    <w:rsid w:val="00B30221"/>
    <w:rsid w:val="00B302C2"/>
    <w:rsid w:val="00B303EF"/>
    <w:rsid w:val="00B304DD"/>
    <w:rsid w:val="00B30750"/>
    <w:rsid w:val="00B307AF"/>
    <w:rsid w:val="00B30925"/>
    <w:rsid w:val="00B309EF"/>
    <w:rsid w:val="00B30B02"/>
    <w:rsid w:val="00B30F26"/>
    <w:rsid w:val="00B311E0"/>
    <w:rsid w:val="00B3145F"/>
    <w:rsid w:val="00B31463"/>
    <w:rsid w:val="00B314BA"/>
    <w:rsid w:val="00B314BB"/>
    <w:rsid w:val="00B314E6"/>
    <w:rsid w:val="00B31573"/>
    <w:rsid w:val="00B31602"/>
    <w:rsid w:val="00B31780"/>
    <w:rsid w:val="00B317AA"/>
    <w:rsid w:val="00B3193A"/>
    <w:rsid w:val="00B31A3A"/>
    <w:rsid w:val="00B31A40"/>
    <w:rsid w:val="00B31A4F"/>
    <w:rsid w:val="00B31BEA"/>
    <w:rsid w:val="00B31DEA"/>
    <w:rsid w:val="00B31DFB"/>
    <w:rsid w:val="00B31F3A"/>
    <w:rsid w:val="00B320A0"/>
    <w:rsid w:val="00B32185"/>
    <w:rsid w:val="00B321AD"/>
    <w:rsid w:val="00B324D8"/>
    <w:rsid w:val="00B326A0"/>
    <w:rsid w:val="00B32764"/>
    <w:rsid w:val="00B32A38"/>
    <w:rsid w:val="00B32C24"/>
    <w:rsid w:val="00B32D68"/>
    <w:rsid w:val="00B32E86"/>
    <w:rsid w:val="00B330C9"/>
    <w:rsid w:val="00B33123"/>
    <w:rsid w:val="00B332B7"/>
    <w:rsid w:val="00B33333"/>
    <w:rsid w:val="00B33438"/>
    <w:rsid w:val="00B3361D"/>
    <w:rsid w:val="00B33635"/>
    <w:rsid w:val="00B33AA2"/>
    <w:rsid w:val="00B33AD8"/>
    <w:rsid w:val="00B34019"/>
    <w:rsid w:val="00B340E7"/>
    <w:rsid w:val="00B342D2"/>
    <w:rsid w:val="00B34353"/>
    <w:rsid w:val="00B3476D"/>
    <w:rsid w:val="00B34866"/>
    <w:rsid w:val="00B3487A"/>
    <w:rsid w:val="00B34898"/>
    <w:rsid w:val="00B349B1"/>
    <w:rsid w:val="00B34CC7"/>
    <w:rsid w:val="00B34F33"/>
    <w:rsid w:val="00B34F7E"/>
    <w:rsid w:val="00B35104"/>
    <w:rsid w:val="00B35274"/>
    <w:rsid w:val="00B354C9"/>
    <w:rsid w:val="00B3568C"/>
    <w:rsid w:val="00B35763"/>
    <w:rsid w:val="00B35803"/>
    <w:rsid w:val="00B358C1"/>
    <w:rsid w:val="00B359FF"/>
    <w:rsid w:val="00B35A12"/>
    <w:rsid w:val="00B35ADB"/>
    <w:rsid w:val="00B35C44"/>
    <w:rsid w:val="00B35D28"/>
    <w:rsid w:val="00B35F66"/>
    <w:rsid w:val="00B360E9"/>
    <w:rsid w:val="00B361CC"/>
    <w:rsid w:val="00B3624C"/>
    <w:rsid w:val="00B36384"/>
    <w:rsid w:val="00B36445"/>
    <w:rsid w:val="00B36535"/>
    <w:rsid w:val="00B36546"/>
    <w:rsid w:val="00B365DA"/>
    <w:rsid w:val="00B365FD"/>
    <w:rsid w:val="00B367B5"/>
    <w:rsid w:val="00B36955"/>
    <w:rsid w:val="00B36B68"/>
    <w:rsid w:val="00B36E24"/>
    <w:rsid w:val="00B36E7B"/>
    <w:rsid w:val="00B36FA8"/>
    <w:rsid w:val="00B371D5"/>
    <w:rsid w:val="00B372BC"/>
    <w:rsid w:val="00B373A7"/>
    <w:rsid w:val="00B373E2"/>
    <w:rsid w:val="00B37489"/>
    <w:rsid w:val="00B37990"/>
    <w:rsid w:val="00B379AE"/>
    <w:rsid w:val="00B379F4"/>
    <w:rsid w:val="00B37A25"/>
    <w:rsid w:val="00B37B6A"/>
    <w:rsid w:val="00B37B97"/>
    <w:rsid w:val="00B37E95"/>
    <w:rsid w:val="00B37ECA"/>
    <w:rsid w:val="00B4015E"/>
    <w:rsid w:val="00B404E7"/>
    <w:rsid w:val="00B405C6"/>
    <w:rsid w:val="00B40744"/>
    <w:rsid w:val="00B407B2"/>
    <w:rsid w:val="00B40980"/>
    <w:rsid w:val="00B40CF6"/>
    <w:rsid w:val="00B40D02"/>
    <w:rsid w:val="00B40EFD"/>
    <w:rsid w:val="00B40F16"/>
    <w:rsid w:val="00B40F28"/>
    <w:rsid w:val="00B4120C"/>
    <w:rsid w:val="00B4158D"/>
    <w:rsid w:val="00B415A3"/>
    <w:rsid w:val="00B41615"/>
    <w:rsid w:val="00B41761"/>
    <w:rsid w:val="00B418F0"/>
    <w:rsid w:val="00B419C8"/>
    <w:rsid w:val="00B41B33"/>
    <w:rsid w:val="00B41CC4"/>
    <w:rsid w:val="00B41DD2"/>
    <w:rsid w:val="00B41DD5"/>
    <w:rsid w:val="00B41E66"/>
    <w:rsid w:val="00B41EA3"/>
    <w:rsid w:val="00B42113"/>
    <w:rsid w:val="00B421F3"/>
    <w:rsid w:val="00B422B7"/>
    <w:rsid w:val="00B42423"/>
    <w:rsid w:val="00B424A4"/>
    <w:rsid w:val="00B42A5F"/>
    <w:rsid w:val="00B42CDF"/>
    <w:rsid w:val="00B42DB3"/>
    <w:rsid w:val="00B42DD3"/>
    <w:rsid w:val="00B42F6A"/>
    <w:rsid w:val="00B43CA1"/>
    <w:rsid w:val="00B43D1A"/>
    <w:rsid w:val="00B43D1F"/>
    <w:rsid w:val="00B43D92"/>
    <w:rsid w:val="00B43FFF"/>
    <w:rsid w:val="00B4429A"/>
    <w:rsid w:val="00B44306"/>
    <w:rsid w:val="00B44562"/>
    <w:rsid w:val="00B44756"/>
    <w:rsid w:val="00B44BFB"/>
    <w:rsid w:val="00B44C48"/>
    <w:rsid w:val="00B44C4F"/>
    <w:rsid w:val="00B44C6D"/>
    <w:rsid w:val="00B44D13"/>
    <w:rsid w:val="00B44F77"/>
    <w:rsid w:val="00B45501"/>
    <w:rsid w:val="00B45629"/>
    <w:rsid w:val="00B45989"/>
    <w:rsid w:val="00B45E2C"/>
    <w:rsid w:val="00B45FE3"/>
    <w:rsid w:val="00B460FD"/>
    <w:rsid w:val="00B461CA"/>
    <w:rsid w:val="00B462D3"/>
    <w:rsid w:val="00B46347"/>
    <w:rsid w:val="00B46875"/>
    <w:rsid w:val="00B4687B"/>
    <w:rsid w:val="00B46C27"/>
    <w:rsid w:val="00B46D8A"/>
    <w:rsid w:val="00B471BF"/>
    <w:rsid w:val="00B4732F"/>
    <w:rsid w:val="00B47639"/>
    <w:rsid w:val="00B478DC"/>
    <w:rsid w:val="00B47921"/>
    <w:rsid w:val="00B47AE6"/>
    <w:rsid w:val="00B47CA3"/>
    <w:rsid w:val="00B47CBD"/>
    <w:rsid w:val="00B47E7C"/>
    <w:rsid w:val="00B50091"/>
    <w:rsid w:val="00B50301"/>
    <w:rsid w:val="00B503A2"/>
    <w:rsid w:val="00B503A5"/>
    <w:rsid w:val="00B50418"/>
    <w:rsid w:val="00B504A9"/>
    <w:rsid w:val="00B5051D"/>
    <w:rsid w:val="00B50837"/>
    <w:rsid w:val="00B5096E"/>
    <w:rsid w:val="00B50B88"/>
    <w:rsid w:val="00B50C2F"/>
    <w:rsid w:val="00B50D50"/>
    <w:rsid w:val="00B50DE3"/>
    <w:rsid w:val="00B50E26"/>
    <w:rsid w:val="00B51108"/>
    <w:rsid w:val="00B51134"/>
    <w:rsid w:val="00B51406"/>
    <w:rsid w:val="00B5140F"/>
    <w:rsid w:val="00B51715"/>
    <w:rsid w:val="00B51798"/>
    <w:rsid w:val="00B517FC"/>
    <w:rsid w:val="00B51963"/>
    <w:rsid w:val="00B51AF1"/>
    <w:rsid w:val="00B51C3D"/>
    <w:rsid w:val="00B51ECA"/>
    <w:rsid w:val="00B52348"/>
    <w:rsid w:val="00B5245F"/>
    <w:rsid w:val="00B5257A"/>
    <w:rsid w:val="00B52593"/>
    <w:rsid w:val="00B525AB"/>
    <w:rsid w:val="00B52645"/>
    <w:rsid w:val="00B526B5"/>
    <w:rsid w:val="00B526BF"/>
    <w:rsid w:val="00B5271B"/>
    <w:rsid w:val="00B529AC"/>
    <w:rsid w:val="00B52B38"/>
    <w:rsid w:val="00B52BCD"/>
    <w:rsid w:val="00B52C70"/>
    <w:rsid w:val="00B52E33"/>
    <w:rsid w:val="00B5357B"/>
    <w:rsid w:val="00B535B8"/>
    <w:rsid w:val="00B5361F"/>
    <w:rsid w:val="00B53653"/>
    <w:rsid w:val="00B53968"/>
    <w:rsid w:val="00B53BB5"/>
    <w:rsid w:val="00B53C4A"/>
    <w:rsid w:val="00B53E92"/>
    <w:rsid w:val="00B53F0E"/>
    <w:rsid w:val="00B53FC5"/>
    <w:rsid w:val="00B54025"/>
    <w:rsid w:val="00B5440B"/>
    <w:rsid w:val="00B5451D"/>
    <w:rsid w:val="00B545BE"/>
    <w:rsid w:val="00B5472A"/>
    <w:rsid w:val="00B548FC"/>
    <w:rsid w:val="00B54A5C"/>
    <w:rsid w:val="00B54AA9"/>
    <w:rsid w:val="00B54B7A"/>
    <w:rsid w:val="00B54B83"/>
    <w:rsid w:val="00B54C7A"/>
    <w:rsid w:val="00B54FD7"/>
    <w:rsid w:val="00B552CD"/>
    <w:rsid w:val="00B5533A"/>
    <w:rsid w:val="00B5546A"/>
    <w:rsid w:val="00B556C9"/>
    <w:rsid w:val="00B55BCE"/>
    <w:rsid w:val="00B55C43"/>
    <w:rsid w:val="00B55DE2"/>
    <w:rsid w:val="00B55EEC"/>
    <w:rsid w:val="00B5608F"/>
    <w:rsid w:val="00B56132"/>
    <w:rsid w:val="00B56190"/>
    <w:rsid w:val="00B561CB"/>
    <w:rsid w:val="00B56287"/>
    <w:rsid w:val="00B562AA"/>
    <w:rsid w:val="00B56754"/>
    <w:rsid w:val="00B567B7"/>
    <w:rsid w:val="00B567E3"/>
    <w:rsid w:val="00B5696C"/>
    <w:rsid w:val="00B569AD"/>
    <w:rsid w:val="00B56A12"/>
    <w:rsid w:val="00B56A33"/>
    <w:rsid w:val="00B56C77"/>
    <w:rsid w:val="00B56DC0"/>
    <w:rsid w:val="00B56E1D"/>
    <w:rsid w:val="00B56F6D"/>
    <w:rsid w:val="00B56FAD"/>
    <w:rsid w:val="00B570A3"/>
    <w:rsid w:val="00B57307"/>
    <w:rsid w:val="00B578DB"/>
    <w:rsid w:val="00B57956"/>
    <w:rsid w:val="00B57A38"/>
    <w:rsid w:val="00B57C86"/>
    <w:rsid w:val="00B57F01"/>
    <w:rsid w:val="00B6004A"/>
    <w:rsid w:val="00B600F2"/>
    <w:rsid w:val="00B60215"/>
    <w:rsid w:val="00B60312"/>
    <w:rsid w:val="00B60401"/>
    <w:rsid w:val="00B60505"/>
    <w:rsid w:val="00B605BD"/>
    <w:rsid w:val="00B606C5"/>
    <w:rsid w:val="00B607EB"/>
    <w:rsid w:val="00B607F1"/>
    <w:rsid w:val="00B60AAB"/>
    <w:rsid w:val="00B60AB7"/>
    <w:rsid w:val="00B60B22"/>
    <w:rsid w:val="00B60BB2"/>
    <w:rsid w:val="00B60C16"/>
    <w:rsid w:val="00B60CF7"/>
    <w:rsid w:val="00B60F12"/>
    <w:rsid w:val="00B610CA"/>
    <w:rsid w:val="00B61144"/>
    <w:rsid w:val="00B61200"/>
    <w:rsid w:val="00B6121F"/>
    <w:rsid w:val="00B61655"/>
    <w:rsid w:val="00B61903"/>
    <w:rsid w:val="00B61979"/>
    <w:rsid w:val="00B619ED"/>
    <w:rsid w:val="00B61A6B"/>
    <w:rsid w:val="00B61BC4"/>
    <w:rsid w:val="00B61CDE"/>
    <w:rsid w:val="00B61E43"/>
    <w:rsid w:val="00B621A0"/>
    <w:rsid w:val="00B6252F"/>
    <w:rsid w:val="00B625F8"/>
    <w:rsid w:val="00B62718"/>
    <w:rsid w:val="00B62C3F"/>
    <w:rsid w:val="00B62C8B"/>
    <w:rsid w:val="00B62D9E"/>
    <w:rsid w:val="00B62F79"/>
    <w:rsid w:val="00B630E0"/>
    <w:rsid w:val="00B631CE"/>
    <w:rsid w:val="00B632C5"/>
    <w:rsid w:val="00B63389"/>
    <w:rsid w:val="00B63549"/>
    <w:rsid w:val="00B63726"/>
    <w:rsid w:val="00B6372A"/>
    <w:rsid w:val="00B63799"/>
    <w:rsid w:val="00B63973"/>
    <w:rsid w:val="00B63C1B"/>
    <w:rsid w:val="00B63D03"/>
    <w:rsid w:val="00B63DA2"/>
    <w:rsid w:val="00B63F4E"/>
    <w:rsid w:val="00B63F9E"/>
    <w:rsid w:val="00B640E4"/>
    <w:rsid w:val="00B64185"/>
    <w:rsid w:val="00B6427B"/>
    <w:rsid w:val="00B643B6"/>
    <w:rsid w:val="00B643D9"/>
    <w:rsid w:val="00B644CE"/>
    <w:rsid w:val="00B64631"/>
    <w:rsid w:val="00B64782"/>
    <w:rsid w:val="00B64A3F"/>
    <w:rsid w:val="00B64B22"/>
    <w:rsid w:val="00B64B6D"/>
    <w:rsid w:val="00B64E08"/>
    <w:rsid w:val="00B64E68"/>
    <w:rsid w:val="00B65162"/>
    <w:rsid w:val="00B652EA"/>
    <w:rsid w:val="00B653D1"/>
    <w:rsid w:val="00B654DB"/>
    <w:rsid w:val="00B65523"/>
    <w:rsid w:val="00B65628"/>
    <w:rsid w:val="00B65844"/>
    <w:rsid w:val="00B65A21"/>
    <w:rsid w:val="00B65CAE"/>
    <w:rsid w:val="00B65D70"/>
    <w:rsid w:val="00B65E55"/>
    <w:rsid w:val="00B65F4D"/>
    <w:rsid w:val="00B660C4"/>
    <w:rsid w:val="00B66267"/>
    <w:rsid w:val="00B6636E"/>
    <w:rsid w:val="00B66691"/>
    <w:rsid w:val="00B6675D"/>
    <w:rsid w:val="00B66845"/>
    <w:rsid w:val="00B66A9A"/>
    <w:rsid w:val="00B66DD2"/>
    <w:rsid w:val="00B670A6"/>
    <w:rsid w:val="00B67141"/>
    <w:rsid w:val="00B673BA"/>
    <w:rsid w:val="00B673BC"/>
    <w:rsid w:val="00B6764D"/>
    <w:rsid w:val="00B67829"/>
    <w:rsid w:val="00B6787F"/>
    <w:rsid w:val="00B679F1"/>
    <w:rsid w:val="00B67C0A"/>
    <w:rsid w:val="00B67C25"/>
    <w:rsid w:val="00B67DC0"/>
    <w:rsid w:val="00B70078"/>
    <w:rsid w:val="00B70176"/>
    <w:rsid w:val="00B7018B"/>
    <w:rsid w:val="00B702B9"/>
    <w:rsid w:val="00B702D9"/>
    <w:rsid w:val="00B7046F"/>
    <w:rsid w:val="00B7055F"/>
    <w:rsid w:val="00B707AB"/>
    <w:rsid w:val="00B707CD"/>
    <w:rsid w:val="00B70939"/>
    <w:rsid w:val="00B70971"/>
    <w:rsid w:val="00B70B6A"/>
    <w:rsid w:val="00B70E84"/>
    <w:rsid w:val="00B70F20"/>
    <w:rsid w:val="00B70F6A"/>
    <w:rsid w:val="00B71119"/>
    <w:rsid w:val="00B7139B"/>
    <w:rsid w:val="00B71695"/>
    <w:rsid w:val="00B71AB2"/>
    <w:rsid w:val="00B71AF2"/>
    <w:rsid w:val="00B71B4A"/>
    <w:rsid w:val="00B720A7"/>
    <w:rsid w:val="00B724F8"/>
    <w:rsid w:val="00B7252F"/>
    <w:rsid w:val="00B7261C"/>
    <w:rsid w:val="00B72659"/>
    <w:rsid w:val="00B72741"/>
    <w:rsid w:val="00B727E1"/>
    <w:rsid w:val="00B727EE"/>
    <w:rsid w:val="00B729C9"/>
    <w:rsid w:val="00B72C61"/>
    <w:rsid w:val="00B72E64"/>
    <w:rsid w:val="00B72E8C"/>
    <w:rsid w:val="00B72F7A"/>
    <w:rsid w:val="00B730B9"/>
    <w:rsid w:val="00B7312E"/>
    <w:rsid w:val="00B731FB"/>
    <w:rsid w:val="00B73200"/>
    <w:rsid w:val="00B73538"/>
    <w:rsid w:val="00B7394B"/>
    <w:rsid w:val="00B73D1E"/>
    <w:rsid w:val="00B73D2A"/>
    <w:rsid w:val="00B73F63"/>
    <w:rsid w:val="00B73F70"/>
    <w:rsid w:val="00B73FD7"/>
    <w:rsid w:val="00B7420F"/>
    <w:rsid w:val="00B74800"/>
    <w:rsid w:val="00B74816"/>
    <w:rsid w:val="00B74905"/>
    <w:rsid w:val="00B74BBB"/>
    <w:rsid w:val="00B74C9A"/>
    <w:rsid w:val="00B74CD3"/>
    <w:rsid w:val="00B74D20"/>
    <w:rsid w:val="00B74DA3"/>
    <w:rsid w:val="00B74DC8"/>
    <w:rsid w:val="00B74E22"/>
    <w:rsid w:val="00B74E7F"/>
    <w:rsid w:val="00B74F8F"/>
    <w:rsid w:val="00B75015"/>
    <w:rsid w:val="00B75469"/>
    <w:rsid w:val="00B7551E"/>
    <w:rsid w:val="00B75559"/>
    <w:rsid w:val="00B75664"/>
    <w:rsid w:val="00B756C2"/>
    <w:rsid w:val="00B756FC"/>
    <w:rsid w:val="00B75A9E"/>
    <w:rsid w:val="00B75C19"/>
    <w:rsid w:val="00B75E3B"/>
    <w:rsid w:val="00B75E4A"/>
    <w:rsid w:val="00B75F14"/>
    <w:rsid w:val="00B760DB"/>
    <w:rsid w:val="00B761CC"/>
    <w:rsid w:val="00B765A6"/>
    <w:rsid w:val="00B7663D"/>
    <w:rsid w:val="00B766B1"/>
    <w:rsid w:val="00B767F5"/>
    <w:rsid w:val="00B76C38"/>
    <w:rsid w:val="00B76E46"/>
    <w:rsid w:val="00B77001"/>
    <w:rsid w:val="00B7720B"/>
    <w:rsid w:val="00B774F9"/>
    <w:rsid w:val="00B7752B"/>
    <w:rsid w:val="00B775C0"/>
    <w:rsid w:val="00B776E7"/>
    <w:rsid w:val="00B778AC"/>
    <w:rsid w:val="00B7790E"/>
    <w:rsid w:val="00B7797C"/>
    <w:rsid w:val="00B77C74"/>
    <w:rsid w:val="00B77FB8"/>
    <w:rsid w:val="00B801F0"/>
    <w:rsid w:val="00B80467"/>
    <w:rsid w:val="00B8053C"/>
    <w:rsid w:val="00B8097F"/>
    <w:rsid w:val="00B80A42"/>
    <w:rsid w:val="00B80A50"/>
    <w:rsid w:val="00B80BDB"/>
    <w:rsid w:val="00B810A3"/>
    <w:rsid w:val="00B810F8"/>
    <w:rsid w:val="00B8127D"/>
    <w:rsid w:val="00B8134A"/>
    <w:rsid w:val="00B81487"/>
    <w:rsid w:val="00B8151B"/>
    <w:rsid w:val="00B81537"/>
    <w:rsid w:val="00B81CA9"/>
    <w:rsid w:val="00B820B5"/>
    <w:rsid w:val="00B82106"/>
    <w:rsid w:val="00B82421"/>
    <w:rsid w:val="00B82431"/>
    <w:rsid w:val="00B82454"/>
    <w:rsid w:val="00B82463"/>
    <w:rsid w:val="00B825E1"/>
    <w:rsid w:val="00B8281C"/>
    <w:rsid w:val="00B82AC5"/>
    <w:rsid w:val="00B82ACF"/>
    <w:rsid w:val="00B82CBB"/>
    <w:rsid w:val="00B82CCC"/>
    <w:rsid w:val="00B82CDE"/>
    <w:rsid w:val="00B82CFB"/>
    <w:rsid w:val="00B83070"/>
    <w:rsid w:val="00B83072"/>
    <w:rsid w:val="00B83383"/>
    <w:rsid w:val="00B8346E"/>
    <w:rsid w:val="00B83655"/>
    <w:rsid w:val="00B83778"/>
    <w:rsid w:val="00B837F5"/>
    <w:rsid w:val="00B83A18"/>
    <w:rsid w:val="00B83A1E"/>
    <w:rsid w:val="00B83A47"/>
    <w:rsid w:val="00B83E12"/>
    <w:rsid w:val="00B84149"/>
    <w:rsid w:val="00B84289"/>
    <w:rsid w:val="00B84361"/>
    <w:rsid w:val="00B84404"/>
    <w:rsid w:val="00B84449"/>
    <w:rsid w:val="00B8462F"/>
    <w:rsid w:val="00B847EA"/>
    <w:rsid w:val="00B8480E"/>
    <w:rsid w:val="00B849DD"/>
    <w:rsid w:val="00B84A1D"/>
    <w:rsid w:val="00B84BFA"/>
    <w:rsid w:val="00B84D92"/>
    <w:rsid w:val="00B850A6"/>
    <w:rsid w:val="00B85107"/>
    <w:rsid w:val="00B85526"/>
    <w:rsid w:val="00B855EF"/>
    <w:rsid w:val="00B856A7"/>
    <w:rsid w:val="00B85782"/>
    <w:rsid w:val="00B858FC"/>
    <w:rsid w:val="00B85BEB"/>
    <w:rsid w:val="00B85D9F"/>
    <w:rsid w:val="00B862DD"/>
    <w:rsid w:val="00B8633C"/>
    <w:rsid w:val="00B866DD"/>
    <w:rsid w:val="00B869EA"/>
    <w:rsid w:val="00B86B27"/>
    <w:rsid w:val="00B86B8A"/>
    <w:rsid w:val="00B86EE1"/>
    <w:rsid w:val="00B86F4C"/>
    <w:rsid w:val="00B86F82"/>
    <w:rsid w:val="00B86F98"/>
    <w:rsid w:val="00B8709A"/>
    <w:rsid w:val="00B870F3"/>
    <w:rsid w:val="00B879B5"/>
    <w:rsid w:val="00B87C78"/>
    <w:rsid w:val="00B87CC2"/>
    <w:rsid w:val="00B903E0"/>
    <w:rsid w:val="00B903F2"/>
    <w:rsid w:val="00B90685"/>
    <w:rsid w:val="00B90772"/>
    <w:rsid w:val="00B908F4"/>
    <w:rsid w:val="00B90B7A"/>
    <w:rsid w:val="00B9116F"/>
    <w:rsid w:val="00B9130F"/>
    <w:rsid w:val="00B9133F"/>
    <w:rsid w:val="00B9134D"/>
    <w:rsid w:val="00B9136B"/>
    <w:rsid w:val="00B91934"/>
    <w:rsid w:val="00B9198C"/>
    <w:rsid w:val="00B91A72"/>
    <w:rsid w:val="00B91BC0"/>
    <w:rsid w:val="00B91DDE"/>
    <w:rsid w:val="00B92005"/>
    <w:rsid w:val="00B9203A"/>
    <w:rsid w:val="00B920FC"/>
    <w:rsid w:val="00B92248"/>
    <w:rsid w:val="00B922B5"/>
    <w:rsid w:val="00B922FF"/>
    <w:rsid w:val="00B92323"/>
    <w:rsid w:val="00B927A4"/>
    <w:rsid w:val="00B92917"/>
    <w:rsid w:val="00B92AE5"/>
    <w:rsid w:val="00B92EA5"/>
    <w:rsid w:val="00B93212"/>
    <w:rsid w:val="00B9322C"/>
    <w:rsid w:val="00B9324D"/>
    <w:rsid w:val="00B932DF"/>
    <w:rsid w:val="00B935CA"/>
    <w:rsid w:val="00B93722"/>
    <w:rsid w:val="00B939F7"/>
    <w:rsid w:val="00B93B13"/>
    <w:rsid w:val="00B93E41"/>
    <w:rsid w:val="00B942AE"/>
    <w:rsid w:val="00B9482E"/>
    <w:rsid w:val="00B949C5"/>
    <w:rsid w:val="00B949F9"/>
    <w:rsid w:val="00B94B1C"/>
    <w:rsid w:val="00B94BB2"/>
    <w:rsid w:val="00B94D28"/>
    <w:rsid w:val="00B94E74"/>
    <w:rsid w:val="00B94EF0"/>
    <w:rsid w:val="00B954BE"/>
    <w:rsid w:val="00B95643"/>
    <w:rsid w:val="00B9587F"/>
    <w:rsid w:val="00B958CA"/>
    <w:rsid w:val="00B9594A"/>
    <w:rsid w:val="00B95AD7"/>
    <w:rsid w:val="00B95B27"/>
    <w:rsid w:val="00B95D84"/>
    <w:rsid w:val="00B95F63"/>
    <w:rsid w:val="00B95F7A"/>
    <w:rsid w:val="00B96071"/>
    <w:rsid w:val="00B9609A"/>
    <w:rsid w:val="00B9623E"/>
    <w:rsid w:val="00B96296"/>
    <w:rsid w:val="00B96374"/>
    <w:rsid w:val="00B96892"/>
    <w:rsid w:val="00B96926"/>
    <w:rsid w:val="00B9699E"/>
    <w:rsid w:val="00B96A1F"/>
    <w:rsid w:val="00B96B00"/>
    <w:rsid w:val="00B96D44"/>
    <w:rsid w:val="00B96DB2"/>
    <w:rsid w:val="00B96E99"/>
    <w:rsid w:val="00B96FC2"/>
    <w:rsid w:val="00B97100"/>
    <w:rsid w:val="00B97157"/>
    <w:rsid w:val="00B97173"/>
    <w:rsid w:val="00B9756A"/>
    <w:rsid w:val="00B9780F"/>
    <w:rsid w:val="00B979DB"/>
    <w:rsid w:val="00B97ABD"/>
    <w:rsid w:val="00B97B89"/>
    <w:rsid w:val="00B97C1E"/>
    <w:rsid w:val="00B97D08"/>
    <w:rsid w:val="00B97F5D"/>
    <w:rsid w:val="00BA0003"/>
    <w:rsid w:val="00BA0664"/>
    <w:rsid w:val="00BA078B"/>
    <w:rsid w:val="00BA08D3"/>
    <w:rsid w:val="00BA0B4C"/>
    <w:rsid w:val="00BA0B99"/>
    <w:rsid w:val="00BA0E4F"/>
    <w:rsid w:val="00BA0ED0"/>
    <w:rsid w:val="00BA1295"/>
    <w:rsid w:val="00BA12F1"/>
    <w:rsid w:val="00BA12FA"/>
    <w:rsid w:val="00BA14FF"/>
    <w:rsid w:val="00BA1837"/>
    <w:rsid w:val="00BA1A4B"/>
    <w:rsid w:val="00BA1BCE"/>
    <w:rsid w:val="00BA1C87"/>
    <w:rsid w:val="00BA1D05"/>
    <w:rsid w:val="00BA1D2F"/>
    <w:rsid w:val="00BA1D66"/>
    <w:rsid w:val="00BA1E0F"/>
    <w:rsid w:val="00BA1FC3"/>
    <w:rsid w:val="00BA2092"/>
    <w:rsid w:val="00BA22A6"/>
    <w:rsid w:val="00BA243D"/>
    <w:rsid w:val="00BA254F"/>
    <w:rsid w:val="00BA25BA"/>
    <w:rsid w:val="00BA25F3"/>
    <w:rsid w:val="00BA29C6"/>
    <w:rsid w:val="00BA2A61"/>
    <w:rsid w:val="00BA2CCC"/>
    <w:rsid w:val="00BA2D50"/>
    <w:rsid w:val="00BA3150"/>
    <w:rsid w:val="00BA319B"/>
    <w:rsid w:val="00BA31E1"/>
    <w:rsid w:val="00BA333F"/>
    <w:rsid w:val="00BA3670"/>
    <w:rsid w:val="00BA3737"/>
    <w:rsid w:val="00BA3A10"/>
    <w:rsid w:val="00BA3AC2"/>
    <w:rsid w:val="00BA3B4E"/>
    <w:rsid w:val="00BA3B5D"/>
    <w:rsid w:val="00BA3CDA"/>
    <w:rsid w:val="00BA3D76"/>
    <w:rsid w:val="00BA3DFD"/>
    <w:rsid w:val="00BA4108"/>
    <w:rsid w:val="00BA412D"/>
    <w:rsid w:val="00BA4224"/>
    <w:rsid w:val="00BA46CD"/>
    <w:rsid w:val="00BA482B"/>
    <w:rsid w:val="00BA48CA"/>
    <w:rsid w:val="00BA48CC"/>
    <w:rsid w:val="00BA494B"/>
    <w:rsid w:val="00BA4A11"/>
    <w:rsid w:val="00BA4A23"/>
    <w:rsid w:val="00BA4C4B"/>
    <w:rsid w:val="00BA4ED0"/>
    <w:rsid w:val="00BA511B"/>
    <w:rsid w:val="00BA5331"/>
    <w:rsid w:val="00BA5934"/>
    <w:rsid w:val="00BA5971"/>
    <w:rsid w:val="00BA5CAF"/>
    <w:rsid w:val="00BA5F1D"/>
    <w:rsid w:val="00BA6259"/>
    <w:rsid w:val="00BA64EA"/>
    <w:rsid w:val="00BA662D"/>
    <w:rsid w:val="00BA66EF"/>
    <w:rsid w:val="00BA6B3F"/>
    <w:rsid w:val="00BA6B53"/>
    <w:rsid w:val="00BA6F99"/>
    <w:rsid w:val="00BA6FC4"/>
    <w:rsid w:val="00BA70F9"/>
    <w:rsid w:val="00BA71A9"/>
    <w:rsid w:val="00BA74FA"/>
    <w:rsid w:val="00BA7DEE"/>
    <w:rsid w:val="00BA7F0F"/>
    <w:rsid w:val="00BB0124"/>
    <w:rsid w:val="00BB03EF"/>
    <w:rsid w:val="00BB0496"/>
    <w:rsid w:val="00BB0705"/>
    <w:rsid w:val="00BB0808"/>
    <w:rsid w:val="00BB09C6"/>
    <w:rsid w:val="00BB09DA"/>
    <w:rsid w:val="00BB0C59"/>
    <w:rsid w:val="00BB0E8E"/>
    <w:rsid w:val="00BB0F7C"/>
    <w:rsid w:val="00BB0FDA"/>
    <w:rsid w:val="00BB1042"/>
    <w:rsid w:val="00BB10AD"/>
    <w:rsid w:val="00BB10EE"/>
    <w:rsid w:val="00BB11B6"/>
    <w:rsid w:val="00BB1223"/>
    <w:rsid w:val="00BB1267"/>
    <w:rsid w:val="00BB12CA"/>
    <w:rsid w:val="00BB17BF"/>
    <w:rsid w:val="00BB18C6"/>
    <w:rsid w:val="00BB19A7"/>
    <w:rsid w:val="00BB1A0C"/>
    <w:rsid w:val="00BB1BA2"/>
    <w:rsid w:val="00BB244B"/>
    <w:rsid w:val="00BB252D"/>
    <w:rsid w:val="00BB2574"/>
    <w:rsid w:val="00BB2617"/>
    <w:rsid w:val="00BB28B1"/>
    <w:rsid w:val="00BB2D9D"/>
    <w:rsid w:val="00BB2DB3"/>
    <w:rsid w:val="00BB2E3C"/>
    <w:rsid w:val="00BB2F22"/>
    <w:rsid w:val="00BB2F54"/>
    <w:rsid w:val="00BB32A8"/>
    <w:rsid w:val="00BB337D"/>
    <w:rsid w:val="00BB3405"/>
    <w:rsid w:val="00BB344B"/>
    <w:rsid w:val="00BB378D"/>
    <w:rsid w:val="00BB3A6A"/>
    <w:rsid w:val="00BB3C99"/>
    <w:rsid w:val="00BB3CCA"/>
    <w:rsid w:val="00BB3E79"/>
    <w:rsid w:val="00BB3EF5"/>
    <w:rsid w:val="00BB41A9"/>
    <w:rsid w:val="00BB41E1"/>
    <w:rsid w:val="00BB4538"/>
    <w:rsid w:val="00BB455B"/>
    <w:rsid w:val="00BB462F"/>
    <w:rsid w:val="00BB4649"/>
    <w:rsid w:val="00BB473A"/>
    <w:rsid w:val="00BB4769"/>
    <w:rsid w:val="00BB4998"/>
    <w:rsid w:val="00BB4A58"/>
    <w:rsid w:val="00BB4A6E"/>
    <w:rsid w:val="00BB4AB4"/>
    <w:rsid w:val="00BB4DBB"/>
    <w:rsid w:val="00BB4EF3"/>
    <w:rsid w:val="00BB508F"/>
    <w:rsid w:val="00BB5119"/>
    <w:rsid w:val="00BB5338"/>
    <w:rsid w:val="00BB5350"/>
    <w:rsid w:val="00BB5409"/>
    <w:rsid w:val="00BB5451"/>
    <w:rsid w:val="00BB5612"/>
    <w:rsid w:val="00BB5668"/>
    <w:rsid w:val="00BB5856"/>
    <w:rsid w:val="00BB59B6"/>
    <w:rsid w:val="00BB5C76"/>
    <w:rsid w:val="00BB5E55"/>
    <w:rsid w:val="00BB5ED2"/>
    <w:rsid w:val="00BB5FA7"/>
    <w:rsid w:val="00BB5FB7"/>
    <w:rsid w:val="00BB600D"/>
    <w:rsid w:val="00BB607B"/>
    <w:rsid w:val="00BB61C2"/>
    <w:rsid w:val="00BB6560"/>
    <w:rsid w:val="00BB6744"/>
    <w:rsid w:val="00BB6855"/>
    <w:rsid w:val="00BB6B7C"/>
    <w:rsid w:val="00BB6BE8"/>
    <w:rsid w:val="00BB6D05"/>
    <w:rsid w:val="00BB6F6C"/>
    <w:rsid w:val="00BB6FFC"/>
    <w:rsid w:val="00BB713B"/>
    <w:rsid w:val="00BB716B"/>
    <w:rsid w:val="00BB71FA"/>
    <w:rsid w:val="00BB72A4"/>
    <w:rsid w:val="00BB7487"/>
    <w:rsid w:val="00BB74AA"/>
    <w:rsid w:val="00BB75A1"/>
    <w:rsid w:val="00BB7716"/>
    <w:rsid w:val="00BB778C"/>
    <w:rsid w:val="00BB7DD4"/>
    <w:rsid w:val="00BB7F32"/>
    <w:rsid w:val="00BC00FB"/>
    <w:rsid w:val="00BC01C7"/>
    <w:rsid w:val="00BC028F"/>
    <w:rsid w:val="00BC0509"/>
    <w:rsid w:val="00BC081F"/>
    <w:rsid w:val="00BC0888"/>
    <w:rsid w:val="00BC091F"/>
    <w:rsid w:val="00BC0AD6"/>
    <w:rsid w:val="00BC0B08"/>
    <w:rsid w:val="00BC0D7F"/>
    <w:rsid w:val="00BC0EC5"/>
    <w:rsid w:val="00BC108D"/>
    <w:rsid w:val="00BC18DB"/>
    <w:rsid w:val="00BC19E7"/>
    <w:rsid w:val="00BC21E0"/>
    <w:rsid w:val="00BC2225"/>
    <w:rsid w:val="00BC2339"/>
    <w:rsid w:val="00BC252F"/>
    <w:rsid w:val="00BC2779"/>
    <w:rsid w:val="00BC27B7"/>
    <w:rsid w:val="00BC28FA"/>
    <w:rsid w:val="00BC2BEB"/>
    <w:rsid w:val="00BC2DB0"/>
    <w:rsid w:val="00BC2E0E"/>
    <w:rsid w:val="00BC2F9D"/>
    <w:rsid w:val="00BC2FCB"/>
    <w:rsid w:val="00BC3069"/>
    <w:rsid w:val="00BC32C7"/>
    <w:rsid w:val="00BC388E"/>
    <w:rsid w:val="00BC39DE"/>
    <w:rsid w:val="00BC3C12"/>
    <w:rsid w:val="00BC3F59"/>
    <w:rsid w:val="00BC3FC7"/>
    <w:rsid w:val="00BC4133"/>
    <w:rsid w:val="00BC43AB"/>
    <w:rsid w:val="00BC4618"/>
    <w:rsid w:val="00BC4779"/>
    <w:rsid w:val="00BC4794"/>
    <w:rsid w:val="00BC4970"/>
    <w:rsid w:val="00BC4C3F"/>
    <w:rsid w:val="00BC4CFB"/>
    <w:rsid w:val="00BC4E7C"/>
    <w:rsid w:val="00BC5058"/>
    <w:rsid w:val="00BC5245"/>
    <w:rsid w:val="00BC52FA"/>
    <w:rsid w:val="00BC5452"/>
    <w:rsid w:val="00BC5678"/>
    <w:rsid w:val="00BC576F"/>
    <w:rsid w:val="00BC57F5"/>
    <w:rsid w:val="00BC5970"/>
    <w:rsid w:val="00BC5A0D"/>
    <w:rsid w:val="00BC5B2A"/>
    <w:rsid w:val="00BC5C62"/>
    <w:rsid w:val="00BC5CD8"/>
    <w:rsid w:val="00BC5DA4"/>
    <w:rsid w:val="00BC5E6E"/>
    <w:rsid w:val="00BC614F"/>
    <w:rsid w:val="00BC6247"/>
    <w:rsid w:val="00BC6351"/>
    <w:rsid w:val="00BC63D1"/>
    <w:rsid w:val="00BC63FA"/>
    <w:rsid w:val="00BC64EB"/>
    <w:rsid w:val="00BC6559"/>
    <w:rsid w:val="00BC660F"/>
    <w:rsid w:val="00BC675C"/>
    <w:rsid w:val="00BC680A"/>
    <w:rsid w:val="00BC6882"/>
    <w:rsid w:val="00BC69B1"/>
    <w:rsid w:val="00BC69B3"/>
    <w:rsid w:val="00BC6BCD"/>
    <w:rsid w:val="00BC6D68"/>
    <w:rsid w:val="00BC6ED2"/>
    <w:rsid w:val="00BC6F35"/>
    <w:rsid w:val="00BC72E9"/>
    <w:rsid w:val="00BC72EC"/>
    <w:rsid w:val="00BC7529"/>
    <w:rsid w:val="00BC757A"/>
    <w:rsid w:val="00BC7A7F"/>
    <w:rsid w:val="00BC7B05"/>
    <w:rsid w:val="00BC7EE4"/>
    <w:rsid w:val="00BC7F80"/>
    <w:rsid w:val="00BC7FBD"/>
    <w:rsid w:val="00BC7FF3"/>
    <w:rsid w:val="00BD019C"/>
    <w:rsid w:val="00BD02EA"/>
    <w:rsid w:val="00BD032C"/>
    <w:rsid w:val="00BD040A"/>
    <w:rsid w:val="00BD0416"/>
    <w:rsid w:val="00BD0593"/>
    <w:rsid w:val="00BD061E"/>
    <w:rsid w:val="00BD0A89"/>
    <w:rsid w:val="00BD0AC6"/>
    <w:rsid w:val="00BD0C67"/>
    <w:rsid w:val="00BD0C72"/>
    <w:rsid w:val="00BD0C99"/>
    <w:rsid w:val="00BD0EB5"/>
    <w:rsid w:val="00BD0F49"/>
    <w:rsid w:val="00BD0FBE"/>
    <w:rsid w:val="00BD1343"/>
    <w:rsid w:val="00BD143A"/>
    <w:rsid w:val="00BD14A1"/>
    <w:rsid w:val="00BD14FA"/>
    <w:rsid w:val="00BD15E6"/>
    <w:rsid w:val="00BD16B5"/>
    <w:rsid w:val="00BD193D"/>
    <w:rsid w:val="00BD1994"/>
    <w:rsid w:val="00BD1A73"/>
    <w:rsid w:val="00BD1B44"/>
    <w:rsid w:val="00BD1C24"/>
    <w:rsid w:val="00BD1E1B"/>
    <w:rsid w:val="00BD1EB8"/>
    <w:rsid w:val="00BD1F7A"/>
    <w:rsid w:val="00BD1FEE"/>
    <w:rsid w:val="00BD21A6"/>
    <w:rsid w:val="00BD2255"/>
    <w:rsid w:val="00BD2284"/>
    <w:rsid w:val="00BD2783"/>
    <w:rsid w:val="00BD2A0B"/>
    <w:rsid w:val="00BD2C82"/>
    <w:rsid w:val="00BD2D80"/>
    <w:rsid w:val="00BD3320"/>
    <w:rsid w:val="00BD391A"/>
    <w:rsid w:val="00BD3923"/>
    <w:rsid w:val="00BD3C03"/>
    <w:rsid w:val="00BD3CBA"/>
    <w:rsid w:val="00BD3F43"/>
    <w:rsid w:val="00BD40F4"/>
    <w:rsid w:val="00BD41E9"/>
    <w:rsid w:val="00BD420F"/>
    <w:rsid w:val="00BD45E7"/>
    <w:rsid w:val="00BD466E"/>
    <w:rsid w:val="00BD4724"/>
    <w:rsid w:val="00BD482C"/>
    <w:rsid w:val="00BD4C2C"/>
    <w:rsid w:val="00BD4C53"/>
    <w:rsid w:val="00BD4F40"/>
    <w:rsid w:val="00BD5098"/>
    <w:rsid w:val="00BD5248"/>
    <w:rsid w:val="00BD528A"/>
    <w:rsid w:val="00BD5617"/>
    <w:rsid w:val="00BD562B"/>
    <w:rsid w:val="00BD576C"/>
    <w:rsid w:val="00BD59CB"/>
    <w:rsid w:val="00BD6176"/>
    <w:rsid w:val="00BD6196"/>
    <w:rsid w:val="00BD6345"/>
    <w:rsid w:val="00BD6555"/>
    <w:rsid w:val="00BD6850"/>
    <w:rsid w:val="00BD687F"/>
    <w:rsid w:val="00BD6934"/>
    <w:rsid w:val="00BD73CD"/>
    <w:rsid w:val="00BD74E2"/>
    <w:rsid w:val="00BD7526"/>
    <w:rsid w:val="00BD7799"/>
    <w:rsid w:val="00BD7CF0"/>
    <w:rsid w:val="00BE0070"/>
    <w:rsid w:val="00BE02D1"/>
    <w:rsid w:val="00BE030C"/>
    <w:rsid w:val="00BE071A"/>
    <w:rsid w:val="00BE09BA"/>
    <w:rsid w:val="00BE0AE9"/>
    <w:rsid w:val="00BE0B48"/>
    <w:rsid w:val="00BE0CCE"/>
    <w:rsid w:val="00BE0DB7"/>
    <w:rsid w:val="00BE0ECB"/>
    <w:rsid w:val="00BE0FCC"/>
    <w:rsid w:val="00BE1164"/>
    <w:rsid w:val="00BE11E4"/>
    <w:rsid w:val="00BE1341"/>
    <w:rsid w:val="00BE1739"/>
    <w:rsid w:val="00BE18F3"/>
    <w:rsid w:val="00BE1B01"/>
    <w:rsid w:val="00BE1B6C"/>
    <w:rsid w:val="00BE1BC7"/>
    <w:rsid w:val="00BE1F45"/>
    <w:rsid w:val="00BE1F52"/>
    <w:rsid w:val="00BE202D"/>
    <w:rsid w:val="00BE2052"/>
    <w:rsid w:val="00BE20D9"/>
    <w:rsid w:val="00BE2124"/>
    <w:rsid w:val="00BE2157"/>
    <w:rsid w:val="00BE24F4"/>
    <w:rsid w:val="00BE2574"/>
    <w:rsid w:val="00BE27BF"/>
    <w:rsid w:val="00BE2A3C"/>
    <w:rsid w:val="00BE2AA1"/>
    <w:rsid w:val="00BE2C63"/>
    <w:rsid w:val="00BE2D52"/>
    <w:rsid w:val="00BE2EC3"/>
    <w:rsid w:val="00BE2F75"/>
    <w:rsid w:val="00BE336D"/>
    <w:rsid w:val="00BE34CE"/>
    <w:rsid w:val="00BE3E87"/>
    <w:rsid w:val="00BE3EAA"/>
    <w:rsid w:val="00BE3FC0"/>
    <w:rsid w:val="00BE408D"/>
    <w:rsid w:val="00BE4101"/>
    <w:rsid w:val="00BE43E0"/>
    <w:rsid w:val="00BE4485"/>
    <w:rsid w:val="00BE44FA"/>
    <w:rsid w:val="00BE46E2"/>
    <w:rsid w:val="00BE4831"/>
    <w:rsid w:val="00BE4FB5"/>
    <w:rsid w:val="00BE511B"/>
    <w:rsid w:val="00BE5483"/>
    <w:rsid w:val="00BE557A"/>
    <w:rsid w:val="00BE579B"/>
    <w:rsid w:val="00BE5976"/>
    <w:rsid w:val="00BE5DC8"/>
    <w:rsid w:val="00BE5E1E"/>
    <w:rsid w:val="00BE5E32"/>
    <w:rsid w:val="00BE5E80"/>
    <w:rsid w:val="00BE65BC"/>
    <w:rsid w:val="00BE65FD"/>
    <w:rsid w:val="00BE68BD"/>
    <w:rsid w:val="00BE68C2"/>
    <w:rsid w:val="00BE6A7D"/>
    <w:rsid w:val="00BE6B0A"/>
    <w:rsid w:val="00BE6C5B"/>
    <w:rsid w:val="00BE6D62"/>
    <w:rsid w:val="00BE71D3"/>
    <w:rsid w:val="00BE7609"/>
    <w:rsid w:val="00BE7676"/>
    <w:rsid w:val="00BE77F6"/>
    <w:rsid w:val="00BE78AF"/>
    <w:rsid w:val="00BE79C7"/>
    <w:rsid w:val="00BE7A34"/>
    <w:rsid w:val="00BE7B4A"/>
    <w:rsid w:val="00BE7C56"/>
    <w:rsid w:val="00BE7D73"/>
    <w:rsid w:val="00BE7DA0"/>
    <w:rsid w:val="00BE7E25"/>
    <w:rsid w:val="00BE7E77"/>
    <w:rsid w:val="00BE7EEF"/>
    <w:rsid w:val="00BE7F9F"/>
    <w:rsid w:val="00BF0217"/>
    <w:rsid w:val="00BF0237"/>
    <w:rsid w:val="00BF0257"/>
    <w:rsid w:val="00BF025E"/>
    <w:rsid w:val="00BF031C"/>
    <w:rsid w:val="00BF038F"/>
    <w:rsid w:val="00BF04E2"/>
    <w:rsid w:val="00BF0509"/>
    <w:rsid w:val="00BF0530"/>
    <w:rsid w:val="00BF09B0"/>
    <w:rsid w:val="00BF0B7F"/>
    <w:rsid w:val="00BF0D18"/>
    <w:rsid w:val="00BF0D38"/>
    <w:rsid w:val="00BF0D7B"/>
    <w:rsid w:val="00BF0DFC"/>
    <w:rsid w:val="00BF107C"/>
    <w:rsid w:val="00BF1159"/>
    <w:rsid w:val="00BF133A"/>
    <w:rsid w:val="00BF1347"/>
    <w:rsid w:val="00BF157A"/>
    <w:rsid w:val="00BF1B01"/>
    <w:rsid w:val="00BF1B0E"/>
    <w:rsid w:val="00BF1BB6"/>
    <w:rsid w:val="00BF1D51"/>
    <w:rsid w:val="00BF1FD8"/>
    <w:rsid w:val="00BF2128"/>
    <w:rsid w:val="00BF2137"/>
    <w:rsid w:val="00BF223F"/>
    <w:rsid w:val="00BF2251"/>
    <w:rsid w:val="00BF248C"/>
    <w:rsid w:val="00BF2639"/>
    <w:rsid w:val="00BF264E"/>
    <w:rsid w:val="00BF28FD"/>
    <w:rsid w:val="00BF2B29"/>
    <w:rsid w:val="00BF2B7B"/>
    <w:rsid w:val="00BF2F83"/>
    <w:rsid w:val="00BF318C"/>
    <w:rsid w:val="00BF3224"/>
    <w:rsid w:val="00BF34C9"/>
    <w:rsid w:val="00BF375F"/>
    <w:rsid w:val="00BF39BB"/>
    <w:rsid w:val="00BF3CA5"/>
    <w:rsid w:val="00BF3D1A"/>
    <w:rsid w:val="00BF40B2"/>
    <w:rsid w:val="00BF4176"/>
    <w:rsid w:val="00BF43D9"/>
    <w:rsid w:val="00BF43EB"/>
    <w:rsid w:val="00BF4533"/>
    <w:rsid w:val="00BF476E"/>
    <w:rsid w:val="00BF4A15"/>
    <w:rsid w:val="00BF4C22"/>
    <w:rsid w:val="00BF4E0C"/>
    <w:rsid w:val="00BF50D4"/>
    <w:rsid w:val="00BF52A2"/>
    <w:rsid w:val="00BF5477"/>
    <w:rsid w:val="00BF54FF"/>
    <w:rsid w:val="00BF561D"/>
    <w:rsid w:val="00BF597A"/>
    <w:rsid w:val="00BF5B9F"/>
    <w:rsid w:val="00BF5CED"/>
    <w:rsid w:val="00BF5F94"/>
    <w:rsid w:val="00BF6274"/>
    <w:rsid w:val="00BF6638"/>
    <w:rsid w:val="00BF69E5"/>
    <w:rsid w:val="00BF6B28"/>
    <w:rsid w:val="00BF6B4A"/>
    <w:rsid w:val="00BF6B61"/>
    <w:rsid w:val="00BF6BF3"/>
    <w:rsid w:val="00BF6C98"/>
    <w:rsid w:val="00BF6CC9"/>
    <w:rsid w:val="00BF6CD8"/>
    <w:rsid w:val="00BF6E71"/>
    <w:rsid w:val="00BF7066"/>
    <w:rsid w:val="00BF7226"/>
    <w:rsid w:val="00BF7264"/>
    <w:rsid w:val="00BF73EB"/>
    <w:rsid w:val="00BF746D"/>
    <w:rsid w:val="00BF7578"/>
    <w:rsid w:val="00BF7D0D"/>
    <w:rsid w:val="00BF7D82"/>
    <w:rsid w:val="00C0002A"/>
    <w:rsid w:val="00C002CD"/>
    <w:rsid w:val="00C003F8"/>
    <w:rsid w:val="00C00456"/>
    <w:rsid w:val="00C005F8"/>
    <w:rsid w:val="00C00602"/>
    <w:rsid w:val="00C00690"/>
    <w:rsid w:val="00C00787"/>
    <w:rsid w:val="00C007FB"/>
    <w:rsid w:val="00C008F8"/>
    <w:rsid w:val="00C00CFB"/>
    <w:rsid w:val="00C00ED5"/>
    <w:rsid w:val="00C00ED9"/>
    <w:rsid w:val="00C01379"/>
    <w:rsid w:val="00C0138A"/>
    <w:rsid w:val="00C0138C"/>
    <w:rsid w:val="00C01427"/>
    <w:rsid w:val="00C01494"/>
    <w:rsid w:val="00C01539"/>
    <w:rsid w:val="00C0156D"/>
    <w:rsid w:val="00C01780"/>
    <w:rsid w:val="00C01885"/>
    <w:rsid w:val="00C019D5"/>
    <w:rsid w:val="00C01C4C"/>
    <w:rsid w:val="00C01CA3"/>
    <w:rsid w:val="00C01DEE"/>
    <w:rsid w:val="00C01F0F"/>
    <w:rsid w:val="00C01FD8"/>
    <w:rsid w:val="00C02243"/>
    <w:rsid w:val="00C02564"/>
    <w:rsid w:val="00C025FA"/>
    <w:rsid w:val="00C02668"/>
    <w:rsid w:val="00C0282B"/>
    <w:rsid w:val="00C028E0"/>
    <w:rsid w:val="00C029C8"/>
    <w:rsid w:val="00C02B1E"/>
    <w:rsid w:val="00C02B9D"/>
    <w:rsid w:val="00C02C5A"/>
    <w:rsid w:val="00C02CBE"/>
    <w:rsid w:val="00C02E08"/>
    <w:rsid w:val="00C02FD3"/>
    <w:rsid w:val="00C031F5"/>
    <w:rsid w:val="00C032F9"/>
    <w:rsid w:val="00C033AB"/>
    <w:rsid w:val="00C035FA"/>
    <w:rsid w:val="00C03956"/>
    <w:rsid w:val="00C0396E"/>
    <w:rsid w:val="00C039DD"/>
    <w:rsid w:val="00C03B40"/>
    <w:rsid w:val="00C03F31"/>
    <w:rsid w:val="00C041D7"/>
    <w:rsid w:val="00C0427D"/>
    <w:rsid w:val="00C042A7"/>
    <w:rsid w:val="00C0450D"/>
    <w:rsid w:val="00C0452F"/>
    <w:rsid w:val="00C04723"/>
    <w:rsid w:val="00C04816"/>
    <w:rsid w:val="00C04A43"/>
    <w:rsid w:val="00C05181"/>
    <w:rsid w:val="00C05529"/>
    <w:rsid w:val="00C05798"/>
    <w:rsid w:val="00C059D0"/>
    <w:rsid w:val="00C05AD4"/>
    <w:rsid w:val="00C05B0A"/>
    <w:rsid w:val="00C05C94"/>
    <w:rsid w:val="00C05F05"/>
    <w:rsid w:val="00C05F57"/>
    <w:rsid w:val="00C06281"/>
    <w:rsid w:val="00C065C2"/>
    <w:rsid w:val="00C06788"/>
    <w:rsid w:val="00C0687D"/>
    <w:rsid w:val="00C06C4D"/>
    <w:rsid w:val="00C06C69"/>
    <w:rsid w:val="00C06DAE"/>
    <w:rsid w:val="00C06FB6"/>
    <w:rsid w:val="00C06FEE"/>
    <w:rsid w:val="00C07289"/>
    <w:rsid w:val="00C075EA"/>
    <w:rsid w:val="00C076D1"/>
    <w:rsid w:val="00C079EA"/>
    <w:rsid w:val="00C07BE6"/>
    <w:rsid w:val="00C07E5E"/>
    <w:rsid w:val="00C07F9B"/>
    <w:rsid w:val="00C10142"/>
    <w:rsid w:val="00C10279"/>
    <w:rsid w:val="00C1060B"/>
    <w:rsid w:val="00C106EC"/>
    <w:rsid w:val="00C106F1"/>
    <w:rsid w:val="00C1080D"/>
    <w:rsid w:val="00C10946"/>
    <w:rsid w:val="00C109C6"/>
    <w:rsid w:val="00C10AE3"/>
    <w:rsid w:val="00C10BF2"/>
    <w:rsid w:val="00C10C3A"/>
    <w:rsid w:val="00C10D8B"/>
    <w:rsid w:val="00C10DA3"/>
    <w:rsid w:val="00C10F35"/>
    <w:rsid w:val="00C110B7"/>
    <w:rsid w:val="00C1119D"/>
    <w:rsid w:val="00C111EF"/>
    <w:rsid w:val="00C11232"/>
    <w:rsid w:val="00C113C0"/>
    <w:rsid w:val="00C11581"/>
    <w:rsid w:val="00C11691"/>
    <w:rsid w:val="00C1174C"/>
    <w:rsid w:val="00C11791"/>
    <w:rsid w:val="00C119C1"/>
    <w:rsid w:val="00C11A3B"/>
    <w:rsid w:val="00C11AFE"/>
    <w:rsid w:val="00C11B09"/>
    <w:rsid w:val="00C11D67"/>
    <w:rsid w:val="00C11D7A"/>
    <w:rsid w:val="00C11FF8"/>
    <w:rsid w:val="00C120FB"/>
    <w:rsid w:val="00C12183"/>
    <w:rsid w:val="00C124F1"/>
    <w:rsid w:val="00C12932"/>
    <w:rsid w:val="00C12960"/>
    <w:rsid w:val="00C12AF4"/>
    <w:rsid w:val="00C12B30"/>
    <w:rsid w:val="00C12F88"/>
    <w:rsid w:val="00C131E1"/>
    <w:rsid w:val="00C133C0"/>
    <w:rsid w:val="00C138A0"/>
    <w:rsid w:val="00C13E82"/>
    <w:rsid w:val="00C13FC1"/>
    <w:rsid w:val="00C14164"/>
    <w:rsid w:val="00C14251"/>
    <w:rsid w:val="00C145C5"/>
    <w:rsid w:val="00C1462A"/>
    <w:rsid w:val="00C14707"/>
    <w:rsid w:val="00C14865"/>
    <w:rsid w:val="00C148C3"/>
    <w:rsid w:val="00C14BA6"/>
    <w:rsid w:val="00C14CE8"/>
    <w:rsid w:val="00C14DC4"/>
    <w:rsid w:val="00C15298"/>
    <w:rsid w:val="00C15323"/>
    <w:rsid w:val="00C1533B"/>
    <w:rsid w:val="00C1546C"/>
    <w:rsid w:val="00C154DC"/>
    <w:rsid w:val="00C155D2"/>
    <w:rsid w:val="00C15610"/>
    <w:rsid w:val="00C15831"/>
    <w:rsid w:val="00C15848"/>
    <w:rsid w:val="00C15A50"/>
    <w:rsid w:val="00C15ADF"/>
    <w:rsid w:val="00C15B68"/>
    <w:rsid w:val="00C15CD2"/>
    <w:rsid w:val="00C15CEC"/>
    <w:rsid w:val="00C1603E"/>
    <w:rsid w:val="00C16083"/>
    <w:rsid w:val="00C1614F"/>
    <w:rsid w:val="00C16408"/>
    <w:rsid w:val="00C164A1"/>
    <w:rsid w:val="00C16780"/>
    <w:rsid w:val="00C167E6"/>
    <w:rsid w:val="00C1684B"/>
    <w:rsid w:val="00C16A9B"/>
    <w:rsid w:val="00C16C9F"/>
    <w:rsid w:val="00C17132"/>
    <w:rsid w:val="00C1715E"/>
    <w:rsid w:val="00C171B2"/>
    <w:rsid w:val="00C171B6"/>
    <w:rsid w:val="00C1733C"/>
    <w:rsid w:val="00C17589"/>
    <w:rsid w:val="00C175FB"/>
    <w:rsid w:val="00C17685"/>
    <w:rsid w:val="00C17837"/>
    <w:rsid w:val="00C178E0"/>
    <w:rsid w:val="00C17D5E"/>
    <w:rsid w:val="00C202A4"/>
    <w:rsid w:val="00C2031D"/>
    <w:rsid w:val="00C20350"/>
    <w:rsid w:val="00C204D3"/>
    <w:rsid w:val="00C207FB"/>
    <w:rsid w:val="00C20995"/>
    <w:rsid w:val="00C209D1"/>
    <w:rsid w:val="00C20A4D"/>
    <w:rsid w:val="00C20A61"/>
    <w:rsid w:val="00C20B12"/>
    <w:rsid w:val="00C20B26"/>
    <w:rsid w:val="00C20C88"/>
    <w:rsid w:val="00C20DB3"/>
    <w:rsid w:val="00C20E0E"/>
    <w:rsid w:val="00C20F26"/>
    <w:rsid w:val="00C21206"/>
    <w:rsid w:val="00C213CC"/>
    <w:rsid w:val="00C21559"/>
    <w:rsid w:val="00C215DF"/>
    <w:rsid w:val="00C21698"/>
    <w:rsid w:val="00C216FD"/>
    <w:rsid w:val="00C2177D"/>
    <w:rsid w:val="00C21782"/>
    <w:rsid w:val="00C2181C"/>
    <w:rsid w:val="00C21B22"/>
    <w:rsid w:val="00C21B91"/>
    <w:rsid w:val="00C21CEF"/>
    <w:rsid w:val="00C21D57"/>
    <w:rsid w:val="00C21D82"/>
    <w:rsid w:val="00C21DA7"/>
    <w:rsid w:val="00C21DDE"/>
    <w:rsid w:val="00C21E95"/>
    <w:rsid w:val="00C2202A"/>
    <w:rsid w:val="00C220CF"/>
    <w:rsid w:val="00C22110"/>
    <w:rsid w:val="00C223FB"/>
    <w:rsid w:val="00C2249E"/>
    <w:rsid w:val="00C22534"/>
    <w:rsid w:val="00C225C9"/>
    <w:rsid w:val="00C226E3"/>
    <w:rsid w:val="00C227C8"/>
    <w:rsid w:val="00C22818"/>
    <w:rsid w:val="00C22928"/>
    <w:rsid w:val="00C22E85"/>
    <w:rsid w:val="00C230BE"/>
    <w:rsid w:val="00C230F2"/>
    <w:rsid w:val="00C23266"/>
    <w:rsid w:val="00C23425"/>
    <w:rsid w:val="00C23479"/>
    <w:rsid w:val="00C2349D"/>
    <w:rsid w:val="00C234E5"/>
    <w:rsid w:val="00C23657"/>
    <w:rsid w:val="00C236FD"/>
    <w:rsid w:val="00C2373C"/>
    <w:rsid w:val="00C23829"/>
    <w:rsid w:val="00C23984"/>
    <w:rsid w:val="00C239C1"/>
    <w:rsid w:val="00C23B28"/>
    <w:rsid w:val="00C23B8C"/>
    <w:rsid w:val="00C23D7E"/>
    <w:rsid w:val="00C23DF3"/>
    <w:rsid w:val="00C23F19"/>
    <w:rsid w:val="00C23F6A"/>
    <w:rsid w:val="00C24058"/>
    <w:rsid w:val="00C240C5"/>
    <w:rsid w:val="00C24135"/>
    <w:rsid w:val="00C2428B"/>
    <w:rsid w:val="00C242F8"/>
    <w:rsid w:val="00C24608"/>
    <w:rsid w:val="00C2465F"/>
    <w:rsid w:val="00C246E6"/>
    <w:rsid w:val="00C24723"/>
    <w:rsid w:val="00C24726"/>
    <w:rsid w:val="00C24989"/>
    <w:rsid w:val="00C249BE"/>
    <w:rsid w:val="00C24A27"/>
    <w:rsid w:val="00C24BB1"/>
    <w:rsid w:val="00C24BB8"/>
    <w:rsid w:val="00C24C88"/>
    <w:rsid w:val="00C24D03"/>
    <w:rsid w:val="00C24E28"/>
    <w:rsid w:val="00C24E90"/>
    <w:rsid w:val="00C25062"/>
    <w:rsid w:val="00C250EC"/>
    <w:rsid w:val="00C251E4"/>
    <w:rsid w:val="00C25520"/>
    <w:rsid w:val="00C255FC"/>
    <w:rsid w:val="00C2562D"/>
    <w:rsid w:val="00C25A50"/>
    <w:rsid w:val="00C261D2"/>
    <w:rsid w:val="00C261FC"/>
    <w:rsid w:val="00C263A3"/>
    <w:rsid w:val="00C2652D"/>
    <w:rsid w:val="00C26661"/>
    <w:rsid w:val="00C26696"/>
    <w:rsid w:val="00C26779"/>
    <w:rsid w:val="00C268A2"/>
    <w:rsid w:val="00C268AA"/>
    <w:rsid w:val="00C26CFE"/>
    <w:rsid w:val="00C270EB"/>
    <w:rsid w:val="00C2716B"/>
    <w:rsid w:val="00C2723B"/>
    <w:rsid w:val="00C27296"/>
    <w:rsid w:val="00C272BB"/>
    <w:rsid w:val="00C273A3"/>
    <w:rsid w:val="00C273FC"/>
    <w:rsid w:val="00C2765A"/>
    <w:rsid w:val="00C278EE"/>
    <w:rsid w:val="00C27E22"/>
    <w:rsid w:val="00C27E56"/>
    <w:rsid w:val="00C27ECF"/>
    <w:rsid w:val="00C301BA"/>
    <w:rsid w:val="00C30481"/>
    <w:rsid w:val="00C3068A"/>
    <w:rsid w:val="00C30804"/>
    <w:rsid w:val="00C308CB"/>
    <w:rsid w:val="00C309B2"/>
    <w:rsid w:val="00C30DC4"/>
    <w:rsid w:val="00C30EDD"/>
    <w:rsid w:val="00C31136"/>
    <w:rsid w:val="00C313DD"/>
    <w:rsid w:val="00C3169A"/>
    <w:rsid w:val="00C31D2E"/>
    <w:rsid w:val="00C31DEC"/>
    <w:rsid w:val="00C31E38"/>
    <w:rsid w:val="00C31E40"/>
    <w:rsid w:val="00C31EA1"/>
    <w:rsid w:val="00C31F97"/>
    <w:rsid w:val="00C32322"/>
    <w:rsid w:val="00C3277D"/>
    <w:rsid w:val="00C329BA"/>
    <w:rsid w:val="00C329D5"/>
    <w:rsid w:val="00C329E0"/>
    <w:rsid w:val="00C32B39"/>
    <w:rsid w:val="00C32C27"/>
    <w:rsid w:val="00C32CE6"/>
    <w:rsid w:val="00C32D9A"/>
    <w:rsid w:val="00C32F12"/>
    <w:rsid w:val="00C32F21"/>
    <w:rsid w:val="00C32F67"/>
    <w:rsid w:val="00C33115"/>
    <w:rsid w:val="00C33541"/>
    <w:rsid w:val="00C3362B"/>
    <w:rsid w:val="00C3368D"/>
    <w:rsid w:val="00C338DF"/>
    <w:rsid w:val="00C338E6"/>
    <w:rsid w:val="00C339ED"/>
    <w:rsid w:val="00C33A5D"/>
    <w:rsid w:val="00C33C21"/>
    <w:rsid w:val="00C33C48"/>
    <w:rsid w:val="00C33C91"/>
    <w:rsid w:val="00C33F4D"/>
    <w:rsid w:val="00C33F94"/>
    <w:rsid w:val="00C34075"/>
    <w:rsid w:val="00C340A2"/>
    <w:rsid w:val="00C34174"/>
    <w:rsid w:val="00C341B1"/>
    <w:rsid w:val="00C34388"/>
    <w:rsid w:val="00C3459C"/>
    <w:rsid w:val="00C345C8"/>
    <w:rsid w:val="00C3474D"/>
    <w:rsid w:val="00C34B36"/>
    <w:rsid w:val="00C34BAE"/>
    <w:rsid w:val="00C34BB3"/>
    <w:rsid w:val="00C34E90"/>
    <w:rsid w:val="00C35030"/>
    <w:rsid w:val="00C351B0"/>
    <w:rsid w:val="00C35233"/>
    <w:rsid w:val="00C3558E"/>
    <w:rsid w:val="00C355DC"/>
    <w:rsid w:val="00C3576A"/>
    <w:rsid w:val="00C3576B"/>
    <w:rsid w:val="00C357A9"/>
    <w:rsid w:val="00C358E6"/>
    <w:rsid w:val="00C35A5A"/>
    <w:rsid w:val="00C35B9F"/>
    <w:rsid w:val="00C35CC1"/>
    <w:rsid w:val="00C3602C"/>
    <w:rsid w:val="00C36554"/>
    <w:rsid w:val="00C366A9"/>
    <w:rsid w:val="00C36976"/>
    <w:rsid w:val="00C36BC5"/>
    <w:rsid w:val="00C36D02"/>
    <w:rsid w:val="00C36EA2"/>
    <w:rsid w:val="00C36F48"/>
    <w:rsid w:val="00C37220"/>
    <w:rsid w:val="00C3766E"/>
    <w:rsid w:val="00C3767F"/>
    <w:rsid w:val="00C37A69"/>
    <w:rsid w:val="00C37FC2"/>
    <w:rsid w:val="00C37FFB"/>
    <w:rsid w:val="00C4008C"/>
    <w:rsid w:val="00C4008F"/>
    <w:rsid w:val="00C400E8"/>
    <w:rsid w:val="00C400FF"/>
    <w:rsid w:val="00C402CF"/>
    <w:rsid w:val="00C40593"/>
    <w:rsid w:val="00C4067B"/>
    <w:rsid w:val="00C4077A"/>
    <w:rsid w:val="00C4077C"/>
    <w:rsid w:val="00C409D3"/>
    <w:rsid w:val="00C40A0A"/>
    <w:rsid w:val="00C40A13"/>
    <w:rsid w:val="00C40AFC"/>
    <w:rsid w:val="00C40CA6"/>
    <w:rsid w:val="00C4102C"/>
    <w:rsid w:val="00C4109A"/>
    <w:rsid w:val="00C4139C"/>
    <w:rsid w:val="00C413DA"/>
    <w:rsid w:val="00C418F8"/>
    <w:rsid w:val="00C41BB7"/>
    <w:rsid w:val="00C41C83"/>
    <w:rsid w:val="00C41E31"/>
    <w:rsid w:val="00C41EC0"/>
    <w:rsid w:val="00C4203E"/>
    <w:rsid w:val="00C42143"/>
    <w:rsid w:val="00C42265"/>
    <w:rsid w:val="00C42525"/>
    <w:rsid w:val="00C426B8"/>
    <w:rsid w:val="00C42783"/>
    <w:rsid w:val="00C42914"/>
    <w:rsid w:val="00C4292E"/>
    <w:rsid w:val="00C42B00"/>
    <w:rsid w:val="00C42BBB"/>
    <w:rsid w:val="00C42C98"/>
    <w:rsid w:val="00C42F0D"/>
    <w:rsid w:val="00C42FFB"/>
    <w:rsid w:val="00C4304F"/>
    <w:rsid w:val="00C431C3"/>
    <w:rsid w:val="00C43274"/>
    <w:rsid w:val="00C43530"/>
    <w:rsid w:val="00C43605"/>
    <w:rsid w:val="00C43752"/>
    <w:rsid w:val="00C43908"/>
    <w:rsid w:val="00C439DC"/>
    <w:rsid w:val="00C43A97"/>
    <w:rsid w:val="00C43AE5"/>
    <w:rsid w:val="00C43C89"/>
    <w:rsid w:val="00C43DBA"/>
    <w:rsid w:val="00C43E24"/>
    <w:rsid w:val="00C43E25"/>
    <w:rsid w:val="00C43F9C"/>
    <w:rsid w:val="00C44037"/>
    <w:rsid w:val="00C442C7"/>
    <w:rsid w:val="00C443B8"/>
    <w:rsid w:val="00C44419"/>
    <w:rsid w:val="00C44564"/>
    <w:rsid w:val="00C445DE"/>
    <w:rsid w:val="00C446B4"/>
    <w:rsid w:val="00C44797"/>
    <w:rsid w:val="00C447C1"/>
    <w:rsid w:val="00C44C52"/>
    <w:rsid w:val="00C44EA7"/>
    <w:rsid w:val="00C44FC1"/>
    <w:rsid w:val="00C450A4"/>
    <w:rsid w:val="00C4510C"/>
    <w:rsid w:val="00C455A7"/>
    <w:rsid w:val="00C456E9"/>
    <w:rsid w:val="00C45AED"/>
    <w:rsid w:val="00C45BBC"/>
    <w:rsid w:val="00C45BC2"/>
    <w:rsid w:val="00C45C40"/>
    <w:rsid w:val="00C45CCD"/>
    <w:rsid w:val="00C46403"/>
    <w:rsid w:val="00C4641A"/>
    <w:rsid w:val="00C46432"/>
    <w:rsid w:val="00C464A6"/>
    <w:rsid w:val="00C466C6"/>
    <w:rsid w:val="00C46B11"/>
    <w:rsid w:val="00C46B2B"/>
    <w:rsid w:val="00C46BD5"/>
    <w:rsid w:val="00C46D21"/>
    <w:rsid w:val="00C46D49"/>
    <w:rsid w:val="00C46F6A"/>
    <w:rsid w:val="00C47028"/>
    <w:rsid w:val="00C47035"/>
    <w:rsid w:val="00C47114"/>
    <w:rsid w:val="00C47248"/>
    <w:rsid w:val="00C47497"/>
    <w:rsid w:val="00C474D1"/>
    <w:rsid w:val="00C47509"/>
    <w:rsid w:val="00C479EC"/>
    <w:rsid w:val="00C47B67"/>
    <w:rsid w:val="00C47BEE"/>
    <w:rsid w:val="00C47DB7"/>
    <w:rsid w:val="00C5003F"/>
    <w:rsid w:val="00C500A6"/>
    <w:rsid w:val="00C50151"/>
    <w:rsid w:val="00C50C25"/>
    <w:rsid w:val="00C50E25"/>
    <w:rsid w:val="00C50F07"/>
    <w:rsid w:val="00C50F18"/>
    <w:rsid w:val="00C51347"/>
    <w:rsid w:val="00C51358"/>
    <w:rsid w:val="00C514BE"/>
    <w:rsid w:val="00C5171B"/>
    <w:rsid w:val="00C518F7"/>
    <w:rsid w:val="00C51BAE"/>
    <w:rsid w:val="00C51C36"/>
    <w:rsid w:val="00C522F3"/>
    <w:rsid w:val="00C523E7"/>
    <w:rsid w:val="00C525A0"/>
    <w:rsid w:val="00C527B7"/>
    <w:rsid w:val="00C52D3D"/>
    <w:rsid w:val="00C52E54"/>
    <w:rsid w:val="00C52F4F"/>
    <w:rsid w:val="00C5310F"/>
    <w:rsid w:val="00C5319A"/>
    <w:rsid w:val="00C5361C"/>
    <w:rsid w:val="00C5377E"/>
    <w:rsid w:val="00C5397C"/>
    <w:rsid w:val="00C539DA"/>
    <w:rsid w:val="00C53CC9"/>
    <w:rsid w:val="00C53D15"/>
    <w:rsid w:val="00C53D1D"/>
    <w:rsid w:val="00C53DD4"/>
    <w:rsid w:val="00C54101"/>
    <w:rsid w:val="00C541A1"/>
    <w:rsid w:val="00C542D3"/>
    <w:rsid w:val="00C542DB"/>
    <w:rsid w:val="00C5454F"/>
    <w:rsid w:val="00C549FD"/>
    <w:rsid w:val="00C54B3D"/>
    <w:rsid w:val="00C54C82"/>
    <w:rsid w:val="00C54CE2"/>
    <w:rsid w:val="00C54ED2"/>
    <w:rsid w:val="00C54F25"/>
    <w:rsid w:val="00C54F62"/>
    <w:rsid w:val="00C54F8D"/>
    <w:rsid w:val="00C55127"/>
    <w:rsid w:val="00C551ED"/>
    <w:rsid w:val="00C55943"/>
    <w:rsid w:val="00C55ECD"/>
    <w:rsid w:val="00C5619E"/>
    <w:rsid w:val="00C56469"/>
    <w:rsid w:val="00C56523"/>
    <w:rsid w:val="00C566DE"/>
    <w:rsid w:val="00C567EC"/>
    <w:rsid w:val="00C56A53"/>
    <w:rsid w:val="00C56B0E"/>
    <w:rsid w:val="00C56C00"/>
    <w:rsid w:val="00C56D2A"/>
    <w:rsid w:val="00C56F14"/>
    <w:rsid w:val="00C56F25"/>
    <w:rsid w:val="00C56F37"/>
    <w:rsid w:val="00C56FB3"/>
    <w:rsid w:val="00C56FC0"/>
    <w:rsid w:val="00C5718F"/>
    <w:rsid w:val="00C571F5"/>
    <w:rsid w:val="00C57606"/>
    <w:rsid w:val="00C57731"/>
    <w:rsid w:val="00C577B7"/>
    <w:rsid w:val="00C57977"/>
    <w:rsid w:val="00C579BF"/>
    <w:rsid w:val="00C57AA7"/>
    <w:rsid w:val="00C60379"/>
    <w:rsid w:val="00C60510"/>
    <w:rsid w:val="00C6054F"/>
    <w:rsid w:val="00C6059D"/>
    <w:rsid w:val="00C609AF"/>
    <w:rsid w:val="00C60A30"/>
    <w:rsid w:val="00C60A78"/>
    <w:rsid w:val="00C60E01"/>
    <w:rsid w:val="00C60E1B"/>
    <w:rsid w:val="00C60FE8"/>
    <w:rsid w:val="00C61207"/>
    <w:rsid w:val="00C613FE"/>
    <w:rsid w:val="00C61475"/>
    <w:rsid w:val="00C61592"/>
    <w:rsid w:val="00C616CC"/>
    <w:rsid w:val="00C61882"/>
    <w:rsid w:val="00C618E3"/>
    <w:rsid w:val="00C61CD8"/>
    <w:rsid w:val="00C61CE0"/>
    <w:rsid w:val="00C62227"/>
    <w:rsid w:val="00C62259"/>
    <w:rsid w:val="00C62309"/>
    <w:rsid w:val="00C6233C"/>
    <w:rsid w:val="00C62638"/>
    <w:rsid w:val="00C629E9"/>
    <w:rsid w:val="00C62EE0"/>
    <w:rsid w:val="00C62FD1"/>
    <w:rsid w:val="00C62FE7"/>
    <w:rsid w:val="00C62FED"/>
    <w:rsid w:val="00C6313B"/>
    <w:rsid w:val="00C63282"/>
    <w:rsid w:val="00C6345D"/>
    <w:rsid w:val="00C63476"/>
    <w:rsid w:val="00C63573"/>
    <w:rsid w:val="00C63744"/>
    <w:rsid w:val="00C63858"/>
    <w:rsid w:val="00C638BC"/>
    <w:rsid w:val="00C63B33"/>
    <w:rsid w:val="00C63B4D"/>
    <w:rsid w:val="00C63B82"/>
    <w:rsid w:val="00C6419B"/>
    <w:rsid w:val="00C641F4"/>
    <w:rsid w:val="00C64229"/>
    <w:rsid w:val="00C642FF"/>
    <w:rsid w:val="00C6435C"/>
    <w:rsid w:val="00C643CC"/>
    <w:rsid w:val="00C64852"/>
    <w:rsid w:val="00C64A39"/>
    <w:rsid w:val="00C64B99"/>
    <w:rsid w:val="00C64CD2"/>
    <w:rsid w:val="00C64DEA"/>
    <w:rsid w:val="00C64FA6"/>
    <w:rsid w:val="00C64FAC"/>
    <w:rsid w:val="00C64FE7"/>
    <w:rsid w:val="00C65047"/>
    <w:rsid w:val="00C65306"/>
    <w:rsid w:val="00C6549B"/>
    <w:rsid w:val="00C654F4"/>
    <w:rsid w:val="00C6571C"/>
    <w:rsid w:val="00C65770"/>
    <w:rsid w:val="00C65806"/>
    <w:rsid w:val="00C659FF"/>
    <w:rsid w:val="00C65B64"/>
    <w:rsid w:val="00C65C6A"/>
    <w:rsid w:val="00C65E6C"/>
    <w:rsid w:val="00C65EB5"/>
    <w:rsid w:val="00C6632D"/>
    <w:rsid w:val="00C66A59"/>
    <w:rsid w:val="00C66C3C"/>
    <w:rsid w:val="00C66DA4"/>
    <w:rsid w:val="00C66DFA"/>
    <w:rsid w:val="00C66E49"/>
    <w:rsid w:val="00C66F8A"/>
    <w:rsid w:val="00C67236"/>
    <w:rsid w:val="00C67309"/>
    <w:rsid w:val="00C677C7"/>
    <w:rsid w:val="00C677F3"/>
    <w:rsid w:val="00C67A31"/>
    <w:rsid w:val="00C67BD3"/>
    <w:rsid w:val="00C67BEA"/>
    <w:rsid w:val="00C67D3D"/>
    <w:rsid w:val="00C67E11"/>
    <w:rsid w:val="00C67FC3"/>
    <w:rsid w:val="00C70216"/>
    <w:rsid w:val="00C702ED"/>
    <w:rsid w:val="00C703A9"/>
    <w:rsid w:val="00C7047F"/>
    <w:rsid w:val="00C706DD"/>
    <w:rsid w:val="00C70BD6"/>
    <w:rsid w:val="00C70D76"/>
    <w:rsid w:val="00C71031"/>
    <w:rsid w:val="00C710C2"/>
    <w:rsid w:val="00C7139E"/>
    <w:rsid w:val="00C7140B"/>
    <w:rsid w:val="00C71506"/>
    <w:rsid w:val="00C7169A"/>
    <w:rsid w:val="00C71701"/>
    <w:rsid w:val="00C71C83"/>
    <w:rsid w:val="00C7203B"/>
    <w:rsid w:val="00C72166"/>
    <w:rsid w:val="00C7218B"/>
    <w:rsid w:val="00C722D7"/>
    <w:rsid w:val="00C722EE"/>
    <w:rsid w:val="00C7230F"/>
    <w:rsid w:val="00C72412"/>
    <w:rsid w:val="00C72455"/>
    <w:rsid w:val="00C7248C"/>
    <w:rsid w:val="00C72B1D"/>
    <w:rsid w:val="00C72B1F"/>
    <w:rsid w:val="00C72DE5"/>
    <w:rsid w:val="00C72E80"/>
    <w:rsid w:val="00C73141"/>
    <w:rsid w:val="00C732D7"/>
    <w:rsid w:val="00C733DB"/>
    <w:rsid w:val="00C7348B"/>
    <w:rsid w:val="00C7377F"/>
    <w:rsid w:val="00C73B9F"/>
    <w:rsid w:val="00C73D33"/>
    <w:rsid w:val="00C744A5"/>
    <w:rsid w:val="00C74A79"/>
    <w:rsid w:val="00C74B63"/>
    <w:rsid w:val="00C74C71"/>
    <w:rsid w:val="00C74F03"/>
    <w:rsid w:val="00C75058"/>
    <w:rsid w:val="00C750FC"/>
    <w:rsid w:val="00C753DD"/>
    <w:rsid w:val="00C7543E"/>
    <w:rsid w:val="00C75775"/>
    <w:rsid w:val="00C758A0"/>
    <w:rsid w:val="00C7591B"/>
    <w:rsid w:val="00C75A59"/>
    <w:rsid w:val="00C75A6F"/>
    <w:rsid w:val="00C75D01"/>
    <w:rsid w:val="00C760B4"/>
    <w:rsid w:val="00C761DF"/>
    <w:rsid w:val="00C764BA"/>
    <w:rsid w:val="00C7682C"/>
    <w:rsid w:val="00C76947"/>
    <w:rsid w:val="00C76971"/>
    <w:rsid w:val="00C76B3B"/>
    <w:rsid w:val="00C76D43"/>
    <w:rsid w:val="00C76EA7"/>
    <w:rsid w:val="00C7703B"/>
    <w:rsid w:val="00C7718B"/>
    <w:rsid w:val="00C77248"/>
    <w:rsid w:val="00C7755B"/>
    <w:rsid w:val="00C77623"/>
    <w:rsid w:val="00C777C5"/>
    <w:rsid w:val="00C7782E"/>
    <w:rsid w:val="00C7795C"/>
    <w:rsid w:val="00C77981"/>
    <w:rsid w:val="00C77B34"/>
    <w:rsid w:val="00C77BE1"/>
    <w:rsid w:val="00C77C04"/>
    <w:rsid w:val="00C77D52"/>
    <w:rsid w:val="00C80049"/>
    <w:rsid w:val="00C800F2"/>
    <w:rsid w:val="00C80106"/>
    <w:rsid w:val="00C80313"/>
    <w:rsid w:val="00C80348"/>
    <w:rsid w:val="00C807C7"/>
    <w:rsid w:val="00C807CF"/>
    <w:rsid w:val="00C808E9"/>
    <w:rsid w:val="00C80912"/>
    <w:rsid w:val="00C80A5A"/>
    <w:rsid w:val="00C80AC2"/>
    <w:rsid w:val="00C80EA2"/>
    <w:rsid w:val="00C810AE"/>
    <w:rsid w:val="00C8122D"/>
    <w:rsid w:val="00C81A56"/>
    <w:rsid w:val="00C820C6"/>
    <w:rsid w:val="00C821DF"/>
    <w:rsid w:val="00C8224E"/>
    <w:rsid w:val="00C82395"/>
    <w:rsid w:val="00C8263F"/>
    <w:rsid w:val="00C82984"/>
    <w:rsid w:val="00C82ACB"/>
    <w:rsid w:val="00C831D9"/>
    <w:rsid w:val="00C83413"/>
    <w:rsid w:val="00C834AE"/>
    <w:rsid w:val="00C835FA"/>
    <w:rsid w:val="00C83B7A"/>
    <w:rsid w:val="00C83D40"/>
    <w:rsid w:val="00C83E44"/>
    <w:rsid w:val="00C83F1F"/>
    <w:rsid w:val="00C83F64"/>
    <w:rsid w:val="00C83FB6"/>
    <w:rsid w:val="00C84000"/>
    <w:rsid w:val="00C841C0"/>
    <w:rsid w:val="00C84364"/>
    <w:rsid w:val="00C8438B"/>
    <w:rsid w:val="00C84566"/>
    <w:rsid w:val="00C84573"/>
    <w:rsid w:val="00C84666"/>
    <w:rsid w:val="00C846CC"/>
    <w:rsid w:val="00C8473B"/>
    <w:rsid w:val="00C8489D"/>
    <w:rsid w:val="00C84B98"/>
    <w:rsid w:val="00C84BF5"/>
    <w:rsid w:val="00C84CB1"/>
    <w:rsid w:val="00C84CF3"/>
    <w:rsid w:val="00C84DCE"/>
    <w:rsid w:val="00C84E45"/>
    <w:rsid w:val="00C84FBC"/>
    <w:rsid w:val="00C850CC"/>
    <w:rsid w:val="00C85470"/>
    <w:rsid w:val="00C85485"/>
    <w:rsid w:val="00C855EF"/>
    <w:rsid w:val="00C85720"/>
    <w:rsid w:val="00C858CB"/>
    <w:rsid w:val="00C858F7"/>
    <w:rsid w:val="00C859CD"/>
    <w:rsid w:val="00C85C99"/>
    <w:rsid w:val="00C85E75"/>
    <w:rsid w:val="00C85FE3"/>
    <w:rsid w:val="00C8612C"/>
    <w:rsid w:val="00C863DC"/>
    <w:rsid w:val="00C8645E"/>
    <w:rsid w:val="00C86619"/>
    <w:rsid w:val="00C86703"/>
    <w:rsid w:val="00C867E4"/>
    <w:rsid w:val="00C868A9"/>
    <w:rsid w:val="00C868F1"/>
    <w:rsid w:val="00C869A0"/>
    <w:rsid w:val="00C86B9C"/>
    <w:rsid w:val="00C86C20"/>
    <w:rsid w:val="00C86C80"/>
    <w:rsid w:val="00C86E1D"/>
    <w:rsid w:val="00C86EA7"/>
    <w:rsid w:val="00C8726F"/>
    <w:rsid w:val="00C87569"/>
    <w:rsid w:val="00C8784F"/>
    <w:rsid w:val="00C87972"/>
    <w:rsid w:val="00C87A3C"/>
    <w:rsid w:val="00C87A94"/>
    <w:rsid w:val="00C87AEC"/>
    <w:rsid w:val="00C87B53"/>
    <w:rsid w:val="00C87B63"/>
    <w:rsid w:val="00C87C79"/>
    <w:rsid w:val="00C87CF7"/>
    <w:rsid w:val="00C87F99"/>
    <w:rsid w:val="00C901E3"/>
    <w:rsid w:val="00C90465"/>
    <w:rsid w:val="00C9047B"/>
    <w:rsid w:val="00C905CB"/>
    <w:rsid w:val="00C90780"/>
    <w:rsid w:val="00C907BD"/>
    <w:rsid w:val="00C90AF6"/>
    <w:rsid w:val="00C90C5D"/>
    <w:rsid w:val="00C90CE0"/>
    <w:rsid w:val="00C90D46"/>
    <w:rsid w:val="00C91080"/>
    <w:rsid w:val="00C910C3"/>
    <w:rsid w:val="00C9123B"/>
    <w:rsid w:val="00C912DE"/>
    <w:rsid w:val="00C91450"/>
    <w:rsid w:val="00C91787"/>
    <w:rsid w:val="00C91833"/>
    <w:rsid w:val="00C91998"/>
    <w:rsid w:val="00C91A2A"/>
    <w:rsid w:val="00C91ABD"/>
    <w:rsid w:val="00C91AEF"/>
    <w:rsid w:val="00C91B20"/>
    <w:rsid w:val="00C91CAF"/>
    <w:rsid w:val="00C91EFD"/>
    <w:rsid w:val="00C9219F"/>
    <w:rsid w:val="00C92313"/>
    <w:rsid w:val="00C924DB"/>
    <w:rsid w:val="00C925A5"/>
    <w:rsid w:val="00C9264C"/>
    <w:rsid w:val="00C92739"/>
    <w:rsid w:val="00C92811"/>
    <w:rsid w:val="00C92BEA"/>
    <w:rsid w:val="00C92BF1"/>
    <w:rsid w:val="00C92F10"/>
    <w:rsid w:val="00C92F72"/>
    <w:rsid w:val="00C93049"/>
    <w:rsid w:val="00C93181"/>
    <w:rsid w:val="00C9334A"/>
    <w:rsid w:val="00C933C7"/>
    <w:rsid w:val="00C93620"/>
    <w:rsid w:val="00C93692"/>
    <w:rsid w:val="00C938A8"/>
    <w:rsid w:val="00C9390B"/>
    <w:rsid w:val="00C93A7A"/>
    <w:rsid w:val="00C93AAC"/>
    <w:rsid w:val="00C93F16"/>
    <w:rsid w:val="00C9410B"/>
    <w:rsid w:val="00C941F1"/>
    <w:rsid w:val="00C94521"/>
    <w:rsid w:val="00C9467C"/>
    <w:rsid w:val="00C947DC"/>
    <w:rsid w:val="00C94A55"/>
    <w:rsid w:val="00C94B5A"/>
    <w:rsid w:val="00C94BE9"/>
    <w:rsid w:val="00C94CCF"/>
    <w:rsid w:val="00C94F75"/>
    <w:rsid w:val="00C952D0"/>
    <w:rsid w:val="00C9532C"/>
    <w:rsid w:val="00C9563A"/>
    <w:rsid w:val="00C9578E"/>
    <w:rsid w:val="00C95938"/>
    <w:rsid w:val="00C95B94"/>
    <w:rsid w:val="00C95C2C"/>
    <w:rsid w:val="00C95D47"/>
    <w:rsid w:val="00C95FC2"/>
    <w:rsid w:val="00C95FEC"/>
    <w:rsid w:val="00C960DF"/>
    <w:rsid w:val="00C965D5"/>
    <w:rsid w:val="00C96AB3"/>
    <w:rsid w:val="00C96C94"/>
    <w:rsid w:val="00C96D34"/>
    <w:rsid w:val="00C96E6B"/>
    <w:rsid w:val="00C96EC9"/>
    <w:rsid w:val="00C97096"/>
    <w:rsid w:val="00C97149"/>
    <w:rsid w:val="00C974CF"/>
    <w:rsid w:val="00C976ED"/>
    <w:rsid w:val="00C977ED"/>
    <w:rsid w:val="00C97A78"/>
    <w:rsid w:val="00C97BBA"/>
    <w:rsid w:val="00C97C16"/>
    <w:rsid w:val="00C97D13"/>
    <w:rsid w:val="00C97E88"/>
    <w:rsid w:val="00CA0149"/>
    <w:rsid w:val="00CA05CA"/>
    <w:rsid w:val="00CA081F"/>
    <w:rsid w:val="00CA0BEC"/>
    <w:rsid w:val="00CA0C24"/>
    <w:rsid w:val="00CA0D4A"/>
    <w:rsid w:val="00CA0F3A"/>
    <w:rsid w:val="00CA0F52"/>
    <w:rsid w:val="00CA0F71"/>
    <w:rsid w:val="00CA1000"/>
    <w:rsid w:val="00CA12E2"/>
    <w:rsid w:val="00CA1419"/>
    <w:rsid w:val="00CA1721"/>
    <w:rsid w:val="00CA1775"/>
    <w:rsid w:val="00CA1784"/>
    <w:rsid w:val="00CA17DA"/>
    <w:rsid w:val="00CA180F"/>
    <w:rsid w:val="00CA1B9C"/>
    <w:rsid w:val="00CA1DBF"/>
    <w:rsid w:val="00CA1DE0"/>
    <w:rsid w:val="00CA1FF4"/>
    <w:rsid w:val="00CA2112"/>
    <w:rsid w:val="00CA241A"/>
    <w:rsid w:val="00CA24F8"/>
    <w:rsid w:val="00CA2720"/>
    <w:rsid w:val="00CA2FAB"/>
    <w:rsid w:val="00CA3573"/>
    <w:rsid w:val="00CA3702"/>
    <w:rsid w:val="00CA37A6"/>
    <w:rsid w:val="00CA3920"/>
    <w:rsid w:val="00CA3E45"/>
    <w:rsid w:val="00CA4149"/>
    <w:rsid w:val="00CA4159"/>
    <w:rsid w:val="00CA4858"/>
    <w:rsid w:val="00CA49AD"/>
    <w:rsid w:val="00CA49D0"/>
    <w:rsid w:val="00CA4BA4"/>
    <w:rsid w:val="00CA4C59"/>
    <w:rsid w:val="00CA4F2C"/>
    <w:rsid w:val="00CA4F9C"/>
    <w:rsid w:val="00CA5213"/>
    <w:rsid w:val="00CA541C"/>
    <w:rsid w:val="00CA571B"/>
    <w:rsid w:val="00CA5740"/>
    <w:rsid w:val="00CA57C2"/>
    <w:rsid w:val="00CA5815"/>
    <w:rsid w:val="00CA5816"/>
    <w:rsid w:val="00CA5ABD"/>
    <w:rsid w:val="00CA5B2F"/>
    <w:rsid w:val="00CA5B72"/>
    <w:rsid w:val="00CA5F64"/>
    <w:rsid w:val="00CA61B7"/>
    <w:rsid w:val="00CA61B8"/>
    <w:rsid w:val="00CA6348"/>
    <w:rsid w:val="00CA63A6"/>
    <w:rsid w:val="00CA63E0"/>
    <w:rsid w:val="00CA6492"/>
    <w:rsid w:val="00CA67DD"/>
    <w:rsid w:val="00CA680C"/>
    <w:rsid w:val="00CA6858"/>
    <w:rsid w:val="00CA69A8"/>
    <w:rsid w:val="00CA6A01"/>
    <w:rsid w:val="00CA6AC2"/>
    <w:rsid w:val="00CA6E00"/>
    <w:rsid w:val="00CA6E46"/>
    <w:rsid w:val="00CA6ECF"/>
    <w:rsid w:val="00CA6F02"/>
    <w:rsid w:val="00CA6F9B"/>
    <w:rsid w:val="00CA70FE"/>
    <w:rsid w:val="00CA7988"/>
    <w:rsid w:val="00CA7E2B"/>
    <w:rsid w:val="00CA7FFD"/>
    <w:rsid w:val="00CB01B9"/>
    <w:rsid w:val="00CB01C6"/>
    <w:rsid w:val="00CB030A"/>
    <w:rsid w:val="00CB0563"/>
    <w:rsid w:val="00CB064E"/>
    <w:rsid w:val="00CB06A8"/>
    <w:rsid w:val="00CB06E3"/>
    <w:rsid w:val="00CB0708"/>
    <w:rsid w:val="00CB07C4"/>
    <w:rsid w:val="00CB09E7"/>
    <w:rsid w:val="00CB0C6D"/>
    <w:rsid w:val="00CB0D76"/>
    <w:rsid w:val="00CB0DA8"/>
    <w:rsid w:val="00CB0EAA"/>
    <w:rsid w:val="00CB0EF3"/>
    <w:rsid w:val="00CB0F02"/>
    <w:rsid w:val="00CB12DE"/>
    <w:rsid w:val="00CB1480"/>
    <w:rsid w:val="00CB17A5"/>
    <w:rsid w:val="00CB17B9"/>
    <w:rsid w:val="00CB1A27"/>
    <w:rsid w:val="00CB1BA2"/>
    <w:rsid w:val="00CB1BA9"/>
    <w:rsid w:val="00CB1F3B"/>
    <w:rsid w:val="00CB22B9"/>
    <w:rsid w:val="00CB25A8"/>
    <w:rsid w:val="00CB297E"/>
    <w:rsid w:val="00CB2A09"/>
    <w:rsid w:val="00CB2B5E"/>
    <w:rsid w:val="00CB2C50"/>
    <w:rsid w:val="00CB2DFB"/>
    <w:rsid w:val="00CB2E9B"/>
    <w:rsid w:val="00CB3139"/>
    <w:rsid w:val="00CB31E3"/>
    <w:rsid w:val="00CB3249"/>
    <w:rsid w:val="00CB33A4"/>
    <w:rsid w:val="00CB345E"/>
    <w:rsid w:val="00CB35D2"/>
    <w:rsid w:val="00CB3791"/>
    <w:rsid w:val="00CB3970"/>
    <w:rsid w:val="00CB39AB"/>
    <w:rsid w:val="00CB3AC5"/>
    <w:rsid w:val="00CB3D8C"/>
    <w:rsid w:val="00CB3EA2"/>
    <w:rsid w:val="00CB3EAD"/>
    <w:rsid w:val="00CB3F10"/>
    <w:rsid w:val="00CB3FCA"/>
    <w:rsid w:val="00CB413F"/>
    <w:rsid w:val="00CB421F"/>
    <w:rsid w:val="00CB47D7"/>
    <w:rsid w:val="00CB4AC2"/>
    <w:rsid w:val="00CB4C2A"/>
    <w:rsid w:val="00CB4D04"/>
    <w:rsid w:val="00CB4D56"/>
    <w:rsid w:val="00CB4D6E"/>
    <w:rsid w:val="00CB4DFD"/>
    <w:rsid w:val="00CB4EF6"/>
    <w:rsid w:val="00CB51CA"/>
    <w:rsid w:val="00CB51D2"/>
    <w:rsid w:val="00CB544E"/>
    <w:rsid w:val="00CB561B"/>
    <w:rsid w:val="00CB58ED"/>
    <w:rsid w:val="00CB5913"/>
    <w:rsid w:val="00CB5BF9"/>
    <w:rsid w:val="00CB5F34"/>
    <w:rsid w:val="00CB5F3E"/>
    <w:rsid w:val="00CB601E"/>
    <w:rsid w:val="00CB60A6"/>
    <w:rsid w:val="00CB60C7"/>
    <w:rsid w:val="00CB61C8"/>
    <w:rsid w:val="00CB61EF"/>
    <w:rsid w:val="00CB6402"/>
    <w:rsid w:val="00CB644D"/>
    <w:rsid w:val="00CB686F"/>
    <w:rsid w:val="00CB6A5B"/>
    <w:rsid w:val="00CB6BCE"/>
    <w:rsid w:val="00CB6D41"/>
    <w:rsid w:val="00CB6ED6"/>
    <w:rsid w:val="00CB6F22"/>
    <w:rsid w:val="00CB6F2B"/>
    <w:rsid w:val="00CB7004"/>
    <w:rsid w:val="00CB7234"/>
    <w:rsid w:val="00CB7242"/>
    <w:rsid w:val="00CB724B"/>
    <w:rsid w:val="00CB7291"/>
    <w:rsid w:val="00CB76C6"/>
    <w:rsid w:val="00CB773A"/>
    <w:rsid w:val="00CB7749"/>
    <w:rsid w:val="00CB7799"/>
    <w:rsid w:val="00CB79E8"/>
    <w:rsid w:val="00CB7BDF"/>
    <w:rsid w:val="00CC0098"/>
    <w:rsid w:val="00CC0144"/>
    <w:rsid w:val="00CC01DE"/>
    <w:rsid w:val="00CC02DF"/>
    <w:rsid w:val="00CC032F"/>
    <w:rsid w:val="00CC0362"/>
    <w:rsid w:val="00CC06E2"/>
    <w:rsid w:val="00CC075E"/>
    <w:rsid w:val="00CC09CA"/>
    <w:rsid w:val="00CC0BA6"/>
    <w:rsid w:val="00CC0C2A"/>
    <w:rsid w:val="00CC0C8C"/>
    <w:rsid w:val="00CC1220"/>
    <w:rsid w:val="00CC122C"/>
    <w:rsid w:val="00CC127F"/>
    <w:rsid w:val="00CC12E1"/>
    <w:rsid w:val="00CC12F0"/>
    <w:rsid w:val="00CC1507"/>
    <w:rsid w:val="00CC1756"/>
    <w:rsid w:val="00CC187C"/>
    <w:rsid w:val="00CC1943"/>
    <w:rsid w:val="00CC19C0"/>
    <w:rsid w:val="00CC1E7D"/>
    <w:rsid w:val="00CC1FA9"/>
    <w:rsid w:val="00CC2227"/>
    <w:rsid w:val="00CC2278"/>
    <w:rsid w:val="00CC265D"/>
    <w:rsid w:val="00CC2777"/>
    <w:rsid w:val="00CC27A5"/>
    <w:rsid w:val="00CC2892"/>
    <w:rsid w:val="00CC28A3"/>
    <w:rsid w:val="00CC28E1"/>
    <w:rsid w:val="00CC2A73"/>
    <w:rsid w:val="00CC2ACA"/>
    <w:rsid w:val="00CC2EBE"/>
    <w:rsid w:val="00CC2F2C"/>
    <w:rsid w:val="00CC2F93"/>
    <w:rsid w:val="00CC308E"/>
    <w:rsid w:val="00CC337E"/>
    <w:rsid w:val="00CC35E1"/>
    <w:rsid w:val="00CC3A68"/>
    <w:rsid w:val="00CC3B2F"/>
    <w:rsid w:val="00CC3C51"/>
    <w:rsid w:val="00CC3D08"/>
    <w:rsid w:val="00CC466F"/>
    <w:rsid w:val="00CC468C"/>
    <w:rsid w:val="00CC4766"/>
    <w:rsid w:val="00CC4843"/>
    <w:rsid w:val="00CC487C"/>
    <w:rsid w:val="00CC492E"/>
    <w:rsid w:val="00CC4949"/>
    <w:rsid w:val="00CC49EE"/>
    <w:rsid w:val="00CC49F0"/>
    <w:rsid w:val="00CC4C6B"/>
    <w:rsid w:val="00CC4FB9"/>
    <w:rsid w:val="00CC5000"/>
    <w:rsid w:val="00CC5051"/>
    <w:rsid w:val="00CC51A7"/>
    <w:rsid w:val="00CC5292"/>
    <w:rsid w:val="00CC52D3"/>
    <w:rsid w:val="00CC53F0"/>
    <w:rsid w:val="00CC549B"/>
    <w:rsid w:val="00CC554E"/>
    <w:rsid w:val="00CC581B"/>
    <w:rsid w:val="00CC5849"/>
    <w:rsid w:val="00CC5AB3"/>
    <w:rsid w:val="00CC5ACF"/>
    <w:rsid w:val="00CC5E82"/>
    <w:rsid w:val="00CC5EA0"/>
    <w:rsid w:val="00CC5EE2"/>
    <w:rsid w:val="00CC6188"/>
    <w:rsid w:val="00CC6354"/>
    <w:rsid w:val="00CC647F"/>
    <w:rsid w:val="00CC6618"/>
    <w:rsid w:val="00CC67EF"/>
    <w:rsid w:val="00CC68C8"/>
    <w:rsid w:val="00CC68E9"/>
    <w:rsid w:val="00CC6BBA"/>
    <w:rsid w:val="00CC6C59"/>
    <w:rsid w:val="00CC71A9"/>
    <w:rsid w:val="00CC75D6"/>
    <w:rsid w:val="00CC75F1"/>
    <w:rsid w:val="00CC76BB"/>
    <w:rsid w:val="00CC76D0"/>
    <w:rsid w:val="00CC7A82"/>
    <w:rsid w:val="00CC7CEA"/>
    <w:rsid w:val="00CC7D25"/>
    <w:rsid w:val="00CC7E81"/>
    <w:rsid w:val="00CC7F0F"/>
    <w:rsid w:val="00CD0040"/>
    <w:rsid w:val="00CD0091"/>
    <w:rsid w:val="00CD076A"/>
    <w:rsid w:val="00CD09A8"/>
    <w:rsid w:val="00CD09B6"/>
    <w:rsid w:val="00CD0E53"/>
    <w:rsid w:val="00CD0ED9"/>
    <w:rsid w:val="00CD0F50"/>
    <w:rsid w:val="00CD10D0"/>
    <w:rsid w:val="00CD10DE"/>
    <w:rsid w:val="00CD1131"/>
    <w:rsid w:val="00CD132F"/>
    <w:rsid w:val="00CD1653"/>
    <w:rsid w:val="00CD16F5"/>
    <w:rsid w:val="00CD18E0"/>
    <w:rsid w:val="00CD195B"/>
    <w:rsid w:val="00CD1A7D"/>
    <w:rsid w:val="00CD1D4A"/>
    <w:rsid w:val="00CD1FA9"/>
    <w:rsid w:val="00CD233B"/>
    <w:rsid w:val="00CD246C"/>
    <w:rsid w:val="00CD26BB"/>
    <w:rsid w:val="00CD26C4"/>
    <w:rsid w:val="00CD284A"/>
    <w:rsid w:val="00CD28CA"/>
    <w:rsid w:val="00CD2A03"/>
    <w:rsid w:val="00CD2A68"/>
    <w:rsid w:val="00CD2C83"/>
    <w:rsid w:val="00CD2C95"/>
    <w:rsid w:val="00CD2D10"/>
    <w:rsid w:val="00CD3201"/>
    <w:rsid w:val="00CD32B7"/>
    <w:rsid w:val="00CD3351"/>
    <w:rsid w:val="00CD339C"/>
    <w:rsid w:val="00CD3402"/>
    <w:rsid w:val="00CD34A7"/>
    <w:rsid w:val="00CD3765"/>
    <w:rsid w:val="00CD3866"/>
    <w:rsid w:val="00CD3B02"/>
    <w:rsid w:val="00CD3B69"/>
    <w:rsid w:val="00CD3D14"/>
    <w:rsid w:val="00CD3DC8"/>
    <w:rsid w:val="00CD3EC7"/>
    <w:rsid w:val="00CD3FF5"/>
    <w:rsid w:val="00CD405F"/>
    <w:rsid w:val="00CD423D"/>
    <w:rsid w:val="00CD42D6"/>
    <w:rsid w:val="00CD449E"/>
    <w:rsid w:val="00CD47E1"/>
    <w:rsid w:val="00CD4862"/>
    <w:rsid w:val="00CD49EF"/>
    <w:rsid w:val="00CD4BB1"/>
    <w:rsid w:val="00CD4CF3"/>
    <w:rsid w:val="00CD4D18"/>
    <w:rsid w:val="00CD4DBB"/>
    <w:rsid w:val="00CD4E1C"/>
    <w:rsid w:val="00CD4E91"/>
    <w:rsid w:val="00CD50DC"/>
    <w:rsid w:val="00CD5372"/>
    <w:rsid w:val="00CD564D"/>
    <w:rsid w:val="00CD57BA"/>
    <w:rsid w:val="00CD5BB7"/>
    <w:rsid w:val="00CD5BC6"/>
    <w:rsid w:val="00CD5C87"/>
    <w:rsid w:val="00CD5ED7"/>
    <w:rsid w:val="00CD5EF1"/>
    <w:rsid w:val="00CD5F99"/>
    <w:rsid w:val="00CD5FFB"/>
    <w:rsid w:val="00CD641D"/>
    <w:rsid w:val="00CD656D"/>
    <w:rsid w:val="00CD6AD3"/>
    <w:rsid w:val="00CD6CB3"/>
    <w:rsid w:val="00CD6DE9"/>
    <w:rsid w:val="00CD6F20"/>
    <w:rsid w:val="00CD6FAE"/>
    <w:rsid w:val="00CD70F6"/>
    <w:rsid w:val="00CD7184"/>
    <w:rsid w:val="00CD720B"/>
    <w:rsid w:val="00CD7328"/>
    <w:rsid w:val="00CD7508"/>
    <w:rsid w:val="00CD7591"/>
    <w:rsid w:val="00CD75AF"/>
    <w:rsid w:val="00CD7611"/>
    <w:rsid w:val="00CD7650"/>
    <w:rsid w:val="00CD7747"/>
    <w:rsid w:val="00CD77E2"/>
    <w:rsid w:val="00CD7B85"/>
    <w:rsid w:val="00CD7C1C"/>
    <w:rsid w:val="00CD7D4E"/>
    <w:rsid w:val="00CD7DDB"/>
    <w:rsid w:val="00CD7E26"/>
    <w:rsid w:val="00CD7EAB"/>
    <w:rsid w:val="00CD7EC6"/>
    <w:rsid w:val="00CD7FFC"/>
    <w:rsid w:val="00CE0026"/>
    <w:rsid w:val="00CE02BA"/>
    <w:rsid w:val="00CE04AD"/>
    <w:rsid w:val="00CE0531"/>
    <w:rsid w:val="00CE05A2"/>
    <w:rsid w:val="00CE0886"/>
    <w:rsid w:val="00CE08B3"/>
    <w:rsid w:val="00CE08D3"/>
    <w:rsid w:val="00CE0ADD"/>
    <w:rsid w:val="00CE0DA0"/>
    <w:rsid w:val="00CE0F1B"/>
    <w:rsid w:val="00CE0F64"/>
    <w:rsid w:val="00CE1167"/>
    <w:rsid w:val="00CE1422"/>
    <w:rsid w:val="00CE14A1"/>
    <w:rsid w:val="00CE15E7"/>
    <w:rsid w:val="00CE1727"/>
    <w:rsid w:val="00CE17B6"/>
    <w:rsid w:val="00CE1907"/>
    <w:rsid w:val="00CE1A65"/>
    <w:rsid w:val="00CE1A6C"/>
    <w:rsid w:val="00CE1B62"/>
    <w:rsid w:val="00CE1C41"/>
    <w:rsid w:val="00CE1CBA"/>
    <w:rsid w:val="00CE1DB1"/>
    <w:rsid w:val="00CE1FFD"/>
    <w:rsid w:val="00CE203E"/>
    <w:rsid w:val="00CE21A2"/>
    <w:rsid w:val="00CE23B7"/>
    <w:rsid w:val="00CE2618"/>
    <w:rsid w:val="00CE2AF5"/>
    <w:rsid w:val="00CE2B24"/>
    <w:rsid w:val="00CE2BB6"/>
    <w:rsid w:val="00CE2E6B"/>
    <w:rsid w:val="00CE2EAA"/>
    <w:rsid w:val="00CE31A7"/>
    <w:rsid w:val="00CE31D8"/>
    <w:rsid w:val="00CE3236"/>
    <w:rsid w:val="00CE3314"/>
    <w:rsid w:val="00CE33B8"/>
    <w:rsid w:val="00CE33CA"/>
    <w:rsid w:val="00CE33F9"/>
    <w:rsid w:val="00CE35C8"/>
    <w:rsid w:val="00CE38D7"/>
    <w:rsid w:val="00CE38DD"/>
    <w:rsid w:val="00CE3B49"/>
    <w:rsid w:val="00CE3BA1"/>
    <w:rsid w:val="00CE3D58"/>
    <w:rsid w:val="00CE3E8C"/>
    <w:rsid w:val="00CE3F52"/>
    <w:rsid w:val="00CE41C7"/>
    <w:rsid w:val="00CE4415"/>
    <w:rsid w:val="00CE455C"/>
    <w:rsid w:val="00CE4706"/>
    <w:rsid w:val="00CE4781"/>
    <w:rsid w:val="00CE4D13"/>
    <w:rsid w:val="00CE4D5D"/>
    <w:rsid w:val="00CE4DCE"/>
    <w:rsid w:val="00CE4E97"/>
    <w:rsid w:val="00CE5166"/>
    <w:rsid w:val="00CE51F2"/>
    <w:rsid w:val="00CE53E5"/>
    <w:rsid w:val="00CE5537"/>
    <w:rsid w:val="00CE55D0"/>
    <w:rsid w:val="00CE569B"/>
    <w:rsid w:val="00CE5761"/>
    <w:rsid w:val="00CE5827"/>
    <w:rsid w:val="00CE588D"/>
    <w:rsid w:val="00CE5A9C"/>
    <w:rsid w:val="00CE5BD1"/>
    <w:rsid w:val="00CE5CBE"/>
    <w:rsid w:val="00CE5D4E"/>
    <w:rsid w:val="00CE64F4"/>
    <w:rsid w:val="00CE662C"/>
    <w:rsid w:val="00CE667F"/>
    <w:rsid w:val="00CE673E"/>
    <w:rsid w:val="00CE67DE"/>
    <w:rsid w:val="00CE6A4E"/>
    <w:rsid w:val="00CE6D2A"/>
    <w:rsid w:val="00CE6D7E"/>
    <w:rsid w:val="00CE6F9A"/>
    <w:rsid w:val="00CE6FF3"/>
    <w:rsid w:val="00CE73B6"/>
    <w:rsid w:val="00CE75B9"/>
    <w:rsid w:val="00CE76D0"/>
    <w:rsid w:val="00CE7973"/>
    <w:rsid w:val="00CE7AA0"/>
    <w:rsid w:val="00CE7B45"/>
    <w:rsid w:val="00CE7D99"/>
    <w:rsid w:val="00CE7ED3"/>
    <w:rsid w:val="00CF0465"/>
    <w:rsid w:val="00CF05CA"/>
    <w:rsid w:val="00CF06FA"/>
    <w:rsid w:val="00CF07F2"/>
    <w:rsid w:val="00CF0A6A"/>
    <w:rsid w:val="00CF0A8B"/>
    <w:rsid w:val="00CF0B39"/>
    <w:rsid w:val="00CF1081"/>
    <w:rsid w:val="00CF109E"/>
    <w:rsid w:val="00CF13F0"/>
    <w:rsid w:val="00CF1685"/>
    <w:rsid w:val="00CF176F"/>
    <w:rsid w:val="00CF1CC9"/>
    <w:rsid w:val="00CF1EBB"/>
    <w:rsid w:val="00CF233A"/>
    <w:rsid w:val="00CF23E5"/>
    <w:rsid w:val="00CF2B2A"/>
    <w:rsid w:val="00CF2E1A"/>
    <w:rsid w:val="00CF2FCE"/>
    <w:rsid w:val="00CF30C2"/>
    <w:rsid w:val="00CF3B3A"/>
    <w:rsid w:val="00CF3D3F"/>
    <w:rsid w:val="00CF40EA"/>
    <w:rsid w:val="00CF4148"/>
    <w:rsid w:val="00CF4223"/>
    <w:rsid w:val="00CF429F"/>
    <w:rsid w:val="00CF43A1"/>
    <w:rsid w:val="00CF44CD"/>
    <w:rsid w:val="00CF475D"/>
    <w:rsid w:val="00CF477F"/>
    <w:rsid w:val="00CF49D9"/>
    <w:rsid w:val="00CF4B43"/>
    <w:rsid w:val="00CF4E91"/>
    <w:rsid w:val="00CF4FB1"/>
    <w:rsid w:val="00CF5040"/>
    <w:rsid w:val="00CF53A3"/>
    <w:rsid w:val="00CF5401"/>
    <w:rsid w:val="00CF57FE"/>
    <w:rsid w:val="00CF5B3F"/>
    <w:rsid w:val="00CF5CC9"/>
    <w:rsid w:val="00CF5ED9"/>
    <w:rsid w:val="00CF5F79"/>
    <w:rsid w:val="00CF60D0"/>
    <w:rsid w:val="00CF63E4"/>
    <w:rsid w:val="00CF6422"/>
    <w:rsid w:val="00CF644A"/>
    <w:rsid w:val="00CF648F"/>
    <w:rsid w:val="00CF6551"/>
    <w:rsid w:val="00CF669D"/>
    <w:rsid w:val="00CF67EE"/>
    <w:rsid w:val="00CF6858"/>
    <w:rsid w:val="00CF6AFB"/>
    <w:rsid w:val="00CF6BEC"/>
    <w:rsid w:val="00CF6C43"/>
    <w:rsid w:val="00CF6E14"/>
    <w:rsid w:val="00CF6E1A"/>
    <w:rsid w:val="00CF6F26"/>
    <w:rsid w:val="00CF722B"/>
    <w:rsid w:val="00CF72DD"/>
    <w:rsid w:val="00CF7358"/>
    <w:rsid w:val="00CF7944"/>
    <w:rsid w:val="00CF7948"/>
    <w:rsid w:val="00CF795B"/>
    <w:rsid w:val="00CF795C"/>
    <w:rsid w:val="00CF7E63"/>
    <w:rsid w:val="00CF7E89"/>
    <w:rsid w:val="00CF7EE1"/>
    <w:rsid w:val="00D00394"/>
    <w:rsid w:val="00D003B7"/>
    <w:rsid w:val="00D005E1"/>
    <w:rsid w:val="00D007C8"/>
    <w:rsid w:val="00D0085E"/>
    <w:rsid w:val="00D00862"/>
    <w:rsid w:val="00D00910"/>
    <w:rsid w:val="00D00A88"/>
    <w:rsid w:val="00D00C02"/>
    <w:rsid w:val="00D00C23"/>
    <w:rsid w:val="00D00CC7"/>
    <w:rsid w:val="00D00E0A"/>
    <w:rsid w:val="00D00F0C"/>
    <w:rsid w:val="00D01038"/>
    <w:rsid w:val="00D01294"/>
    <w:rsid w:val="00D01559"/>
    <w:rsid w:val="00D01B47"/>
    <w:rsid w:val="00D01DF4"/>
    <w:rsid w:val="00D01E87"/>
    <w:rsid w:val="00D01F13"/>
    <w:rsid w:val="00D01FDA"/>
    <w:rsid w:val="00D0218A"/>
    <w:rsid w:val="00D023F1"/>
    <w:rsid w:val="00D02568"/>
    <w:rsid w:val="00D02605"/>
    <w:rsid w:val="00D0277F"/>
    <w:rsid w:val="00D029A5"/>
    <w:rsid w:val="00D02B86"/>
    <w:rsid w:val="00D02DCA"/>
    <w:rsid w:val="00D02DCD"/>
    <w:rsid w:val="00D02F2D"/>
    <w:rsid w:val="00D02FF4"/>
    <w:rsid w:val="00D030A3"/>
    <w:rsid w:val="00D03215"/>
    <w:rsid w:val="00D033DA"/>
    <w:rsid w:val="00D033F6"/>
    <w:rsid w:val="00D03434"/>
    <w:rsid w:val="00D03577"/>
    <w:rsid w:val="00D036EF"/>
    <w:rsid w:val="00D03979"/>
    <w:rsid w:val="00D03B70"/>
    <w:rsid w:val="00D03BC3"/>
    <w:rsid w:val="00D03C5D"/>
    <w:rsid w:val="00D03CB8"/>
    <w:rsid w:val="00D03CE3"/>
    <w:rsid w:val="00D03D09"/>
    <w:rsid w:val="00D03E08"/>
    <w:rsid w:val="00D040F2"/>
    <w:rsid w:val="00D04133"/>
    <w:rsid w:val="00D04471"/>
    <w:rsid w:val="00D046BE"/>
    <w:rsid w:val="00D047A7"/>
    <w:rsid w:val="00D04957"/>
    <w:rsid w:val="00D04BAB"/>
    <w:rsid w:val="00D04BE0"/>
    <w:rsid w:val="00D04CF3"/>
    <w:rsid w:val="00D04FDD"/>
    <w:rsid w:val="00D052B6"/>
    <w:rsid w:val="00D05406"/>
    <w:rsid w:val="00D0550F"/>
    <w:rsid w:val="00D055A7"/>
    <w:rsid w:val="00D05639"/>
    <w:rsid w:val="00D05B99"/>
    <w:rsid w:val="00D05C68"/>
    <w:rsid w:val="00D05E1B"/>
    <w:rsid w:val="00D06106"/>
    <w:rsid w:val="00D06226"/>
    <w:rsid w:val="00D062FB"/>
    <w:rsid w:val="00D06668"/>
    <w:rsid w:val="00D06BD1"/>
    <w:rsid w:val="00D07463"/>
    <w:rsid w:val="00D07561"/>
    <w:rsid w:val="00D077AA"/>
    <w:rsid w:val="00D07B32"/>
    <w:rsid w:val="00D07B42"/>
    <w:rsid w:val="00D07BEA"/>
    <w:rsid w:val="00D07C36"/>
    <w:rsid w:val="00D07CFB"/>
    <w:rsid w:val="00D07D8C"/>
    <w:rsid w:val="00D10038"/>
    <w:rsid w:val="00D1017F"/>
    <w:rsid w:val="00D1028F"/>
    <w:rsid w:val="00D102EE"/>
    <w:rsid w:val="00D1039E"/>
    <w:rsid w:val="00D104A1"/>
    <w:rsid w:val="00D105A7"/>
    <w:rsid w:val="00D105D1"/>
    <w:rsid w:val="00D10796"/>
    <w:rsid w:val="00D10944"/>
    <w:rsid w:val="00D10A87"/>
    <w:rsid w:val="00D10C0C"/>
    <w:rsid w:val="00D10D8E"/>
    <w:rsid w:val="00D10D97"/>
    <w:rsid w:val="00D10F64"/>
    <w:rsid w:val="00D1108D"/>
    <w:rsid w:val="00D1111F"/>
    <w:rsid w:val="00D11133"/>
    <w:rsid w:val="00D111E9"/>
    <w:rsid w:val="00D1121A"/>
    <w:rsid w:val="00D1123D"/>
    <w:rsid w:val="00D1167E"/>
    <w:rsid w:val="00D11706"/>
    <w:rsid w:val="00D117A8"/>
    <w:rsid w:val="00D11BA4"/>
    <w:rsid w:val="00D11CE1"/>
    <w:rsid w:val="00D1215E"/>
    <w:rsid w:val="00D122DF"/>
    <w:rsid w:val="00D1231F"/>
    <w:rsid w:val="00D124CE"/>
    <w:rsid w:val="00D1250B"/>
    <w:rsid w:val="00D1263C"/>
    <w:rsid w:val="00D12755"/>
    <w:rsid w:val="00D128CD"/>
    <w:rsid w:val="00D12B3B"/>
    <w:rsid w:val="00D12C5F"/>
    <w:rsid w:val="00D13038"/>
    <w:rsid w:val="00D13120"/>
    <w:rsid w:val="00D1323B"/>
    <w:rsid w:val="00D134C6"/>
    <w:rsid w:val="00D13542"/>
    <w:rsid w:val="00D135EA"/>
    <w:rsid w:val="00D1364F"/>
    <w:rsid w:val="00D136A4"/>
    <w:rsid w:val="00D139BB"/>
    <w:rsid w:val="00D13AAF"/>
    <w:rsid w:val="00D13BBB"/>
    <w:rsid w:val="00D13C19"/>
    <w:rsid w:val="00D13C6B"/>
    <w:rsid w:val="00D13C6F"/>
    <w:rsid w:val="00D13F7B"/>
    <w:rsid w:val="00D1403D"/>
    <w:rsid w:val="00D1454C"/>
    <w:rsid w:val="00D146DF"/>
    <w:rsid w:val="00D14732"/>
    <w:rsid w:val="00D1475E"/>
    <w:rsid w:val="00D147A2"/>
    <w:rsid w:val="00D147C0"/>
    <w:rsid w:val="00D147EB"/>
    <w:rsid w:val="00D14F33"/>
    <w:rsid w:val="00D153B3"/>
    <w:rsid w:val="00D1541E"/>
    <w:rsid w:val="00D15492"/>
    <w:rsid w:val="00D1566E"/>
    <w:rsid w:val="00D1581D"/>
    <w:rsid w:val="00D15831"/>
    <w:rsid w:val="00D158C1"/>
    <w:rsid w:val="00D15A7F"/>
    <w:rsid w:val="00D15BCC"/>
    <w:rsid w:val="00D15F4C"/>
    <w:rsid w:val="00D15FB0"/>
    <w:rsid w:val="00D15FB5"/>
    <w:rsid w:val="00D15FC4"/>
    <w:rsid w:val="00D16049"/>
    <w:rsid w:val="00D1627A"/>
    <w:rsid w:val="00D16383"/>
    <w:rsid w:val="00D1657E"/>
    <w:rsid w:val="00D1737B"/>
    <w:rsid w:val="00D175B1"/>
    <w:rsid w:val="00D175D9"/>
    <w:rsid w:val="00D17655"/>
    <w:rsid w:val="00D17B6B"/>
    <w:rsid w:val="00D17D5B"/>
    <w:rsid w:val="00D2006C"/>
    <w:rsid w:val="00D201A1"/>
    <w:rsid w:val="00D20263"/>
    <w:rsid w:val="00D20487"/>
    <w:rsid w:val="00D205E5"/>
    <w:rsid w:val="00D205F4"/>
    <w:rsid w:val="00D20751"/>
    <w:rsid w:val="00D20BFB"/>
    <w:rsid w:val="00D20CEF"/>
    <w:rsid w:val="00D20F57"/>
    <w:rsid w:val="00D20F9D"/>
    <w:rsid w:val="00D20FC4"/>
    <w:rsid w:val="00D2107D"/>
    <w:rsid w:val="00D21181"/>
    <w:rsid w:val="00D21376"/>
    <w:rsid w:val="00D21445"/>
    <w:rsid w:val="00D2147C"/>
    <w:rsid w:val="00D21547"/>
    <w:rsid w:val="00D21739"/>
    <w:rsid w:val="00D2181D"/>
    <w:rsid w:val="00D21846"/>
    <w:rsid w:val="00D21C7D"/>
    <w:rsid w:val="00D21D8A"/>
    <w:rsid w:val="00D21E7C"/>
    <w:rsid w:val="00D21F58"/>
    <w:rsid w:val="00D2204F"/>
    <w:rsid w:val="00D22291"/>
    <w:rsid w:val="00D2234A"/>
    <w:rsid w:val="00D2250F"/>
    <w:rsid w:val="00D225CD"/>
    <w:rsid w:val="00D229BC"/>
    <w:rsid w:val="00D229D3"/>
    <w:rsid w:val="00D22B7B"/>
    <w:rsid w:val="00D22B7F"/>
    <w:rsid w:val="00D22DAC"/>
    <w:rsid w:val="00D230BC"/>
    <w:rsid w:val="00D234A7"/>
    <w:rsid w:val="00D235BC"/>
    <w:rsid w:val="00D23C20"/>
    <w:rsid w:val="00D23C7B"/>
    <w:rsid w:val="00D23F78"/>
    <w:rsid w:val="00D240C6"/>
    <w:rsid w:val="00D2417D"/>
    <w:rsid w:val="00D24386"/>
    <w:rsid w:val="00D24398"/>
    <w:rsid w:val="00D24943"/>
    <w:rsid w:val="00D249EF"/>
    <w:rsid w:val="00D249F7"/>
    <w:rsid w:val="00D24AD0"/>
    <w:rsid w:val="00D24C44"/>
    <w:rsid w:val="00D24C90"/>
    <w:rsid w:val="00D24FE9"/>
    <w:rsid w:val="00D25055"/>
    <w:rsid w:val="00D25285"/>
    <w:rsid w:val="00D253CA"/>
    <w:rsid w:val="00D25498"/>
    <w:rsid w:val="00D254B0"/>
    <w:rsid w:val="00D25871"/>
    <w:rsid w:val="00D25A0E"/>
    <w:rsid w:val="00D25B41"/>
    <w:rsid w:val="00D25C54"/>
    <w:rsid w:val="00D25DAE"/>
    <w:rsid w:val="00D25EC5"/>
    <w:rsid w:val="00D25F21"/>
    <w:rsid w:val="00D260A9"/>
    <w:rsid w:val="00D262E2"/>
    <w:rsid w:val="00D266EE"/>
    <w:rsid w:val="00D26CA6"/>
    <w:rsid w:val="00D26D2B"/>
    <w:rsid w:val="00D26E70"/>
    <w:rsid w:val="00D26EA6"/>
    <w:rsid w:val="00D26ED9"/>
    <w:rsid w:val="00D2754C"/>
    <w:rsid w:val="00D27927"/>
    <w:rsid w:val="00D27975"/>
    <w:rsid w:val="00D27D3B"/>
    <w:rsid w:val="00D27F98"/>
    <w:rsid w:val="00D300C4"/>
    <w:rsid w:val="00D30101"/>
    <w:rsid w:val="00D302AC"/>
    <w:rsid w:val="00D302BC"/>
    <w:rsid w:val="00D302F2"/>
    <w:rsid w:val="00D3065C"/>
    <w:rsid w:val="00D3072E"/>
    <w:rsid w:val="00D30A2D"/>
    <w:rsid w:val="00D30CE9"/>
    <w:rsid w:val="00D30E2D"/>
    <w:rsid w:val="00D30EB3"/>
    <w:rsid w:val="00D31111"/>
    <w:rsid w:val="00D31383"/>
    <w:rsid w:val="00D3144A"/>
    <w:rsid w:val="00D3159E"/>
    <w:rsid w:val="00D31617"/>
    <w:rsid w:val="00D31692"/>
    <w:rsid w:val="00D31694"/>
    <w:rsid w:val="00D31A3D"/>
    <w:rsid w:val="00D31ABC"/>
    <w:rsid w:val="00D31CD9"/>
    <w:rsid w:val="00D31F81"/>
    <w:rsid w:val="00D31FEC"/>
    <w:rsid w:val="00D32111"/>
    <w:rsid w:val="00D3232F"/>
    <w:rsid w:val="00D3292C"/>
    <w:rsid w:val="00D329B1"/>
    <w:rsid w:val="00D32A3F"/>
    <w:rsid w:val="00D32B90"/>
    <w:rsid w:val="00D32C21"/>
    <w:rsid w:val="00D32C72"/>
    <w:rsid w:val="00D32F39"/>
    <w:rsid w:val="00D33131"/>
    <w:rsid w:val="00D3314D"/>
    <w:rsid w:val="00D331DF"/>
    <w:rsid w:val="00D332E9"/>
    <w:rsid w:val="00D333A4"/>
    <w:rsid w:val="00D334D9"/>
    <w:rsid w:val="00D334E7"/>
    <w:rsid w:val="00D33713"/>
    <w:rsid w:val="00D33882"/>
    <w:rsid w:val="00D33935"/>
    <w:rsid w:val="00D339CB"/>
    <w:rsid w:val="00D339D9"/>
    <w:rsid w:val="00D33D19"/>
    <w:rsid w:val="00D33D54"/>
    <w:rsid w:val="00D33EF5"/>
    <w:rsid w:val="00D3404F"/>
    <w:rsid w:val="00D34183"/>
    <w:rsid w:val="00D3418E"/>
    <w:rsid w:val="00D345B3"/>
    <w:rsid w:val="00D345B5"/>
    <w:rsid w:val="00D345D9"/>
    <w:rsid w:val="00D346DD"/>
    <w:rsid w:val="00D3473C"/>
    <w:rsid w:val="00D3488F"/>
    <w:rsid w:val="00D34890"/>
    <w:rsid w:val="00D3499A"/>
    <w:rsid w:val="00D349B2"/>
    <w:rsid w:val="00D34A11"/>
    <w:rsid w:val="00D34A3B"/>
    <w:rsid w:val="00D34A61"/>
    <w:rsid w:val="00D34B97"/>
    <w:rsid w:val="00D34BF8"/>
    <w:rsid w:val="00D34C59"/>
    <w:rsid w:val="00D34CB4"/>
    <w:rsid w:val="00D34DB1"/>
    <w:rsid w:val="00D34DD3"/>
    <w:rsid w:val="00D34E82"/>
    <w:rsid w:val="00D34EE2"/>
    <w:rsid w:val="00D3501C"/>
    <w:rsid w:val="00D350E6"/>
    <w:rsid w:val="00D3510E"/>
    <w:rsid w:val="00D35690"/>
    <w:rsid w:val="00D35694"/>
    <w:rsid w:val="00D3578B"/>
    <w:rsid w:val="00D357C3"/>
    <w:rsid w:val="00D35810"/>
    <w:rsid w:val="00D359B1"/>
    <w:rsid w:val="00D359F7"/>
    <w:rsid w:val="00D35C0D"/>
    <w:rsid w:val="00D35CCD"/>
    <w:rsid w:val="00D3616C"/>
    <w:rsid w:val="00D36388"/>
    <w:rsid w:val="00D36389"/>
    <w:rsid w:val="00D3639C"/>
    <w:rsid w:val="00D3639D"/>
    <w:rsid w:val="00D3640E"/>
    <w:rsid w:val="00D3643A"/>
    <w:rsid w:val="00D364AB"/>
    <w:rsid w:val="00D367D1"/>
    <w:rsid w:val="00D36810"/>
    <w:rsid w:val="00D36883"/>
    <w:rsid w:val="00D36AA1"/>
    <w:rsid w:val="00D36E30"/>
    <w:rsid w:val="00D373E0"/>
    <w:rsid w:val="00D37449"/>
    <w:rsid w:val="00D37534"/>
    <w:rsid w:val="00D37583"/>
    <w:rsid w:val="00D3771E"/>
    <w:rsid w:val="00D37732"/>
    <w:rsid w:val="00D37C0D"/>
    <w:rsid w:val="00D37C60"/>
    <w:rsid w:val="00D37DFB"/>
    <w:rsid w:val="00D37E5B"/>
    <w:rsid w:val="00D401BF"/>
    <w:rsid w:val="00D401C0"/>
    <w:rsid w:val="00D401D0"/>
    <w:rsid w:val="00D40213"/>
    <w:rsid w:val="00D40232"/>
    <w:rsid w:val="00D402FF"/>
    <w:rsid w:val="00D406FC"/>
    <w:rsid w:val="00D4084F"/>
    <w:rsid w:val="00D40AC1"/>
    <w:rsid w:val="00D40DA3"/>
    <w:rsid w:val="00D40F95"/>
    <w:rsid w:val="00D412D3"/>
    <w:rsid w:val="00D41614"/>
    <w:rsid w:val="00D418DB"/>
    <w:rsid w:val="00D41F2D"/>
    <w:rsid w:val="00D42025"/>
    <w:rsid w:val="00D4203C"/>
    <w:rsid w:val="00D42133"/>
    <w:rsid w:val="00D422EA"/>
    <w:rsid w:val="00D4246A"/>
    <w:rsid w:val="00D425F6"/>
    <w:rsid w:val="00D42786"/>
    <w:rsid w:val="00D428ED"/>
    <w:rsid w:val="00D42A77"/>
    <w:rsid w:val="00D42BAA"/>
    <w:rsid w:val="00D42BFA"/>
    <w:rsid w:val="00D42BFD"/>
    <w:rsid w:val="00D42DD0"/>
    <w:rsid w:val="00D430E4"/>
    <w:rsid w:val="00D431EF"/>
    <w:rsid w:val="00D435CF"/>
    <w:rsid w:val="00D43600"/>
    <w:rsid w:val="00D437BC"/>
    <w:rsid w:val="00D43DD6"/>
    <w:rsid w:val="00D43DDD"/>
    <w:rsid w:val="00D43DF2"/>
    <w:rsid w:val="00D43DFC"/>
    <w:rsid w:val="00D43E86"/>
    <w:rsid w:val="00D4404A"/>
    <w:rsid w:val="00D44156"/>
    <w:rsid w:val="00D44274"/>
    <w:rsid w:val="00D4429B"/>
    <w:rsid w:val="00D4433B"/>
    <w:rsid w:val="00D443B6"/>
    <w:rsid w:val="00D44880"/>
    <w:rsid w:val="00D448A1"/>
    <w:rsid w:val="00D448DA"/>
    <w:rsid w:val="00D44A90"/>
    <w:rsid w:val="00D44A93"/>
    <w:rsid w:val="00D44AD2"/>
    <w:rsid w:val="00D44C0E"/>
    <w:rsid w:val="00D44C16"/>
    <w:rsid w:val="00D44DB7"/>
    <w:rsid w:val="00D44F55"/>
    <w:rsid w:val="00D451D8"/>
    <w:rsid w:val="00D4527A"/>
    <w:rsid w:val="00D45329"/>
    <w:rsid w:val="00D4543B"/>
    <w:rsid w:val="00D455BB"/>
    <w:rsid w:val="00D45833"/>
    <w:rsid w:val="00D45889"/>
    <w:rsid w:val="00D45B5F"/>
    <w:rsid w:val="00D45C30"/>
    <w:rsid w:val="00D45CEA"/>
    <w:rsid w:val="00D45E6B"/>
    <w:rsid w:val="00D45ECD"/>
    <w:rsid w:val="00D46075"/>
    <w:rsid w:val="00D460AA"/>
    <w:rsid w:val="00D460EA"/>
    <w:rsid w:val="00D461C5"/>
    <w:rsid w:val="00D46226"/>
    <w:rsid w:val="00D4629F"/>
    <w:rsid w:val="00D462DB"/>
    <w:rsid w:val="00D46433"/>
    <w:rsid w:val="00D46453"/>
    <w:rsid w:val="00D46636"/>
    <w:rsid w:val="00D467EF"/>
    <w:rsid w:val="00D46808"/>
    <w:rsid w:val="00D469D5"/>
    <w:rsid w:val="00D46C55"/>
    <w:rsid w:val="00D46FEC"/>
    <w:rsid w:val="00D4716B"/>
    <w:rsid w:val="00D4720A"/>
    <w:rsid w:val="00D47720"/>
    <w:rsid w:val="00D478A1"/>
    <w:rsid w:val="00D47900"/>
    <w:rsid w:val="00D47AC0"/>
    <w:rsid w:val="00D47B51"/>
    <w:rsid w:val="00D47BA3"/>
    <w:rsid w:val="00D47C9A"/>
    <w:rsid w:val="00D47D2B"/>
    <w:rsid w:val="00D47E5D"/>
    <w:rsid w:val="00D501A7"/>
    <w:rsid w:val="00D50395"/>
    <w:rsid w:val="00D5040D"/>
    <w:rsid w:val="00D5041C"/>
    <w:rsid w:val="00D50530"/>
    <w:rsid w:val="00D50673"/>
    <w:rsid w:val="00D50878"/>
    <w:rsid w:val="00D5087A"/>
    <w:rsid w:val="00D50B47"/>
    <w:rsid w:val="00D50B5A"/>
    <w:rsid w:val="00D50C28"/>
    <w:rsid w:val="00D50C44"/>
    <w:rsid w:val="00D50F49"/>
    <w:rsid w:val="00D5103D"/>
    <w:rsid w:val="00D51093"/>
    <w:rsid w:val="00D510D0"/>
    <w:rsid w:val="00D51242"/>
    <w:rsid w:val="00D512D9"/>
    <w:rsid w:val="00D5145F"/>
    <w:rsid w:val="00D51691"/>
    <w:rsid w:val="00D516DE"/>
    <w:rsid w:val="00D518F2"/>
    <w:rsid w:val="00D51A67"/>
    <w:rsid w:val="00D51ABB"/>
    <w:rsid w:val="00D51B7A"/>
    <w:rsid w:val="00D51C14"/>
    <w:rsid w:val="00D51C22"/>
    <w:rsid w:val="00D51C7A"/>
    <w:rsid w:val="00D51D98"/>
    <w:rsid w:val="00D51E1E"/>
    <w:rsid w:val="00D51FDB"/>
    <w:rsid w:val="00D522A6"/>
    <w:rsid w:val="00D5243F"/>
    <w:rsid w:val="00D52473"/>
    <w:rsid w:val="00D525D0"/>
    <w:rsid w:val="00D52B4A"/>
    <w:rsid w:val="00D52BB9"/>
    <w:rsid w:val="00D5362F"/>
    <w:rsid w:val="00D53653"/>
    <w:rsid w:val="00D53804"/>
    <w:rsid w:val="00D538B4"/>
    <w:rsid w:val="00D53928"/>
    <w:rsid w:val="00D5398B"/>
    <w:rsid w:val="00D53B7C"/>
    <w:rsid w:val="00D53C80"/>
    <w:rsid w:val="00D53D21"/>
    <w:rsid w:val="00D53DEC"/>
    <w:rsid w:val="00D53E3E"/>
    <w:rsid w:val="00D542A3"/>
    <w:rsid w:val="00D544C5"/>
    <w:rsid w:val="00D54633"/>
    <w:rsid w:val="00D546A6"/>
    <w:rsid w:val="00D546D3"/>
    <w:rsid w:val="00D547D8"/>
    <w:rsid w:val="00D549D6"/>
    <w:rsid w:val="00D54BAC"/>
    <w:rsid w:val="00D54CF4"/>
    <w:rsid w:val="00D54F90"/>
    <w:rsid w:val="00D5504F"/>
    <w:rsid w:val="00D55116"/>
    <w:rsid w:val="00D554BE"/>
    <w:rsid w:val="00D5555B"/>
    <w:rsid w:val="00D555DB"/>
    <w:rsid w:val="00D5564F"/>
    <w:rsid w:val="00D55651"/>
    <w:rsid w:val="00D5568B"/>
    <w:rsid w:val="00D559DA"/>
    <w:rsid w:val="00D55A59"/>
    <w:rsid w:val="00D55C16"/>
    <w:rsid w:val="00D55D71"/>
    <w:rsid w:val="00D56043"/>
    <w:rsid w:val="00D5617C"/>
    <w:rsid w:val="00D561CD"/>
    <w:rsid w:val="00D5639D"/>
    <w:rsid w:val="00D5663D"/>
    <w:rsid w:val="00D56660"/>
    <w:rsid w:val="00D5669E"/>
    <w:rsid w:val="00D566CD"/>
    <w:rsid w:val="00D5681D"/>
    <w:rsid w:val="00D5691F"/>
    <w:rsid w:val="00D5692D"/>
    <w:rsid w:val="00D569F2"/>
    <w:rsid w:val="00D56A23"/>
    <w:rsid w:val="00D56A42"/>
    <w:rsid w:val="00D56B06"/>
    <w:rsid w:val="00D56C96"/>
    <w:rsid w:val="00D56C9D"/>
    <w:rsid w:val="00D56E2B"/>
    <w:rsid w:val="00D56F3F"/>
    <w:rsid w:val="00D57023"/>
    <w:rsid w:val="00D57131"/>
    <w:rsid w:val="00D5714E"/>
    <w:rsid w:val="00D57443"/>
    <w:rsid w:val="00D574FD"/>
    <w:rsid w:val="00D57575"/>
    <w:rsid w:val="00D575E3"/>
    <w:rsid w:val="00D5767C"/>
    <w:rsid w:val="00D579B3"/>
    <w:rsid w:val="00D57AE7"/>
    <w:rsid w:val="00D57B26"/>
    <w:rsid w:val="00D57BB6"/>
    <w:rsid w:val="00D57BE6"/>
    <w:rsid w:val="00D57C6F"/>
    <w:rsid w:val="00D57CEC"/>
    <w:rsid w:val="00D57D90"/>
    <w:rsid w:val="00D57E01"/>
    <w:rsid w:val="00D57EAD"/>
    <w:rsid w:val="00D57F9B"/>
    <w:rsid w:val="00D60326"/>
    <w:rsid w:val="00D6050B"/>
    <w:rsid w:val="00D605B9"/>
    <w:rsid w:val="00D606E5"/>
    <w:rsid w:val="00D607C7"/>
    <w:rsid w:val="00D608A8"/>
    <w:rsid w:val="00D60BD4"/>
    <w:rsid w:val="00D60D60"/>
    <w:rsid w:val="00D611FD"/>
    <w:rsid w:val="00D613A7"/>
    <w:rsid w:val="00D617C9"/>
    <w:rsid w:val="00D617D1"/>
    <w:rsid w:val="00D617D5"/>
    <w:rsid w:val="00D61926"/>
    <w:rsid w:val="00D61B61"/>
    <w:rsid w:val="00D61C2F"/>
    <w:rsid w:val="00D61D2E"/>
    <w:rsid w:val="00D626DA"/>
    <w:rsid w:val="00D628C7"/>
    <w:rsid w:val="00D628FF"/>
    <w:rsid w:val="00D62E9C"/>
    <w:rsid w:val="00D62EFF"/>
    <w:rsid w:val="00D62F0A"/>
    <w:rsid w:val="00D62F4A"/>
    <w:rsid w:val="00D6316C"/>
    <w:rsid w:val="00D6322B"/>
    <w:rsid w:val="00D6327A"/>
    <w:rsid w:val="00D633BD"/>
    <w:rsid w:val="00D6355E"/>
    <w:rsid w:val="00D63586"/>
    <w:rsid w:val="00D6385F"/>
    <w:rsid w:val="00D63A75"/>
    <w:rsid w:val="00D63AA3"/>
    <w:rsid w:val="00D63D6A"/>
    <w:rsid w:val="00D63FF5"/>
    <w:rsid w:val="00D64044"/>
    <w:rsid w:val="00D644CC"/>
    <w:rsid w:val="00D646E1"/>
    <w:rsid w:val="00D6480C"/>
    <w:rsid w:val="00D64A19"/>
    <w:rsid w:val="00D64EA4"/>
    <w:rsid w:val="00D64F42"/>
    <w:rsid w:val="00D64FD1"/>
    <w:rsid w:val="00D6522F"/>
    <w:rsid w:val="00D65651"/>
    <w:rsid w:val="00D65704"/>
    <w:rsid w:val="00D6585F"/>
    <w:rsid w:val="00D658AD"/>
    <w:rsid w:val="00D6598D"/>
    <w:rsid w:val="00D659F4"/>
    <w:rsid w:val="00D65A19"/>
    <w:rsid w:val="00D65A2D"/>
    <w:rsid w:val="00D65BF3"/>
    <w:rsid w:val="00D65CE3"/>
    <w:rsid w:val="00D65E54"/>
    <w:rsid w:val="00D66118"/>
    <w:rsid w:val="00D666FB"/>
    <w:rsid w:val="00D66805"/>
    <w:rsid w:val="00D66AE6"/>
    <w:rsid w:val="00D67102"/>
    <w:rsid w:val="00D67137"/>
    <w:rsid w:val="00D67201"/>
    <w:rsid w:val="00D674C0"/>
    <w:rsid w:val="00D67515"/>
    <w:rsid w:val="00D67532"/>
    <w:rsid w:val="00D67585"/>
    <w:rsid w:val="00D6765E"/>
    <w:rsid w:val="00D679CF"/>
    <w:rsid w:val="00D67A07"/>
    <w:rsid w:val="00D67A64"/>
    <w:rsid w:val="00D67ABC"/>
    <w:rsid w:val="00D67AD7"/>
    <w:rsid w:val="00D67AF3"/>
    <w:rsid w:val="00D67B73"/>
    <w:rsid w:val="00D67C8F"/>
    <w:rsid w:val="00D67CB4"/>
    <w:rsid w:val="00D67D71"/>
    <w:rsid w:val="00D67E7C"/>
    <w:rsid w:val="00D67FB0"/>
    <w:rsid w:val="00D7006A"/>
    <w:rsid w:val="00D700DE"/>
    <w:rsid w:val="00D7022E"/>
    <w:rsid w:val="00D70232"/>
    <w:rsid w:val="00D70294"/>
    <w:rsid w:val="00D7045A"/>
    <w:rsid w:val="00D708CC"/>
    <w:rsid w:val="00D708F9"/>
    <w:rsid w:val="00D70A6D"/>
    <w:rsid w:val="00D70A98"/>
    <w:rsid w:val="00D70B55"/>
    <w:rsid w:val="00D70D98"/>
    <w:rsid w:val="00D70DA8"/>
    <w:rsid w:val="00D71030"/>
    <w:rsid w:val="00D71396"/>
    <w:rsid w:val="00D71714"/>
    <w:rsid w:val="00D71816"/>
    <w:rsid w:val="00D71894"/>
    <w:rsid w:val="00D719AD"/>
    <w:rsid w:val="00D71A1D"/>
    <w:rsid w:val="00D71C42"/>
    <w:rsid w:val="00D72250"/>
    <w:rsid w:val="00D72520"/>
    <w:rsid w:val="00D72646"/>
    <w:rsid w:val="00D72652"/>
    <w:rsid w:val="00D72660"/>
    <w:rsid w:val="00D72D5A"/>
    <w:rsid w:val="00D72EEF"/>
    <w:rsid w:val="00D734CB"/>
    <w:rsid w:val="00D73571"/>
    <w:rsid w:val="00D738A6"/>
    <w:rsid w:val="00D73A1E"/>
    <w:rsid w:val="00D73C00"/>
    <w:rsid w:val="00D73DC9"/>
    <w:rsid w:val="00D73E3A"/>
    <w:rsid w:val="00D7417C"/>
    <w:rsid w:val="00D74484"/>
    <w:rsid w:val="00D74489"/>
    <w:rsid w:val="00D7456D"/>
    <w:rsid w:val="00D74575"/>
    <w:rsid w:val="00D7458B"/>
    <w:rsid w:val="00D745A2"/>
    <w:rsid w:val="00D745F2"/>
    <w:rsid w:val="00D74675"/>
    <w:rsid w:val="00D746D7"/>
    <w:rsid w:val="00D751E4"/>
    <w:rsid w:val="00D754C9"/>
    <w:rsid w:val="00D75544"/>
    <w:rsid w:val="00D75601"/>
    <w:rsid w:val="00D75723"/>
    <w:rsid w:val="00D758F3"/>
    <w:rsid w:val="00D75B42"/>
    <w:rsid w:val="00D75CFE"/>
    <w:rsid w:val="00D75DC4"/>
    <w:rsid w:val="00D75F87"/>
    <w:rsid w:val="00D768E9"/>
    <w:rsid w:val="00D76977"/>
    <w:rsid w:val="00D76C7A"/>
    <w:rsid w:val="00D76F77"/>
    <w:rsid w:val="00D76FF6"/>
    <w:rsid w:val="00D770EA"/>
    <w:rsid w:val="00D771AF"/>
    <w:rsid w:val="00D77209"/>
    <w:rsid w:val="00D772DE"/>
    <w:rsid w:val="00D773AB"/>
    <w:rsid w:val="00D77610"/>
    <w:rsid w:val="00D776AB"/>
    <w:rsid w:val="00D7776B"/>
    <w:rsid w:val="00D777DA"/>
    <w:rsid w:val="00D777DE"/>
    <w:rsid w:val="00D77857"/>
    <w:rsid w:val="00D778FB"/>
    <w:rsid w:val="00D77C6B"/>
    <w:rsid w:val="00D77CB0"/>
    <w:rsid w:val="00D77DCB"/>
    <w:rsid w:val="00D77E6B"/>
    <w:rsid w:val="00D77EAB"/>
    <w:rsid w:val="00D801E7"/>
    <w:rsid w:val="00D802AE"/>
    <w:rsid w:val="00D8041E"/>
    <w:rsid w:val="00D804F6"/>
    <w:rsid w:val="00D8055C"/>
    <w:rsid w:val="00D8061D"/>
    <w:rsid w:val="00D80B13"/>
    <w:rsid w:val="00D80B9C"/>
    <w:rsid w:val="00D80D02"/>
    <w:rsid w:val="00D80D5C"/>
    <w:rsid w:val="00D80E15"/>
    <w:rsid w:val="00D80E4D"/>
    <w:rsid w:val="00D80EA6"/>
    <w:rsid w:val="00D80EB1"/>
    <w:rsid w:val="00D80FF5"/>
    <w:rsid w:val="00D811D7"/>
    <w:rsid w:val="00D81202"/>
    <w:rsid w:val="00D813A0"/>
    <w:rsid w:val="00D8149A"/>
    <w:rsid w:val="00D815F0"/>
    <w:rsid w:val="00D8170F"/>
    <w:rsid w:val="00D818BB"/>
    <w:rsid w:val="00D81951"/>
    <w:rsid w:val="00D81ACA"/>
    <w:rsid w:val="00D81CCB"/>
    <w:rsid w:val="00D81D13"/>
    <w:rsid w:val="00D81D54"/>
    <w:rsid w:val="00D81F77"/>
    <w:rsid w:val="00D82138"/>
    <w:rsid w:val="00D8221B"/>
    <w:rsid w:val="00D8259C"/>
    <w:rsid w:val="00D825F5"/>
    <w:rsid w:val="00D82747"/>
    <w:rsid w:val="00D82764"/>
    <w:rsid w:val="00D827A5"/>
    <w:rsid w:val="00D827AA"/>
    <w:rsid w:val="00D82AE9"/>
    <w:rsid w:val="00D82BE5"/>
    <w:rsid w:val="00D82C77"/>
    <w:rsid w:val="00D82EFF"/>
    <w:rsid w:val="00D82F99"/>
    <w:rsid w:val="00D83279"/>
    <w:rsid w:val="00D833BB"/>
    <w:rsid w:val="00D83448"/>
    <w:rsid w:val="00D83665"/>
    <w:rsid w:val="00D83763"/>
    <w:rsid w:val="00D837A5"/>
    <w:rsid w:val="00D8384B"/>
    <w:rsid w:val="00D838DC"/>
    <w:rsid w:val="00D839ED"/>
    <w:rsid w:val="00D83A27"/>
    <w:rsid w:val="00D83B17"/>
    <w:rsid w:val="00D83DB0"/>
    <w:rsid w:val="00D84211"/>
    <w:rsid w:val="00D84284"/>
    <w:rsid w:val="00D84470"/>
    <w:rsid w:val="00D84657"/>
    <w:rsid w:val="00D84667"/>
    <w:rsid w:val="00D849CD"/>
    <w:rsid w:val="00D84BD2"/>
    <w:rsid w:val="00D84DFA"/>
    <w:rsid w:val="00D84FCA"/>
    <w:rsid w:val="00D84FF8"/>
    <w:rsid w:val="00D853FA"/>
    <w:rsid w:val="00D856C7"/>
    <w:rsid w:val="00D85980"/>
    <w:rsid w:val="00D85B65"/>
    <w:rsid w:val="00D85BA5"/>
    <w:rsid w:val="00D85D16"/>
    <w:rsid w:val="00D85E40"/>
    <w:rsid w:val="00D85E52"/>
    <w:rsid w:val="00D85F72"/>
    <w:rsid w:val="00D8618D"/>
    <w:rsid w:val="00D8638D"/>
    <w:rsid w:val="00D863E2"/>
    <w:rsid w:val="00D8648C"/>
    <w:rsid w:val="00D86616"/>
    <w:rsid w:val="00D866A7"/>
    <w:rsid w:val="00D866B1"/>
    <w:rsid w:val="00D867BA"/>
    <w:rsid w:val="00D868E1"/>
    <w:rsid w:val="00D86CFF"/>
    <w:rsid w:val="00D86D84"/>
    <w:rsid w:val="00D86F11"/>
    <w:rsid w:val="00D86F94"/>
    <w:rsid w:val="00D8704B"/>
    <w:rsid w:val="00D87270"/>
    <w:rsid w:val="00D873C4"/>
    <w:rsid w:val="00D87688"/>
    <w:rsid w:val="00D87693"/>
    <w:rsid w:val="00D87728"/>
    <w:rsid w:val="00D878FB"/>
    <w:rsid w:val="00D87ACD"/>
    <w:rsid w:val="00D87B2F"/>
    <w:rsid w:val="00D87C30"/>
    <w:rsid w:val="00D87DA5"/>
    <w:rsid w:val="00D87E96"/>
    <w:rsid w:val="00D900DC"/>
    <w:rsid w:val="00D904D8"/>
    <w:rsid w:val="00D90515"/>
    <w:rsid w:val="00D905D7"/>
    <w:rsid w:val="00D90635"/>
    <w:rsid w:val="00D90711"/>
    <w:rsid w:val="00D90719"/>
    <w:rsid w:val="00D9072F"/>
    <w:rsid w:val="00D908AE"/>
    <w:rsid w:val="00D90908"/>
    <w:rsid w:val="00D90A06"/>
    <w:rsid w:val="00D90AAD"/>
    <w:rsid w:val="00D90B23"/>
    <w:rsid w:val="00D90D32"/>
    <w:rsid w:val="00D90DD2"/>
    <w:rsid w:val="00D90DDC"/>
    <w:rsid w:val="00D90F47"/>
    <w:rsid w:val="00D91240"/>
    <w:rsid w:val="00D91400"/>
    <w:rsid w:val="00D914FA"/>
    <w:rsid w:val="00D91520"/>
    <w:rsid w:val="00D91538"/>
    <w:rsid w:val="00D91756"/>
    <w:rsid w:val="00D917C1"/>
    <w:rsid w:val="00D9187B"/>
    <w:rsid w:val="00D9196C"/>
    <w:rsid w:val="00D91A56"/>
    <w:rsid w:val="00D91B31"/>
    <w:rsid w:val="00D92163"/>
    <w:rsid w:val="00D92355"/>
    <w:rsid w:val="00D9235B"/>
    <w:rsid w:val="00D9239C"/>
    <w:rsid w:val="00D925FD"/>
    <w:rsid w:val="00D92629"/>
    <w:rsid w:val="00D92689"/>
    <w:rsid w:val="00D9272E"/>
    <w:rsid w:val="00D9286C"/>
    <w:rsid w:val="00D92905"/>
    <w:rsid w:val="00D92DF4"/>
    <w:rsid w:val="00D92E88"/>
    <w:rsid w:val="00D93084"/>
    <w:rsid w:val="00D9318B"/>
    <w:rsid w:val="00D935CB"/>
    <w:rsid w:val="00D93627"/>
    <w:rsid w:val="00D9366A"/>
    <w:rsid w:val="00D938AA"/>
    <w:rsid w:val="00D93A95"/>
    <w:rsid w:val="00D93C55"/>
    <w:rsid w:val="00D94006"/>
    <w:rsid w:val="00D9420A"/>
    <w:rsid w:val="00D94291"/>
    <w:rsid w:val="00D942FA"/>
    <w:rsid w:val="00D94446"/>
    <w:rsid w:val="00D944E8"/>
    <w:rsid w:val="00D94515"/>
    <w:rsid w:val="00D94584"/>
    <w:rsid w:val="00D945CF"/>
    <w:rsid w:val="00D94659"/>
    <w:rsid w:val="00D946DD"/>
    <w:rsid w:val="00D94977"/>
    <w:rsid w:val="00D94B04"/>
    <w:rsid w:val="00D94B32"/>
    <w:rsid w:val="00D94B73"/>
    <w:rsid w:val="00D94DEC"/>
    <w:rsid w:val="00D94DFD"/>
    <w:rsid w:val="00D94ED5"/>
    <w:rsid w:val="00D94F38"/>
    <w:rsid w:val="00D95040"/>
    <w:rsid w:val="00D950A7"/>
    <w:rsid w:val="00D951D2"/>
    <w:rsid w:val="00D95248"/>
    <w:rsid w:val="00D953E3"/>
    <w:rsid w:val="00D956A2"/>
    <w:rsid w:val="00D95712"/>
    <w:rsid w:val="00D9583D"/>
    <w:rsid w:val="00D9584D"/>
    <w:rsid w:val="00D959DB"/>
    <w:rsid w:val="00D95B4A"/>
    <w:rsid w:val="00D95D51"/>
    <w:rsid w:val="00D95ED0"/>
    <w:rsid w:val="00D96001"/>
    <w:rsid w:val="00D96038"/>
    <w:rsid w:val="00D965A8"/>
    <w:rsid w:val="00D96720"/>
    <w:rsid w:val="00D96933"/>
    <w:rsid w:val="00D96A84"/>
    <w:rsid w:val="00D96B3F"/>
    <w:rsid w:val="00D96B5C"/>
    <w:rsid w:val="00D96C2E"/>
    <w:rsid w:val="00D96C2F"/>
    <w:rsid w:val="00D96D96"/>
    <w:rsid w:val="00D97053"/>
    <w:rsid w:val="00D971C6"/>
    <w:rsid w:val="00D973C6"/>
    <w:rsid w:val="00D97421"/>
    <w:rsid w:val="00D9760B"/>
    <w:rsid w:val="00D97743"/>
    <w:rsid w:val="00D97829"/>
    <w:rsid w:val="00D978DA"/>
    <w:rsid w:val="00D97933"/>
    <w:rsid w:val="00D97A2D"/>
    <w:rsid w:val="00D97A51"/>
    <w:rsid w:val="00D97D70"/>
    <w:rsid w:val="00D97EC9"/>
    <w:rsid w:val="00D97EF2"/>
    <w:rsid w:val="00D97F11"/>
    <w:rsid w:val="00D97F3D"/>
    <w:rsid w:val="00D97F82"/>
    <w:rsid w:val="00DA00B4"/>
    <w:rsid w:val="00DA019D"/>
    <w:rsid w:val="00DA06BC"/>
    <w:rsid w:val="00DA097D"/>
    <w:rsid w:val="00DA0BCF"/>
    <w:rsid w:val="00DA0DB7"/>
    <w:rsid w:val="00DA0E48"/>
    <w:rsid w:val="00DA1308"/>
    <w:rsid w:val="00DA137F"/>
    <w:rsid w:val="00DA1389"/>
    <w:rsid w:val="00DA1A51"/>
    <w:rsid w:val="00DA1B29"/>
    <w:rsid w:val="00DA1BD7"/>
    <w:rsid w:val="00DA1BF2"/>
    <w:rsid w:val="00DA1DF4"/>
    <w:rsid w:val="00DA1E1F"/>
    <w:rsid w:val="00DA21D5"/>
    <w:rsid w:val="00DA226B"/>
    <w:rsid w:val="00DA2392"/>
    <w:rsid w:val="00DA23B7"/>
    <w:rsid w:val="00DA243D"/>
    <w:rsid w:val="00DA2610"/>
    <w:rsid w:val="00DA2622"/>
    <w:rsid w:val="00DA26CF"/>
    <w:rsid w:val="00DA294B"/>
    <w:rsid w:val="00DA2A78"/>
    <w:rsid w:val="00DA2AAC"/>
    <w:rsid w:val="00DA2DFF"/>
    <w:rsid w:val="00DA3094"/>
    <w:rsid w:val="00DA30F0"/>
    <w:rsid w:val="00DA3326"/>
    <w:rsid w:val="00DA36E5"/>
    <w:rsid w:val="00DA3744"/>
    <w:rsid w:val="00DA37E0"/>
    <w:rsid w:val="00DA3814"/>
    <w:rsid w:val="00DA3872"/>
    <w:rsid w:val="00DA3CCF"/>
    <w:rsid w:val="00DA3DB9"/>
    <w:rsid w:val="00DA3DC2"/>
    <w:rsid w:val="00DA3F1C"/>
    <w:rsid w:val="00DA40C2"/>
    <w:rsid w:val="00DA4120"/>
    <w:rsid w:val="00DA4158"/>
    <w:rsid w:val="00DA41C5"/>
    <w:rsid w:val="00DA41FA"/>
    <w:rsid w:val="00DA4209"/>
    <w:rsid w:val="00DA43BA"/>
    <w:rsid w:val="00DA44D0"/>
    <w:rsid w:val="00DA4739"/>
    <w:rsid w:val="00DA4918"/>
    <w:rsid w:val="00DA4A2E"/>
    <w:rsid w:val="00DA4AE1"/>
    <w:rsid w:val="00DA4BD3"/>
    <w:rsid w:val="00DA4C99"/>
    <w:rsid w:val="00DA4D11"/>
    <w:rsid w:val="00DA557C"/>
    <w:rsid w:val="00DA5582"/>
    <w:rsid w:val="00DA5593"/>
    <w:rsid w:val="00DA55E7"/>
    <w:rsid w:val="00DA568E"/>
    <w:rsid w:val="00DA56BC"/>
    <w:rsid w:val="00DA56C5"/>
    <w:rsid w:val="00DA56D6"/>
    <w:rsid w:val="00DA58A4"/>
    <w:rsid w:val="00DA5B67"/>
    <w:rsid w:val="00DA5D0B"/>
    <w:rsid w:val="00DA5DDA"/>
    <w:rsid w:val="00DA63E4"/>
    <w:rsid w:val="00DA6536"/>
    <w:rsid w:val="00DA6675"/>
    <w:rsid w:val="00DA6908"/>
    <w:rsid w:val="00DA6ADD"/>
    <w:rsid w:val="00DA6E09"/>
    <w:rsid w:val="00DA7072"/>
    <w:rsid w:val="00DA720C"/>
    <w:rsid w:val="00DA72C4"/>
    <w:rsid w:val="00DA7326"/>
    <w:rsid w:val="00DA7744"/>
    <w:rsid w:val="00DA77AF"/>
    <w:rsid w:val="00DA792E"/>
    <w:rsid w:val="00DA7A12"/>
    <w:rsid w:val="00DA7B4E"/>
    <w:rsid w:val="00DB00A1"/>
    <w:rsid w:val="00DB00FE"/>
    <w:rsid w:val="00DB0135"/>
    <w:rsid w:val="00DB04B4"/>
    <w:rsid w:val="00DB0503"/>
    <w:rsid w:val="00DB0691"/>
    <w:rsid w:val="00DB0B37"/>
    <w:rsid w:val="00DB0BCC"/>
    <w:rsid w:val="00DB0BE5"/>
    <w:rsid w:val="00DB0D6F"/>
    <w:rsid w:val="00DB0DD4"/>
    <w:rsid w:val="00DB0EC9"/>
    <w:rsid w:val="00DB0F2C"/>
    <w:rsid w:val="00DB1125"/>
    <w:rsid w:val="00DB1279"/>
    <w:rsid w:val="00DB13BB"/>
    <w:rsid w:val="00DB161C"/>
    <w:rsid w:val="00DB19A0"/>
    <w:rsid w:val="00DB1CF0"/>
    <w:rsid w:val="00DB1D14"/>
    <w:rsid w:val="00DB1E37"/>
    <w:rsid w:val="00DB21AA"/>
    <w:rsid w:val="00DB22F0"/>
    <w:rsid w:val="00DB23D2"/>
    <w:rsid w:val="00DB24D7"/>
    <w:rsid w:val="00DB2671"/>
    <w:rsid w:val="00DB27B5"/>
    <w:rsid w:val="00DB2843"/>
    <w:rsid w:val="00DB2A1F"/>
    <w:rsid w:val="00DB2C4D"/>
    <w:rsid w:val="00DB2E0D"/>
    <w:rsid w:val="00DB2F7A"/>
    <w:rsid w:val="00DB33EE"/>
    <w:rsid w:val="00DB35E8"/>
    <w:rsid w:val="00DB3851"/>
    <w:rsid w:val="00DB3B6B"/>
    <w:rsid w:val="00DB3FF5"/>
    <w:rsid w:val="00DB40DE"/>
    <w:rsid w:val="00DB43B1"/>
    <w:rsid w:val="00DB474B"/>
    <w:rsid w:val="00DB47AA"/>
    <w:rsid w:val="00DB4DA4"/>
    <w:rsid w:val="00DB4DDA"/>
    <w:rsid w:val="00DB4DF7"/>
    <w:rsid w:val="00DB4E07"/>
    <w:rsid w:val="00DB4EB9"/>
    <w:rsid w:val="00DB5392"/>
    <w:rsid w:val="00DB53E5"/>
    <w:rsid w:val="00DB566A"/>
    <w:rsid w:val="00DB582D"/>
    <w:rsid w:val="00DB5A42"/>
    <w:rsid w:val="00DB5A72"/>
    <w:rsid w:val="00DB5E66"/>
    <w:rsid w:val="00DB5EE2"/>
    <w:rsid w:val="00DB5EFE"/>
    <w:rsid w:val="00DB628E"/>
    <w:rsid w:val="00DB6332"/>
    <w:rsid w:val="00DB6333"/>
    <w:rsid w:val="00DB6424"/>
    <w:rsid w:val="00DB6742"/>
    <w:rsid w:val="00DB6843"/>
    <w:rsid w:val="00DB6932"/>
    <w:rsid w:val="00DB69A7"/>
    <w:rsid w:val="00DB69FA"/>
    <w:rsid w:val="00DB6B21"/>
    <w:rsid w:val="00DB6C59"/>
    <w:rsid w:val="00DB6C74"/>
    <w:rsid w:val="00DB6CA6"/>
    <w:rsid w:val="00DB6F3E"/>
    <w:rsid w:val="00DB6FA6"/>
    <w:rsid w:val="00DB7004"/>
    <w:rsid w:val="00DB7045"/>
    <w:rsid w:val="00DB72E5"/>
    <w:rsid w:val="00DB740C"/>
    <w:rsid w:val="00DB77F8"/>
    <w:rsid w:val="00DB7BEB"/>
    <w:rsid w:val="00DB7BFC"/>
    <w:rsid w:val="00DB7C73"/>
    <w:rsid w:val="00DB7E97"/>
    <w:rsid w:val="00DC0113"/>
    <w:rsid w:val="00DC021C"/>
    <w:rsid w:val="00DC038E"/>
    <w:rsid w:val="00DC03DA"/>
    <w:rsid w:val="00DC04F6"/>
    <w:rsid w:val="00DC0724"/>
    <w:rsid w:val="00DC07E5"/>
    <w:rsid w:val="00DC0AAA"/>
    <w:rsid w:val="00DC0C1A"/>
    <w:rsid w:val="00DC106C"/>
    <w:rsid w:val="00DC11EE"/>
    <w:rsid w:val="00DC122D"/>
    <w:rsid w:val="00DC130E"/>
    <w:rsid w:val="00DC1384"/>
    <w:rsid w:val="00DC1C63"/>
    <w:rsid w:val="00DC1C98"/>
    <w:rsid w:val="00DC1CCB"/>
    <w:rsid w:val="00DC1E49"/>
    <w:rsid w:val="00DC1FB2"/>
    <w:rsid w:val="00DC23A9"/>
    <w:rsid w:val="00DC255C"/>
    <w:rsid w:val="00DC2592"/>
    <w:rsid w:val="00DC25A5"/>
    <w:rsid w:val="00DC26D7"/>
    <w:rsid w:val="00DC271E"/>
    <w:rsid w:val="00DC27CD"/>
    <w:rsid w:val="00DC2921"/>
    <w:rsid w:val="00DC2A08"/>
    <w:rsid w:val="00DC2A0A"/>
    <w:rsid w:val="00DC2B01"/>
    <w:rsid w:val="00DC2D49"/>
    <w:rsid w:val="00DC2DD4"/>
    <w:rsid w:val="00DC2ECD"/>
    <w:rsid w:val="00DC3445"/>
    <w:rsid w:val="00DC3563"/>
    <w:rsid w:val="00DC3695"/>
    <w:rsid w:val="00DC36BE"/>
    <w:rsid w:val="00DC38DA"/>
    <w:rsid w:val="00DC3991"/>
    <w:rsid w:val="00DC3C86"/>
    <w:rsid w:val="00DC3D8E"/>
    <w:rsid w:val="00DC3E95"/>
    <w:rsid w:val="00DC433F"/>
    <w:rsid w:val="00DC438C"/>
    <w:rsid w:val="00DC4542"/>
    <w:rsid w:val="00DC454D"/>
    <w:rsid w:val="00DC4632"/>
    <w:rsid w:val="00DC47F0"/>
    <w:rsid w:val="00DC48DB"/>
    <w:rsid w:val="00DC4908"/>
    <w:rsid w:val="00DC4B4D"/>
    <w:rsid w:val="00DC4CC8"/>
    <w:rsid w:val="00DC4D3E"/>
    <w:rsid w:val="00DC4E90"/>
    <w:rsid w:val="00DC4F8C"/>
    <w:rsid w:val="00DC5003"/>
    <w:rsid w:val="00DC5006"/>
    <w:rsid w:val="00DC5212"/>
    <w:rsid w:val="00DC52CF"/>
    <w:rsid w:val="00DC557E"/>
    <w:rsid w:val="00DC55AD"/>
    <w:rsid w:val="00DC55CD"/>
    <w:rsid w:val="00DC57E9"/>
    <w:rsid w:val="00DC58B1"/>
    <w:rsid w:val="00DC5A04"/>
    <w:rsid w:val="00DC5AA3"/>
    <w:rsid w:val="00DC5B2D"/>
    <w:rsid w:val="00DC5B84"/>
    <w:rsid w:val="00DC5D3F"/>
    <w:rsid w:val="00DC5E8D"/>
    <w:rsid w:val="00DC5F16"/>
    <w:rsid w:val="00DC60D7"/>
    <w:rsid w:val="00DC60E3"/>
    <w:rsid w:val="00DC63EA"/>
    <w:rsid w:val="00DC64E7"/>
    <w:rsid w:val="00DC6543"/>
    <w:rsid w:val="00DC6858"/>
    <w:rsid w:val="00DC6ADD"/>
    <w:rsid w:val="00DC6BD9"/>
    <w:rsid w:val="00DC6C3B"/>
    <w:rsid w:val="00DC6D97"/>
    <w:rsid w:val="00DC6DA1"/>
    <w:rsid w:val="00DC6DF8"/>
    <w:rsid w:val="00DC6EF2"/>
    <w:rsid w:val="00DC6F22"/>
    <w:rsid w:val="00DC6FFE"/>
    <w:rsid w:val="00DC715E"/>
    <w:rsid w:val="00DC7DBE"/>
    <w:rsid w:val="00DC7E2E"/>
    <w:rsid w:val="00DD0162"/>
    <w:rsid w:val="00DD04EE"/>
    <w:rsid w:val="00DD05E7"/>
    <w:rsid w:val="00DD094F"/>
    <w:rsid w:val="00DD09B9"/>
    <w:rsid w:val="00DD0AF2"/>
    <w:rsid w:val="00DD0BC3"/>
    <w:rsid w:val="00DD0EB6"/>
    <w:rsid w:val="00DD11EF"/>
    <w:rsid w:val="00DD139E"/>
    <w:rsid w:val="00DD15D3"/>
    <w:rsid w:val="00DD19D8"/>
    <w:rsid w:val="00DD1D2B"/>
    <w:rsid w:val="00DD1DBB"/>
    <w:rsid w:val="00DD1E6A"/>
    <w:rsid w:val="00DD206D"/>
    <w:rsid w:val="00DD2503"/>
    <w:rsid w:val="00DD2533"/>
    <w:rsid w:val="00DD254C"/>
    <w:rsid w:val="00DD25A9"/>
    <w:rsid w:val="00DD27B1"/>
    <w:rsid w:val="00DD287E"/>
    <w:rsid w:val="00DD2926"/>
    <w:rsid w:val="00DD297A"/>
    <w:rsid w:val="00DD2A81"/>
    <w:rsid w:val="00DD2AD6"/>
    <w:rsid w:val="00DD2C25"/>
    <w:rsid w:val="00DD2C75"/>
    <w:rsid w:val="00DD2C76"/>
    <w:rsid w:val="00DD2C95"/>
    <w:rsid w:val="00DD2CB4"/>
    <w:rsid w:val="00DD2D9A"/>
    <w:rsid w:val="00DD2EDA"/>
    <w:rsid w:val="00DD313C"/>
    <w:rsid w:val="00DD32BB"/>
    <w:rsid w:val="00DD3425"/>
    <w:rsid w:val="00DD3521"/>
    <w:rsid w:val="00DD381C"/>
    <w:rsid w:val="00DD3C75"/>
    <w:rsid w:val="00DD3D17"/>
    <w:rsid w:val="00DD3D55"/>
    <w:rsid w:val="00DD3DC2"/>
    <w:rsid w:val="00DD3DFA"/>
    <w:rsid w:val="00DD4017"/>
    <w:rsid w:val="00DD40B7"/>
    <w:rsid w:val="00DD412F"/>
    <w:rsid w:val="00DD426D"/>
    <w:rsid w:val="00DD43BC"/>
    <w:rsid w:val="00DD449A"/>
    <w:rsid w:val="00DD44CE"/>
    <w:rsid w:val="00DD45AF"/>
    <w:rsid w:val="00DD45E5"/>
    <w:rsid w:val="00DD46C4"/>
    <w:rsid w:val="00DD478B"/>
    <w:rsid w:val="00DD483F"/>
    <w:rsid w:val="00DD49F3"/>
    <w:rsid w:val="00DD4DF7"/>
    <w:rsid w:val="00DD4DFF"/>
    <w:rsid w:val="00DD4E53"/>
    <w:rsid w:val="00DD4F2B"/>
    <w:rsid w:val="00DD4F91"/>
    <w:rsid w:val="00DD4FA1"/>
    <w:rsid w:val="00DD5144"/>
    <w:rsid w:val="00DD527E"/>
    <w:rsid w:val="00DD5418"/>
    <w:rsid w:val="00DD547D"/>
    <w:rsid w:val="00DD54CC"/>
    <w:rsid w:val="00DD56B7"/>
    <w:rsid w:val="00DD5972"/>
    <w:rsid w:val="00DD5D04"/>
    <w:rsid w:val="00DD644A"/>
    <w:rsid w:val="00DD6558"/>
    <w:rsid w:val="00DD6689"/>
    <w:rsid w:val="00DD66E0"/>
    <w:rsid w:val="00DD6776"/>
    <w:rsid w:val="00DD67B1"/>
    <w:rsid w:val="00DD67ED"/>
    <w:rsid w:val="00DD6D34"/>
    <w:rsid w:val="00DD7176"/>
    <w:rsid w:val="00DD7540"/>
    <w:rsid w:val="00DD79A5"/>
    <w:rsid w:val="00DD7A24"/>
    <w:rsid w:val="00DD7A4A"/>
    <w:rsid w:val="00DD7BEE"/>
    <w:rsid w:val="00DD7C41"/>
    <w:rsid w:val="00DD7C5B"/>
    <w:rsid w:val="00DD7CA1"/>
    <w:rsid w:val="00DD7CD6"/>
    <w:rsid w:val="00DD7CFE"/>
    <w:rsid w:val="00DE00A5"/>
    <w:rsid w:val="00DE00D3"/>
    <w:rsid w:val="00DE01DA"/>
    <w:rsid w:val="00DE0275"/>
    <w:rsid w:val="00DE02AD"/>
    <w:rsid w:val="00DE06B3"/>
    <w:rsid w:val="00DE06BD"/>
    <w:rsid w:val="00DE0850"/>
    <w:rsid w:val="00DE0915"/>
    <w:rsid w:val="00DE0ADE"/>
    <w:rsid w:val="00DE0CC1"/>
    <w:rsid w:val="00DE0D9B"/>
    <w:rsid w:val="00DE0FA9"/>
    <w:rsid w:val="00DE109F"/>
    <w:rsid w:val="00DE10C9"/>
    <w:rsid w:val="00DE12AA"/>
    <w:rsid w:val="00DE1445"/>
    <w:rsid w:val="00DE14BB"/>
    <w:rsid w:val="00DE14F6"/>
    <w:rsid w:val="00DE160A"/>
    <w:rsid w:val="00DE1934"/>
    <w:rsid w:val="00DE1A7E"/>
    <w:rsid w:val="00DE1A7F"/>
    <w:rsid w:val="00DE1F9F"/>
    <w:rsid w:val="00DE214D"/>
    <w:rsid w:val="00DE21E8"/>
    <w:rsid w:val="00DE239F"/>
    <w:rsid w:val="00DE259E"/>
    <w:rsid w:val="00DE28A1"/>
    <w:rsid w:val="00DE290A"/>
    <w:rsid w:val="00DE2AC5"/>
    <w:rsid w:val="00DE2C29"/>
    <w:rsid w:val="00DE2E37"/>
    <w:rsid w:val="00DE2F1E"/>
    <w:rsid w:val="00DE3146"/>
    <w:rsid w:val="00DE31DC"/>
    <w:rsid w:val="00DE3580"/>
    <w:rsid w:val="00DE3621"/>
    <w:rsid w:val="00DE3650"/>
    <w:rsid w:val="00DE37CF"/>
    <w:rsid w:val="00DE3841"/>
    <w:rsid w:val="00DE3A90"/>
    <w:rsid w:val="00DE3CA7"/>
    <w:rsid w:val="00DE4093"/>
    <w:rsid w:val="00DE419B"/>
    <w:rsid w:val="00DE4203"/>
    <w:rsid w:val="00DE43A8"/>
    <w:rsid w:val="00DE440B"/>
    <w:rsid w:val="00DE48F2"/>
    <w:rsid w:val="00DE4918"/>
    <w:rsid w:val="00DE4BE9"/>
    <w:rsid w:val="00DE4D72"/>
    <w:rsid w:val="00DE4DC2"/>
    <w:rsid w:val="00DE4E9C"/>
    <w:rsid w:val="00DE4FA6"/>
    <w:rsid w:val="00DE5144"/>
    <w:rsid w:val="00DE5380"/>
    <w:rsid w:val="00DE53A2"/>
    <w:rsid w:val="00DE542A"/>
    <w:rsid w:val="00DE5486"/>
    <w:rsid w:val="00DE554A"/>
    <w:rsid w:val="00DE61C6"/>
    <w:rsid w:val="00DE6248"/>
    <w:rsid w:val="00DE62FD"/>
    <w:rsid w:val="00DE63F4"/>
    <w:rsid w:val="00DE65FB"/>
    <w:rsid w:val="00DE66F2"/>
    <w:rsid w:val="00DE6888"/>
    <w:rsid w:val="00DE6B70"/>
    <w:rsid w:val="00DE6D1A"/>
    <w:rsid w:val="00DE6DBB"/>
    <w:rsid w:val="00DE6EFE"/>
    <w:rsid w:val="00DE7331"/>
    <w:rsid w:val="00DE7764"/>
    <w:rsid w:val="00DE7787"/>
    <w:rsid w:val="00DE77AF"/>
    <w:rsid w:val="00DE789C"/>
    <w:rsid w:val="00DE7DF7"/>
    <w:rsid w:val="00DE7E0B"/>
    <w:rsid w:val="00DE7EE2"/>
    <w:rsid w:val="00DE7FA1"/>
    <w:rsid w:val="00DF0074"/>
    <w:rsid w:val="00DF03C9"/>
    <w:rsid w:val="00DF0483"/>
    <w:rsid w:val="00DF05D3"/>
    <w:rsid w:val="00DF06D8"/>
    <w:rsid w:val="00DF06FD"/>
    <w:rsid w:val="00DF072E"/>
    <w:rsid w:val="00DF0764"/>
    <w:rsid w:val="00DF09E7"/>
    <w:rsid w:val="00DF0C42"/>
    <w:rsid w:val="00DF0D14"/>
    <w:rsid w:val="00DF0EB8"/>
    <w:rsid w:val="00DF1017"/>
    <w:rsid w:val="00DF132B"/>
    <w:rsid w:val="00DF13A8"/>
    <w:rsid w:val="00DF1419"/>
    <w:rsid w:val="00DF165C"/>
    <w:rsid w:val="00DF166B"/>
    <w:rsid w:val="00DF187B"/>
    <w:rsid w:val="00DF1918"/>
    <w:rsid w:val="00DF1985"/>
    <w:rsid w:val="00DF1DD5"/>
    <w:rsid w:val="00DF1E71"/>
    <w:rsid w:val="00DF1EFE"/>
    <w:rsid w:val="00DF2082"/>
    <w:rsid w:val="00DF2296"/>
    <w:rsid w:val="00DF234B"/>
    <w:rsid w:val="00DF2452"/>
    <w:rsid w:val="00DF271F"/>
    <w:rsid w:val="00DF27B2"/>
    <w:rsid w:val="00DF285E"/>
    <w:rsid w:val="00DF29A2"/>
    <w:rsid w:val="00DF2A1D"/>
    <w:rsid w:val="00DF2A7B"/>
    <w:rsid w:val="00DF2D06"/>
    <w:rsid w:val="00DF2D4C"/>
    <w:rsid w:val="00DF2E9A"/>
    <w:rsid w:val="00DF2FFF"/>
    <w:rsid w:val="00DF3075"/>
    <w:rsid w:val="00DF30BB"/>
    <w:rsid w:val="00DF316E"/>
    <w:rsid w:val="00DF3321"/>
    <w:rsid w:val="00DF364A"/>
    <w:rsid w:val="00DF3667"/>
    <w:rsid w:val="00DF3692"/>
    <w:rsid w:val="00DF3791"/>
    <w:rsid w:val="00DF37C4"/>
    <w:rsid w:val="00DF398E"/>
    <w:rsid w:val="00DF3AD0"/>
    <w:rsid w:val="00DF3AF9"/>
    <w:rsid w:val="00DF3B99"/>
    <w:rsid w:val="00DF3C3E"/>
    <w:rsid w:val="00DF3FE7"/>
    <w:rsid w:val="00DF401A"/>
    <w:rsid w:val="00DF4105"/>
    <w:rsid w:val="00DF424F"/>
    <w:rsid w:val="00DF4957"/>
    <w:rsid w:val="00DF4C12"/>
    <w:rsid w:val="00DF4D03"/>
    <w:rsid w:val="00DF4D29"/>
    <w:rsid w:val="00DF4DCE"/>
    <w:rsid w:val="00DF4F8A"/>
    <w:rsid w:val="00DF5109"/>
    <w:rsid w:val="00DF5151"/>
    <w:rsid w:val="00DF52BC"/>
    <w:rsid w:val="00DF5529"/>
    <w:rsid w:val="00DF55B6"/>
    <w:rsid w:val="00DF5623"/>
    <w:rsid w:val="00DF5783"/>
    <w:rsid w:val="00DF5AF0"/>
    <w:rsid w:val="00DF5F12"/>
    <w:rsid w:val="00DF60AD"/>
    <w:rsid w:val="00DF60D7"/>
    <w:rsid w:val="00DF612A"/>
    <w:rsid w:val="00DF6217"/>
    <w:rsid w:val="00DF6222"/>
    <w:rsid w:val="00DF62B1"/>
    <w:rsid w:val="00DF6444"/>
    <w:rsid w:val="00DF649C"/>
    <w:rsid w:val="00DF64D0"/>
    <w:rsid w:val="00DF6760"/>
    <w:rsid w:val="00DF68CD"/>
    <w:rsid w:val="00DF69BD"/>
    <w:rsid w:val="00DF6B72"/>
    <w:rsid w:val="00DF6BC7"/>
    <w:rsid w:val="00DF6D5D"/>
    <w:rsid w:val="00DF7103"/>
    <w:rsid w:val="00DF7308"/>
    <w:rsid w:val="00DF73A2"/>
    <w:rsid w:val="00DF7433"/>
    <w:rsid w:val="00DF74D6"/>
    <w:rsid w:val="00DF7645"/>
    <w:rsid w:val="00DF781F"/>
    <w:rsid w:val="00DF786D"/>
    <w:rsid w:val="00DF78F9"/>
    <w:rsid w:val="00DF79C3"/>
    <w:rsid w:val="00DF7B0A"/>
    <w:rsid w:val="00DF7D89"/>
    <w:rsid w:val="00DF7F12"/>
    <w:rsid w:val="00E0027F"/>
    <w:rsid w:val="00E0028C"/>
    <w:rsid w:val="00E0095E"/>
    <w:rsid w:val="00E00A7A"/>
    <w:rsid w:val="00E00B87"/>
    <w:rsid w:val="00E00D41"/>
    <w:rsid w:val="00E00D8F"/>
    <w:rsid w:val="00E00DFC"/>
    <w:rsid w:val="00E00E27"/>
    <w:rsid w:val="00E011ED"/>
    <w:rsid w:val="00E014EC"/>
    <w:rsid w:val="00E0166B"/>
    <w:rsid w:val="00E01858"/>
    <w:rsid w:val="00E0188A"/>
    <w:rsid w:val="00E019AA"/>
    <w:rsid w:val="00E01B30"/>
    <w:rsid w:val="00E01B83"/>
    <w:rsid w:val="00E01BE0"/>
    <w:rsid w:val="00E01FE3"/>
    <w:rsid w:val="00E02320"/>
    <w:rsid w:val="00E02341"/>
    <w:rsid w:val="00E02485"/>
    <w:rsid w:val="00E026B1"/>
    <w:rsid w:val="00E026D6"/>
    <w:rsid w:val="00E027EC"/>
    <w:rsid w:val="00E028FE"/>
    <w:rsid w:val="00E0295A"/>
    <w:rsid w:val="00E02AB6"/>
    <w:rsid w:val="00E02B6D"/>
    <w:rsid w:val="00E02C03"/>
    <w:rsid w:val="00E02C8E"/>
    <w:rsid w:val="00E02CFC"/>
    <w:rsid w:val="00E02E4C"/>
    <w:rsid w:val="00E02E71"/>
    <w:rsid w:val="00E03012"/>
    <w:rsid w:val="00E03047"/>
    <w:rsid w:val="00E0304C"/>
    <w:rsid w:val="00E031C6"/>
    <w:rsid w:val="00E034F4"/>
    <w:rsid w:val="00E03505"/>
    <w:rsid w:val="00E03548"/>
    <w:rsid w:val="00E03634"/>
    <w:rsid w:val="00E0368E"/>
    <w:rsid w:val="00E03770"/>
    <w:rsid w:val="00E03E6C"/>
    <w:rsid w:val="00E03FF6"/>
    <w:rsid w:val="00E042C8"/>
    <w:rsid w:val="00E0443A"/>
    <w:rsid w:val="00E04880"/>
    <w:rsid w:val="00E049F2"/>
    <w:rsid w:val="00E04A29"/>
    <w:rsid w:val="00E04BF9"/>
    <w:rsid w:val="00E04C3B"/>
    <w:rsid w:val="00E04E53"/>
    <w:rsid w:val="00E04F32"/>
    <w:rsid w:val="00E0509F"/>
    <w:rsid w:val="00E050B0"/>
    <w:rsid w:val="00E050E2"/>
    <w:rsid w:val="00E05491"/>
    <w:rsid w:val="00E0568A"/>
    <w:rsid w:val="00E0578C"/>
    <w:rsid w:val="00E05984"/>
    <w:rsid w:val="00E05B13"/>
    <w:rsid w:val="00E05F50"/>
    <w:rsid w:val="00E0605F"/>
    <w:rsid w:val="00E06060"/>
    <w:rsid w:val="00E06255"/>
    <w:rsid w:val="00E0632E"/>
    <w:rsid w:val="00E0637E"/>
    <w:rsid w:val="00E06456"/>
    <w:rsid w:val="00E06508"/>
    <w:rsid w:val="00E06563"/>
    <w:rsid w:val="00E065D3"/>
    <w:rsid w:val="00E065D4"/>
    <w:rsid w:val="00E06616"/>
    <w:rsid w:val="00E06749"/>
    <w:rsid w:val="00E067EF"/>
    <w:rsid w:val="00E0688B"/>
    <w:rsid w:val="00E069FC"/>
    <w:rsid w:val="00E06A95"/>
    <w:rsid w:val="00E06BC8"/>
    <w:rsid w:val="00E06F4C"/>
    <w:rsid w:val="00E06F71"/>
    <w:rsid w:val="00E07039"/>
    <w:rsid w:val="00E07404"/>
    <w:rsid w:val="00E07668"/>
    <w:rsid w:val="00E07760"/>
    <w:rsid w:val="00E077C5"/>
    <w:rsid w:val="00E07897"/>
    <w:rsid w:val="00E079B2"/>
    <w:rsid w:val="00E07A00"/>
    <w:rsid w:val="00E07C9F"/>
    <w:rsid w:val="00E07F46"/>
    <w:rsid w:val="00E102DF"/>
    <w:rsid w:val="00E103EB"/>
    <w:rsid w:val="00E1054E"/>
    <w:rsid w:val="00E1066F"/>
    <w:rsid w:val="00E106D7"/>
    <w:rsid w:val="00E108BB"/>
    <w:rsid w:val="00E108D9"/>
    <w:rsid w:val="00E109D8"/>
    <w:rsid w:val="00E10A6E"/>
    <w:rsid w:val="00E10E0A"/>
    <w:rsid w:val="00E11025"/>
    <w:rsid w:val="00E11074"/>
    <w:rsid w:val="00E110FC"/>
    <w:rsid w:val="00E11179"/>
    <w:rsid w:val="00E11442"/>
    <w:rsid w:val="00E117FD"/>
    <w:rsid w:val="00E118FF"/>
    <w:rsid w:val="00E11A65"/>
    <w:rsid w:val="00E11D18"/>
    <w:rsid w:val="00E11D8F"/>
    <w:rsid w:val="00E11F3D"/>
    <w:rsid w:val="00E120C2"/>
    <w:rsid w:val="00E121E3"/>
    <w:rsid w:val="00E1226F"/>
    <w:rsid w:val="00E123EA"/>
    <w:rsid w:val="00E12510"/>
    <w:rsid w:val="00E126D2"/>
    <w:rsid w:val="00E1273F"/>
    <w:rsid w:val="00E12901"/>
    <w:rsid w:val="00E1293F"/>
    <w:rsid w:val="00E1297A"/>
    <w:rsid w:val="00E12997"/>
    <w:rsid w:val="00E12E82"/>
    <w:rsid w:val="00E133B9"/>
    <w:rsid w:val="00E13547"/>
    <w:rsid w:val="00E135AE"/>
    <w:rsid w:val="00E136E7"/>
    <w:rsid w:val="00E1370A"/>
    <w:rsid w:val="00E13801"/>
    <w:rsid w:val="00E13963"/>
    <w:rsid w:val="00E1396A"/>
    <w:rsid w:val="00E13A72"/>
    <w:rsid w:val="00E13AD9"/>
    <w:rsid w:val="00E13C3E"/>
    <w:rsid w:val="00E1413D"/>
    <w:rsid w:val="00E14153"/>
    <w:rsid w:val="00E14155"/>
    <w:rsid w:val="00E14A95"/>
    <w:rsid w:val="00E150A3"/>
    <w:rsid w:val="00E153A6"/>
    <w:rsid w:val="00E154E0"/>
    <w:rsid w:val="00E1554F"/>
    <w:rsid w:val="00E15805"/>
    <w:rsid w:val="00E159C3"/>
    <w:rsid w:val="00E15C1B"/>
    <w:rsid w:val="00E15CD1"/>
    <w:rsid w:val="00E15DDD"/>
    <w:rsid w:val="00E15E23"/>
    <w:rsid w:val="00E15F12"/>
    <w:rsid w:val="00E16094"/>
    <w:rsid w:val="00E16372"/>
    <w:rsid w:val="00E165DB"/>
    <w:rsid w:val="00E1670D"/>
    <w:rsid w:val="00E1698E"/>
    <w:rsid w:val="00E169EB"/>
    <w:rsid w:val="00E16A5D"/>
    <w:rsid w:val="00E16D70"/>
    <w:rsid w:val="00E170C9"/>
    <w:rsid w:val="00E17337"/>
    <w:rsid w:val="00E174DD"/>
    <w:rsid w:val="00E176A5"/>
    <w:rsid w:val="00E17747"/>
    <w:rsid w:val="00E17766"/>
    <w:rsid w:val="00E17795"/>
    <w:rsid w:val="00E1780D"/>
    <w:rsid w:val="00E17C95"/>
    <w:rsid w:val="00E17EC5"/>
    <w:rsid w:val="00E17EFF"/>
    <w:rsid w:val="00E17F5E"/>
    <w:rsid w:val="00E202E9"/>
    <w:rsid w:val="00E20876"/>
    <w:rsid w:val="00E208BE"/>
    <w:rsid w:val="00E20A5D"/>
    <w:rsid w:val="00E20B31"/>
    <w:rsid w:val="00E20B5C"/>
    <w:rsid w:val="00E20DFA"/>
    <w:rsid w:val="00E20F4A"/>
    <w:rsid w:val="00E211F8"/>
    <w:rsid w:val="00E212F6"/>
    <w:rsid w:val="00E213F8"/>
    <w:rsid w:val="00E21719"/>
    <w:rsid w:val="00E2173F"/>
    <w:rsid w:val="00E217BE"/>
    <w:rsid w:val="00E21822"/>
    <w:rsid w:val="00E21958"/>
    <w:rsid w:val="00E21971"/>
    <w:rsid w:val="00E21A11"/>
    <w:rsid w:val="00E21AF2"/>
    <w:rsid w:val="00E21B43"/>
    <w:rsid w:val="00E21BDB"/>
    <w:rsid w:val="00E21D9D"/>
    <w:rsid w:val="00E21DCB"/>
    <w:rsid w:val="00E21DEA"/>
    <w:rsid w:val="00E21E23"/>
    <w:rsid w:val="00E22074"/>
    <w:rsid w:val="00E2265A"/>
    <w:rsid w:val="00E22AEC"/>
    <w:rsid w:val="00E22BA3"/>
    <w:rsid w:val="00E22D15"/>
    <w:rsid w:val="00E22E82"/>
    <w:rsid w:val="00E22E96"/>
    <w:rsid w:val="00E22F07"/>
    <w:rsid w:val="00E23041"/>
    <w:rsid w:val="00E23371"/>
    <w:rsid w:val="00E233B7"/>
    <w:rsid w:val="00E2342D"/>
    <w:rsid w:val="00E23621"/>
    <w:rsid w:val="00E23794"/>
    <w:rsid w:val="00E2394A"/>
    <w:rsid w:val="00E23EBD"/>
    <w:rsid w:val="00E23FDC"/>
    <w:rsid w:val="00E24004"/>
    <w:rsid w:val="00E24135"/>
    <w:rsid w:val="00E2427B"/>
    <w:rsid w:val="00E24697"/>
    <w:rsid w:val="00E2470D"/>
    <w:rsid w:val="00E248DD"/>
    <w:rsid w:val="00E249FA"/>
    <w:rsid w:val="00E24B12"/>
    <w:rsid w:val="00E24D7C"/>
    <w:rsid w:val="00E24D8E"/>
    <w:rsid w:val="00E24F9A"/>
    <w:rsid w:val="00E250E4"/>
    <w:rsid w:val="00E2522F"/>
    <w:rsid w:val="00E25519"/>
    <w:rsid w:val="00E2557B"/>
    <w:rsid w:val="00E255A5"/>
    <w:rsid w:val="00E25A51"/>
    <w:rsid w:val="00E25CE5"/>
    <w:rsid w:val="00E25F5A"/>
    <w:rsid w:val="00E261F3"/>
    <w:rsid w:val="00E263D6"/>
    <w:rsid w:val="00E263E6"/>
    <w:rsid w:val="00E26536"/>
    <w:rsid w:val="00E26558"/>
    <w:rsid w:val="00E267B0"/>
    <w:rsid w:val="00E268D0"/>
    <w:rsid w:val="00E26B2F"/>
    <w:rsid w:val="00E26B5D"/>
    <w:rsid w:val="00E26BDE"/>
    <w:rsid w:val="00E26C5A"/>
    <w:rsid w:val="00E26DE9"/>
    <w:rsid w:val="00E26FC5"/>
    <w:rsid w:val="00E27272"/>
    <w:rsid w:val="00E27277"/>
    <w:rsid w:val="00E272AC"/>
    <w:rsid w:val="00E27629"/>
    <w:rsid w:val="00E27820"/>
    <w:rsid w:val="00E279D8"/>
    <w:rsid w:val="00E27A45"/>
    <w:rsid w:val="00E27A96"/>
    <w:rsid w:val="00E27C09"/>
    <w:rsid w:val="00E27DB3"/>
    <w:rsid w:val="00E30062"/>
    <w:rsid w:val="00E30434"/>
    <w:rsid w:val="00E30877"/>
    <w:rsid w:val="00E30AD3"/>
    <w:rsid w:val="00E30E90"/>
    <w:rsid w:val="00E31460"/>
    <w:rsid w:val="00E319EA"/>
    <w:rsid w:val="00E31A38"/>
    <w:rsid w:val="00E31BEB"/>
    <w:rsid w:val="00E3200A"/>
    <w:rsid w:val="00E320E2"/>
    <w:rsid w:val="00E32292"/>
    <w:rsid w:val="00E323FA"/>
    <w:rsid w:val="00E324A1"/>
    <w:rsid w:val="00E325B8"/>
    <w:rsid w:val="00E327F2"/>
    <w:rsid w:val="00E3281C"/>
    <w:rsid w:val="00E32923"/>
    <w:rsid w:val="00E32ACF"/>
    <w:rsid w:val="00E32E41"/>
    <w:rsid w:val="00E32F8D"/>
    <w:rsid w:val="00E330B2"/>
    <w:rsid w:val="00E33187"/>
    <w:rsid w:val="00E331F2"/>
    <w:rsid w:val="00E3322D"/>
    <w:rsid w:val="00E33675"/>
    <w:rsid w:val="00E3380C"/>
    <w:rsid w:val="00E33CA7"/>
    <w:rsid w:val="00E341FE"/>
    <w:rsid w:val="00E343FC"/>
    <w:rsid w:val="00E3451C"/>
    <w:rsid w:val="00E346AB"/>
    <w:rsid w:val="00E3470D"/>
    <w:rsid w:val="00E34959"/>
    <w:rsid w:val="00E34994"/>
    <w:rsid w:val="00E34AD5"/>
    <w:rsid w:val="00E34D49"/>
    <w:rsid w:val="00E34D8E"/>
    <w:rsid w:val="00E34DC7"/>
    <w:rsid w:val="00E34F63"/>
    <w:rsid w:val="00E34F93"/>
    <w:rsid w:val="00E3504A"/>
    <w:rsid w:val="00E3519E"/>
    <w:rsid w:val="00E351D7"/>
    <w:rsid w:val="00E35244"/>
    <w:rsid w:val="00E352AF"/>
    <w:rsid w:val="00E352BF"/>
    <w:rsid w:val="00E352EB"/>
    <w:rsid w:val="00E35476"/>
    <w:rsid w:val="00E357B6"/>
    <w:rsid w:val="00E35823"/>
    <w:rsid w:val="00E35ACE"/>
    <w:rsid w:val="00E35E9F"/>
    <w:rsid w:val="00E35F12"/>
    <w:rsid w:val="00E35F34"/>
    <w:rsid w:val="00E35FB1"/>
    <w:rsid w:val="00E360C5"/>
    <w:rsid w:val="00E3613F"/>
    <w:rsid w:val="00E364E5"/>
    <w:rsid w:val="00E36686"/>
    <w:rsid w:val="00E366FD"/>
    <w:rsid w:val="00E36711"/>
    <w:rsid w:val="00E36905"/>
    <w:rsid w:val="00E369F9"/>
    <w:rsid w:val="00E36A89"/>
    <w:rsid w:val="00E36AF7"/>
    <w:rsid w:val="00E36B2A"/>
    <w:rsid w:val="00E36C0A"/>
    <w:rsid w:val="00E36EF5"/>
    <w:rsid w:val="00E371DF"/>
    <w:rsid w:val="00E372C4"/>
    <w:rsid w:val="00E373A6"/>
    <w:rsid w:val="00E374B6"/>
    <w:rsid w:val="00E3752D"/>
    <w:rsid w:val="00E3771F"/>
    <w:rsid w:val="00E377A6"/>
    <w:rsid w:val="00E37855"/>
    <w:rsid w:val="00E378F3"/>
    <w:rsid w:val="00E37AA8"/>
    <w:rsid w:val="00E37BF5"/>
    <w:rsid w:val="00E37C73"/>
    <w:rsid w:val="00E37E79"/>
    <w:rsid w:val="00E37ED1"/>
    <w:rsid w:val="00E4002B"/>
    <w:rsid w:val="00E40266"/>
    <w:rsid w:val="00E4036F"/>
    <w:rsid w:val="00E403C6"/>
    <w:rsid w:val="00E4070B"/>
    <w:rsid w:val="00E408E8"/>
    <w:rsid w:val="00E40D82"/>
    <w:rsid w:val="00E40E6D"/>
    <w:rsid w:val="00E40F82"/>
    <w:rsid w:val="00E41036"/>
    <w:rsid w:val="00E41170"/>
    <w:rsid w:val="00E412D1"/>
    <w:rsid w:val="00E4137E"/>
    <w:rsid w:val="00E41573"/>
    <w:rsid w:val="00E415E2"/>
    <w:rsid w:val="00E41619"/>
    <w:rsid w:val="00E4174A"/>
    <w:rsid w:val="00E41838"/>
    <w:rsid w:val="00E41A39"/>
    <w:rsid w:val="00E41A6A"/>
    <w:rsid w:val="00E41A84"/>
    <w:rsid w:val="00E41BA4"/>
    <w:rsid w:val="00E41E5B"/>
    <w:rsid w:val="00E41E6D"/>
    <w:rsid w:val="00E42035"/>
    <w:rsid w:val="00E422AE"/>
    <w:rsid w:val="00E42421"/>
    <w:rsid w:val="00E42619"/>
    <w:rsid w:val="00E426F4"/>
    <w:rsid w:val="00E4284A"/>
    <w:rsid w:val="00E428A4"/>
    <w:rsid w:val="00E42A85"/>
    <w:rsid w:val="00E42D6D"/>
    <w:rsid w:val="00E42E55"/>
    <w:rsid w:val="00E42EDC"/>
    <w:rsid w:val="00E4308F"/>
    <w:rsid w:val="00E43195"/>
    <w:rsid w:val="00E43206"/>
    <w:rsid w:val="00E4349C"/>
    <w:rsid w:val="00E43636"/>
    <w:rsid w:val="00E436CA"/>
    <w:rsid w:val="00E4379A"/>
    <w:rsid w:val="00E4387B"/>
    <w:rsid w:val="00E438A9"/>
    <w:rsid w:val="00E439F0"/>
    <w:rsid w:val="00E43AB7"/>
    <w:rsid w:val="00E43F90"/>
    <w:rsid w:val="00E43FF3"/>
    <w:rsid w:val="00E444AE"/>
    <w:rsid w:val="00E444F8"/>
    <w:rsid w:val="00E44626"/>
    <w:rsid w:val="00E4465A"/>
    <w:rsid w:val="00E44662"/>
    <w:rsid w:val="00E44711"/>
    <w:rsid w:val="00E4480A"/>
    <w:rsid w:val="00E44AC9"/>
    <w:rsid w:val="00E44CB8"/>
    <w:rsid w:val="00E44CEA"/>
    <w:rsid w:val="00E44D86"/>
    <w:rsid w:val="00E451B5"/>
    <w:rsid w:val="00E4522F"/>
    <w:rsid w:val="00E45257"/>
    <w:rsid w:val="00E45585"/>
    <w:rsid w:val="00E455D8"/>
    <w:rsid w:val="00E457A0"/>
    <w:rsid w:val="00E458EC"/>
    <w:rsid w:val="00E459FC"/>
    <w:rsid w:val="00E45C76"/>
    <w:rsid w:val="00E45C9C"/>
    <w:rsid w:val="00E45CAC"/>
    <w:rsid w:val="00E46008"/>
    <w:rsid w:val="00E461C2"/>
    <w:rsid w:val="00E462B9"/>
    <w:rsid w:val="00E46323"/>
    <w:rsid w:val="00E463BB"/>
    <w:rsid w:val="00E46619"/>
    <w:rsid w:val="00E467DF"/>
    <w:rsid w:val="00E469C8"/>
    <w:rsid w:val="00E46C2E"/>
    <w:rsid w:val="00E46D60"/>
    <w:rsid w:val="00E46E5E"/>
    <w:rsid w:val="00E47004"/>
    <w:rsid w:val="00E47156"/>
    <w:rsid w:val="00E4736C"/>
    <w:rsid w:val="00E47462"/>
    <w:rsid w:val="00E474F8"/>
    <w:rsid w:val="00E47670"/>
    <w:rsid w:val="00E47842"/>
    <w:rsid w:val="00E47893"/>
    <w:rsid w:val="00E47CED"/>
    <w:rsid w:val="00E50045"/>
    <w:rsid w:val="00E50051"/>
    <w:rsid w:val="00E5008F"/>
    <w:rsid w:val="00E5015C"/>
    <w:rsid w:val="00E502CD"/>
    <w:rsid w:val="00E502ED"/>
    <w:rsid w:val="00E50318"/>
    <w:rsid w:val="00E5032B"/>
    <w:rsid w:val="00E5035C"/>
    <w:rsid w:val="00E5038B"/>
    <w:rsid w:val="00E50401"/>
    <w:rsid w:val="00E50505"/>
    <w:rsid w:val="00E50585"/>
    <w:rsid w:val="00E505EF"/>
    <w:rsid w:val="00E50763"/>
    <w:rsid w:val="00E50A13"/>
    <w:rsid w:val="00E50B59"/>
    <w:rsid w:val="00E50BED"/>
    <w:rsid w:val="00E50E36"/>
    <w:rsid w:val="00E50F9B"/>
    <w:rsid w:val="00E50FCF"/>
    <w:rsid w:val="00E51122"/>
    <w:rsid w:val="00E51542"/>
    <w:rsid w:val="00E5158B"/>
    <w:rsid w:val="00E517D0"/>
    <w:rsid w:val="00E517DC"/>
    <w:rsid w:val="00E51925"/>
    <w:rsid w:val="00E51987"/>
    <w:rsid w:val="00E519DD"/>
    <w:rsid w:val="00E51A8F"/>
    <w:rsid w:val="00E51B5B"/>
    <w:rsid w:val="00E51CC0"/>
    <w:rsid w:val="00E51D96"/>
    <w:rsid w:val="00E51E7C"/>
    <w:rsid w:val="00E51EA6"/>
    <w:rsid w:val="00E51F4C"/>
    <w:rsid w:val="00E52102"/>
    <w:rsid w:val="00E521CD"/>
    <w:rsid w:val="00E52370"/>
    <w:rsid w:val="00E52495"/>
    <w:rsid w:val="00E52617"/>
    <w:rsid w:val="00E52711"/>
    <w:rsid w:val="00E5276F"/>
    <w:rsid w:val="00E527A0"/>
    <w:rsid w:val="00E5280F"/>
    <w:rsid w:val="00E52A7E"/>
    <w:rsid w:val="00E52B13"/>
    <w:rsid w:val="00E52BA7"/>
    <w:rsid w:val="00E52DE6"/>
    <w:rsid w:val="00E52F4F"/>
    <w:rsid w:val="00E532CB"/>
    <w:rsid w:val="00E532DF"/>
    <w:rsid w:val="00E53406"/>
    <w:rsid w:val="00E5351E"/>
    <w:rsid w:val="00E53773"/>
    <w:rsid w:val="00E5378D"/>
    <w:rsid w:val="00E53AA2"/>
    <w:rsid w:val="00E53B18"/>
    <w:rsid w:val="00E53D5C"/>
    <w:rsid w:val="00E53E09"/>
    <w:rsid w:val="00E53F1B"/>
    <w:rsid w:val="00E53F8B"/>
    <w:rsid w:val="00E54273"/>
    <w:rsid w:val="00E54425"/>
    <w:rsid w:val="00E544D0"/>
    <w:rsid w:val="00E54500"/>
    <w:rsid w:val="00E54766"/>
    <w:rsid w:val="00E54A63"/>
    <w:rsid w:val="00E54B88"/>
    <w:rsid w:val="00E54F5F"/>
    <w:rsid w:val="00E550AC"/>
    <w:rsid w:val="00E550CC"/>
    <w:rsid w:val="00E55146"/>
    <w:rsid w:val="00E55162"/>
    <w:rsid w:val="00E552F2"/>
    <w:rsid w:val="00E5543B"/>
    <w:rsid w:val="00E55491"/>
    <w:rsid w:val="00E55609"/>
    <w:rsid w:val="00E557A7"/>
    <w:rsid w:val="00E559DC"/>
    <w:rsid w:val="00E55AB3"/>
    <w:rsid w:val="00E55AB7"/>
    <w:rsid w:val="00E55AE7"/>
    <w:rsid w:val="00E55C7B"/>
    <w:rsid w:val="00E55E7F"/>
    <w:rsid w:val="00E55F6B"/>
    <w:rsid w:val="00E56023"/>
    <w:rsid w:val="00E563D1"/>
    <w:rsid w:val="00E56426"/>
    <w:rsid w:val="00E566F4"/>
    <w:rsid w:val="00E568CF"/>
    <w:rsid w:val="00E569A9"/>
    <w:rsid w:val="00E56A36"/>
    <w:rsid w:val="00E56CF5"/>
    <w:rsid w:val="00E56E88"/>
    <w:rsid w:val="00E571E5"/>
    <w:rsid w:val="00E57475"/>
    <w:rsid w:val="00E574EB"/>
    <w:rsid w:val="00E57829"/>
    <w:rsid w:val="00E579C2"/>
    <w:rsid w:val="00E57A35"/>
    <w:rsid w:val="00E57AFD"/>
    <w:rsid w:val="00E57B31"/>
    <w:rsid w:val="00E57BAD"/>
    <w:rsid w:val="00E60025"/>
    <w:rsid w:val="00E6005F"/>
    <w:rsid w:val="00E60063"/>
    <w:rsid w:val="00E60446"/>
    <w:rsid w:val="00E60658"/>
    <w:rsid w:val="00E606A7"/>
    <w:rsid w:val="00E606D7"/>
    <w:rsid w:val="00E60B56"/>
    <w:rsid w:val="00E60CDC"/>
    <w:rsid w:val="00E60DAE"/>
    <w:rsid w:val="00E60EA2"/>
    <w:rsid w:val="00E61258"/>
    <w:rsid w:val="00E612F8"/>
    <w:rsid w:val="00E61318"/>
    <w:rsid w:val="00E6131F"/>
    <w:rsid w:val="00E614E4"/>
    <w:rsid w:val="00E614EC"/>
    <w:rsid w:val="00E615FD"/>
    <w:rsid w:val="00E61854"/>
    <w:rsid w:val="00E61A40"/>
    <w:rsid w:val="00E61E8A"/>
    <w:rsid w:val="00E61F3C"/>
    <w:rsid w:val="00E61F85"/>
    <w:rsid w:val="00E6218A"/>
    <w:rsid w:val="00E62291"/>
    <w:rsid w:val="00E622CD"/>
    <w:rsid w:val="00E622D9"/>
    <w:rsid w:val="00E62316"/>
    <w:rsid w:val="00E623A7"/>
    <w:rsid w:val="00E623C4"/>
    <w:rsid w:val="00E62846"/>
    <w:rsid w:val="00E6288D"/>
    <w:rsid w:val="00E628B7"/>
    <w:rsid w:val="00E62B03"/>
    <w:rsid w:val="00E62B6B"/>
    <w:rsid w:val="00E62B84"/>
    <w:rsid w:val="00E62BE7"/>
    <w:rsid w:val="00E62C0A"/>
    <w:rsid w:val="00E62DAD"/>
    <w:rsid w:val="00E62E42"/>
    <w:rsid w:val="00E63109"/>
    <w:rsid w:val="00E63194"/>
    <w:rsid w:val="00E634B9"/>
    <w:rsid w:val="00E636A7"/>
    <w:rsid w:val="00E6392F"/>
    <w:rsid w:val="00E63966"/>
    <w:rsid w:val="00E63B1A"/>
    <w:rsid w:val="00E63C17"/>
    <w:rsid w:val="00E63D15"/>
    <w:rsid w:val="00E642FD"/>
    <w:rsid w:val="00E64355"/>
    <w:rsid w:val="00E6442C"/>
    <w:rsid w:val="00E64498"/>
    <w:rsid w:val="00E645BB"/>
    <w:rsid w:val="00E646F9"/>
    <w:rsid w:val="00E647BA"/>
    <w:rsid w:val="00E647F8"/>
    <w:rsid w:val="00E649EC"/>
    <w:rsid w:val="00E64A57"/>
    <w:rsid w:val="00E64A73"/>
    <w:rsid w:val="00E64B46"/>
    <w:rsid w:val="00E64C12"/>
    <w:rsid w:val="00E64E88"/>
    <w:rsid w:val="00E64F2C"/>
    <w:rsid w:val="00E64FFD"/>
    <w:rsid w:val="00E653B9"/>
    <w:rsid w:val="00E6554C"/>
    <w:rsid w:val="00E65576"/>
    <w:rsid w:val="00E655E5"/>
    <w:rsid w:val="00E657DC"/>
    <w:rsid w:val="00E6588A"/>
    <w:rsid w:val="00E659F7"/>
    <w:rsid w:val="00E65A0C"/>
    <w:rsid w:val="00E65E51"/>
    <w:rsid w:val="00E65F0C"/>
    <w:rsid w:val="00E65FBB"/>
    <w:rsid w:val="00E66011"/>
    <w:rsid w:val="00E6646A"/>
    <w:rsid w:val="00E6663C"/>
    <w:rsid w:val="00E66864"/>
    <w:rsid w:val="00E668B8"/>
    <w:rsid w:val="00E668F2"/>
    <w:rsid w:val="00E66952"/>
    <w:rsid w:val="00E66A1A"/>
    <w:rsid w:val="00E66A3C"/>
    <w:rsid w:val="00E66AA5"/>
    <w:rsid w:val="00E66ADC"/>
    <w:rsid w:val="00E66B0B"/>
    <w:rsid w:val="00E66E7E"/>
    <w:rsid w:val="00E66F8B"/>
    <w:rsid w:val="00E6702C"/>
    <w:rsid w:val="00E67098"/>
    <w:rsid w:val="00E67502"/>
    <w:rsid w:val="00E67567"/>
    <w:rsid w:val="00E675C4"/>
    <w:rsid w:val="00E676B4"/>
    <w:rsid w:val="00E6771B"/>
    <w:rsid w:val="00E67763"/>
    <w:rsid w:val="00E677C7"/>
    <w:rsid w:val="00E679D2"/>
    <w:rsid w:val="00E67A05"/>
    <w:rsid w:val="00E67C78"/>
    <w:rsid w:val="00E67E0A"/>
    <w:rsid w:val="00E67F30"/>
    <w:rsid w:val="00E7017B"/>
    <w:rsid w:val="00E701D8"/>
    <w:rsid w:val="00E70276"/>
    <w:rsid w:val="00E702F0"/>
    <w:rsid w:val="00E703B5"/>
    <w:rsid w:val="00E70409"/>
    <w:rsid w:val="00E70616"/>
    <w:rsid w:val="00E70660"/>
    <w:rsid w:val="00E70701"/>
    <w:rsid w:val="00E7073C"/>
    <w:rsid w:val="00E70791"/>
    <w:rsid w:val="00E70D2E"/>
    <w:rsid w:val="00E70D54"/>
    <w:rsid w:val="00E70D68"/>
    <w:rsid w:val="00E70EF0"/>
    <w:rsid w:val="00E710C2"/>
    <w:rsid w:val="00E710DB"/>
    <w:rsid w:val="00E712F8"/>
    <w:rsid w:val="00E71374"/>
    <w:rsid w:val="00E71433"/>
    <w:rsid w:val="00E7145E"/>
    <w:rsid w:val="00E7147F"/>
    <w:rsid w:val="00E714A4"/>
    <w:rsid w:val="00E7174F"/>
    <w:rsid w:val="00E71806"/>
    <w:rsid w:val="00E71A49"/>
    <w:rsid w:val="00E71AB1"/>
    <w:rsid w:val="00E71ACF"/>
    <w:rsid w:val="00E71B58"/>
    <w:rsid w:val="00E71CA2"/>
    <w:rsid w:val="00E71DF7"/>
    <w:rsid w:val="00E71E35"/>
    <w:rsid w:val="00E71E81"/>
    <w:rsid w:val="00E71EB0"/>
    <w:rsid w:val="00E71F66"/>
    <w:rsid w:val="00E71F83"/>
    <w:rsid w:val="00E71FFD"/>
    <w:rsid w:val="00E7204D"/>
    <w:rsid w:val="00E720EB"/>
    <w:rsid w:val="00E7215F"/>
    <w:rsid w:val="00E72181"/>
    <w:rsid w:val="00E72358"/>
    <w:rsid w:val="00E723E9"/>
    <w:rsid w:val="00E723EA"/>
    <w:rsid w:val="00E72454"/>
    <w:rsid w:val="00E72491"/>
    <w:rsid w:val="00E7261D"/>
    <w:rsid w:val="00E728D7"/>
    <w:rsid w:val="00E72EF8"/>
    <w:rsid w:val="00E73243"/>
    <w:rsid w:val="00E732AC"/>
    <w:rsid w:val="00E73514"/>
    <w:rsid w:val="00E736EA"/>
    <w:rsid w:val="00E73717"/>
    <w:rsid w:val="00E739BE"/>
    <w:rsid w:val="00E73A33"/>
    <w:rsid w:val="00E73ACB"/>
    <w:rsid w:val="00E73C5E"/>
    <w:rsid w:val="00E73D07"/>
    <w:rsid w:val="00E73F37"/>
    <w:rsid w:val="00E73FFE"/>
    <w:rsid w:val="00E74059"/>
    <w:rsid w:val="00E74696"/>
    <w:rsid w:val="00E74971"/>
    <w:rsid w:val="00E749F1"/>
    <w:rsid w:val="00E74B07"/>
    <w:rsid w:val="00E74D82"/>
    <w:rsid w:val="00E74EBE"/>
    <w:rsid w:val="00E74F8B"/>
    <w:rsid w:val="00E74FD7"/>
    <w:rsid w:val="00E750B8"/>
    <w:rsid w:val="00E750D6"/>
    <w:rsid w:val="00E7525A"/>
    <w:rsid w:val="00E75347"/>
    <w:rsid w:val="00E7539B"/>
    <w:rsid w:val="00E75517"/>
    <w:rsid w:val="00E755F9"/>
    <w:rsid w:val="00E75775"/>
    <w:rsid w:val="00E7596A"/>
    <w:rsid w:val="00E75B55"/>
    <w:rsid w:val="00E75B82"/>
    <w:rsid w:val="00E75BC1"/>
    <w:rsid w:val="00E75CF5"/>
    <w:rsid w:val="00E75F97"/>
    <w:rsid w:val="00E75FF0"/>
    <w:rsid w:val="00E76480"/>
    <w:rsid w:val="00E76497"/>
    <w:rsid w:val="00E764FD"/>
    <w:rsid w:val="00E76597"/>
    <w:rsid w:val="00E765A9"/>
    <w:rsid w:val="00E766A9"/>
    <w:rsid w:val="00E768F9"/>
    <w:rsid w:val="00E76A63"/>
    <w:rsid w:val="00E76DDC"/>
    <w:rsid w:val="00E76F3E"/>
    <w:rsid w:val="00E770B2"/>
    <w:rsid w:val="00E77104"/>
    <w:rsid w:val="00E7721A"/>
    <w:rsid w:val="00E77224"/>
    <w:rsid w:val="00E77387"/>
    <w:rsid w:val="00E77593"/>
    <w:rsid w:val="00E775CB"/>
    <w:rsid w:val="00E77600"/>
    <w:rsid w:val="00E779CD"/>
    <w:rsid w:val="00E77BCB"/>
    <w:rsid w:val="00E77D9B"/>
    <w:rsid w:val="00E77F84"/>
    <w:rsid w:val="00E80146"/>
    <w:rsid w:val="00E801DE"/>
    <w:rsid w:val="00E80245"/>
    <w:rsid w:val="00E80342"/>
    <w:rsid w:val="00E8035A"/>
    <w:rsid w:val="00E806FC"/>
    <w:rsid w:val="00E80752"/>
    <w:rsid w:val="00E80920"/>
    <w:rsid w:val="00E80B64"/>
    <w:rsid w:val="00E80C3A"/>
    <w:rsid w:val="00E80CE7"/>
    <w:rsid w:val="00E80E4B"/>
    <w:rsid w:val="00E8113C"/>
    <w:rsid w:val="00E811A5"/>
    <w:rsid w:val="00E8123A"/>
    <w:rsid w:val="00E81517"/>
    <w:rsid w:val="00E8159B"/>
    <w:rsid w:val="00E816A8"/>
    <w:rsid w:val="00E816FE"/>
    <w:rsid w:val="00E81708"/>
    <w:rsid w:val="00E81BFD"/>
    <w:rsid w:val="00E81D2E"/>
    <w:rsid w:val="00E81E3E"/>
    <w:rsid w:val="00E81F31"/>
    <w:rsid w:val="00E81F49"/>
    <w:rsid w:val="00E823D6"/>
    <w:rsid w:val="00E824E9"/>
    <w:rsid w:val="00E825A6"/>
    <w:rsid w:val="00E82619"/>
    <w:rsid w:val="00E82790"/>
    <w:rsid w:val="00E82A39"/>
    <w:rsid w:val="00E82C74"/>
    <w:rsid w:val="00E82CBF"/>
    <w:rsid w:val="00E83296"/>
    <w:rsid w:val="00E832FE"/>
    <w:rsid w:val="00E8369D"/>
    <w:rsid w:val="00E836F9"/>
    <w:rsid w:val="00E837A7"/>
    <w:rsid w:val="00E839FD"/>
    <w:rsid w:val="00E83C9A"/>
    <w:rsid w:val="00E83DC6"/>
    <w:rsid w:val="00E83E53"/>
    <w:rsid w:val="00E83F01"/>
    <w:rsid w:val="00E84070"/>
    <w:rsid w:val="00E840E5"/>
    <w:rsid w:val="00E8413C"/>
    <w:rsid w:val="00E842C7"/>
    <w:rsid w:val="00E84330"/>
    <w:rsid w:val="00E8437D"/>
    <w:rsid w:val="00E843A7"/>
    <w:rsid w:val="00E847D9"/>
    <w:rsid w:val="00E8483E"/>
    <w:rsid w:val="00E84925"/>
    <w:rsid w:val="00E849D7"/>
    <w:rsid w:val="00E84B37"/>
    <w:rsid w:val="00E84C25"/>
    <w:rsid w:val="00E84D19"/>
    <w:rsid w:val="00E84DE4"/>
    <w:rsid w:val="00E84F09"/>
    <w:rsid w:val="00E85131"/>
    <w:rsid w:val="00E85299"/>
    <w:rsid w:val="00E853F9"/>
    <w:rsid w:val="00E854EF"/>
    <w:rsid w:val="00E85734"/>
    <w:rsid w:val="00E857E4"/>
    <w:rsid w:val="00E85858"/>
    <w:rsid w:val="00E8593B"/>
    <w:rsid w:val="00E85C0B"/>
    <w:rsid w:val="00E85D52"/>
    <w:rsid w:val="00E85DCE"/>
    <w:rsid w:val="00E85DE0"/>
    <w:rsid w:val="00E86023"/>
    <w:rsid w:val="00E86083"/>
    <w:rsid w:val="00E8627A"/>
    <w:rsid w:val="00E864CA"/>
    <w:rsid w:val="00E867FE"/>
    <w:rsid w:val="00E86D12"/>
    <w:rsid w:val="00E8730A"/>
    <w:rsid w:val="00E8736B"/>
    <w:rsid w:val="00E873ED"/>
    <w:rsid w:val="00E8745B"/>
    <w:rsid w:val="00E874E1"/>
    <w:rsid w:val="00E874EF"/>
    <w:rsid w:val="00E87571"/>
    <w:rsid w:val="00E87575"/>
    <w:rsid w:val="00E8757A"/>
    <w:rsid w:val="00E87580"/>
    <w:rsid w:val="00E87747"/>
    <w:rsid w:val="00E877AE"/>
    <w:rsid w:val="00E87945"/>
    <w:rsid w:val="00E87A08"/>
    <w:rsid w:val="00E87C03"/>
    <w:rsid w:val="00E87C83"/>
    <w:rsid w:val="00E87E34"/>
    <w:rsid w:val="00E87F0A"/>
    <w:rsid w:val="00E87FBD"/>
    <w:rsid w:val="00E90449"/>
    <w:rsid w:val="00E905C5"/>
    <w:rsid w:val="00E9076F"/>
    <w:rsid w:val="00E9083C"/>
    <w:rsid w:val="00E90D63"/>
    <w:rsid w:val="00E90E8A"/>
    <w:rsid w:val="00E910E6"/>
    <w:rsid w:val="00E91197"/>
    <w:rsid w:val="00E91264"/>
    <w:rsid w:val="00E914B7"/>
    <w:rsid w:val="00E9167C"/>
    <w:rsid w:val="00E91694"/>
    <w:rsid w:val="00E91805"/>
    <w:rsid w:val="00E91C9A"/>
    <w:rsid w:val="00E91F65"/>
    <w:rsid w:val="00E920AB"/>
    <w:rsid w:val="00E92164"/>
    <w:rsid w:val="00E924B4"/>
    <w:rsid w:val="00E92590"/>
    <w:rsid w:val="00E925C4"/>
    <w:rsid w:val="00E92691"/>
    <w:rsid w:val="00E92B68"/>
    <w:rsid w:val="00E92E2D"/>
    <w:rsid w:val="00E92F8C"/>
    <w:rsid w:val="00E92FAD"/>
    <w:rsid w:val="00E92FE9"/>
    <w:rsid w:val="00E92FEF"/>
    <w:rsid w:val="00E93286"/>
    <w:rsid w:val="00E9334F"/>
    <w:rsid w:val="00E93366"/>
    <w:rsid w:val="00E93460"/>
    <w:rsid w:val="00E93692"/>
    <w:rsid w:val="00E9377E"/>
    <w:rsid w:val="00E937E8"/>
    <w:rsid w:val="00E9391A"/>
    <w:rsid w:val="00E93A35"/>
    <w:rsid w:val="00E93B5B"/>
    <w:rsid w:val="00E93D95"/>
    <w:rsid w:val="00E93DD6"/>
    <w:rsid w:val="00E940E3"/>
    <w:rsid w:val="00E9426E"/>
    <w:rsid w:val="00E944EA"/>
    <w:rsid w:val="00E9453A"/>
    <w:rsid w:val="00E946F3"/>
    <w:rsid w:val="00E9473B"/>
    <w:rsid w:val="00E947EA"/>
    <w:rsid w:val="00E94AF8"/>
    <w:rsid w:val="00E94B53"/>
    <w:rsid w:val="00E94D04"/>
    <w:rsid w:val="00E94E37"/>
    <w:rsid w:val="00E94E8D"/>
    <w:rsid w:val="00E9507B"/>
    <w:rsid w:val="00E95196"/>
    <w:rsid w:val="00E95511"/>
    <w:rsid w:val="00E956A8"/>
    <w:rsid w:val="00E9578A"/>
    <w:rsid w:val="00E957E1"/>
    <w:rsid w:val="00E95802"/>
    <w:rsid w:val="00E95840"/>
    <w:rsid w:val="00E9594D"/>
    <w:rsid w:val="00E9599E"/>
    <w:rsid w:val="00E95B3E"/>
    <w:rsid w:val="00E95B52"/>
    <w:rsid w:val="00E95BC7"/>
    <w:rsid w:val="00E95EBB"/>
    <w:rsid w:val="00E95F19"/>
    <w:rsid w:val="00E9606D"/>
    <w:rsid w:val="00E9623A"/>
    <w:rsid w:val="00E96503"/>
    <w:rsid w:val="00E967ED"/>
    <w:rsid w:val="00E968B9"/>
    <w:rsid w:val="00E96984"/>
    <w:rsid w:val="00E969BB"/>
    <w:rsid w:val="00E96B13"/>
    <w:rsid w:val="00E96EBB"/>
    <w:rsid w:val="00E970C2"/>
    <w:rsid w:val="00E970DB"/>
    <w:rsid w:val="00E9721E"/>
    <w:rsid w:val="00E975F0"/>
    <w:rsid w:val="00E979E0"/>
    <w:rsid w:val="00E97BEF"/>
    <w:rsid w:val="00E97F16"/>
    <w:rsid w:val="00EA0094"/>
    <w:rsid w:val="00EA0203"/>
    <w:rsid w:val="00EA030B"/>
    <w:rsid w:val="00EA0990"/>
    <w:rsid w:val="00EA0A52"/>
    <w:rsid w:val="00EA0BA9"/>
    <w:rsid w:val="00EA0DC8"/>
    <w:rsid w:val="00EA0DDC"/>
    <w:rsid w:val="00EA0FEE"/>
    <w:rsid w:val="00EA1356"/>
    <w:rsid w:val="00EA137D"/>
    <w:rsid w:val="00EA1397"/>
    <w:rsid w:val="00EA144C"/>
    <w:rsid w:val="00EA14AB"/>
    <w:rsid w:val="00EA16E0"/>
    <w:rsid w:val="00EA1733"/>
    <w:rsid w:val="00EA17E7"/>
    <w:rsid w:val="00EA18A1"/>
    <w:rsid w:val="00EA1AAB"/>
    <w:rsid w:val="00EA1CE4"/>
    <w:rsid w:val="00EA1E77"/>
    <w:rsid w:val="00EA1F02"/>
    <w:rsid w:val="00EA21C3"/>
    <w:rsid w:val="00EA25CE"/>
    <w:rsid w:val="00EA2806"/>
    <w:rsid w:val="00EA2871"/>
    <w:rsid w:val="00EA2874"/>
    <w:rsid w:val="00EA2A77"/>
    <w:rsid w:val="00EA2AA5"/>
    <w:rsid w:val="00EA2AD0"/>
    <w:rsid w:val="00EA2E27"/>
    <w:rsid w:val="00EA31E4"/>
    <w:rsid w:val="00EA3218"/>
    <w:rsid w:val="00EA32ED"/>
    <w:rsid w:val="00EA33EE"/>
    <w:rsid w:val="00EA3420"/>
    <w:rsid w:val="00EA35D8"/>
    <w:rsid w:val="00EA35ED"/>
    <w:rsid w:val="00EA369C"/>
    <w:rsid w:val="00EA36A1"/>
    <w:rsid w:val="00EA3800"/>
    <w:rsid w:val="00EA381F"/>
    <w:rsid w:val="00EA385F"/>
    <w:rsid w:val="00EA3878"/>
    <w:rsid w:val="00EA3879"/>
    <w:rsid w:val="00EA38E1"/>
    <w:rsid w:val="00EA3914"/>
    <w:rsid w:val="00EA3B41"/>
    <w:rsid w:val="00EA3C73"/>
    <w:rsid w:val="00EA3D23"/>
    <w:rsid w:val="00EA3DA3"/>
    <w:rsid w:val="00EA4172"/>
    <w:rsid w:val="00EA44A8"/>
    <w:rsid w:val="00EA47DF"/>
    <w:rsid w:val="00EA4D73"/>
    <w:rsid w:val="00EA4DD9"/>
    <w:rsid w:val="00EA4E6F"/>
    <w:rsid w:val="00EA4FDE"/>
    <w:rsid w:val="00EA50FB"/>
    <w:rsid w:val="00EA528C"/>
    <w:rsid w:val="00EA52A9"/>
    <w:rsid w:val="00EA53FB"/>
    <w:rsid w:val="00EA567A"/>
    <w:rsid w:val="00EA591C"/>
    <w:rsid w:val="00EA5BA8"/>
    <w:rsid w:val="00EA5CA1"/>
    <w:rsid w:val="00EA5E5D"/>
    <w:rsid w:val="00EA61B9"/>
    <w:rsid w:val="00EA62F0"/>
    <w:rsid w:val="00EA62F5"/>
    <w:rsid w:val="00EA63DE"/>
    <w:rsid w:val="00EA6523"/>
    <w:rsid w:val="00EA65DC"/>
    <w:rsid w:val="00EA65F9"/>
    <w:rsid w:val="00EA6720"/>
    <w:rsid w:val="00EA6740"/>
    <w:rsid w:val="00EA68B2"/>
    <w:rsid w:val="00EA6911"/>
    <w:rsid w:val="00EA6B4A"/>
    <w:rsid w:val="00EA6BA1"/>
    <w:rsid w:val="00EA6BBE"/>
    <w:rsid w:val="00EA6C60"/>
    <w:rsid w:val="00EA6CAD"/>
    <w:rsid w:val="00EA6D1D"/>
    <w:rsid w:val="00EA6D4F"/>
    <w:rsid w:val="00EA6DC9"/>
    <w:rsid w:val="00EA6EA5"/>
    <w:rsid w:val="00EA6EDC"/>
    <w:rsid w:val="00EA7003"/>
    <w:rsid w:val="00EA715E"/>
    <w:rsid w:val="00EA748B"/>
    <w:rsid w:val="00EA76E8"/>
    <w:rsid w:val="00EA7A3D"/>
    <w:rsid w:val="00EA7AC9"/>
    <w:rsid w:val="00EA7D3B"/>
    <w:rsid w:val="00EA7F26"/>
    <w:rsid w:val="00EB0016"/>
    <w:rsid w:val="00EB01F0"/>
    <w:rsid w:val="00EB03A8"/>
    <w:rsid w:val="00EB04C8"/>
    <w:rsid w:val="00EB077B"/>
    <w:rsid w:val="00EB078D"/>
    <w:rsid w:val="00EB07FA"/>
    <w:rsid w:val="00EB081E"/>
    <w:rsid w:val="00EB087E"/>
    <w:rsid w:val="00EB0C2B"/>
    <w:rsid w:val="00EB0DC7"/>
    <w:rsid w:val="00EB0FFE"/>
    <w:rsid w:val="00EB11C8"/>
    <w:rsid w:val="00EB120F"/>
    <w:rsid w:val="00EB1248"/>
    <w:rsid w:val="00EB1295"/>
    <w:rsid w:val="00EB13E1"/>
    <w:rsid w:val="00EB1543"/>
    <w:rsid w:val="00EB1766"/>
    <w:rsid w:val="00EB17EF"/>
    <w:rsid w:val="00EB1870"/>
    <w:rsid w:val="00EB1995"/>
    <w:rsid w:val="00EB1A3D"/>
    <w:rsid w:val="00EB1AC5"/>
    <w:rsid w:val="00EB1B5B"/>
    <w:rsid w:val="00EB1E2E"/>
    <w:rsid w:val="00EB1EDE"/>
    <w:rsid w:val="00EB1F3C"/>
    <w:rsid w:val="00EB2AA8"/>
    <w:rsid w:val="00EB2BD3"/>
    <w:rsid w:val="00EB2C10"/>
    <w:rsid w:val="00EB2C94"/>
    <w:rsid w:val="00EB2CE6"/>
    <w:rsid w:val="00EB2CEF"/>
    <w:rsid w:val="00EB2FAE"/>
    <w:rsid w:val="00EB2FDB"/>
    <w:rsid w:val="00EB3065"/>
    <w:rsid w:val="00EB3111"/>
    <w:rsid w:val="00EB314B"/>
    <w:rsid w:val="00EB334A"/>
    <w:rsid w:val="00EB3362"/>
    <w:rsid w:val="00EB33B2"/>
    <w:rsid w:val="00EB33CB"/>
    <w:rsid w:val="00EB35CB"/>
    <w:rsid w:val="00EB37F3"/>
    <w:rsid w:val="00EB385F"/>
    <w:rsid w:val="00EB38A7"/>
    <w:rsid w:val="00EB396F"/>
    <w:rsid w:val="00EB3BDC"/>
    <w:rsid w:val="00EB3D38"/>
    <w:rsid w:val="00EB3DFC"/>
    <w:rsid w:val="00EB3E41"/>
    <w:rsid w:val="00EB411C"/>
    <w:rsid w:val="00EB4241"/>
    <w:rsid w:val="00EB4263"/>
    <w:rsid w:val="00EB429A"/>
    <w:rsid w:val="00EB42E0"/>
    <w:rsid w:val="00EB4453"/>
    <w:rsid w:val="00EB451D"/>
    <w:rsid w:val="00EB4568"/>
    <w:rsid w:val="00EB48E4"/>
    <w:rsid w:val="00EB4969"/>
    <w:rsid w:val="00EB497C"/>
    <w:rsid w:val="00EB4D81"/>
    <w:rsid w:val="00EB4E33"/>
    <w:rsid w:val="00EB5082"/>
    <w:rsid w:val="00EB5170"/>
    <w:rsid w:val="00EB5347"/>
    <w:rsid w:val="00EB5405"/>
    <w:rsid w:val="00EB58F8"/>
    <w:rsid w:val="00EB5A68"/>
    <w:rsid w:val="00EB5B05"/>
    <w:rsid w:val="00EB5B7C"/>
    <w:rsid w:val="00EB5CC7"/>
    <w:rsid w:val="00EB5D78"/>
    <w:rsid w:val="00EB5FB6"/>
    <w:rsid w:val="00EB5FDF"/>
    <w:rsid w:val="00EB60C1"/>
    <w:rsid w:val="00EB61E1"/>
    <w:rsid w:val="00EB627E"/>
    <w:rsid w:val="00EB6438"/>
    <w:rsid w:val="00EB6499"/>
    <w:rsid w:val="00EB64D6"/>
    <w:rsid w:val="00EB65B4"/>
    <w:rsid w:val="00EB6675"/>
    <w:rsid w:val="00EB66FB"/>
    <w:rsid w:val="00EB68B8"/>
    <w:rsid w:val="00EB6B8D"/>
    <w:rsid w:val="00EB6BCC"/>
    <w:rsid w:val="00EB71EB"/>
    <w:rsid w:val="00EB7276"/>
    <w:rsid w:val="00EB73A2"/>
    <w:rsid w:val="00EB7C72"/>
    <w:rsid w:val="00EC0295"/>
    <w:rsid w:val="00EC0310"/>
    <w:rsid w:val="00EC05A4"/>
    <w:rsid w:val="00EC0913"/>
    <w:rsid w:val="00EC0999"/>
    <w:rsid w:val="00EC09A8"/>
    <w:rsid w:val="00EC0BA5"/>
    <w:rsid w:val="00EC0C37"/>
    <w:rsid w:val="00EC1035"/>
    <w:rsid w:val="00EC1058"/>
    <w:rsid w:val="00EC1246"/>
    <w:rsid w:val="00EC12ED"/>
    <w:rsid w:val="00EC13D5"/>
    <w:rsid w:val="00EC1530"/>
    <w:rsid w:val="00EC15C7"/>
    <w:rsid w:val="00EC1625"/>
    <w:rsid w:val="00EC1687"/>
    <w:rsid w:val="00EC1980"/>
    <w:rsid w:val="00EC1A2C"/>
    <w:rsid w:val="00EC1D9C"/>
    <w:rsid w:val="00EC1DBE"/>
    <w:rsid w:val="00EC2194"/>
    <w:rsid w:val="00EC232E"/>
    <w:rsid w:val="00EC23D8"/>
    <w:rsid w:val="00EC2476"/>
    <w:rsid w:val="00EC2518"/>
    <w:rsid w:val="00EC2575"/>
    <w:rsid w:val="00EC26B1"/>
    <w:rsid w:val="00EC2A14"/>
    <w:rsid w:val="00EC2A47"/>
    <w:rsid w:val="00EC2A65"/>
    <w:rsid w:val="00EC303B"/>
    <w:rsid w:val="00EC30FC"/>
    <w:rsid w:val="00EC3193"/>
    <w:rsid w:val="00EC335C"/>
    <w:rsid w:val="00EC34A3"/>
    <w:rsid w:val="00EC3529"/>
    <w:rsid w:val="00EC35D4"/>
    <w:rsid w:val="00EC37E9"/>
    <w:rsid w:val="00EC3939"/>
    <w:rsid w:val="00EC3A44"/>
    <w:rsid w:val="00EC40EF"/>
    <w:rsid w:val="00EC4110"/>
    <w:rsid w:val="00EC4131"/>
    <w:rsid w:val="00EC4194"/>
    <w:rsid w:val="00EC41CE"/>
    <w:rsid w:val="00EC4370"/>
    <w:rsid w:val="00EC43B2"/>
    <w:rsid w:val="00EC4767"/>
    <w:rsid w:val="00EC4C22"/>
    <w:rsid w:val="00EC4D38"/>
    <w:rsid w:val="00EC4FC0"/>
    <w:rsid w:val="00EC51C8"/>
    <w:rsid w:val="00EC52C7"/>
    <w:rsid w:val="00EC5382"/>
    <w:rsid w:val="00EC53D0"/>
    <w:rsid w:val="00EC53D1"/>
    <w:rsid w:val="00EC5465"/>
    <w:rsid w:val="00EC55D3"/>
    <w:rsid w:val="00EC5620"/>
    <w:rsid w:val="00EC5713"/>
    <w:rsid w:val="00EC5776"/>
    <w:rsid w:val="00EC57D2"/>
    <w:rsid w:val="00EC580E"/>
    <w:rsid w:val="00EC59CA"/>
    <w:rsid w:val="00EC5A94"/>
    <w:rsid w:val="00EC5ACF"/>
    <w:rsid w:val="00EC5BC8"/>
    <w:rsid w:val="00EC5C80"/>
    <w:rsid w:val="00EC5DFA"/>
    <w:rsid w:val="00EC5FEF"/>
    <w:rsid w:val="00EC61AC"/>
    <w:rsid w:val="00EC61CD"/>
    <w:rsid w:val="00EC638B"/>
    <w:rsid w:val="00EC6617"/>
    <w:rsid w:val="00EC666E"/>
    <w:rsid w:val="00EC69FE"/>
    <w:rsid w:val="00EC6C57"/>
    <w:rsid w:val="00EC6EAE"/>
    <w:rsid w:val="00EC6EF5"/>
    <w:rsid w:val="00EC6F6A"/>
    <w:rsid w:val="00EC7072"/>
    <w:rsid w:val="00EC7280"/>
    <w:rsid w:val="00EC740E"/>
    <w:rsid w:val="00EC7792"/>
    <w:rsid w:val="00EC77B2"/>
    <w:rsid w:val="00EC782F"/>
    <w:rsid w:val="00EC791F"/>
    <w:rsid w:val="00EC7A10"/>
    <w:rsid w:val="00ED0194"/>
    <w:rsid w:val="00ED02D8"/>
    <w:rsid w:val="00ED07F4"/>
    <w:rsid w:val="00ED0846"/>
    <w:rsid w:val="00ED0916"/>
    <w:rsid w:val="00ED0C91"/>
    <w:rsid w:val="00ED0DA0"/>
    <w:rsid w:val="00ED0DD2"/>
    <w:rsid w:val="00ED0E68"/>
    <w:rsid w:val="00ED0E89"/>
    <w:rsid w:val="00ED0F0E"/>
    <w:rsid w:val="00ED0FFD"/>
    <w:rsid w:val="00ED1270"/>
    <w:rsid w:val="00ED131C"/>
    <w:rsid w:val="00ED180E"/>
    <w:rsid w:val="00ED192F"/>
    <w:rsid w:val="00ED19C3"/>
    <w:rsid w:val="00ED1B45"/>
    <w:rsid w:val="00ED1B94"/>
    <w:rsid w:val="00ED1BBC"/>
    <w:rsid w:val="00ED1C1F"/>
    <w:rsid w:val="00ED1EA9"/>
    <w:rsid w:val="00ED220F"/>
    <w:rsid w:val="00ED22DB"/>
    <w:rsid w:val="00ED23B4"/>
    <w:rsid w:val="00ED244A"/>
    <w:rsid w:val="00ED2468"/>
    <w:rsid w:val="00ED2593"/>
    <w:rsid w:val="00ED261A"/>
    <w:rsid w:val="00ED2A22"/>
    <w:rsid w:val="00ED2A72"/>
    <w:rsid w:val="00ED2AC0"/>
    <w:rsid w:val="00ED2EFC"/>
    <w:rsid w:val="00ED2F31"/>
    <w:rsid w:val="00ED2F41"/>
    <w:rsid w:val="00ED3022"/>
    <w:rsid w:val="00ED30B8"/>
    <w:rsid w:val="00ED3125"/>
    <w:rsid w:val="00ED3132"/>
    <w:rsid w:val="00ED3183"/>
    <w:rsid w:val="00ED31DD"/>
    <w:rsid w:val="00ED348B"/>
    <w:rsid w:val="00ED3542"/>
    <w:rsid w:val="00ED35F2"/>
    <w:rsid w:val="00ED3734"/>
    <w:rsid w:val="00ED3806"/>
    <w:rsid w:val="00ED3940"/>
    <w:rsid w:val="00ED3E95"/>
    <w:rsid w:val="00ED3EBE"/>
    <w:rsid w:val="00ED413C"/>
    <w:rsid w:val="00ED4192"/>
    <w:rsid w:val="00ED42B3"/>
    <w:rsid w:val="00ED42CB"/>
    <w:rsid w:val="00ED460E"/>
    <w:rsid w:val="00ED470E"/>
    <w:rsid w:val="00ED4B36"/>
    <w:rsid w:val="00ED4B77"/>
    <w:rsid w:val="00ED4D09"/>
    <w:rsid w:val="00ED501D"/>
    <w:rsid w:val="00ED5031"/>
    <w:rsid w:val="00ED518A"/>
    <w:rsid w:val="00ED522B"/>
    <w:rsid w:val="00ED535C"/>
    <w:rsid w:val="00ED550D"/>
    <w:rsid w:val="00ED579D"/>
    <w:rsid w:val="00ED57CE"/>
    <w:rsid w:val="00ED58C0"/>
    <w:rsid w:val="00ED58E1"/>
    <w:rsid w:val="00ED5A78"/>
    <w:rsid w:val="00ED5C2C"/>
    <w:rsid w:val="00ED5DE9"/>
    <w:rsid w:val="00ED5F93"/>
    <w:rsid w:val="00ED62C4"/>
    <w:rsid w:val="00ED6343"/>
    <w:rsid w:val="00ED643A"/>
    <w:rsid w:val="00ED6A5A"/>
    <w:rsid w:val="00ED6ACE"/>
    <w:rsid w:val="00ED6B9B"/>
    <w:rsid w:val="00ED6C42"/>
    <w:rsid w:val="00ED6C63"/>
    <w:rsid w:val="00ED70C4"/>
    <w:rsid w:val="00ED74E8"/>
    <w:rsid w:val="00ED74FD"/>
    <w:rsid w:val="00ED76BC"/>
    <w:rsid w:val="00ED76DE"/>
    <w:rsid w:val="00ED7722"/>
    <w:rsid w:val="00ED7B14"/>
    <w:rsid w:val="00ED7E4C"/>
    <w:rsid w:val="00ED7E9F"/>
    <w:rsid w:val="00EE002D"/>
    <w:rsid w:val="00EE011F"/>
    <w:rsid w:val="00EE04B2"/>
    <w:rsid w:val="00EE064C"/>
    <w:rsid w:val="00EE09CC"/>
    <w:rsid w:val="00EE0C1F"/>
    <w:rsid w:val="00EE0CA1"/>
    <w:rsid w:val="00EE0FA4"/>
    <w:rsid w:val="00EE1138"/>
    <w:rsid w:val="00EE1214"/>
    <w:rsid w:val="00EE12EB"/>
    <w:rsid w:val="00EE1374"/>
    <w:rsid w:val="00EE157E"/>
    <w:rsid w:val="00EE15A6"/>
    <w:rsid w:val="00EE1724"/>
    <w:rsid w:val="00EE17DF"/>
    <w:rsid w:val="00EE17F6"/>
    <w:rsid w:val="00EE1993"/>
    <w:rsid w:val="00EE1BE0"/>
    <w:rsid w:val="00EE258C"/>
    <w:rsid w:val="00EE2685"/>
    <w:rsid w:val="00EE2EEA"/>
    <w:rsid w:val="00EE2F31"/>
    <w:rsid w:val="00EE34C7"/>
    <w:rsid w:val="00EE370B"/>
    <w:rsid w:val="00EE3A37"/>
    <w:rsid w:val="00EE3CF6"/>
    <w:rsid w:val="00EE3D47"/>
    <w:rsid w:val="00EE3DEA"/>
    <w:rsid w:val="00EE441F"/>
    <w:rsid w:val="00EE44F2"/>
    <w:rsid w:val="00EE451D"/>
    <w:rsid w:val="00EE4642"/>
    <w:rsid w:val="00EE466A"/>
    <w:rsid w:val="00EE4701"/>
    <w:rsid w:val="00EE4829"/>
    <w:rsid w:val="00EE491C"/>
    <w:rsid w:val="00EE4994"/>
    <w:rsid w:val="00EE4A6C"/>
    <w:rsid w:val="00EE4B85"/>
    <w:rsid w:val="00EE4BCE"/>
    <w:rsid w:val="00EE4C7F"/>
    <w:rsid w:val="00EE4D39"/>
    <w:rsid w:val="00EE4E04"/>
    <w:rsid w:val="00EE5015"/>
    <w:rsid w:val="00EE51B6"/>
    <w:rsid w:val="00EE5293"/>
    <w:rsid w:val="00EE53B0"/>
    <w:rsid w:val="00EE586D"/>
    <w:rsid w:val="00EE5B5B"/>
    <w:rsid w:val="00EE5E07"/>
    <w:rsid w:val="00EE6336"/>
    <w:rsid w:val="00EE6590"/>
    <w:rsid w:val="00EE65BC"/>
    <w:rsid w:val="00EE674E"/>
    <w:rsid w:val="00EE686E"/>
    <w:rsid w:val="00EE6AC2"/>
    <w:rsid w:val="00EE6AC5"/>
    <w:rsid w:val="00EE6BAB"/>
    <w:rsid w:val="00EE6D70"/>
    <w:rsid w:val="00EE7126"/>
    <w:rsid w:val="00EE7252"/>
    <w:rsid w:val="00EE75DA"/>
    <w:rsid w:val="00EE76B4"/>
    <w:rsid w:val="00EE77AA"/>
    <w:rsid w:val="00EE79CD"/>
    <w:rsid w:val="00EE7B54"/>
    <w:rsid w:val="00EE7CD3"/>
    <w:rsid w:val="00EE7DBB"/>
    <w:rsid w:val="00EE7FDA"/>
    <w:rsid w:val="00EF005C"/>
    <w:rsid w:val="00EF0188"/>
    <w:rsid w:val="00EF04B2"/>
    <w:rsid w:val="00EF0749"/>
    <w:rsid w:val="00EF07A7"/>
    <w:rsid w:val="00EF07F3"/>
    <w:rsid w:val="00EF08D6"/>
    <w:rsid w:val="00EF0EEC"/>
    <w:rsid w:val="00EF12BB"/>
    <w:rsid w:val="00EF12C3"/>
    <w:rsid w:val="00EF1762"/>
    <w:rsid w:val="00EF1CE7"/>
    <w:rsid w:val="00EF1DEF"/>
    <w:rsid w:val="00EF1FA6"/>
    <w:rsid w:val="00EF21FF"/>
    <w:rsid w:val="00EF2431"/>
    <w:rsid w:val="00EF2512"/>
    <w:rsid w:val="00EF26ED"/>
    <w:rsid w:val="00EF27B3"/>
    <w:rsid w:val="00EF2870"/>
    <w:rsid w:val="00EF2972"/>
    <w:rsid w:val="00EF2989"/>
    <w:rsid w:val="00EF2A74"/>
    <w:rsid w:val="00EF2AFD"/>
    <w:rsid w:val="00EF2C9F"/>
    <w:rsid w:val="00EF30DE"/>
    <w:rsid w:val="00EF311F"/>
    <w:rsid w:val="00EF31F5"/>
    <w:rsid w:val="00EF337A"/>
    <w:rsid w:val="00EF356C"/>
    <w:rsid w:val="00EF35D7"/>
    <w:rsid w:val="00EF37EE"/>
    <w:rsid w:val="00EF3A59"/>
    <w:rsid w:val="00EF3A5C"/>
    <w:rsid w:val="00EF3D09"/>
    <w:rsid w:val="00EF3F10"/>
    <w:rsid w:val="00EF4045"/>
    <w:rsid w:val="00EF410B"/>
    <w:rsid w:val="00EF421A"/>
    <w:rsid w:val="00EF43C2"/>
    <w:rsid w:val="00EF43EB"/>
    <w:rsid w:val="00EF4483"/>
    <w:rsid w:val="00EF4B58"/>
    <w:rsid w:val="00EF4B65"/>
    <w:rsid w:val="00EF4DD3"/>
    <w:rsid w:val="00EF4EE5"/>
    <w:rsid w:val="00EF4FB7"/>
    <w:rsid w:val="00EF52CA"/>
    <w:rsid w:val="00EF53A3"/>
    <w:rsid w:val="00EF54D7"/>
    <w:rsid w:val="00EF5672"/>
    <w:rsid w:val="00EF58B6"/>
    <w:rsid w:val="00EF5B29"/>
    <w:rsid w:val="00EF5C78"/>
    <w:rsid w:val="00EF5D28"/>
    <w:rsid w:val="00EF5D5A"/>
    <w:rsid w:val="00EF5DD6"/>
    <w:rsid w:val="00EF5E87"/>
    <w:rsid w:val="00EF5F04"/>
    <w:rsid w:val="00EF5FD8"/>
    <w:rsid w:val="00EF6005"/>
    <w:rsid w:val="00EF6121"/>
    <w:rsid w:val="00EF6356"/>
    <w:rsid w:val="00EF6376"/>
    <w:rsid w:val="00EF63D1"/>
    <w:rsid w:val="00EF6534"/>
    <w:rsid w:val="00EF65BB"/>
    <w:rsid w:val="00EF6AA9"/>
    <w:rsid w:val="00EF6B12"/>
    <w:rsid w:val="00EF6D2A"/>
    <w:rsid w:val="00EF6D56"/>
    <w:rsid w:val="00EF6E90"/>
    <w:rsid w:val="00EF6EDE"/>
    <w:rsid w:val="00EF6EF6"/>
    <w:rsid w:val="00EF6FF3"/>
    <w:rsid w:val="00EF6FFC"/>
    <w:rsid w:val="00EF7128"/>
    <w:rsid w:val="00EF71CB"/>
    <w:rsid w:val="00EF72BB"/>
    <w:rsid w:val="00EF752E"/>
    <w:rsid w:val="00EF76AC"/>
    <w:rsid w:val="00EF79F7"/>
    <w:rsid w:val="00EF7BEC"/>
    <w:rsid w:val="00EF7C9F"/>
    <w:rsid w:val="00EF7D2F"/>
    <w:rsid w:val="00EF7EBD"/>
    <w:rsid w:val="00F000EF"/>
    <w:rsid w:val="00F0012C"/>
    <w:rsid w:val="00F00602"/>
    <w:rsid w:val="00F009E1"/>
    <w:rsid w:val="00F00A01"/>
    <w:rsid w:val="00F00A4B"/>
    <w:rsid w:val="00F00AAE"/>
    <w:rsid w:val="00F00E1D"/>
    <w:rsid w:val="00F00F1B"/>
    <w:rsid w:val="00F00FE3"/>
    <w:rsid w:val="00F0114A"/>
    <w:rsid w:val="00F0115D"/>
    <w:rsid w:val="00F011E1"/>
    <w:rsid w:val="00F01783"/>
    <w:rsid w:val="00F018B8"/>
    <w:rsid w:val="00F01C25"/>
    <w:rsid w:val="00F01D61"/>
    <w:rsid w:val="00F01E39"/>
    <w:rsid w:val="00F020C6"/>
    <w:rsid w:val="00F0233F"/>
    <w:rsid w:val="00F02342"/>
    <w:rsid w:val="00F025C9"/>
    <w:rsid w:val="00F0261E"/>
    <w:rsid w:val="00F02685"/>
    <w:rsid w:val="00F02773"/>
    <w:rsid w:val="00F0283F"/>
    <w:rsid w:val="00F0288F"/>
    <w:rsid w:val="00F028CB"/>
    <w:rsid w:val="00F02919"/>
    <w:rsid w:val="00F02A3A"/>
    <w:rsid w:val="00F02AFD"/>
    <w:rsid w:val="00F02C51"/>
    <w:rsid w:val="00F02E2E"/>
    <w:rsid w:val="00F030E6"/>
    <w:rsid w:val="00F032CF"/>
    <w:rsid w:val="00F03429"/>
    <w:rsid w:val="00F035B3"/>
    <w:rsid w:val="00F03B39"/>
    <w:rsid w:val="00F03DC7"/>
    <w:rsid w:val="00F0409F"/>
    <w:rsid w:val="00F042F2"/>
    <w:rsid w:val="00F04382"/>
    <w:rsid w:val="00F04398"/>
    <w:rsid w:val="00F043B3"/>
    <w:rsid w:val="00F04682"/>
    <w:rsid w:val="00F04786"/>
    <w:rsid w:val="00F0485B"/>
    <w:rsid w:val="00F0498A"/>
    <w:rsid w:val="00F04AAC"/>
    <w:rsid w:val="00F04BFA"/>
    <w:rsid w:val="00F04C25"/>
    <w:rsid w:val="00F051E0"/>
    <w:rsid w:val="00F05247"/>
    <w:rsid w:val="00F055B6"/>
    <w:rsid w:val="00F055CB"/>
    <w:rsid w:val="00F05A71"/>
    <w:rsid w:val="00F05B2F"/>
    <w:rsid w:val="00F05BC7"/>
    <w:rsid w:val="00F05C9E"/>
    <w:rsid w:val="00F05EC3"/>
    <w:rsid w:val="00F05F0D"/>
    <w:rsid w:val="00F066DA"/>
    <w:rsid w:val="00F069F8"/>
    <w:rsid w:val="00F06AC5"/>
    <w:rsid w:val="00F06B1C"/>
    <w:rsid w:val="00F06BEF"/>
    <w:rsid w:val="00F06F06"/>
    <w:rsid w:val="00F06F99"/>
    <w:rsid w:val="00F07062"/>
    <w:rsid w:val="00F072AB"/>
    <w:rsid w:val="00F072BB"/>
    <w:rsid w:val="00F072EE"/>
    <w:rsid w:val="00F07394"/>
    <w:rsid w:val="00F076E4"/>
    <w:rsid w:val="00F0788C"/>
    <w:rsid w:val="00F078B7"/>
    <w:rsid w:val="00F07EB0"/>
    <w:rsid w:val="00F07F41"/>
    <w:rsid w:val="00F07F6B"/>
    <w:rsid w:val="00F1003B"/>
    <w:rsid w:val="00F1029B"/>
    <w:rsid w:val="00F1057D"/>
    <w:rsid w:val="00F106BF"/>
    <w:rsid w:val="00F107F3"/>
    <w:rsid w:val="00F10C23"/>
    <w:rsid w:val="00F10C4A"/>
    <w:rsid w:val="00F10D70"/>
    <w:rsid w:val="00F10EB4"/>
    <w:rsid w:val="00F1124E"/>
    <w:rsid w:val="00F11470"/>
    <w:rsid w:val="00F11AAE"/>
    <w:rsid w:val="00F11ABF"/>
    <w:rsid w:val="00F11B1C"/>
    <w:rsid w:val="00F11B78"/>
    <w:rsid w:val="00F11BFB"/>
    <w:rsid w:val="00F11C2B"/>
    <w:rsid w:val="00F11D40"/>
    <w:rsid w:val="00F11E55"/>
    <w:rsid w:val="00F11F6F"/>
    <w:rsid w:val="00F11FDB"/>
    <w:rsid w:val="00F121A9"/>
    <w:rsid w:val="00F12259"/>
    <w:rsid w:val="00F1231E"/>
    <w:rsid w:val="00F12491"/>
    <w:rsid w:val="00F12588"/>
    <w:rsid w:val="00F1260B"/>
    <w:rsid w:val="00F12A31"/>
    <w:rsid w:val="00F12C96"/>
    <w:rsid w:val="00F12FDE"/>
    <w:rsid w:val="00F12FDF"/>
    <w:rsid w:val="00F13104"/>
    <w:rsid w:val="00F131AF"/>
    <w:rsid w:val="00F136D1"/>
    <w:rsid w:val="00F13AF5"/>
    <w:rsid w:val="00F13BBB"/>
    <w:rsid w:val="00F13DF3"/>
    <w:rsid w:val="00F13E6A"/>
    <w:rsid w:val="00F13F01"/>
    <w:rsid w:val="00F13FBD"/>
    <w:rsid w:val="00F1400B"/>
    <w:rsid w:val="00F140C6"/>
    <w:rsid w:val="00F140E6"/>
    <w:rsid w:val="00F1481A"/>
    <w:rsid w:val="00F14AC8"/>
    <w:rsid w:val="00F14AE1"/>
    <w:rsid w:val="00F14B93"/>
    <w:rsid w:val="00F14BE6"/>
    <w:rsid w:val="00F14C53"/>
    <w:rsid w:val="00F14CFB"/>
    <w:rsid w:val="00F14FA5"/>
    <w:rsid w:val="00F150EA"/>
    <w:rsid w:val="00F15208"/>
    <w:rsid w:val="00F152E6"/>
    <w:rsid w:val="00F1552A"/>
    <w:rsid w:val="00F1562F"/>
    <w:rsid w:val="00F156FA"/>
    <w:rsid w:val="00F158F8"/>
    <w:rsid w:val="00F158FB"/>
    <w:rsid w:val="00F15C17"/>
    <w:rsid w:val="00F15C6A"/>
    <w:rsid w:val="00F1609D"/>
    <w:rsid w:val="00F160B0"/>
    <w:rsid w:val="00F16140"/>
    <w:rsid w:val="00F16143"/>
    <w:rsid w:val="00F16370"/>
    <w:rsid w:val="00F164DD"/>
    <w:rsid w:val="00F165E5"/>
    <w:rsid w:val="00F166D6"/>
    <w:rsid w:val="00F16704"/>
    <w:rsid w:val="00F169C6"/>
    <w:rsid w:val="00F16A1B"/>
    <w:rsid w:val="00F16A60"/>
    <w:rsid w:val="00F16AFA"/>
    <w:rsid w:val="00F16B4D"/>
    <w:rsid w:val="00F16C38"/>
    <w:rsid w:val="00F1719C"/>
    <w:rsid w:val="00F17205"/>
    <w:rsid w:val="00F1732C"/>
    <w:rsid w:val="00F17437"/>
    <w:rsid w:val="00F17519"/>
    <w:rsid w:val="00F17579"/>
    <w:rsid w:val="00F17839"/>
    <w:rsid w:val="00F178F7"/>
    <w:rsid w:val="00F17C6F"/>
    <w:rsid w:val="00F17E78"/>
    <w:rsid w:val="00F2002E"/>
    <w:rsid w:val="00F20101"/>
    <w:rsid w:val="00F2043D"/>
    <w:rsid w:val="00F205E7"/>
    <w:rsid w:val="00F20786"/>
    <w:rsid w:val="00F20880"/>
    <w:rsid w:val="00F20A26"/>
    <w:rsid w:val="00F20A7A"/>
    <w:rsid w:val="00F20A93"/>
    <w:rsid w:val="00F20BD2"/>
    <w:rsid w:val="00F20C9B"/>
    <w:rsid w:val="00F20D41"/>
    <w:rsid w:val="00F20DE0"/>
    <w:rsid w:val="00F20E46"/>
    <w:rsid w:val="00F2102A"/>
    <w:rsid w:val="00F212DA"/>
    <w:rsid w:val="00F214D9"/>
    <w:rsid w:val="00F21617"/>
    <w:rsid w:val="00F21666"/>
    <w:rsid w:val="00F216B5"/>
    <w:rsid w:val="00F217A8"/>
    <w:rsid w:val="00F218A7"/>
    <w:rsid w:val="00F21A25"/>
    <w:rsid w:val="00F21ABC"/>
    <w:rsid w:val="00F21AC7"/>
    <w:rsid w:val="00F21AD1"/>
    <w:rsid w:val="00F21ADD"/>
    <w:rsid w:val="00F21CE3"/>
    <w:rsid w:val="00F21E14"/>
    <w:rsid w:val="00F2201F"/>
    <w:rsid w:val="00F22685"/>
    <w:rsid w:val="00F227B7"/>
    <w:rsid w:val="00F22A71"/>
    <w:rsid w:val="00F22C64"/>
    <w:rsid w:val="00F22CD6"/>
    <w:rsid w:val="00F22DAF"/>
    <w:rsid w:val="00F22E64"/>
    <w:rsid w:val="00F23394"/>
    <w:rsid w:val="00F2353F"/>
    <w:rsid w:val="00F2357B"/>
    <w:rsid w:val="00F236E7"/>
    <w:rsid w:val="00F236ED"/>
    <w:rsid w:val="00F236F2"/>
    <w:rsid w:val="00F2373C"/>
    <w:rsid w:val="00F238A6"/>
    <w:rsid w:val="00F23E18"/>
    <w:rsid w:val="00F23E3C"/>
    <w:rsid w:val="00F23FC3"/>
    <w:rsid w:val="00F23FCA"/>
    <w:rsid w:val="00F243F9"/>
    <w:rsid w:val="00F244C7"/>
    <w:rsid w:val="00F246D4"/>
    <w:rsid w:val="00F246E9"/>
    <w:rsid w:val="00F2474D"/>
    <w:rsid w:val="00F24796"/>
    <w:rsid w:val="00F24A55"/>
    <w:rsid w:val="00F24E1F"/>
    <w:rsid w:val="00F24E8E"/>
    <w:rsid w:val="00F24FD0"/>
    <w:rsid w:val="00F25020"/>
    <w:rsid w:val="00F25183"/>
    <w:rsid w:val="00F256AE"/>
    <w:rsid w:val="00F25763"/>
    <w:rsid w:val="00F257B1"/>
    <w:rsid w:val="00F25992"/>
    <w:rsid w:val="00F25C37"/>
    <w:rsid w:val="00F25C66"/>
    <w:rsid w:val="00F25CC7"/>
    <w:rsid w:val="00F260B7"/>
    <w:rsid w:val="00F260B8"/>
    <w:rsid w:val="00F261F6"/>
    <w:rsid w:val="00F262F2"/>
    <w:rsid w:val="00F263C4"/>
    <w:rsid w:val="00F2642C"/>
    <w:rsid w:val="00F2647B"/>
    <w:rsid w:val="00F265AC"/>
    <w:rsid w:val="00F265BA"/>
    <w:rsid w:val="00F267FC"/>
    <w:rsid w:val="00F26839"/>
    <w:rsid w:val="00F26908"/>
    <w:rsid w:val="00F26988"/>
    <w:rsid w:val="00F269B9"/>
    <w:rsid w:val="00F26A23"/>
    <w:rsid w:val="00F26A2B"/>
    <w:rsid w:val="00F26BCA"/>
    <w:rsid w:val="00F26C7E"/>
    <w:rsid w:val="00F26E23"/>
    <w:rsid w:val="00F27262"/>
    <w:rsid w:val="00F274B0"/>
    <w:rsid w:val="00F275D6"/>
    <w:rsid w:val="00F276DE"/>
    <w:rsid w:val="00F27761"/>
    <w:rsid w:val="00F27805"/>
    <w:rsid w:val="00F27835"/>
    <w:rsid w:val="00F278EF"/>
    <w:rsid w:val="00F27CC2"/>
    <w:rsid w:val="00F27D0E"/>
    <w:rsid w:val="00F27D76"/>
    <w:rsid w:val="00F27FA0"/>
    <w:rsid w:val="00F27FF7"/>
    <w:rsid w:val="00F3000B"/>
    <w:rsid w:val="00F300AC"/>
    <w:rsid w:val="00F300F0"/>
    <w:rsid w:val="00F302A8"/>
    <w:rsid w:val="00F30304"/>
    <w:rsid w:val="00F30415"/>
    <w:rsid w:val="00F30482"/>
    <w:rsid w:val="00F3049F"/>
    <w:rsid w:val="00F304E4"/>
    <w:rsid w:val="00F3053E"/>
    <w:rsid w:val="00F306E9"/>
    <w:rsid w:val="00F30AD0"/>
    <w:rsid w:val="00F30B74"/>
    <w:rsid w:val="00F30C37"/>
    <w:rsid w:val="00F30D97"/>
    <w:rsid w:val="00F30DFF"/>
    <w:rsid w:val="00F3100E"/>
    <w:rsid w:val="00F3136A"/>
    <w:rsid w:val="00F3158B"/>
    <w:rsid w:val="00F31864"/>
    <w:rsid w:val="00F319D5"/>
    <w:rsid w:val="00F31A5E"/>
    <w:rsid w:val="00F31A73"/>
    <w:rsid w:val="00F31B22"/>
    <w:rsid w:val="00F31BB7"/>
    <w:rsid w:val="00F31BFE"/>
    <w:rsid w:val="00F31EE7"/>
    <w:rsid w:val="00F31F15"/>
    <w:rsid w:val="00F321B1"/>
    <w:rsid w:val="00F321E0"/>
    <w:rsid w:val="00F321F6"/>
    <w:rsid w:val="00F324C4"/>
    <w:rsid w:val="00F32536"/>
    <w:rsid w:val="00F32626"/>
    <w:rsid w:val="00F32766"/>
    <w:rsid w:val="00F329B5"/>
    <w:rsid w:val="00F32AE4"/>
    <w:rsid w:val="00F32B0D"/>
    <w:rsid w:val="00F32B58"/>
    <w:rsid w:val="00F32E55"/>
    <w:rsid w:val="00F32E5D"/>
    <w:rsid w:val="00F333A5"/>
    <w:rsid w:val="00F3341C"/>
    <w:rsid w:val="00F33495"/>
    <w:rsid w:val="00F334B5"/>
    <w:rsid w:val="00F3358E"/>
    <w:rsid w:val="00F338AB"/>
    <w:rsid w:val="00F33960"/>
    <w:rsid w:val="00F33BE4"/>
    <w:rsid w:val="00F33CA0"/>
    <w:rsid w:val="00F33D14"/>
    <w:rsid w:val="00F33D85"/>
    <w:rsid w:val="00F33D9F"/>
    <w:rsid w:val="00F33E35"/>
    <w:rsid w:val="00F340DF"/>
    <w:rsid w:val="00F34268"/>
    <w:rsid w:val="00F344A7"/>
    <w:rsid w:val="00F344B9"/>
    <w:rsid w:val="00F34578"/>
    <w:rsid w:val="00F345BD"/>
    <w:rsid w:val="00F346BB"/>
    <w:rsid w:val="00F347FA"/>
    <w:rsid w:val="00F348E6"/>
    <w:rsid w:val="00F34988"/>
    <w:rsid w:val="00F349CF"/>
    <w:rsid w:val="00F34A37"/>
    <w:rsid w:val="00F34C38"/>
    <w:rsid w:val="00F34FC3"/>
    <w:rsid w:val="00F351B0"/>
    <w:rsid w:val="00F35415"/>
    <w:rsid w:val="00F35477"/>
    <w:rsid w:val="00F354B3"/>
    <w:rsid w:val="00F35A3B"/>
    <w:rsid w:val="00F35AEF"/>
    <w:rsid w:val="00F35B01"/>
    <w:rsid w:val="00F35D62"/>
    <w:rsid w:val="00F35ED4"/>
    <w:rsid w:val="00F35FA7"/>
    <w:rsid w:val="00F360DB"/>
    <w:rsid w:val="00F36348"/>
    <w:rsid w:val="00F36455"/>
    <w:rsid w:val="00F3671C"/>
    <w:rsid w:val="00F3677D"/>
    <w:rsid w:val="00F36868"/>
    <w:rsid w:val="00F36DF0"/>
    <w:rsid w:val="00F36E6B"/>
    <w:rsid w:val="00F36EEC"/>
    <w:rsid w:val="00F37052"/>
    <w:rsid w:val="00F3749A"/>
    <w:rsid w:val="00F37544"/>
    <w:rsid w:val="00F37666"/>
    <w:rsid w:val="00F37B62"/>
    <w:rsid w:val="00F37E02"/>
    <w:rsid w:val="00F37F1F"/>
    <w:rsid w:val="00F37FD0"/>
    <w:rsid w:val="00F40173"/>
    <w:rsid w:val="00F402D9"/>
    <w:rsid w:val="00F40A0C"/>
    <w:rsid w:val="00F40CA7"/>
    <w:rsid w:val="00F41127"/>
    <w:rsid w:val="00F41286"/>
    <w:rsid w:val="00F413BD"/>
    <w:rsid w:val="00F4141B"/>
    <w:rsid w:val="00F41420"/>
    <w:rsid w:val="00F41776"/>
    <w:rsid w:val="00F4177D"/>
    <w:rsid w:val="00F417AD"/>
    <w:rsid w:val="00F41956"/>
    <w:rsid w:val="00F41B2F"/>
    <w:rsid w:val="00F41C59"/>
    <w:rsid w:val="00F4209A"/>
    <w:rsid w:val="00F4220C"/>
    <w:rsid w:val="00F42262"/>
    <w:rsid w:val="00F42438"/>
    <w:rsid w:val="00F4265D"/>
    <w:rsid w:val="00F4276E"/>
    <w:rsid w:val="00F4280B"/>
    <w:rsid w:val="00F42B74"/>
    <w:rsid w:val="00F42BEA"/>
    <w:rsid w:val="00F42C18"/>
    <w:rsid w:val="00F42CF5"/>
    <w:rsid w:val="00F42E9D"/>
    <w:rsid w:val="00F43014"/>
    <w:rsid w:val="00F43357"/>
    <w:rsid w:val="00F43378"/>
    <w:rsid w:val="00F433AC"/>
    <w:rsid w:val="00F43410"/>
    <w:rsid w:val="00F434D7"/>
    <w:rsid w:val="00F43588"/>
    <w:rsid w:val="00F435F2"/>
    <w:rsid w:val="00F4382B"/>
    <w:rsid w:val="00F4383A"/>
    <w:rsid w:val="00F4385B"/>
    <w:rsid w:val="00F43ADB"/>
    <w:rsid w:val="00F43C36"/>
    <w:rsid w:val="00F43FBE"/>
    <w:rsid w:val="00F4407D"/>
    <w:rsid w:val="00F441D7"/>
    <w:rsid w:val="00F44463"/>
    <w:rsid w:val="00F444CD"/>
    <w:rsid w:val="00F44732"/>
    <w:rsid w:val="00F44772"/>
    <w:rsid w:val="00F447F1"/>
    <w:rsid w:val="00F44B05"/>
    <w:rsid w:val="00F44FEF"/>
    <w:rsid w:val="00F45054"/>
    <w:rsid w:val="00F451E5"/>
    <w:rsid w:val="00F45330"/>
    <w:rsid w:val="00F4552C"/>
    <w:rsid w:val="00F455AD"/>
    <w:rsid w:val="00F4568C"/>
    <w:rsid w:val="00F45803"/>
    <w:rsid w:val="00F45B46"/>
    <w:rsid w:val="00F45C14"/>
    <w:rsid w:val="00F45E54"/>
    <w:rsid w:val="00F4662D"/>
    <w:rsid w:val="00F467F6"/>
    <w:rsid w:val="00F46B3A"/>
    <w:rsid w:val="00F46B63"/>
    <w:rsid w:val="00F47142"/>
    <w:rsid w:val="00F472C7"/>
    <w:rsid w:val="00F47599"/>
    <w:rsid w:val="00F4760D"/>
    <w:rsid w:val="00F47629"/>
    <w:rsid w:val="00F47828"/>
    <w:rsid w:val="00F478CA"/>
    <w:rsid w:val="00F47BA6"/>
    <w:rsid w:val="00F47D4C"/>
    <w:rsid w:val="00F47F02"/>
    <w:rsid w:val="00F50005"/>
    <w:rsid w:val="00F5000E"/>
    <w:rsid w:val="00F50029"/>
    <w:rsid w:val="00F503C5"/>
    <w:rsid w:val="00F5056B"/>
    <w:rsid w:val="00F507AD"/>
    <w:rsid w:val="00F507C7"/>
    <w:rsid w:val="00F509D5"/>
    <w:rsid w:val="00F509DF"/>
    <w:rsid w:val="00F50A25"/>
    <w:rsid w:val="00F50A76"/>
    <w:rsid w:val="00F50C2F"/>
    <w:rsid w:val="00F50CBC"/>
    <w:rsid w:val="00F50EF5"/>
    <w:rsid w:val="00F51198"/>
    <w:rsid w:val="00F512AD"/>
    <w:rsid w:val="00F514D8"/>
    <w:rsid w:val="00F518B9"/>
    <w:rsid w:val="00F518D2"/>
    <w:rsid w:val="00F5193D"/>
    <w:rsid w:val="00F51C03"/>
    <w:rsid w:val="00F51CE6"/>
    <w:rsid w:val="00F51DCD"/>
    <w:rsid w:val="00F51E2E"/>
    <w:rsid w:val="00F51E90"/>
    <w:rsid w:val="00F52529"/>
    <w:rsid w:val="00F528B2"/>
    <w:rsid w:val="00F52ABE"/>
    <w:rsid w:val="00F52B53"/>
    <w:rsid w:val="00F52CD5"/>
    <w:rsid w:val="00F52E54"/>
    <w:rsid w:val="00F52EE1"/>
    <w:rsid w:val="00F5309B"/>
    <w:rsid w:val="00F532A2"/>
    <w:rsid w:val="00F5334E"/>
    <w:rsid w:val="00F537D3"/>
    <w:rsid w:val="00F5393D"/>
    <w:rsid w:val="00F53A13"/>
    <w:rsid w:val="00F53A3E"/>
    <w:rsid w:val="00F53C2E"/>
    <w:rsid w:val="00F53CDA"/>
    <w:rsid w:val="00F53CDE"/>
    <w:rsid w:val="00F53CF6"/>
    <w:rsid w:val="00F53F42"/>
    <w:rsid w:val="00F53F7F"/>
    <w:rsid w:val="00F54061"/>
    <w:rsid w:val="00F54075"/>
    <w:rsid w:val="00F54206"/>
    <w:rsid w:val="00F5427F"/>
    <w:rsid w:val="00F54442"/>
    <w:rsid w:val="00F544AC"/>
    <w:rsid w:val="00F54607"/>
    <w:rsid w:val="00F54641"/>
    <w:rsid w:val="00F547CC"/>
    <w:rsid w:val="00F54A75"/>
    <w:rsid w:val="00F54A92"/>
    <w:rsid w:val="00F54BBA"/>
    <w:rsid w:val="00F54D10"/>
    <w:rsid w:val="00F54DE3"/>
    <w:rsid w:val="00F54F12"/>
    <w:rsid w:val="00F55030"/>
    <w:rsid w:val="00F550AF"/>
    <w:rsid w:val="00F552DF"/>
    <w:rsid w:val="00F55553"/>
    <w:rsid w:val="00F555D8"/>
    <w:rsid w:val="00F5584B"/>
    <w:rsid w:val="00F5588B"/>
    <w:rsid w:val="00F55A40"/>
    <w:rsid w:val="00F55C4E"/>
    <w:rsid w:val="00F55DC6"/>
    <w:rsid w:val="00F560F3"/>
    <w:rsid w:val="00F56343"/>
    <w:rsid w:val="00F5657C"/>
    <w:rsid w:val="00F56A18"/>
    <w:rsid w:val="00F56AF8"/>
    <w:rsid w:val="00F56BAA"/>
    <w:rsid w:val="00F56C0D"/>
    <w:rsid w:val="00F56C69"/>
    <w:rsid w:val="00F56F9B"/>
    <w:rsid w:val="00F57139"/>
    <w:rsid w:val="00F571A9"/>
    <w:rsid w:val="00F5728B"/>
    <w:rsid w:val="00F57566"/>
    <w:rsid w:val="00F576AE"/>
    <w:rsid w:val="00F57A73"/>
    <w:rsid w:val="00F57CD1"/>
    <w:rsid w:val="00F57EE5"/>
    <w:rsid w:val="00F57FD0"/>
    <w:rsid w:val="00F60679"/>
    <w:rsid w:val="00F60885"/>
    <w:rsid w:val="00F608D0"/>
    <w:rsid w:val="00F60974"/>
    <w:rsid w:val="00F60A7A"/>
    <w:rsid w:val="00F60AA5"/>
    <w:rsid w:val="00F60AB3"/>
    <w:rsid w:val="00F61466"/>
    <w:rsid w:val="00F61625"/>
    <w:rsid w:val="00F61782"/>
    <w:rsid w:val="00F61924"/>
    <w:rsid w:val="00F61C80"/>
    <w:rsid w:val="00F61F15"/>
    <w:rsid w:val="00F61F87"/>
    <w:rsid w:val="00F61FB0"/>
    <w:rsid w:val="00F620EE"/>
    <w:rsid w:val="00F62111"/>
    <w:rsid w:val="00F622C1"/>
    <w:rsid w:val="00F62370"/>
    <w:rsid w:val="00F623DE"/>
    <w:rsid w:val="00F624BA"/>
    <w:rsid w:val="00F6255E"/>
    <w:rsid w:val="00F625F7"/>
    <w:rsid w:val="00F626EE"/>
    <w:rsid w:val="00F6299D"/>
    <w:rsid w:val="00F62A53"/>
    <w:rsid w:val="00F6308D"/>
    <w:rsid w:val="00F631D2"/>
    <w:rsid w:val="00F631FE"/>
    <w:rsid w:val="00F63220"/>
    <w:rsid w:val="00F633BB"/>
    <w:rsid w:val="00F634C7"/>
    <w:rsid w:val="00F63584"/>
    <w:rsid w:val="00F63653"/>
    <w:rsid w:val="00F636A3"/>
    <w:rsid w:val="00F63AC6"/>
    <w:rsid w:val="00F63B2C"/>
    <w:rsid w:val="00F63B8E"/>
    <w:rsid w:val="00F63D50"/>
    <w:rsid w:val="00F63D76"/>
    <w:rsid w:val="00F64214"/>
    <w:rsid w:val="00F64231"/>
    <w:rsid w:val="00F642C6"/>
    <w:rsid w:val="00F642D7"/>
    <w:rsid w:val="00F645B9"/>
    <w:rsid w:val="00F646FF"/>
    <w:rsid w:val="00F647E2"/>
    <w:rsid w:val="00F64A85"/>
    <w:rsid w:val="00F64D4E"/>
    <w:rsid w:val="00F64D9C"/>
    <w:rsid w:val="00F64E25"/>
    <w:rsid w:val="00F65175"/>
    <w:rsid w:val="00F65176"/>
    <w:rsid w:val="00F653F7"/>
    <w:rsid w:val="00F654CE"/>
    <w:rsid w:val="00F6556E"/>
    <w:rsid w:val="00F6576C"/>
    <w:rsid w:val="00F65855"/>
    <w:rsid w:val="00F65975"/>
    <w:rsid w:val="00F6599D"/>
    <w:rsid w:val="00F659A0"/>
    <w:rsid w:val="00F65B04"/>
    <w:rsid w:val="00F65C27"/>
    <w:rsid w:val="00F65F14"/>
    <w:rsid w:val="00F66036"/>
    <w:rsid w:val="00F66183"/>
    <w:rsid w:val="00F662C2"/>
    <w:rsid w:val="00F66315"/>
    <w:rsid w:val="00F66564"/>
    <w:rsid w:val="00F665C2"/>
    <w:rsid w:val="00F665D6"/>
    <w:rsid w:val="00F66A5C"/>
    <w:rsid w:val="00F66C15"/>
    <w:rsid w:val="00F66DAF"/>
    <w:rsid w:val="00F66DF5"/>
    <w:rsid w:val="00F66FE8"/>
    <w:rsid w:val="00F67069"/>
    <w:rsid w:val="00F671A6"/>
    <w:rsid w:val="00F6755B"/>
    <w:rsid w:val="00F675A9"/>
    <w:rsid w:val="00F677BB"/>
    <w:rsid w:val="00F679C6"/>
    <w:rsid w:val="00F67AFB"/>
    <w:rsid w:val="00F67B03"/>
    <w:rsid w:val="00F67B66"/>
    <w:rsid w:val="00F67C0F"/>
    <w:rsid w:val="00F67DE8"/>
    <w:rsid w:val="00F67DF5"/>
    <w:rsid w:val="00F67E21"/>
    <w:rsid w:val="00F70001"/>
    <w:rsid w:val="00F700D4"/>
    <w:rsid w:val="00F703D2"/>
    <w:rsid w:val="00F70474"/>
    <w:rsid w:val="00F704D9"/>
    <w:rsid w:val="00F705A8"/>
    <w:rsid w:val="00F705C7"/>
    <w:rsid w:val="00F70649"/>
    <w:rsid w:val="00F7071D"/>
    <w:rsid w:val="00F707D5"/>
    <w:rsid w:val="00F707E6"/>
    <w:rsid w:val="00F70AD9"/>
    <w:rsid w:val="00F70B70"/>
    <w:rsid w:val="00F70BD0"/>
    <w:rsid w:val="00F70C12"/>
    <w:rsid w:val="00F70F27"/>
    <w:rsid w:val="00F711AF"/>
    <w:rsid w:val="00F713A9"/>
    <w:rsid w:val="00F71482"/>
    <w:rsid w:val="00F7152C"/>
    <w:rsid w:val="00F7160C"/>
    <w:rsid w:val="00F71A67"/>
    <w:rsid w:val="00F71C98"/>
    <w:rsid w:val="00F71D05"/>
    <w:rsid w:val="00F71F30"/>
    <w:rsid w:val="00F720BD"/>
    <w:rsid w:val="00F7222F"/>
    <w:rsid w:val="00F722B0"/>
    <w:rsid w:val="00F72332"/>
    <w:rsid w:val="00F72531"/>
    <w:rsid w:val="00F72730"/>
    <w:rsid w:val="00F727F0"/>
    <w:rsid w:val="00F729F8"/>
    <w:rsid w:val="00F72AE9"/>
    <w:rsid w:val="00F72DC2"/>
    <w:rsid w:val="00F72DCA"/>
    <w:rsid w:val="00F72DDE"/>
    <w:rsid w:val="00F72EDA"/>
    <w:rsid w:val="00F732CF"/>
    <w:rsid w:val="00F733D8"/>
    <w:rsid w:val="00F7360B"/>
    <w:rsid w:val="00F73686"/>
    <w:rsid w:val="00F737A3"/>
    <w:rsid w:val="00F7382A"/>
    <w:rsid w:val="00F73A42"/>
    <w:rsid w:val="00F73C3B"/>
    <w:rsid w:val="00F73CC5"/>
    <w:rsid w:val="00F73D3A"/>
    <w:rsid w:val="00F73EF7"/>
    <w:rsid w:val="00F741EC"/>
    <w:rsid w:val="00F744CD"/>
    <w:rsid w:val="00F74575"/>
    <w:rsid w:val="00F74579"/>
    <w:rsid w:val="00F7459A"/>
    <w:rsid w:val="00F7465D"/>
    <w:rsid w:val="00F746FD"/>
    <w:rsid w:val="00F7470E"/>
    <w:rsid w:val="00F7487B"/>
    <w:rsid w:val="00F74C5E"/>
    <w:rsid w:val="00F74CA2"/>
    <w:rsid w:val="00F74DEB"/>
    <w:rsid w:val="00F74F55"/>
    <w:rsid w:val="00F74FDF"/>
    <w:rsid w:val="00F74FE1"/>
    <w:rsid w:val="00F75109"/>
    <w:rsid w:val="00F75459"/>
    <w:rsid w:val="00F75756"/>
    <w:rsid w:val="00F75879"/>
    <w:rsid w:val="00F75927"/>
    <w:rsid w:val="00F759C8"/>
    <w:rsid w:val="00F75BCC"/>
    <w:rsid w:val="00F75C01"/>
    <w:rsid w:val="00F75F15"/>
    <w:rsid w:val="00F75F76"/>
    <w:rsid w:val="00F75FA0"/>
    <w:rsid w:val="00F760EE"/>
    <w:rsid w:val="00F7639C"/>
    <w:rsid w:val="00F763AF"/>
    <w:rsid w:val="00F7668F"/>
    <w:rsid w:val="00F768BF"/>
    <w:rsid w:val="00F76A4E"/>
    <w:rsid w:val="00F76AFE"/>
    <w:rsid w:val="00F76B8E"/>
    <w:rsid w:val="00F76BD6"/>
    <w:rsid w:val="00F76C8E"/>
    <w:rsid w:val="00F76D16"/>
    <w:rsid w:val="00F76E1F"/>
    <w:rsid w:val="00F770CD"/>
    <w:rsid w:val="00F7732D"/>
    <w:rsid w:val="00F774BE"/>
    <w:rsid w:val="00F77600"/>
    <w:rsid w:val="00F7760F"/>
    <w:rsid w:val="00F7762E"/>
    <w:rsid w:val="00F7776A"/>
    <w:rsid w:val="00F77B2B"/>
    <w:rsid w:val="00F77B45"/>
    <w:rsid w:val="00F77B83"/>
    <w:rsid w:val="00F77BAA"/>
    <w:rsid w:val="00F77C65"/>
    <w:rsid w:val="00F77D16"/>
    <w:rsid w:val="00F77E57"/>
    <w:rsid w:val="00F801CC"/>
    <w:rsid w:val="00F802BE"/>
    <w:rsid w:val="00F80304"/>
    <w:rsid w:val="00F80369"/>
    <w:rsid w:val="00F803B8"/>
    <w:rsid w:val="00F80430"/>
    <w:rsid w:val="00F804CF"/>
    <w:rsid w:val="00F805EA"/>
    <w:rsid w:val="00F806AC"/>
    <w:rsid w:val="00F80940"/>
    <w:rsid w:val="00F809E4"/>
    <w:rsid w:val="00F80C16"/>
    <w:rsid w:val="00F80CA5"/>
    <w:rsid w:val="00F80E7D"/>
    <w:rsid w:val="00F80EAE"/>
    <w:rsid w:val="00F80EBF"/>
    <w:rsid w:val="00F80FBF"/>
    <w:rsid w:val="00F81021"/>
    <w:rsid w:val="00F8159A"/>
    <w:rsid w:val="00F815EE"/>
    <w:rsid w:val="00F81DF0"/>
    <w:rsid w:val="00F81E36"/>
    <w:rsid w:val="00F81E77"/>
    <w:rsid w:val="00F81E8A"/>
    <w:rsid w:val="00F81F0A"/>
    <w:rsid w:val="00F821DF"/>
    <w:rsid w:val="00F822A4"/>
    <w:rsid w:val="00F82365"/>
    <w:rsid w:val="00F8244C"/>
    <w:rsid w:val="00F8255F"/>
    <w:rsid w:val="00F825CB"/>
    <w:rsid w:val="00F826E2"/>
    <w:rsid w:val="00F828E9"/>
    <w:rsid w:val="00F82A3A"/>
    <w:rsid w:val="00F82B78"/>
    <w:rsid w:val="00F82ECB"/>
    <w:rsid w:val="00F831DA"/>
    <w:rsid w:val="00F83233"/>
    <w:rsid w:val="00F8331B"/>
    <w:rsid w:val="00F83585"/>
    <w:rsid w:val="00F835CE"/>
    <w:rsid w:val="00F835E5"/>
    <w:rsid w:val="00F83624"/>
    <w:rsid w:val="00F837CE"/>
    <w:rsid w:val="00F83821"/>
    <w:rsid w:val="00F8384B"/>
    <w:rsid w:val="00F839C0"/>
    <w:rsid w:val="00F83A4A"/>
    <w:rsid w:val="00F83A4C"/>
    <w:rsid w:val="00F83C0A"/>
    <w:rsid w:val="00F83C78"/>
    <w:rsid w:val="00F83E5C"/>
    <w:rsid w:val="00F841E2"/>
    <w:rsid w:val="00F843DF"/>
    <w:rsid w:val="00F84564"/>
    <w:rsid w:val="00F846BF"/>
    <w:rsid w:val="00F847EA"/>
    <w:rsid w:val="00F849CE"/>
    <w:rsid w:val="00F84A32"/>
    <w:rsid w:val="00F84A48"/>
    <w:rsid w:val="00F84BBA"/>
    <w:rsid w:val="00F84BEB"/>
    <w:rsid w:val="00F84C66"/>
    <w:rsid w:val="00F84D43"/>
    <w:rsid w:val="00F84D48"/>
    <w:rsid w:val="00F84E1B"/>
    <w:rsid w:val="00F84EE4"/>
    <w:rsid w:val="00F84F49"/>
    <w:rsid w:val="00F85005"/>
    <w:rsid w:val="00F85112"/>
    <w:rsid w:val="00F853E3"/>
    <w:rsid w:val="00F85595"/>
    <w:rsid w:val="00F85709"/>
    <w:rsid w:val="00F858BB"/>
    <w:rsid w:val="00F85A06"/>
    <w:rsid w:val="00F85B69"/>
    <w:rsid w:val="00F85F22"/>
    <w:rsid w:val="00F85FE2"/>
    <w:rsid w:val="00F860A2"/>
    <w:rsid w:val="00F86109"/>
    <w:rsid w:val="00F86242"/>
    <w:rsid w:val="00F864B6"/>
    <w:rsid w:val="00F864DD"/>
    <w:rsid w:val="00F8669E"/>
    <w:rsid w:val="00F867F8"/>
    <w:rsid w:val="00F86ADD"/>
    <w:rsid w:val="00F87084"/>
    <w:rsid w:val="00F87215"/>
    <w:rsid w:val="00F87228"/>
    <w:rsid w:val="00F87496"/>
    <w:rsid w:val="00F874CA"/>
    <w:rsid w:val="00F874CF"/>
    <w:rsid w:val="00F87567"/>
    <w:rsid w:val="00F87589"/>
    <w:rsid w:val="00F87664"/>
    <w:rsid w:val="00F87919"/>
    <w:rsid w:val="00F8798B"/>
    <w:rsid w:val="00F879C0"/>
    <w:rsid w:val="00F87AA2"/>
    <w:rsid w:val="00F87AAD"/>
    <w:rsid w:val="00F87B91"/>
    <w:rsid w:val="00F87C3B"/>
    <w:rsid w:val="00F87E81"/>
    <w:rsid w:val="00F87E98"/>
    <w:rsid w:val="00F87F68"/>
    <w:rsid w:val="00F87F9A"/>
    <w:rsid w:val="00F87FFD"/>
    <w:rsid w:val="00F90160"/>
    <w:rsid w:val="00F90198"/>
    <w:rsid w:val="00F90219"/>
    <w:rsid w:val="00F9024B"/>
    <w:rsid w:val="00F904D4"/>
    <w:rsid w:val="00F9055B"/>
    <w:rsid w:val="00F9066C"/>
    <w:rsid w:val="00F90692"/>
    <w:rsid w:val="00F90796"/>
    <w:rsid w:val="00F908C4"/>
    <w:rsid w:val="00F90AE5"/>
    <w:rsid w:val="00F90B36"/>
    <w:rsid w:val="00F90BB3"/>
    <w:rsid w:val="00F90C53"/>
    <w:rsid w:val="00F90C7E"/>
    <w:rsid w:val="00F90CB4"/>
    <w:rsid w:val="00F90CB9"/>
    <w:rsid w:val="00F90D63"/>
    <w:rsid w:val="00F90F4F"/>
    <w:rsid w:val="00F9100C"/>
    <w:rsid w:val="00F9122C"/>
    <w:rsid w:val="00F912C5"/>
    <w:rsid w:val="00F912E5"/>
    <w:rsid w:val="00F915F9"/>
    <w:rsid w:val="00F91869"/>
    <w:rsid w:val="00F9186D"/>
    <w:rsid w:val="00F91BC5"/>
    <w:rsid w:val="00F91CA9"/>
    <w:rsid w:val="00F91D8D"/>
    <w:rsid w:val="00F91E9C"/>
    <w:rsid w:val="00F91EC7"/>
    <w:rsid w:val="00F91FC9"/>
    <w:rsid w:val="00F92247"/>
    <w:rsid w:val="00F92405"/>
    <w:rsid w:val="00F9270B"/>
    <w:rsid w:val="00F92799"/>
    <w:rsid w:val="00F92817"/>
    <w:rsid w:val="00F92A06"/>
    <w:rsid w:val="00F92A62"/>
    <w:rsid w:val="00F92B0D"/>
    <w:rsid w:val="00F92B51"/>
    <w:rsid w:val="00F92BA0"/>
    <w:rsid w:val="00F92BBE"/>
    <w:rsid w:val="00F92D3F"/>
    <w:rsid w:val="00F9304A"/>
    <w:rsid w:val="00F9352B"/>
    <w:rsid w:val="00F93640"/>
    <w:rsid w:val="00F93849"/>
    <w:rsid w:val="00F9386F"/>
    <w:rsid w:val="00F93875"/>
    <w:rsid w:val="00F93AEF"/>
    <w:rsid w:val="00F93B20"/>
    <w:rsid w:val="00F93B27"/>
    <w:rsid w:val="00F93B2E"/>
    <w:rsid w:val="00F93D1F"/>
    <w:rsid w:val="00F94002"/>
    <w:rsid w:val="00F94064"/>
    <w:rsid w:val="00F9435F"/>
    <w:rsid w:val="00F94832"/>
    <w:rsid w:val="00F94A69"/>
    <w:rsid w:val="00F94A93"/>
    <w:rsid w:val="00F94C55"/>
    <w:rsid w:val="00F94EA7"/>
    <w:rsid w:val="00F94EC7"/>
    <w:rsid w:val="00F94EF6"/>
    <w:rsid w:val="00F95055"/>
    <w:rsid w:val="00F9524C"/>
    <w:rsid w:val="00F95328"/>
    <w:rsid w:val="00F95433"/>
    <w:rsid w:val="00F95501"/>
    <w:rsid w:val="00F95860"/>
    <w:rsid w:val="00F95CE1"/>
    <w:rsid w:val="00F95EAE"/>
    <w:rsid w:val="00F960AC"/>
    <w:rsid w:val="00F962AE"/>
    <w:rsid w:val="00F9692A"/>
    <w:rsid w:val="00F96F29"/>
    <w:rsid w:val="00F96F7B"/>
    <w:rsid w:val="00F970CA"/>
    <w:rsid w:val="00F97493"/>
    <w:rsid w:val="00F97684"/>
    <w:rsid w:val="00F9773C"/>
    <w:rsid w:val="00F97AD2"/>
    <w:rsid w:val="00F97B5E"/>
    <w:rsid w:val="00F97D58"/>
    <w:rsid w:val="00F97D59"/>
    <w:rsid w:val="00FA03D1"/>
    <w:rsid w:val="00FA071F"/>
    <w:rsid w:val="00FA0A99"/>
    <w:rsid w:val="00FA0EEA"/>
    <w:rsid w:val="00FA0F2D"/>
    <w:rsid w:val="00FA1020"/>
    <w:rsid w:val="00FA10BE"/>
    <w:rsid w:val="00FA11AC"/>
    <w:rsid w:val="00FA12AA"/>
    <w:rsid w:val="00FA13AA"/>
    <w:rsid w:val="00FA1505"/>
    <w:rsid w:val="00FA17CC"/>
    <w:rsid w:val="00FA1911"/>
    <w:rsid w:val="00FA19A9"/>
    <w:rsid w:val="00FA19B0"/>
    <w:rsid w:val="00FA1A8D"/>
    <w:rsid w:val="00FA1E65"/>
    <w:rsid w:val="00FA21AA"/>
    <w:rsid w:val="00FA21EA"/>
    <w:rsid w:val="00FA2398"/>
    <w:rsid w:val="00FA23E5"/>
    <w:rsid w:val="00FA241C"/>
    <w:rsid w:val="00FA2558"/>
    <w:rsid w:val="00FA25D2"/>
    <w:rsid w:val="00FA26D3"/>
    <w:rsid w:val="00FA26ED"/>
    <w:rsid w:val="00FA2B2C"/>
    <w:rsid w:val="00FA2EB7"/>
    <w:rsid w:val="00FA2F16"/>
    <w:rsid w:val="00FA3174"/>
    <w:rsid w:val="00FA325E"/>
    <w:rsid w:val="00FA3381"/>
    <w:rsid w:val="00FA3498"/>
    <w:rsid w:val="00FA36AB"/>
    <w:rsid w:val="00FA381F"/>
    <w:rsid w:val="00FA3919"/>
    <w:rsid w:val="00FA39F0"/>
    <w:rsid w:val="00FA3DB5"/>
    <w:rsid w:val="00FA4189"/>
    <w:rsid w:val="00FA4194"/>
    <w:rsid w:val="00FA42B7"/>
    <w:rsid w:val="00FA4465"/>
    <w:rsid w:val="00FA4C1F"/>
    <w:rsid w:val="00FA4FEC"/>
    <w:rsid w:val="00FA513D"/>
    <w:rsid w:val="00FA53AF"/>
    <w:rsid w:val="00FA5464"/>
    <w:rsid w:val="00FA54D0"/>
    <w:rsid w:val="00FA558C"/>
    <w:rsid w:val="00FA5599"/>
    <w:rsid w:val="00FA55B9"/>
    <w:rsid w:val="00FA5621"/>
    <w:rsid w:val="00FA5BAA"/>
    <w:rsid w:val="00FA5BFA"/>
    <w:rsid w:val="00FA606D"/>
    <w:rsid w:val="00FA60CD"/>
    <w:rsid w:val="00FA61D9"/>
    <w:rsid w:val="00FA6269"/>
    <w:rsid w:val="00FA62A5"/>
    <w:rsid w:val="00FA62AA"/>
    <w:rsid w:val="00FA6577"/>
    <w:rsid w:val="00FA6759"/>
    <w:rsid w:val="00FA6A6D"/>
    <w:rsid w:val="00FA6B92"/>
    <w:rsid w:val="00FA6F9C"/>
    <w:rsid w:val="00FA7071"/>
    <w:rsid w:val="00FA7284"/>
    <w:rsid w:val="00FA7399"/>
    <w:rsid w:val="00FA7478"/>
    <w:rsid w:val="00FA74BD"/>
    <w:rsid w:val="00FA7553"/>
    <w:rsid w:val="00FA7682"/>
    <w:rsid w:val="00FA7782"/>
    <w:rsid w:val="00FA780F"/>
    <w:rsid w:val="00FA78D2"/>
    <w:rsid w:val="00FA79AA"/>
    <w:rsid w:val="00FA79FC"/>
    <w:rsid w:val="00FA7B08"/>
    <w:rsid w:val="00FA7D05"/>
    <w:rsid w:val="00FA7EA1"/>
    <w:rsid w:val="00FA7EAB"/>
    <w:rsid w:val="00FA7F84"/>
    <w:rsid w:val="00FB00A2"/>
    <w:rsid w:val="00FB0158"/>
    <w:rsid w:val="00FB036C"/>
    <w:rsid w:val="00FB0596"/>
    <w:rsid w:val="00FB06B0"/>
    <w:rsid w:val="00FB07D4"/>
    <w:rsid w:val="00FB0852"/>
    <w:rsid w:val="00FB08BA"/>
    <w:rsid w:val="00FB0CDF"/>
    <w:rsid w:val="00FB0E68"/>
    <w:rsid w:val="00FB1397"/>
    <w:rsid w:val="00FB1481"/>
    <w:rsid w:val="00FB1617"/>
    <w:rsid w:val="00FB17A0"/>
    <w:rsid w:val="00FB17E3"/>
    <w:rsid w:val="00FB18BF"/>
    <w:rsid w:val="00FB1B8F"/>
    <w:rsid w:val="00FB1C67"/>
    <w:rsid w:val="00FB1CF3"/>
    <w:rsid w:val="00FB1F68"/>
    <w:rsid w:val="00FB2732"/>
    <w:rsid w:val="00FB2773"/>
    <w:rsid w:val="00FB2966"/>
    <w:rsid w:val="00FB2DAF"/>
    <w:rsid w:val="00FB2DF3"/>
    <w:rsid w:val="00FB2EB1"/>
    <w:rsid w:val="00FB2EB4"/>
    <w:rsid w:val="00FB3095"/>
    <w:rsid w:val="00FB315F"/>
    <w:rsid w:val="00FB3440"/>
    <w:rsid w:val="00FB362E"/>
    <w:rsid w:val="00FB3801"/>
    <w:rsid w:val="00FB3A9C"/>
    <w:rsid w:val="00FB3BEC"/>
    <w:rsid w:val="00FB3DD9"/>
    <w:rsid w:val="00FB3E2F"/>
    <w:rsid w:val="00FB4431"/>
    <w:rsid w:val="00FB480E"/>
    <w:rsid w:val="00FB482A"/>
    <w:rsid w:val="00FB486B"/>
    <w:rsid w:val="00FB4A1D"/>
    <w:rsid w:val="00FB4A7F"/>
    <w:rsid w:val="00FB4BE4"/>
    <w:rsid w:val="00FB4CBD"/>
    <w:rsid w:val="00FB4E17"/>
    <w:rsid w:val="00FB4E1A"/>
    <w:rsid w:val="00FB4E97"/>
    <w:rsid w:val="00FB4EE8"/>
    <w:rsid w:val="00FB4F39"/>
    <w:rsid w:val="00FB57CB"/>
    <w:rsid w:val="00FB585B"/>
    <w:rsid w:val="00FB5A4D"/>
    <w:rsid w:val="00FB5C0C"/>
    <w:rsid w:val="00FB5F09"/>
    <w:rsid w:val="00FB6063"/>
    <w:rsid w:val="00FB6083"/>
    <w:rsid w:val="00FB6390"/>
    <w:rsid w:val="00FB64C6"/>
    <w:rsid w:val="00FB6520"/>
    <w:rsid w:val="00FB666F"/>
    <w:rsid w:val="00FB6686"/>
    <w:rsid w:val="00FB66E3"/>
    <w:rsid w:val="00FB68E3"/>
    <w:rsid w:val="00FB6E58"/>
    <w:rsid w:val="00FB6E83"/>
    <w:rsid w:val="00FB6ECC"/>
    <w:rsid w:val="00FB7035"/>
    <w:rsid w:val="00FB739C"/>
    <w:rsid w:val="00FB73AC"/>
    <w:rsid w:val="00FB7432"/>
    <w:rsid w:val="00FB76BE"/>
    <w:rsid w:val="00FB779F"/>
    <w:rsid w:val="00FB7969"/>
    <w:rsid w:val="00FB7A10"/>
    <w:rsid w:val="00FB7B75"/>
    <w:rsid w:val="00FB7EF9"/>
    <w:rsid w:val="00FC03D7"/>
    <w:rsid w:val="00FC067C"/>
    <w:rsid w:val="00FC0762"/>
    <w:rsid w:val="00FC0A3F"/>
    <w:rsid w:val="00FC0AFC"/>
    <w:rsid w:val="00FC0D5C"/>
    <w:rsid w:val="00FC0DD6"/>
    <w:rsid w:val="00FC0E15"/>
    <w:rsid w:val="00FC0ED6"/>
    <w:rsid w:val="00FC0F35"/>
    <w:rsid w:val="00FC0F4A"/>
    <w:rsid w:val="00FC103B"/>
    <w:rsid w:val="00FC126B"/>
    <w:rsid w:val="00FC128A"/>
    <w:rsid w:val="00FC12BB"/>
    <w:rsid w:val="00FC1397"/>
    <w:rsid w:val="00FC13B3"/>
    <w:rsid w:val="00FC15E1"/>
    <w:rsid w:val="00FC16E1"/>
    <w:rsid w:val="00FC1757"/>
    <w:rsid w:val="00FC1BC3"/>
    <w:rsid w:val="00FC1CC0"/>
    <w:rsid w:val="00FC1D6E"/>
    <w:rsid w:val="00FC1E75"/>
    <w:rsid w:val="00FC1E79"/>
    <w:rsid w:val="00FC1E7B"/>
    <w:rsid w:val="00FC2033"/>
    <w:rsid w:val="00FC210B"/>
    <w:rsid w:val="00FC2173"/>
    <w:rsid w:val="00FC2456"/>
    <w:rsid w:val="00FC2650"/>
    <w:rsid w:val="00FC2668"/>
    <w:rsid w:val="00FC2764"/>
    <w:rsid w:val="00FC2775"/>
    <w:rsid w:val="00FC2844"/>
    <w:rsid w:val="00FC2B8F"/>
    <w:rsid w:val="00FC2BF8"/>
    <w:rsid w:val="00FC2E92"/>
    <w:rsid w:val="00FC2F07"/>
    <w:rsid w:val="00FC30CC"/>
    <w:rsid w:val="00FC3638"/>
    <w:rsid w:val="00FC377E"/>
    <w:rsid w:val="00FC37C3"/>
    <w:rsid w:val="00FC387D"/>
    <w:rsid w:val="00FC38BE"/>
    <w:rsid w:val="00FC3AC3"/>
    <w:rsid w:val="00FC3BB9"/>
    <w:rsid w:val="00FC3C59"/>
    <w:rsid w:val="00FC3F72"/>
    <w:rsid w:val="00FC40FD"/>
    <w:rsid w:val="00FC41C9"/>
    <w:rsid w:val="00FC438E"/>
    <w:rsid w:val="00FC4672"/>
    <w:rsid w:val="00FC4692"/>
    <w:rsid w:val="00FC46D7"/>
    <w:rsid w:val="00FC47C1"/>
    <w:rsid w:val="00FC4AD1"/>
    <w:rsid w:val="00FC4B02"/>
    <w:rsid w:val="00FC4E56"/>
    <w:rsid w:val="00FC4F11"/>
    <w:rsid w:val="00FC4F61"/>
    <w:rsid w:val="00FC4F8F"/>
    <w:rsid w:val="00FC5116"/>
    <w:rsid w:val="00FC52A0"/>
    <w:rsid w:val="00FC52CD"/>
    <w:rsid w:val="00FC5656"/>
    <w:rsid w:val="00FC56E9"/>
    <w:rsid w:val="00FC5873"/>
    <w:rsid w:val="00FC5DA8"/>
    <w:rsid w:val="00FC5EA8"/>
    <w:rsid w:val="00FC5F49"/>
    <w:rsid w:val="00FC60B6"/>
    <w:rsid w:val="00FC62AF"/>
    <w:rsid w:val="00FC62E6"/>
    <w:rsid w:val="00FC6365"/>
    <w:rsid w:val="00FC639C"/>
    <w:rsid w:val="00FC6408"/>
    <w:rsid w:val="00FC6739"/>
    <w:rsid w:val="00FC67EE"/>
    <w:rsid w:val="00FC67EF"/>
    <w:rsid w:val="00FC696C"/>
    <w:rsid w:val="00FC69E8"/>
    <w:rsid w:val="00FC6A4F"/>
    <w:rsid w:val="00FC6B61"/>
    <w:rsid w:val="00FC6B87"/>
    <w:rsid w:val="00FC6BD5"/>
    <w:rsid w:val="00FC6D84"/>
    <w:rsid w:val="00FC6DA7"/>
    <w:rsid w:val="00FC71B8"/>
    <w:rsid w:val="00FC720D"/>
    <w:rsid w:val="00FC7216"/>
    <w:rsid w:val="00FC72DA"/>
    <w:rsid w:val="00FC72E7"/>
    <w:rsid w:val="00FC793C"/>
    <w:rsid w:val="00FC7A4C"/>
    <w:rsid w:val="00FC7A57"/>
    <w:rsid w:val="00FC7BA4"/>
    <w:rsid w:val="00FC7BAF"/>
    <w:rsid w:val="00FC7C9C"/>
    <w:rsid w:val="00FC7F42"/>
    <w:rsid w:val="00FD0047"/>
    <w:rsid w:val="00FD017E"/>
    <w:rsid w:val="00FD038D"/>
    <w:rsid w:val="00FD057B"/>
    <w:rsid w:val="00FD0816"/>
    <w:rsid w:val="00FD0863"/>
    <w:rsid w:val="00FD0867"/>
    <w:rsid w:val="00FD08AA"/>
    <w:rsid w:val="00FD08B4"/>
    <w:rsid w:val="00FD08E6"/>
    <w:rsid w:val="00FD0AC5"/>
    <w:rsid w:val="00FD0B77"/>
    <w:rsid w:val="00FD0BD0"/>
    <w:rsid w:val="00FD0D5E"/>
    <w:rsid w:val="00FD0E0F"/>
    <w:rsid w:val="00FD0ED5"/>
    <w:rsid w:val="00FD1133"/>
    <w:rsid w:val="00FD11B7"/>
    <w:rsid w:val="00FD1211"/>
    <w:rsid w:val="00FD13EF"/>
    <w:rsid w:val="00FD14B8"/>
    <w:rsid w:val="00FD1961"/>
    <w:rsid w:val="00FD1C83"/>
    <w:rsid w:val="00FD1CCF"/>
    <w:rsid w:val="00FD1D65"/>
    <w:rsid w:val="00FD21FE"/>
    <w:rsid w:val="00FD23FA"/>
    <w:rsid w:val="00FD26C4"/>
    <w:rsid w:val="00FD283B"/>
    <w:rsid w:val="00FD29D1"/>
    <w:rsid w:val="00FD2B6D"/>
    <w:rsid w:val="00FD2C17"/>
    <w:rsid w:val="00FD2D28"/>
    <w:rsid w:val="00FD3097"/>
    <w:rsid w:val="00FD32E1"/>
    <w:rsid w:val="00FD3354"/>
    <w:rsid w:val="00FD33F6"/>
    <w:rsid w:val="00FD3415"/>
    <w:rsid w:val="00FD3464"/>
    <w:rsid w:val="00FD36B9"/>
    <w:rsid w:val="00FD38E8"/>
    <w:rsid w:val="00FD38EE"/>
    <w:rsid w:val="00FD39C5"/>
    <w:rsid w:val="00FD3A31"/>
    <w:rsid w:val="00FD3DD8"/>
    <w:rsid w:val="00FD412D"/>
    <w:rsid w:val="00FD41D4"/>
    <w:rsid w:val="00FD431A"/>
    <w:rsid w:val="00FD4335"/>
    <w:rsid w:val="00FD435C"/>
    <w:rsid w:val="00FD44E9"/>
    <w:rsid w:val="00FD4642"/>
    <w:rsid w:val="00FD475E"/>
    <w:rsid w:val="00FD4765"/>
    <w:rsid w:val="00FD48C6"/>
    <w:rsid w:val="00FD4B29"/>
    <w:rsid w:val="00FD5090"/>
    <w:rsid w:val="00FD5658"/>
    <w:rsid w:val="00FD58B4"/>
    <w:rsid w:val="00FD5A11"/>
    <w:rsid w:val="00FD5A94"/>
    <w:rsid w:val="00FD5BB1"/>
    <w:rsid w:val="00FD5BBA"/>
    <w:rsid w:val="00FD5CD2"/>
    <w:rsid w:val="00FD6115"/>
    <w:rsid w:val="00FD626B"/>
    <w:rsid w:val="00FD6520"/>
    <w:rsid w:val="00FD6533"/>
    <w:rsid w:val="00FD6675"/>
    <w:rsid w:val="00FD6689"/>
    <w:rsid w:val="00FD66E7"/>
    <w:rsid w:val="00FD6704"/>
    <w:rsid w:val="00FD68C4"/>
    <w:rsid w:val="00FD6B75"/>
    <w:rsid w:val="00FD6D10"/>
    <w:rsid w:val="00FD6D1B"/>
    <w:rsid w:val="00FD6E22"/>
    <w:rsid w:val="00FD6F38"/>
    <w:rsid w:val="00FD7075"/>
    <w:rsid w:val="00FD70F1"/>
    <w:rsid w:val="00FD710B"/>
    <w:rsid w:val="00FD713A"/>
    <w:rsid w:val="00FD7645"/>
    <w:rsid w:val="00FD76CE"/>
    <w:rsid w:val="00FD7911"/>
    <w:rsid w:val="00FD7DE2"/>
    <w:rsid w:val="00FD7E13"/>
    <w:rsid w:val="00FD7E61"/>
    <w:rsid w:val="00FD7FA5"/>
    <w:rsid w:val="00FE0134"/>
    <w:rsid w:val="00FE019C"/>
    <w:rsid w:val="00FE03A4"/>
    <w:rsid w:val="00FE066C"/>
    <w:rsid w:val="00FE095F"/>
    <w:rsid w:val="00FE096E"/>
    <w:rsid w:val="00FE0AF9"/>
    <w:rsid w:val="00FE0C0F"/>
    <w:rsid w:val="00FE0C36"/>
    <w:rsid w:val="00FE0E10"/>
    <w:rsid w:val="00FE0E13"/>
    <w:rsid w:val="00FE11BB"/>
    <w:rsid w:val="00FE1279"/>
    <w:rsid w:val="00FE1599"/>
    <w:rsid w:val="00FE16DE"/>
    <w:rsid w:val="00FE1846"/>
    <w:rsid w:val="00FE19BE"/>
    <w:rsid w:val="00FE1A96"/>
    <w:rsid w:val="00FE1AC4"/>
    <w:rsid w:val="00FE1B45"/>
    <w:rsid w:val="00FE2082"/>
    <w:rsid w:val="00FE2263"/>
    <w:rsid w:val="00FE233B"/>
    <w:rsid w:val="00FE23E6"/>
    <w:rsid w:val="00FE244B"/>
    <w:rsid w:val="00FE28F5"/>
    <w:rsid w:val="00FE2AD8"/>
    <w:rsid w:val="00FE2BDB"/>
    <w:rsid w:val="00FE2C7C"/>
    <w:rsid w:val="00FE3132"/>
    <w:rsid w:val="00FE3151"/>
    <w:rsid w:val="00FE33D6"/>
    <w:rsid w:val="00FE3518"/>
    <w:rsid w:val="00FE3539"/>
    <w:rsid w:val="00FE3585"/>
    <w:rsid w:val="00FE36B3"/>
    <w:rsid w:val="00FE374F"/>
    <w:rsid w:val="00FE3806"/>
    <w:rsid w:val="00FE3873"/>
    <w:rsid w:val="00FE3A22"/>
    <w:rsid w:val="00FE3A59"/>
    <w:rsid w:val="00FE3ACC"/>
    <w:rsid w:val="00FE3B15"/>
    <w:rsid w:val="00FE3D55"/>
    <w:rsid w:val="00FE3E4B"/>
    <w:rsid w:val="00FE42BF"/>
    <w:rsid w:val="00FE43CC"/>
    <w:rsid w:val="00FE4565"/>
    <w:rsid w:val="00FE45C2"/>
    <w:rsid w:val="00FE473F"/>
    <w:rsid w:val="00FE4B35"/>
    <w:rsid w:val="00FE4CDA"/>
    <w:rsid w:val="00FE4DBE"/>
    <w:rsid w:val="00FE4DFD"/>
    <w:rsid w:val="00FE4F2E"/>
    <w:rsid w:val="00FE5642"/>
    <w:rsid w:val="00FE566A"/>
    <w:rsid w:val="00FE5791"/>
    <w:rsid w:val="00FE5B1E"/>
    <w:rsid w:val="00FE5CBF"/>
    <w:rsid w:val="00FE5D26"/>
    <w:rsid w:val="00FE5FEB"/>
    <w:rsid w:val="00FE6217"/>
    <w:rsid w:val="00FE63C1"/>
    <w:rsid w:val="00FE6528"/>
    <w:rsid w:val="00FE6538"/>
    <w:rsid w:val="00FE65EC"/>
    <w:rsid w:val="00FE663E"/>
    <w:rsid w:val="00FE6715"/>
    <w:rsid w:val="00FE678A"/>
    <w:rsid w:val="00FE6941"/>
    <w:rsid w:val="00FE6AA1"/>
    <w:rsid w:val="00FE6C0A"/>
    <w:rsid w:val="00FE6D31"/>
    <w:rsid w:val="00FE6E15"/>
    <w:rsid w:val="00FE70CA"/>
    <w:rsid w:val="00FE7103"/>
    <w:rsid w:val="00FE75BF"/>
    <w:rsid w:val="00FE76ED"/>
    <w:rsid w:val="00FE774F"/>
    <w:rsid w:val="00FE7778"/>
    <w:rsid w:val="00FE77DA"/>
    <w:rsid w:val="00FE7A29"/>
    <w:rsid w:val="00FE7CE6"/>
    <w:rsid w:val="00FE7FB3"/>
    <w:rsid w:val="00FF0065"/>
    <w:rsid w:val="00FF00FE"/>
    <w:rsid w:val="00FF01E7"/>
    <w:rsid w:val="00FF02B5"/>
    <w:rsid w:val="00FF03A0"/>
    <w:rsid w:val="00FF0480"/>
    <w:rsid w:val="00FF0661"/>
    <w:rsid w:val="00FF0682"/>
    <w:rsid w:val="00FF091C"/>
    <w:rsid w:val="00FF0948"/>
    <w:rsid w:val="00FF0AEB"/>
    <w:rsid w:val="00FF0F77"/>
    <w:rsid w:val="00FF102C"/>
    <w:rsid w:val="00FF137E"/>
    <w:rsid w:val="00FF138F"/>
    <w:rsid w:val="00FF13A3"/>
    <w:rsid w:val="00FF1442"/>
    <w:rsid w:val="00FF1566"/>
    <w:rsid w:val="00FF1571"/>
    <w:rsid w:val="00FF15AD"/>
    <w:rsid w:val="00FF175B"/>
    <w:rsid w:val="00FF17AE"/>
    <w:rsid w:val="00FF1910"/>
    <w:rsid w:val="00FF1A13"/>
    <w:rsid w:val="00FF1A20"/>
    <w:rsid w:val="00FF1CB0"/>
    <w:rsid w:val="00FF1DB9"/>
    <w:rsid w:val="00FF22A0"/>
    <w:rsid w:val="00FF25C7"/>
    <w:rsid w:val="00FF264E"/>
    <w:rsid w:val="00FF271B"/>
    <w:rsid w:val="00FF292F"/>
    <w:rsid w:val="00FF299A"/>
    <w:rsid w:val="00FF2B4F"/>
    <w:rsid w:val="00FF2BFE"/>
    <w:rsid w:val="00FF2D87"/>
    <w:rsid w:val="00FF2E5B"/>
    <w:rsid w:val="00FF3445"/>
    <w:rsid w:val="00FF34A0"/>
    <w:rsid w:val="00FF3C70"/>
    <w:rsid w:val="00FF3FF5"/>
    <w:rsid w:val="00FF40FD"/>
    <w:rsid w:val="00FF436B"/>
    <w:rsid w:val="00FF4379"/>
    <w:rsid w:val="00FF452E"/>
    <w:rsid w:val="00FF4701"/>
    <w:rsid w:val="00FF49E6"/>
    <w:rsid w:val="00FF4BC9"/>
    <w:rsid w:val="00FF4D37"/>
    <w:rsid w:val="00FF4DD6"/>
    <w:rsid w:val="00FF4E27"/>
    <w:rsid w:val="00FF4EAD"/>
    <w:rsid w:val="00FF4FB4"/>
    <w:rsid w:val="00FF5043"/>
    <w:rsid w:val="00FF50EC"/>
    <w:rsid w:val="00FF523A"/>
    <w:rsid w:val="00FF53AF"/>
    <w:rsid w:val="00FF53D9"/>
    <w:rsid w:val="00FF54F7"/>
    <w:rsid w:val="00FF563A"/>
    <w:rsid w:val="00FF58C2"/>
    <w:rsid w:val="00FF5CDB"/>
    <w:rsid w:val="00FF5E68"/>
    <w:rsid w:val="00FF5F01"/>
    <w:rsid w:val="00FF607F"/>
    <w:rsid w:val="00FF6B37"/>
    <w:rsid w:val="00FF6BD5"/>
    <w:rsid w:val="00FF6C17"/>
    <w:rsid w:val="00FF6D23"/>
    <w:rsid w:val="00FF6E6A"/>
    <w:rsid w:val="00FF7014"/>
    <w:rsid w:val="00FF7322"/>
    <w:rsid w:val="00FF7458"/>
    <w:rsid w:val="00FF7619"/>
    <w:rsid w:val="00FF763A"/>
    <w:rsid w:val="00FF7855"/>
    <w:rsid w:val="00FF7933"/>
    <w:rsid w:val="00FF799D"/>
    <w:rsid w:val="00FF7A04"/>
    <w:rsid w:val="00FF7C49"/>
    <w:rsid w:val="00FF7CA6"/>
    <w:rsid w:val="00FF7EFE"/>
    <w:rsid w:val="0140E57A"/>
    <w:rsid w:val="04B15C3F"/>
    <w:rsid w:val="05418154"/>
    <w:rsid w:val="0AF4D188"/>
    <w:rsid w:val="0BD9581D"/>
    <w:rsid w:val="0BEEC95B"/>
    <w:rsid w:val="1331C19C"/>
    <w:rsid w:val="136BFE41"/>
    <w:rsid w:val="150CC1B7"/>
    <w:rsid w:val="157068D4"/>
    <w:rsid w:val="16A9850F"/>
    <w:rsid w:val="187032F5"/>
    <w:rsid w:val="1913373D"/>
    <w:rsid w:val="1A07D511"/>
    <w:rsid w:val="1BBEF1AB"/>
    <w:rsid w:val="23E724D5"/>
    <w:rsid w:val="24F35074"/>
    <w:rsid w:val="2BDACE5C"/>
    <w:rsid w:val="3654006F"/>
    <w:rsid w:val="3700EEF1"/>
    <w:rsid w:val="3A3E5CBB"/>
    <w:rsid w:val="3B0E4B20"/>
    <w:rsid w:val="3B6DFA27"/>
    <w:rsid w:val="3FA0BAA8"/>
    <w:rsid w:val="41ACEBE3"/>
    <w:rsid w:val="44C3B409"/>
    <w:rsid w:val="458B537C"/>
    <w:rsid w:val="461CA23A"/>
    <w:rsid w:val="48DAEF80"/>
    <w:rsid w:val="4C4ED698"/>
    <w:rsid w:val="4CA5FD1F"/>
    <w:rsid w:val="4EC5D514"/>
    <w:rsid w:val="4FA50C23"/>
    <w:rsid w:val="51FD0AD8"/>
    <w:rsid w:val="522E90E7"/>
    <w:rsid w:val="54C34973"/>
    <w:rsid w:val="5575B34C"/>
    <w:rsid w:val="5777644B"/>
    <w:rsid w:val="588442DF"/>
    <w:rsid w:val="5A0E1119"/>
    <w:rsid w:val="5DB9D386"/>
    <w:rsid w:val="5E6FC1CC"/>
    <w:rsid w:val="5EB594E3"/>
    <w:rsid w:val="5F6A4B23"/>
    <w:rsid w:val="61390CE9"/>
    <w:rsid w:val="61D6FD06"/>
    <w:rsid w:val="6376F975"/>
    <w:rsid w:val="63C6A51F"/>
    <w:rsid w:val="68AEF3A8"/>
    <w:rsid w:val="69F4AC52"/>
    <w:rsid w:val="6AE25781"/>
    <w:rsid w:val="6B665AD6"/>
    <w:rsid w:val="6BC3A467"/>
    <w:rsid w:val="6BD70F55"/>
    <w:rsid w:val="6C1AEC59"/>
    <w:rsid w:val="6F2FC627"/>
    <w:rsid w:val="70300E50"/>
    <w:rsid w:val="731C509C"/>
    <w:rsid w:val="764F77FD"/>
    <w:rsid w:val="7704E436"/>
    <w:rsid w:val="782B3F2A"/>
    <w:rsid w:val="7839DF66"/>
    <w:rsid w:val="78A2B958"/>
    <w:rsid w:val="7A538C6F"/>
    <w:rsid w:val="7ED9B6D0"/>
    <w:rsid w:val="7F93B99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62B53E93"/>
  <w15:chartTrackingRefBased/>
  <w15:docId w15:val="{E808BC61-89F4-4CAF-9C64-923FCC2AD6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6102"/>
    <w:pPr>
      <w:spacing w:before="120" w:after="120" w:line="240" w:lineRule="auto"/>
    </w:pPr>
    <w:rPr>
      <w:rFonts w:ascii="Univers 45 Light" w:hAnsi="Univers 45 Light"/>
      <w:sz w:val="20"/>
    </w:rPr>
  </w:style>
  <w:style w:type="paragraph" w:styleId="Heading1">
    <w:name w:val="heading 1"/>
    <w:next w:val="BodyText0"/>
    <w:link w:val="Heading1Char"/>
    <w:uiPriority w:val="9"/>
    <w:qFormat/>
    <w:rsid w:val="002A4AE3"/>
    <w:pPr>
      <w:keepNext/>
      <w:keepLines/>
      <w:pageBreakBefore/>
      <w:numPr>
        <w:numId w:val="21"/>
      </w:numPr>
      <w:spacing w:before="240" w:after="240" w:line="240" w:lineRule="auto"/>
      <w:outlineLvl w:val="0"/>
    </w:pPr>
    <w:rPr>
      <w:rFonts w:ascii="KPMG Extralight" w:eastAsiaTheme="majorEastAsia" w:hAnsi="KPMG Extralight" w:cstheme="majorBidi"/>
      <w:color w:val="00338D"/>
      <w:sz w:val="72"/>
      <w:szCs w:val="72"/>
    </w:rPr>
  </w:style>
  <w:style w:type="paragraph" w:styleId="Heading2">
    <w:name w:val="heading 2"/>
    <w:basedOn w:val="Heading1Divider"/>
    <w:next w:val="Normal"/>
    <w:link w:val="Heading2Char"/>
    <w:uiPriority w:val="9"/>
    <w:unhideWhenUsed/>
    <w:qFormat/>
    <w:rsid w:val="00A4480C"/>
    <w:pPr>
      <w:keepNext/>
      <w:numPr>
        <w:numId w:val="0"/>
      </w:numPr>
      <w:spacing w:before="240" w:after="240"/>
      <w:outlineLvl w:val="1"/>
    </w:pPr>
    <w:rPr>
      <w:color w:val="005EB8" w:themeColor="accent3"/>
      <w:sz w:val="48"/>
    </w:rPr>
  </w:style>
  <w:style w:type="paragraph" w:styleId="Heading3">
    <w:name w:val="heading 3"/>
    <w:basedOn w:val="HeadingLevel2NoNumber"/>
    <w:next w:val="Normal"/>
    <w:link w:val="Heading3Char"/>
    <w:uiPriority w:val="9"/>
    <w:unhideWhenUsed/>
    <w:qFormat/>
    <w:rsid w:val="00593B7C"/>
    <w:pPr>
      <w:tabs>
        <w:tab w:val="clear" w:pos="720"/>
      </w:tabs>
      <w:spacing w:before="40" w:after="0"/>
      <w:outlineLvl w:val="2"/>
    </w:pPr>
    <w:rPr>
      <w:b/>
      <w:color w:val="00338D" w:themeColor="text2"/>
      <w:sz w:val="28"/>
      <w:szCs w:val="24"/>
    </w:rPr>
  </w:style>
  <w:style w:type="paragraph" w:styleId="Heading4">
    <w:name w:val="heading 4"/>
    <w:basedOn w:val="Normal"/>
    <w:next w:val="Normal"/>
    <w:link w:val="Heading4Char"/>
    <w:uiPriority w:val="9"/>
    <w:unhideWhenUsed/>
    <w:qFormat/>
    <w:rsid w:val="00A06215"/>
    <w:pPr>
      <w:keepNext/>
      <w:keepLines/>
      <w:numPr>
        <w:ilvl w:val="3"/>
        <w:numId w:val="15"/>
      </w:numPr>
      <w:spacing w:after="0"/>
      <w:outlineLvl w:val="3"/>
    </w:pPr>
    <w:rPr>
      <w:rFonts w:eastAsiaTheme="majorEastAsia" w:cstheme="majorBidi"/>
      <w:b/>
      <w:iCs/>
      <w:color w:val="00338D" w:themeColor="text2"/>
      <w:sz w:val="24"/>
    </w:rPr>
  </w:style>
  <w:style w:type="paragraph" w:styleId="Heading5">
    <w:name w:val="heading 5"/>
    <w:basedOn w:val="BodyText1"/>
    <w:next w:val="BodyText0"/>
    <w:link w:val="Heading5Char"/>
    <w:uiPriority w:val="9"/>
    <w:unhideWhenUsed/>
    <w:qFormat/>
    <w:rsid w:val="00D65A2D"/>
    <w:pPr>
      <w:keepNext/>
      <w:numPr>
        <w:ilvl w:val="4"/>
        <w:numId w:val="21"/>
      </w:numPr>
      <w:outlineLvl w:val="4"/>
    </w:pPr>
    <w:rPr>
      <w:b/>
      <w:sz w:val="22"/>
    </w:rPr>
  </w:style>
  <w:style w:type="paragraph" w:styleId="Heading6">
    <w:name w:val="heading 6"/>
    <w:basedOn w:val="BodyText1"/>
    <w:next w:val="Normal"/>
    <w:link w:val="Heading6Char"/>
    <w:uiPriority w:val="9"/>
    <w:unhideWhenUsed/>
    <w:qFormat/>
    <w:rsid w:val="00B93B13"/>
    <w:pPr>
      <w:numPr>
        <w:ilvl w:val="5"/>
        <w:numId w:val="21"/>
      </w:numPr>
      <w:outlineLvl w:val="5"/>
    </w:pPr>
    <w:rPr>
      <w:i/>
      <w:color w:val="6D2077" w:themeColor="accent2"/>
    </w:rPr>
  </w:style>
  <w:style w:type="paragraph" w:styleId="Heading7">
    <w:name w:val="heading 7"/>
    <w:basedOn w:val="Normal"/>
    <w:next w:val="Normal"/>
    <w:link w:val="Heading7Char"/>
    <w:uiPriority w:val="9"/>
    <w:semiHidden/>
    <w:unhideWhenUsed/>
    <w:qFormat/>
    <w:rsid w:val="00AE5C4A"/>
    <w:pPr>
      <w:keepNext/>
      <w:keepLines/>
      <w:numPr>
        <w:ilvl w:val="6"/>
        <w:numId w:val="21"/>
      </w:numPr>
      <w:spacing w:before="40" w:after="0"/>
      <w:outlineLvl w:val="6"/>
    </w:pPr>
    <w:rPr>
      <w:rFonts w:asciiTheme="majorHAnsi" w:eastAsiaTheme="majorEastAsia" w:hAnsiTheme="majorHAnsi" w:cstheme="majorBidi"/>
      <w:i/>
      <w:iCs/>
      <w:color w:val="00476C" w:themeColor="accent1" w:themeShade="7F"/>
    </w:rPr>
  </w:style>
  <w:style w:type="paragraph" w:styleId="Heading8">
    <w:name w:val="heading 8"/>
    <w:basedOn w:val="Normal"/>
    <w:next w:val="Normal"/>
    <w:link w:val="Heading8Char"/>
    <w:uiPriority w:val="9"/>
    <w:semiHidden/>
    <w:unhideWhenUsed/>
    <w:qFormat/>
    <w:rsid w:val="00AE5C4A"/>
    <w:pPr>
      <w:keepNext/>
      <w:keepLines/>
      <w:numPr>
        <w:ilvl w:val="7"/>
        <w:numId w:val="2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E5C4A"/>
    <w:pPr>
      <w:keepNext/>
      <w:keepLines/>
      <w:numPr>
        <w:ilvl w:val="8"/>
        <w:numId w:val="2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vertitle1108pt">
    <w:name w:val="Cover title 1_108pt"/>
    <w:rsid w:val="00004988"/>
    <w:pPr>
      <w:spacing w:after="0" w:line="240" w:lineRule="auto"/>
    </w:pPr>
    <w:rPr>
      <w:rFonts w:ascii="KPMG Light" w:hAnsi="KPMG Light"/>
      <w:noProof/>
      <w:color w:val="FFFFFF" w:themeColor="background1"/>
      <w:sz w:val="96"/>
      <w:lang w:eastAsia="en-AU"/>
    </w:rPr>
  </w:style>
  <w:style w:type="paragraph" w:customStyle="1" w:styleId="Covertitle216ptB">
    <w:name w:val="Cover title 2_16pt_B"/>
    <w:qFormat/>
    <w:rsid w:val="009B5EE7"/>
    <w:pPr>
      <w:spacing w:after="0" w:line="240" w:lineRule="auto"/>
    </w:pPr>
    <w:rPr>
      <w:rFonts w:ascii="Univers 45 Light" w:hAnsi="Univers 45 Light"/>
      <w:b/>
      <w:color w:val="FFFFFF" w:themeColor="background1"/>
      <w:sz w:val="32"/>
    </w:rPr>
  </w:style>
  <w:style w:type="paragraph" w:customStyle="1" w:styleId="Covertitle316ptNB">
    <w:name w:val="Cover title 3_16pt_NB"/>
    <w:qFormat/>
    <w:rsid w:val="001B41A0"/>
    <w:pPr>
      <w:spacing w:after="0" w:line="240" w:lineRule="auto"/>
    </w:pPr>
    <w:rPr>
      <w:rFonts w:ascii="Univers 45 Light" w:hAnsi="Univers 45 Light"/>
      <w:color w:val="FFFFFF" w:themeColor="background1"/>
      <w:sz w:val="32"/>
    </w:rPr>
  </w:style>
  <w:style w:type="paragraph" w:customStyle="1" w:styleId="Covertitle412pt">
    <w:name w:val="Cover title 4_12pt"/>
    <w:qFormat/>
    <w:rsid w:val="009B5EE7"/>
    <w:pPr>
      <w:spacing w:before="3000" w:after="120" w:line="240" w:lineRule="auto"/>
    </w:pPr>
    <w:rPr>
      <w:rFonts w:ascii="Univers 45 Light" w:hAnsi="Univers 45 Light"/>
      <w:color w:val="FFFFFF" w:themeColor="background1"/>
      <w:sz w:val="24"/>
    </w:rPr>
  </w:style>
  <w:style w:type="table" w:styleId="TableGrid">
    <w:name w:val="Table Grid"/>
    <w:basedOn w:val="TableNormal"/>
    <w:uiPriority w:val="39"/>
    <w:rsid w:val="008857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qFormat/>
    <w:rsid w:val="00A94BA2"/>
    <w:pPr>
      <w:spacing w:before="120" w:after="120" w:line="240" w:lineRule="auto"/>
    </w:pPr>
    <w:rPr>
      <w:rFonts w:ascii="Univers 45 Light" w:hAnsi="Univers 45 Light"/>
      <w:b/>
      <w:color w:val="FFFFFF" w:themeColor="background1"/>
      <w:sz w:val="20"/>
    </w:rPr>
  </w:style>
  <w:style w:type="paragraph" w:customStyle="1" w:styleId="Tabletext">
    <w:name w:val="Table text"/>
    <w:link w:val="TabletextChar"/>
    <w:qFormat/>
    <w:rsid w:val="00243CD3"/>
    <w:pPr>
      <w:spacing w:before="40" w:after="40" w:line="240" w:lineRule="auto"/>
    </w:pPr>
    <w:rPr>
      <w:rFonts w:ascii="Univers 45 Light" w:hAnsi="Univers 45 Light"/>
      <w:sz w:val="18"/>
    </w:rPr>
  </w:style>
  <w:style w:type="character" w:customStyle="1" w:styleId="Heading1Char">
    <w:name w:val="Heading 1 Char"/>
    <w:basedOn w:val="DefaultParagraphFont"/>
    <w:link w:val="Heading1"/>
    <w:uiPriority w:val="9"/>
    <w:rsid w:val="002A4AE3"/>
    <w:rPr>
      <w:rFonts w:ascii="KPMG Extralight" w:eastAsiaTheme="majorEastAsia" w:hAnsi="KPMG Extralight" w:cstheme="majorBidi"/>
      <w:color w:val="00338D"/>
      <w:sz w:val="72"/>
      <w:szCs w:val="72"/>
    </w:rPr>
  </w:style>
  <w:style w:type="paragraph" w:customStyle="1" w:styleId="BodyText1">
    <w:name w:val="Body Text1"/>
    <w:qFormat/>
    <w:rsid w:val="003E1978"/>
    <w:pPr>
      <w:spacing w:before="120" w:after="120" w:line="240" w:lineRule="auto"/>
    </w:pPr>
    <w:rPr>
      <w:rFonts w:ascii="Univers 45 Light" w:hAnsi="Univers 45 Light"/>
      <w:sz w:val="20"/>
    </w:rPr>
  </w:style>
  <w:style w:type="paragraph" w:styleId="BodyText0">
    <w:name w:val="Body Text"/>
    <w:basedOn w:val="Normal"/>
    <w:link w:val="BodyTextChar"/>
    <w:uiPriority w:val="99"/>
    <w:unhideWhenUsed/>
    <w:rsid w:val="00287CE1"/>
  </w:style>
  <w:style w:type="character" w:customStyle="1" w:styleId="BodyTextChar">
    <w:name w:val="Body Text Char"/>
    <w:basedOn w:val="DefaultParagraphFont"/>
    <w:link w:val="BodyText0"/>
    <w:uiPriority w:val="99"/>
    <w:rsid w:val="00287CE1"/>
  </w:style>
  <w:style w:type="paragraph" w:customStyle="1" w:styleId="Heading1Noshow">
    <w:name w:val="Heading 1_No show"/>
    <w:qFormat/>
    <w:rsid w:val="00DC5E8D"/>
    <w:pPr>
      <w:spacing w:after="480" w:line="192" w:lineRule="auto"/>
    </w:pPr>
    <w:rPr>
      <w:rFonts w:ascii="KPMG Extralight" w:eastAsiaTheme="majorEastAsia" w:hAnsi="KPMG Extralight" w:cstheme="majorBidi"/>
      <w:color w:val="00338D"/>
      <w:sz w:val="108"/>
      <w:szCs w:val="32"/>
    </w:rPr>
  </w:style>
  <w:style w:type="character" w:customStyle="1" w:styleId="Heading2Char">
    <w:name w:val="Heading 2 Char"/>
    <w:basedOn w:val="DefaultParagraphFont"/>
    <w:link w:val="Heading2"/>
    <w:uiPriority w:val="9"/>
    <w:rsid w:val="00A4480C"/>
    <w:rPr>
      <w:rFonts w:ascii="KPMG Extralight" w:eastAsiaTheme="majorEastAsia" w:hAnsi="KPMG Extralight" w:cstheme="majorBidi"/>
      <w:color w:val="005EB8" w:themeColor="accent3"/>
      <w:sz w:val="48"/>
      <w:szCs w:val="72"/>
    </w:rPr>
  </w:style>
  <w:style w:type="paragraph" w:styleId="TOC1">
    <w:name w:val="toc 1"/>
    <w:basedOn w:val="Normal"/>
    <w:next w:val="Normal"/>
    <w:autoRedefine/>
    <w:uiPriority w:val="39"/>
    <w:unhideWhenUsed/>
    <w:rsid w:val="003433BA"/>
    <w:pPr>
      <w:tabs>
        <w:tab w:val="left" w:pos="567"/>
        <w:tab w:val="right" w:leader="dot" w:pos="9070"/>
      </w:tabs>
      <w:spacing w:before="240"/>
      <w:ind w:left="425" w:hanging="425"/>
    </w:pPr>
    <w:rPr>
      <w:rFonts w:eastAsiaTheme="majorEastAsia"/>
      <w:b/>
      <w:noProof/>
    </w:rPr>
  </w:style>
  <w:style w:type="character" w:customStyle="1" w:styleId="Heading3Char">
    <w:name w:val="Heading 3 Char"/>
    <w:basedOn w:val="DefaultParagraphFont"/>
    <w:link w:val="Heading3"/>
    <w:uiPriority w:val="9"/>
    <w:rsid w:val="00593B7C"/>
    <w:rPr>
      <w:rFonts w:ascii="KPMG Extralight" w:eastAsiaTheme="majorEastAsia" w:hAnsi="KPMG Extralight" w:cstheme="majorBidi"/>
      <w:b/>
      <w:color w:val="00338D" w:themeColor="text2"/>
      <w:sz w:val="28"/>
      <w:szCs w:val="24"/>
    </w:rPr>
  </w:style>
  <w:style w:type="character" w:styleId="Hyperlink">
    <w:name w:val="Hyperlink"/>
    <w:basedOn w:val="DefaultParagraphFont"/>
    <w:uiPriority w:val="99"/>
    <w:unhideWhenUsed/>
    <w:rsid w:val="000D3A24"/>
    <w:rPr>
      <w:color w:val="auto"/>
      <w:u w:val="single"/>
    </w:rPr>
  </w:style>
  <w:style w:type="paragraph" w:styleId="Header">
    <w:name w:val="header"/>
    <w:basedOn w:val="Normal"/>
    <w:link w:val="HeaderChar"/>
    <w:uiPriority w:val="99"/>
    <w:unhideWhenUsed/>
    <w:rsid w:val="000B0707"/>
    <w:pPr>
      <w:tabs>
        <w:tab w:val="center" w:pos="4513"/>
        <w:tab w:val="right" w:pos="9026"/>
      </w:tabs>
      <w:spacing w:before="0" w:after="0"/>
    </w:pPr>
    <w:rPr>
      <w:i/>
      <w:iCs/>
      <w:noProof/>
      <w:sz w:val="18"/>
    </w:rPr>
  </w:style>
  <w:style w:type="character" w:customStyle="1" w:styleId="HeaderChar">
    <w:name w:val="Header Char"/>
    <w:basedOn w:val="DefaultParagraphFont"/>
    <w:link w:val="Header"/>
    <w:uiPriority w:val="99"/>
    <w:rsid w:val="000B0707"/>
    <w:rPr>
      <w:rFonts w:ascii="Univers 45 Light" w:hAnsi="Univers 45 Light"/>
      <w:i/>
      <w:iCs/>
      <w:noProof/>
      <w:sz w:val="18"/>
    </w:rPr>
  </w:style>
  <w:style w:type="paragraph" w:styleId="Footer">
    <w:name w:val="footer"/>
    <w:basedOn w:val="Normal"/>
    <w:link w:val="FooterChar"/>
    <w:uiPriority w:val="99"/>
    <w:unhideWhenUsed/>
    <w:rsid w:val="009C47A9"/>
    <w:pPr>
      <w:tabs>
        <w:tab w:val="center" w:pos="4513"/>
        <w:tab w:val="right" w:pos="9026"/>
      </w:tabs>
      <w:spacing w:after="0"/>
      <w:jc w:val="center"/>
    </w:pPr>
    <w:rPr>
      <w:sz w:val="12"/>
    </w:rPr>
  </w:style>
  <w:style w:type="character" w:customStyle="1" w:styleId="FooterChar">
    <w:name w:val="Footer Char"/>
    <w:basedOn w:val="DefaultParagraphFont"/>
    <w:link w:val="Footer"/>
    <w:uiPriority w:val="99"/>
    <w:rsid w:val="009C47A9"/>
    <w:rPr>
      <w:rFonts w:ascii="Univers 45 Light" w:hAnsi="Univers 45 Light"/>
      <w:sz w:val="12"/>
    </w:rPr>
  </w:style>
  <w:style w:type="paragraph" w:customStyle="1" w:styleId="CVname">
    <w:name w:val="CV name"/>
    <w:qFormat/>
    <w:rsid w:val="008B1B1E"/>
    <w:pPr>
      <w:numPr>
        <w:numId w:val="13"/>
      </w:numPr>
      <w:spacing w:after="80" w:line="240" w:lineRule="auto"/>
    </w:pPr>
    <w:rPr>
      <w:rFonts w:ascii="Univers 45 Light" w:hAnsi="Univers 45 Light"/>
      <w:color w:val="00338D"/>
      <w:sz w:val="28"/>
    </w:rPr>
  </w:style>
  <w:style w:type="paragraph" w:customStyle="1" w:styleId="CVtitle">
    <w:name w:val="CV title"/>
    <w:qFormat/>
    <w:rsid w:val="0014754F"/>
    <w:pPr>
      <w:numPr>
        <w:numId w:val="1"/>
      </w:numPr>
      <w:spacing w:line="240" w:lineRule="auto"/>
    </w:pPr>
    <w:rPr>
      <w:rFonts w:ascii="Univers 45 Light" w:hAnsi="Univers 45 Light"/>
      <w:i/>
      <w:color w:val="6D2077" w:themeColor="accent2"/>
      <w:sz w:val="20"/>
    </w:rPr>
  </w:style>
  <w:style w:type="paragraph" w:customStyle="1" w:styleId="CVdetail">
    <w:name w:val="CV detail"/>
    <w:qFormat/>
    <w:rsid w:val="008B1B1E"/>
    <w:pPr>
      <w:numPr>
        <w:numId w:val="2"/>
      </w:numPr>
      <w:spacing w:before="120" w:after="0" w:line="240" w:lineRule="auto"/>
    </w:pPr>
    <w:rPr>
      <w:rFonts w:ascii="Univers 45 Light" w:hAnsi="Univers 45 Light"/>
      <w:color w:val="00338D"/>
      <w:sz w:val="20"/>
    </w:rPr>
  </w:style>
  <w:style w:type="paragraph" w:customStyle="1" w:styleId="CVheader">
    <w:name w:val="CV header"/>
    <w:qFormat/>
    <w:rsid w:val="004D0067"/>
    <w:pPr>
      <w:numPr>
        <w:numId w:val="3"/>
      </w:numPr>
      <w:spacing w:before="240" w:after="120" w:line="240" w:lineRule="auto"/>
    </w:pPr>
    <w:rPr>
      <w:rFonts w:ascii="Univers 45 Light" w:hAnsi="Univers 45 Light"/>
      <w:b/>
      <w:color w:val="00338D"/>
      <w:sz w:val="20"/>
    </w:rPr>
  </w:style>
  <w:style w:type="paragraph" w:customStyle="1" w:styleId="CVtext">
    <w:name w:val="CV text"/>
    <w:qFormat/>
    <w:rsid w:val="0024699F"/>
    <w:pPr>
      <w:numPr>
        <w:numId w:val="4"/>
      </w:numPr>
      <w:spacing w:before="120" w:after="120" w:line="280" w:lineRule="exact"/>
    </w:pPr>
    <w:rPr>
      <w:rFonts w:ascii="Univers 45 Light" w:hAnsi="Univers 45 Light"/>
      <w:sz w:val="20"/>
    </w:rPr>
  </w:style>
  <w:style w:type="character" w:customStyle="1" w:styleId="Heading4Char">
    <w:name w:val="Heading 4 Char"/>
    <w:basedOn w:val="DefaultParagraphFont"/>
    <w:link w:val="Heading4"/>
    <w:uiPriority w:val="9"/>
    <w:rsid w:val="00A06215"/>
    <w:rPr>
      <w:rFonts w:ascii="Univers 45 Light" w:eastAsiaTheme="majorEastAsia" w:hAnsi="Univers 45 Light" w:cstheme="majorBidi"/>
      <w:b/>
      <w:iCs/>
      <w:color w:val="00338D" w:themeColor="text2"/>
      <w:sz w:val="24"/>
    </w:rPr>
  </w:style>
  <w:style w:type="character" w:customStyle="1" w:styleId="Heading5Char">
    <w:name w:val="Heading 5 Char"/>
    <w:basedOn w:val="DefaultParagraphFont"/>
    <w:link w:val="Heading5"/>
    <w:uiPriority w:val="9"/>
    <w:rsid w:val="00D65A2D"/>
    <w:rPr>
      <w:rFonts w:ascii="Univers 45 Light" w:hAnsi="Univers 45 Light"/>
      <w:b/>
    </w:rPr>
  </w:style>
  <w:style w:type="character" w:customStyle="1" w:styleId="Heading6Char">
    <w:name w:val="Heading 6 Char"/>
    <w:basedOn w:val="DefaultParagraphFont"/>
    <w:link w:val="Heading6"/>
    <w:uiPriority w:val="9"/>
    <w:rsid w:val="00B93B13"/>
    <w:rPr>
      <w:rFonts w:ascii="Univers 45 Light" w:hAnsi="Univers 45 Light"/>
      <w:i/>
      <w:color w:val="6D2077" w:themeColor="accent2"/>
      <w:sz w:val="20"/>
    </w:rPr>
  </w:style>
  <w:style w:type="paragraph" w:customStyle="1" w:styleId="Bullet1stlevel">
    <w:name w:val="Bullet 1st level"/>
    <w:basedOn w:val="BodyText1"/>
    <w:link w:val="Bullet1stlevelChar"/>
    <w:qFormat/>
    <w:rsid w:val="005230A9"/>
    <w:pPr>
      <w:numPr>
        <w:numId w:val="5"/>
      </w:numPr>
      <w:spacing w:before="0" w:after="60"/>
    </w:pPr>
  </w:style>
  <w:style w:type="paragraph" w:customStyle="1" w:styleId="Bullet2ndlevel">
    <w:name w:val="Bullet 2nd level"/>
    <w:basedOn w:val="BodyText1"/>
    <w:qFormat/>
    <w:rsid w:val="00974FEC"/>
    <w:pPr>
      <w:numPr>
        <w:numId w:val="16"/>
      </w:numPr>
      <w:tabs>
        <w:tab w:val="left" w:pos="680"/>
      </w:tabs>
      <w:spacing w:before="40" w:after="40"/>
      <w:ind w:left="680" w:hanging="340"/>
    </w:pPr>
  </w:style>
  <w:style w:type="paragraph" w:customStyle="1" w:styleId="Bullet3rdlevel">
    <w:name w:val="Bullet 3rd level"/>
    <w:basedOn w:val="BodyText1"/>
    <w:rsid w:val="007316D0"/>
    <w:pPr>
      <w:tabs>
        <w:tab w:val="num" w:pos="340"/>
      </w:tabs>
      <w:spacing w:before="40"/>
      <w:ind w:left="340" w:hanging="340"/>
    </w:pPr>
  </w:style>
  <w:style w:type="paragraph" w:customStyle="1" w:styleId="Numberbullet1stlevel">
    <w:name w:val="Number bullet 1st level"/>
    <w:basedOn w:val="BodyText1"/>
    <w:qFormat/>
    <w:rsid w:val="00D65A2D"/>
    <w:pPr>
      <w:tabs>
        <w:tab w:val="num" w:pos="340"/>
      </w:tabs>
      <w:ind w:left="357" w:hanging="357"/>
    </w:pPr>
  </w:style>
  <w:style w:type="paragraph" w:customStyle="1" w:styleId="Numberbullet2ndlevel">
    <w:name w:val="Number bullet 2nd level"/>
    <w:basedOn w:val="BodyText1"/>
    <w:qFormat/>
    <w:rsid w:val="00D65A2D"/>
    <w:pPr>
      <w:tabs>
        <w:tab w:val="left" w:pos="714"/>
      </w:tabs>
      <w:ind w:left="714" w:hanging="357"/>
    </w:pPr>
  </w:style>
  <w:style w:type="paragraph" w:customStyle="1" w:styleId="CVbullet1">
    <w:name w:val="CV bullet 1"/>
    <w:basedOn w:val="BodyText1"/>
    <w:qFormat/>
    <w:rsid w:val="0024699F"/>
    <w:pPr>
      <w:tabs>
        <w:tab w:val="num" w:pos="340"/>
      </w:tabs>
      <w:ind w:left="340" w:hanging="340"/>
    </w:pPr>
  </w:style>
  <w:style w:type="paragraph" w:customStyle="1" w:styleId="CVbullet2">
    <w:name w:val="CV bullet 2"/>
    <w:basedOn w:val="BodyText1"/>
    <w:qFormat/>
    <w:rsid w:val="002360FF"/>
    <w:pPr>
      <w:numPr>
        <w:numId w:val="6"/>
      </w:numPr>
      <w:spacing w:before="40"/>
    </w:pPr>
  </w:style>
  <w:style w:type="paragraph" w:styleId="TableofFigures">
    <w:name w:val="table of figures"/>
    <w:basedOn w:val="Normal"/>
    <w:next w:val="Normal"/>
    <w:uiPriority w:val="99"/>
    <w:unhideWhenUsed/>
    <w:rsid w:val="004E48EE"/>
    <w:pPr>
      <w:spacing w:after="0"/>
    </w:pPr>
  </w:style>
  <w:style w:type="paragraph" w:styleId="Title">
    <w:name w:val="Title"/>
    <w:basedOn w:val="Normal"/>
    <w:next w:val="Normal"/>
    <w:link w:val="TitleChar"/>
    <w:uiPriority w:val="10"/>
    <w:qFormat/>
    <w:rsid w:val="00AA66F7"/>
    <w:pPr>
      <w:spacing w:before="0" w:after="0"/>
      <w:contextualSpacing/>
    </w:pPr>
    <w:rPr>
      <w:rFonts w:ascii="Calibri Light" w:eastAsiaTheme="majorEastAsia" w:hAnsi="Calibri Light" w:cstheme="majorBidi"/>
      <w:color w:val="FFFFFF" w:themeColor="background1"/>
      <w:spacing w:val="-10"/>
      <w:kern w:val="28"/>
      <w:sz w:val="56"/>
      <w:szCs w:val="56"/>
    </w:rPr>
  </w:style>
  <w:style w:type="character" w:customStyle="1" w:styleId="White">
    <w:name w:val="White"/>
    <w:basedOn w:val="DefaultParagraphFont"/>
    <w:uiPriority w:val="1"/>
    <w:qFormat/>
    <w:rsid w:val="002D014E"/>
    <w:rPr>
      <w:color w:val="FFFFFF" w:themeColor="background1"/>
    </w:rPr>
  </w:style>
  <w:style w:type="paragraph" w:styleId="Quote">
    <w:name w:val="Quote"/>
    <w:basedOn w:val="Bullet1stlevel"/>
    <w:next w:val="Normal"/>
    <w:link w:val="QuoteChar"/>
    <w:uiPriority w:val="29"/>
    <w:qFormat/>
    <w:rsid w:val="00262072"/>
    <w:pPr>
      <w:numPr>
        <w:numId w:val="0"/>
      </w:numPr>
      <w:ind w:left="340"/>
    </w:pPr>
    <w:rPr>
      <w:color w:val="00A3A1" w:themeColor="accent4"/>
    </w:rPr>
  </w:style>
  <w:style w:type="character" w:customStyle="1" w:styleId="QuoteChar">
    <w:name w:val="Quote Char"/>
    <w:basedOn w:val="DefaultParagraphFont"/>
    <w:link w:val="Quote"/>
    <w:uiPriority w:val="29"/>
    <w:rsid w:val="00821FAB"/>
    <w:rPr>
      <w:rFonts w:ascii="Univers 45 Light" w:hAnsi="Univers 45 Light"/>
      <w:color w:val="00A3A1" w:themeColor="accent4"/>
      <w:sz w:val="20"/>
    </w:rPr>
  </w:style>
  <w:style w:type="paragraph" w:customStyle="1" w:styleId="Introduction">
    <w:name w:val="Introduction"/>
    <w:basedOn w:val="Quote"/>
    <w:qFormat/>
    <w:rsid w:val="00F455AD"/>
  </w:style>
  <w:style w:type="paragraph" w:customStyle="1" w:styleId="Letterhead">
    <w:name w:val="Letterhead"/>
    <w:rsid w:val="00826506"/>
    <w:pPr>
      <w:spacing w:after="0" w:line="160" w:lineRule="atLeast"/>
    </w:pPr>
    <w:rPr>
      <w:rFonts w:eastAsia="Batang" w:cs="Arial"/>
      <w:sz w:val="12"/>
      <w:szCs w:val="12"/>
      <w:lang w:val="en-GB" w:eastAsia="ko-KR"/>
    </w:rPr>
  </w:style>
  <w:style w:type="paragraph" w:customStyle="1" w:styleId="Letterheadaddress">
    <w:name w:val="Letterhead address"/>
    <w:basedOn w:val="BodyText1"/>
    <w:qFormat/>
    <w:rsid w:val="00903423"/>
    <w:pPr>
      <w:spacing w:before="20" w:after="20"/>
      <w:ind w:left="142"/>
    </w:pPr>
  </w:style>
  <w:style w:type="paragraph" w:customStyle="1" w:styleId="Contactus">
    <w:name w:val="Contact us"/>
    <w:basedOn w:val="BodyText1"/>
    <w:rsid w:val="00CC7A82"/>
    <w:pPr>
      <w:ind w:left="426"/>
    </w:pPr>
    <w:rPr>
      <w:b/>
      <w:color w:val="FFFFFF" w:themeColor="background1"/>
      <w:sz w:val="24"/>
    </w:rPr>
  </w:style>
  <w:style w:type="paragraph" w:customStyle="1" w:styleId="backcoverdetails">
    <w:name w:val="back cover details"/>
    <w:basedOn w:val="BodyText1"/>
    <w:rsid w:val="00CC7A82"/>
    <w:pPr>
      <w:spacing w:before="40" w:after="40"/>
      <w:ind w:left="425"/>
    </w:pPr>
    <w:rPr>
      <w:color w:val="FFFFFF" w:themeColor="background1"/>
    </w:rPr>
  </w:style>
  <w:style w:type="paragraph" w:styleId="IntenseQuote">
    <w:name w:val="Intense Quote"/>
    <w:basedOn w:val="Normal"/>
    <w:next w:val="Normal"/>
    <w:link w:val="IntenseQuoteChar"/>
    <w:uiPriority w:val="30"/>
    <w:qFormat/>
    <w:rsid w:val="00BA4108"/>
    <w:pPr>
      <w:pBdr>
        <w:top w:val="single" w:sz="4" w:space="10" w:color="0091DA" w:themeColor="accent1"/>
        <w:bottom w:val="single" w:sz="4" w:space="10" w:color="0091DA" w:themeColor="accent1"/>
      </w:pBdr>
      <w:spacing w:before="360" w:after="360"/>
    </w:pPr>
    <w:rPr>
      <w:i/>
      <w:iCs/>
      <w:color w:val="0091DA" w:themeColor="accent1"/>
    </w:rPr>
  </w:style>
  <w:style w:type="character" w:customStyle="1" w:styleId="IntenseQuoteChar">
    <w:name w:val="Intense Quote Char"/>
    <w:basedOn w:val="DefaultParagraphFont"/>
    <w:link w:val="IntenseQuote"/>
    <w:uiPriority w:val="30"/>
    <w:rsid w:val="00BA4108"/>
    <w:rPr>
      <w:rFonts w:ascii="Univers 45 Light" w:hAnsi="Univers 45 Light"/>
      <w:i/>
      <w:iCs/>
      <w:color w:val="0091DA" w:themeColor="accent1"/>
    </w:rPr>
  </w:style>
  <w:style w:type="character" w:styleId="SubtleReference">
    <w:name w:val="Subtle Reference"/>
    <w:basedOn w:val="DefaultParagraphFont"/>
    <w:uiPriority w:val="31"/>
    <w:qFormat/>
    <w:rsid w:val="00BA4108"/>
    <w:rPr>
      <w:rFonts w:ascii="KPMG Light" w:hAnsi="KPMG Light"/>
      <w:smallCaps/>
      <w:color w:val="5A5A5A" w:themeColor="text1" w:themeTint="A5"/>
      <w:sz w:val="44"/>
    </w:rPr>
  </w:style>
  <w:style w:type="character" w:styleId="IntenseReference">
    <w:name w:val="Intense Reference"/>
    <w:basedOn w:val="DefaultParagraphFont"/>
    <w:uiPriority w:val="32"/>
    <w:qFormat/>
    <w:rsid w:val="00BA4108"/>
    <w:rPr>
      <w:rFonts w:ascii="KPMG Light" w:hAnsi="KPMG Light"/>
      <w:b/>
      <w:bCs/>
      <w:smallCaps/>
      <w:color w:val="0091DA" w:themeColor="accent1"/>
      <w:spacing w:val="5"/>
      <w:sz w:val="44"/>
    </w:rPr>
  </w:style>
  <w:style w:type="paragraph" w:customStyle="1" w:styleId="Default">
    <w:name w:val="Default"/>
    <w:rsid w:val="00413248"/>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IntroPara">
    <w:name w:val="IntroPara"/>
    <w:basedOn w:val="Heading2"/>
    <w:qFormat/>
    <w:rsid w:val="00BF7578"/>
    <w:pPr>
      <w:tabs>
        <w:tab w:val="num" w:pos="720"/>
      </w:tabs>
      <w:spacing w:before="120"/>
      <w:outlineLvl w:val="9"/>
    </w:pPr>
    <w:rPr>
      <w:rFonts w:ascii="Univers 45 Light" w:hAnsi="Univers 45 Light"/>
      <w:b/>
      <w:color w:val="auto"/>
      <w:sz w:val="28"/>
      <w:szCs w:val="28"/>
    </w:rPr>
  </w:style>
  <w:style w:type="character" w:customStyle="1" w:styleId="Heading7Char">
    <w:name w:val="Heading 7 Char"/>
    <w:basedOn w:val="DefaultParagraphFont"/>
    <w:link w:val="Heading7"/>
    <w:uiPriority w:val="9"/>
    <w:semiHidden/>
    <w:rsid w:val="00AE5C4A"/>
    <w:rPr>
      <w:rFonts w:asciiTheme="majorHAnsi" w:eastAsiaTheme="majorEastAsia" w:hAnsiTheme="majorHAnsi" w:cstheme="majorBidi"/>
      <w:i/>
      <w:iCs/>
      <w:color w:val="00476C" w:themeColor="accent1" w:themeShade="7F"/>
      <w:sz w:val="20"/>
    </w:rPr>
  </w:style>
  <w:style w:type="character" w:customStyle="1" w:styleId="Heading9Char">
    <w:name w:val="Heading 9 Char"/>
    <w:basedOn w:val="DefaultParagraphFont"/>
    <w:link w:val="Heading9"/>
    <w:uiPriority w:val="9"/>
    <w:semiHidden/>
    <w:rsid w:val="00AE5C4A"/>
    <w:rPr>
      <w:rFonts w:asciiTheme="majorHAnsi" w:eastAsiaTheme="majorEastAsia" w:hAnsiTheme="majorHAnsi" w:cstheme="majorBidi"/>
      <w:i/>
      <w:iCs/>
      <w:color w:val="272727" w:themeColor="text1" w:themeTint="D8"/>
      <w:sz w:val="21"/>
      <w:szCs w:val="21"/>
    </w:rPr>
  </w:style>
  <w:style w:type="character" w:customStyle="1" w:styleId="Heading8Char">
    <w:name w:val="Heading 8 Char"/>
    <w:basedOn w:val="DefaultParagraphFont"/>
    <w:link w:val="Heading8"/>
    <w:uiPriority w:val="9"/>
    <w:semiHidden/>
    <w:rsid w:val="00AE5C4A"/>
    <w:rPr>
      <w:rFonts w:asciiTheme="majorHAnsi" w:eastAsiaTheme="majorEastAsia" w:hAnsiTheme="majorHAnsi" w:cstheme="majorBidi"/>
      <w:color w:val="272727" w:themeColor="text1" w:themeTint="D8"/>
      <w:sz w:val="21"/>
      <w:szCs w:val="21"/>
    </w:rPr>
  </w:style>
  <w:style w:type="character" w:styleId="CommentReference">
    <w:name w:val="annotation reference"/>
    <w:basedOn w:val="DefaultParagraphFont"/>
    <w:uiPriority w:val="99"/>
    <w:semiHidden/>
    <w:unhideWhenUsed/>
    <w:rsid w:val="00AE5C4A"/>
    <w:rPr>
      <w:sz w:val="16"/>
      <w:szCs w:val="16"/>
    </w:rPr>
  </w:style>
  <w:style w:type="paragraph" w:styleId="CommentText">
    <w:name w:val="annotation text"/>
    <w:link w:val="CommentTextChar"/>
    <w:uiPriority w:val="99"/>
    <w:unhideWhenUsed/>
    <w:rsid w:val="00593B7C"/>
    <w:pPr>
      <w:spacing w:before="120" w:after="120" w:line="240" w:lineRule="auto"/>
    </w:pPr>
    <w:rPr>
      <w:rFonts w:ascii="Univers 45 Light" w:hAnsi="Univers 45 Light"/>
      <w:b/>
      <w:color w:val="00338D" w:themeColor="text2"/>
      <w:sz w:val="24"/>
      <w:szCs w:val="20"/>
    </w:rPr>
  </w:style>
  <w:style w:type="character" w:customStyle="1" w:styleId="CommentTextChar">
    <w:name w:val="Comment Text Char"/>
    <w:basedOn w:val="DefaultParagraphFont"/>
    <w:link w:val="CommentText"/>
    <w:uiPriority w:val="99"/>
    <w:rsid w:val="00593B7C"/>
    <w:rPr>
      <w:rFonts w:ascii="Univers 45 Light" w:hAnsi="Univers 45 Light"/>
      <w:b/>
      <w:color w:val="00338D" w:themeColor="text2"/>
      <w:sz w:val="24"/>
      <w:szCs w:val="20"/>
    </w:rPr>
  </w:style>
  <w:style w:type="paragraph" w:styleId="CommentSubject">
    <w:name w:val="annotation subject"/>
    <w:basedOn w:val="CommentText"/>
    <w:next w:val="CommentText"/>
    <w:link w:val="CommentSubjectChar"/>
    <w:uiPriority w:val="99"/>
    <w:semiHidden/>
    <w:unhideWhenUsed/>
    <w:rsid w:val="00AE5C4A"/>
    <w:rPr>
      <w:b w:val="0"/>
      <w:bCs/>
    </w:rPr>
  </w:style>
  <w:style w:type="character" w:customStyle="1" w:styleId="CommentSubjectChar">
    <w:name w:val="Comment Subject Char"/>
    <w:basedOn w:val="CommentTextChar"/>
    <w:link w:val="CommentSubject"/>
    <w:uiPriority w:val="99"/>
    <w:semiHidden/>
    <w:rsid w:val="00AE5C4A"/>
    <w:rPr>
      <w:rFonts w:ascii="Univers 45 Light" w:hAnsi="Univers 45 Light"/>
      <w:b w:val="0"/>
      <w:bCs/>
      <w:color w:val="00338D" w:themeColor="text2"/>
      <w:sz w:val="20"/>
      <w:szCs w:val="20"/>
    </w:rPr>
  </w:style>
  <w:style w:type="paragraph" w:styleId="BalloonText">
    <w:name w:val="Balloon Text"/>
    <w:basedOn w:val="Normal"/>
    <w:link w:val="BalloonTextChar"/>
    <w:uiPriority w:val="99"/>
    <w:semiHidden/>
    <w:unhideWhenUsed/>
    <w:rsid w:val="00AE5C4A"/>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E5C4A"/>
    <w:rPr>
      <w:rFonts w:ascii="Segoe UI" w:hAnsi="Segoe UI" w:cs="Segoe UI"/>
      <w:sz w:val="18"/>
      <w:szCs w:val="18"/>
    </w:rPr>
  </w:style>
  <w:style w:type="paragraph" w:customStyle="1" w:styleId="HeadingLevel1NoNumber">
    <w:name w:val="HeadingLevel1NoNumber"/>
    <w:basedOn w:val="Heading1"/>
    <w:next w:val="BodyText0"/>
    <w:qFormat/>
    <w:rsid w:val="00DC5E8D"/>
    <w:pPr>
      <w:numPr>
        <w:numId w:val="0"/>
      </w:numPr>
      <w:spacing w:before="0" w:after="360" w:line="192" w:lineRule="auto"/>
    </w:pPr>
  </w:style>
  <w:style w:type="paragraph" w:customStyle="1" w:styleId="HeadingLevel2NoNumber">
    <w:name w:val="HeadingLevel2NoNumber"/>
    <w:basedOn w:val="Heading2"/>
    <w:next w:val="BodyText0"/>
    <w:qFormat/>
    <w:rsid w:val="00231A99"/>
    <w:pPr>
      <w:tabs>
        <w:tab w:val="num" w:pos="720"/>
      </w:tabs>
    </w:pPr>
    <w:rPr>
      <w:szCs w:val="56"/>
    </w:rPr>
  </w:style>
  <w:style w:type="paragraph" w:customStyle="1" w:styleId="HeadingLevel3NoNumber">
    <w:name w:val="HeadingLevel3NoNumber"/>
    <w:basedOn w:val="Heading3"/>
    <w:next w:val="BodyText0"/>
    <w:qFormat/>
    <w:rsid w:val="00231A99"/>
    <w:pPr>
      <w:spacing w:before="240"/>
    </w:pPr>
  </w:style>
  <w:style w:type="paragraph" w:customStyle="1" w:styleId="HeadingLevel4NoNumber">
    <w:name w:val="HeadingLevel4NoNumber"/>
    <w:basedOn w:val="Normal"/>
    <w:next w:val="BodyText0"/>
    <w:qFormat/>
    <w:rsid w:val="00A06215"/>
    <w:pPr>
      <w:keepNext/>
      <w:spacing w:before="240"/>
    </w:pPr>
    <w:rPr>
      <w:color w:val="00338D" w:themeColor="text2"/>
      <w:sz w:val="24"/>
      <w:szCs w:val="24"/>
    </w:rPr>
  </w:style>
  <w:style w:type="paragraph" w:styleId="ListBullet">
    <w:name w:val="List Bullet"/>
    <w:basedOn w:val="Normal"/>
    <w:uiPriority w:val="99"/>
    <w:unhideWhenUsed/>
    <w:rsid w:val="00AE5C4A"/>
    <w:pPr>
      <w:numPr>
        <w:numId w:val="7"/>
      </w:numPr>
      <w:tabs>
        <w:tab w:val="clear" w:pos="340"/>
        <w:tab w:val="left" w:pos="357"/>
      </w:tabs>
      <w:ind w:left="357" w:hanging="357"/>
      <w:contextualSpacing/>
    </w:pPr>
  </w:style>
  <w:style w:type="paragraph" w:styleId="ListBullet2">
    <w:name w:val="List Bullet 2"/>
    <w:basedOn w:val="Normal"/>
    <w:uiPriority w:val="99"/>
    <w:unhideWhenUsed/>
    <w:rsid w:val="00D65A2D"/>
    <w:pPr>
      <w:numPr>
        <w:numId w:val="8"/>
      </w:numPr>
      <w:tabs>
        <w:tab w:val="clear" w:pos="697"/>
        <w:tab w:val="left" w:pos="714"/>
      </w:tabs>
      <w:contextualSpacing/>
    </w:pPr>
  </w:style>
  <w:style w:type="paragraph" w:styleId="ListBullet3">
    <w:name w:val="List Bullet 3"/>
    <w:basedOn w:val="Normal"/>
    <w:uiPriority w:val="99"/>
    <w:unhideWhenUsed/>
    <w:rsid w:val="00D65A2D"/>
    <w:pPr>
      <w:numPr>
        <w:numId w:val="9"/>
      </w:numPr>
      <w:tabs>
        <w:tab w:val="num" w:pos="1072"/>
      </w:tabs>
      <w:ind w:left="1071" w:hanging="357"/>
      <w:contextualSpacing/>
    </w:pPr>
  </w:style>
  <w:style w:type="paragraph" w:customStyle="1" w:styleId="TableBullet1">
    <w:name w:val="TableBullet1"/>
    <w:basedOn w:val="ListBullet"/>
    <w:qFormat/>
    <w:rsid w:val="000E4BC5"/>
    <w:pPr>
      <w:tabs>
        <w:tab w:val="clear" w:pos="357"/>
        <w:tab w:val="num" w:pos="340"/>
      </w:tabs>
      <w:spacing w:before="40" w:after="40"/>
      <w:ind w:left="340" w:hanging="340"/>
      <w:contextualSpacing w:val="0"/>
    </w:pPr>
  </w:style>
  <w:style w:type="paragraph" w:customStyle="1" w:styleId="Tablebullet2">
    <w:name w:val="Tablebullet2"/>
    <w:basedOn w:val="ListBullet2"/>
    <w:qFormat/>
    <w:rsid w:val="00D65A2D"/>
    <w:pPr>
      <w:spacing w:before="40" w:after="40"/>
    </w:pPr>
  </w:style>
  <w:style w:type="paragraph" w:customStyle="1" w:styleId="Appendixheading">
    <w:name w:val="Appendix heading"/>
    <w:next w:val="BodyText"/>
    <w:uiPriority w:val="2"/>
    <w:qFormat/>
    <w:rsid w:val="00181551"/>
    <w:pPr>
      <w:keepNext/>
      <w:keepLines/>
      <w:pageBreakBefore/>
      <w:numPr>
        <w:numId w:val="10"/>
      </w:numPr>
      <w:spacing w:before="240" w:after="240" w:line="240" w:lineRule="auto"/>
      <w:outlineLvl w:val="0"/>
    </w:pPr>
    <w:rPr>
      <w:rFonts w:ascii="KPMG Light" w:eastAsia="Times New Roman" w:hAnsi="KPMG Light" w:cs="Times New Roman"/>
      <w:color w:val="00338D"/>
      <w:sz w:val="96"/>
      <w:szCs w:val="18"/>
    </w:rPr>
  </w:style>
  <w:style w:type="paragraph" w:customStyle="1" w:styleId="AppendixHeading2">
    <w:name w:val="Appendix Heading 2"/>
    <w:basedOn w:val="Heading2"/>
    <w:next w:val="BodyText0"/>
    <w:rsid w:val="00181551"/>
    <w:pPr>
      <w:numPr>
        <w:ilvl w:val="3"/>
        <w:numId w:val="10"/>
      </w:numPr>
      <w:tabs>
        <w:tab w:val="num" w:pos="851"/>
        <w:tab w:val="left" w:pos="964"/>
      </w:tabs>
      <w:spacing w:after="120"/>
      <w:jc w:val="both"/>
    </w:pPr>
    <w:rPr>
      <w:rFonts w:ascii="Univers 45 Light" w:eastAsia="Times New Roman" w:hAnsi="Univers 45 Light" w:cs="Times New Roman"/>
      <w:b/>
      <w:noProof/>
      <w:sz w:val="28"/>
    </w:rPr>
  </w:style>
  <w:style w:type="paragraph" w:customStyle="1" w:styleId="AppendixHeading3">
    <w:name w:val="Appendix Heading 3"/>
    <w:basedOn w:val="Heading3"/>
    <w:next w:val="BodyText0"/>
    <w:rsid w:val="00181551"/>
    <w:pPr>
      <w:tabs>
        <w:tab w:val="left" w:pos="357"/>
        <w:tab w:val="num" w:pos="7485"/>
      </w:tabs>
      <w:spacing w:before="240" w:after="120"/>
      <w:jc w:val="both"/>
    </w:pPr>
    <w:rPr>
      <w:rFonts w:eastAsia="Times New Roman" w:cs="Times New Roman"/>
      <w:b w:val="0"/>
      <w:color w:val="00338D"/>
      <w:sz w:val="24"/>
      <w:szCs w:val="20"/>
    </w:rPr>
  </w:style>
  <w:style w:type="paragraph" w:customStyle="1" w:styleId="AppendixHeading4">
    <w:name w:val="Appendix Heading 4"/>
    <w:basedOn w:val="Heading4"/>
    <w:next w:val="BodyText0"/>
    <w:rsid w:val="00181551"/>
    <w:pPr>
      <w:keepLines w:val="0"/>
      <w:numPr>
        <w:ilvl w:val="0"/>
        <w:numId w:val="0"/>
      </w:numPr>
      <w:tabs>
        <w:tab w:val="num" w:pos="720"/>
        <w:tab w:val="left" w:pos="964"/>
      </w:tabs>
      <w:spacing w:before="240" w:after="120"/>
      <w:ind w:hanging="720"/>
      <w:jc w:val="both"/>
    </w:pPr>
    <w:rPr>
      <w:rFonts w:eastAsia="Times New Roman" w:cs="Times New Roman"/>
      <w:iCs w:val="0"/>
      <w:color w:val="00338D"/>
      <w:sz w:val="22"/>
      <w:szCs w:val="20"/>
    </w:rPr>
  </w:style>
  <w:style w:type="paragraph" w:styleId="TOC2">
    <w:name w:val="toc 2"/>
    <w:basedOn w:val="Normal"/>
    <w:next w:val="Normal"/>
    <w:autoRedefine/>
    <w:uiPriority w:val="39"/>
    <w:unhideWhenUsed/>
    <w:rsid w:val="003433BA"/>
    <w:pPr>
      <w:tabs>
        <w:tab w:val="left" w:pos="993"/>
        <w:tab w:val="right" w:pos="9072"/>
      </w:tabs>
      <w:spacing w:before="80" w:after="80"/>
      <w:ind w:left="850" w:right="-2" w:hanging="425"/>
    </w:pPr>
    <w:rPr>
      <w:noProof/>
    </w:rPr>
  </w:style>
  <w:style w:type="paragraph" w:customStyle="1" w:styleId="BodyText">
    <w:name w:val="BodyText"/>
    <w:basedOn w:val="Normal"/>
    <w:link w:val="BodyTextChar0"/>
    <w:rsid w:val="00860A83"/>
    <w:pPr>
      <w:numPr>
        <w:ilvl w:val="1"/>
        <w:numId w:val="10"/>
      </w:numPr>
      <w:spacing w:before="0" w:after="130"/>
    </w:pPr>
    <w:rPr>
      <w:rFonts w:eastAsia="Times New Roman" w:cs="Times New Roman"/>
      <w:sz w:val="22"/>
      <w:szCs w:val="20"/>
    </w:rPr>
  </w:style>
  <w:style w:type="character" w:customStyle="1" w:styleId="BodyTextChar0">
    <w:name w:val="BodyText Char"/>
    <w:basedOn w:val="DefaultParagraphFont"/>
    <w:link w:val="BodyText"/>
    <w:rsid w:val="00860A83"/>
    <w:rPr>
      <w:rFonts w:ascii="Univers 45 Light" w:eastAsia="Times New Roman" w:hAnsi="Univers 45 Light" w:cs="Times New Roman"/>
      <w:szCs w:val="20"/>
    </w:rPr>
  </w:style>
  <w:style w:type="paragraph" w:styleId="ListParagraph">
    <w:name w:val="List Paragraph"/>
    <w:aliases w:val="Bullet Level 1,CAB - List Bullet,List Bullet Cab,#List Paragraph,Recommendation,List Paragraph1,List Paragraph11,L,List Paragraph - bullet,List - bullet,List Paragraph - bullets,Use Case List Paragraph,Bullets,Figure_name,Body text,l"/>
    <w:basedOn w:val="Normal"/>
    <w:link w:val="ListParagraphChar"/>
    <w:uiPriority w:val="34"/>
    <w:qFormat/>
    <w:rsid w:val="0047791F"/>
    <w:pPr>
      <w:ind w:left="720"/>
      <w:contextualSpacing/>
    </w:pPr>
  </w:style>
  <w:style w:type="character" w:styleId="UnresolvedMention">
    <w:name w:val="Unresolved Mention"/>
    <w:basedOn w:val="DefaultParagraphFont"/>
    <w:uiPriority w:val="99"/>
    <w:unhideWhenUsed/>
    <w:rsid w:val="00C82ACB"/>
    <w:rPr>
      <w:color w:val="605E5C"/>
      <w:shd w:val="clear" w:color="auto" w:fill="E1DFDD"/>
    </w:rPr>
  </w:style>
  <w:style w:type="paragraph" w:styleId="NormalWeb">
    <w:name w:val="Normal (Web)"/>
    <w:basedOn w:val="Normal"/>
    <w:uiPriority w:val="99"/>
    <w:unhideWhenUsed/>
    <w:rsid w:val="00BD391A"/>
    <w:pPr>
      <w:tabs>
        <w:tab w:val="num" w:pos="924"/>
      </w:tabs>
      <w:spacing w:before="100" w:beforeAutospacing="1" w:after="100" w:afterAutospacing="1"/>
      <w:ind w:left="924" w:hanging="924"/>
    </w:pPr>
    <w:rPr>
      <w:rFonts w:ascii="Times New Roman" w:eastAsia="Times New Roman" w:hAnsi="Times New Roman" w:cs="Times New Roman"/>
      <w:sz w:val="24"/>
      <w:szCs w:val="24"/>
      <w:lang w:eastAsia="en-AU"/>
    </w:rPr>
  </w:style>
  <w:style w:type="paragraph" w:customStyle="1" w:styleId="PFNumLevel2">
    <w:name w:val="PF (Num) Level 2"/>
    <w:basedOn w:val="Normal"/>
    <w:rsid w:val="000A7DAA"/>
    <w:pPr>
      <w:numPr>
        <w:ilvl w:val="1"/>
        <w:numId w:val="11"/>
      </w:numPr>
      <w:tabs>
        <w:tab w:val="left" w:pos="2773"/>
        <w:tab w:val="left" w:pos="3697"/>
        <w:tab w:val="left" w:pos="4621"/>
        <w:tab w:val="left" w:pos="5545"/>
        <w:tab w:val="left" w:pos="6469"/>
        <w:tab w:val="left" w:pos="7394"/>
        <w:tab w:val="left" w:pos="8318"/>
        <w:tab w:val="right" w:pos="8930"/>
      </w:tabs>
      <w:spacing w:line="276" w:lineRule="auto"/>
    </w:pPr>
    <w:rPr>
      <w:rFonts w:ascii="Arial" w:eastAsia="Times New Roman" w:hAnsi="Arial" w:cs="Times New Roman"/>
      <w:color w:val="000000"/>
      <w:sz w:val="21"/>
      <w:szCs w:val="20"/>
    </w:rPr>
  </w:style>
  <w:style w:type="paragraph" w:customStyle="1" w:styleId="PFNumLevel3">
    <w:name w:val="PF (Num) Level 3"/>
    <w:basedOn w:val="Normal"/>
    <w:rsid w:val="000A7DAA"/>
    <w:pPr>
      <w:numPr>
        <w:ilvl w:val="2"/>
        <w:numId w:val="11"/>
      </w:numPr>
      <w:tabs>
        <w:tab w:val="left" w:pos="3697"/>
        <w:tab w:val="left" w:pos="4621"/>
        <w:tab w:val="left" w:pos="5545"/>
        <w:tab w:val="left" w:pos="6469"/>
        <w:tab w:val="left" w:pos="7394"/>
        <w:tab w:val="left" w:pos="8318"/>
        <w:tab w:val="right" w:pos="8930"/>
      </w:tabs>
      <w:spacing w:line="276" w:lineRule="auto"/>
    </w:pPr>
    <w:rPr>
      <w:rFonts w:ascii="Arial" w:eastAsia="Times New Roman" w:hAnsi="Arial" w:cs="Times New Roman"/>
      <w:color w:val="000000"/>
      <w:sz w:val="21"/>
      <w:szCs w:val="20"/>
    </w:rPr>
  </w:style>
  <w:style w:type="paragraph" w:customStyle="1" w:styleId="PFNumLevel4">
    <w:name w:val="PF (Num) Level 4"/>
    <w:basedOn w:val="Normal"/>
    <w:rsid w:val="000A7DAA"/>
    <w:pPr>
      <w:numPr>
        <w:ilvl w:val="3"/>
        <w:numId w:val="11"/>
      </w:numPr>
      <w:tabs>
        <w:tab w:val="left" w:pos="4621"/>
        <w:tab w:val="left" w:pos="5545"/>
        <w:tab w:val="left" w:pos="6469"/>
        <w:tab w:val="left" w:pos="7394"/>
        <w:tab w:val="left" w:pos="8318"/>
        <w:tab w:val="right" w:pos="8930"/>
      </w:tabs>
      <w:spacing w:line="276" w:lineRule="auto"/>
    </w:pPr>
    <w:rPr>
      <w:rFonts w:ascii="Arial" w:eastAsia="Times New Roman" w:hAnsi="Arial" w:cs="Times New Roman"/>
      <w:color w:val="000000"/>
      <w:sz w:val="21"/>
      <w:szCs w:val="20"/>
    </w:rPr>
  </w:style>
  <w:style w:type="paragraph" w:customStyle="1" w:styleId="PFNumLevel5">
    <w:name w:val="PF (Num) Level 5"/>
    <w:basedOn w:val="Normal"/>
    <w:rsid w:val="000A7DAA"/>
    <w:pPr>
      <w:numPr>
        <w:ilvl w:val="4"/>
        <w:numId w:val="11"/>
      </w:numPr>
      <w:tabs>
        <w:tab w:val="left" w:pos="2773"/>
        <w:tab w:val="left" w:pos="3697"/>
        <w:tab w:val="left" w:pos="4621"/>
        <w:tab w:val="left" w:pos="5545"/>
        <w:tab w:val="left" w:pos="6469"/>
        <w:tab w:val="left" w:pos="7394"/>
        <w:tab w:val="left" w:pos="8318"/>
        <w:tab w:val="right" w:pos="8930"/>
      </w:tabs>
      <w:spacing w:line="276" w:lineRule="auto"/>
    </w:pPr>
    <w:rPr>
      <w:rFonts w:ascii="Arial" w:eastAsia="Times New Roman" w:hAnsi="Arial" w:cs="Times New Roman"/>
      <w:color w:val="000000"/>
      <w:sz w:val="21"/>
      <w:szCs w:val="20"/>
    </w:rPr>
  </w:style>
  <w:style w:type="character" w:customStyle="1" w:styleId="TitleChar">
    <w:name w:val="Title Char"/>
    <w:basedOn w:val="DefaultParagraphFont"/>
    <w:link w:val="Title"/>
    <w:uiPriority w:val="10"/>
    <w:rsid w:val="00AA66F7"/>
    <w:rPr>
      <w:rFonts w:ascii="Calibri Light" w:eastAsiaTheme="majorEastAsia" w:hAnsi="Calibri Light" w:cstheme="majorBidi"/>
      <w:color w:val="FFFFFF" w:themeColor="background1"/>
      <w:spacing w:val="-10"/>
      <w:kern w:val="28"/>
      <w:sz w:val="56"/>
      <w:szCs w:val="56"/>
    </w:rPr>
  </w:style>
  <w:style w:type="paragraph" w:customStyle="1" w:styleId="PFNumLevel6">
    <w:name w:val="PF (Num) Level 6"/>
    <w:basedOn w:val="PFNumLevel4"/>
    <w:rsid w:val="000A7DAA"/>
    <w:pPr>
      <w:numPr>
        <w:ilvl w:val="5"/>
      </w:numPr>
    </w:pPr>
  </w:style>
  <w:style w:type="paragraph" w:styleId="Revision">
    <w:name w:val="Revision"/>
    <w:hidden/>
    <w:uiPriority w:val="99"/>
    <w:semiHidden/>
    <w:rsid w:val="004E0287"/>
    <w:pPr>
      <w:spacing w:after="0" w:line="240" w:lineRule="auto"/>
    </w:pPr>
    <w:rPr>
      <w:rFonts w:ascii="Univers 45 Light" w:hAnsi="Univers 45 Light"/>
      <w:sz w:val="20"/>
    </w:rPr>
  </w:style>
  <w:style w:type="character" w:customStyle="1" w:styleId="ListParagraphChar">
    <w:name w:val="List Paragraph Char"/>
    <w:aliases w:val="Bullet Level 1 Char,CAB - List Bullet Char,List Bullet Cab Char,#List Paragraph Char,Recommendation Char,List Paragraph1 Char,List Paragraph11 Char,L Char,List Paragraph - bullet Char,List - bullet Char,List Paragraph - bullets Char"/>
    <w:basedOn w:val="DefaultParagraphFont"/>
    <w:link w:val="ListParagraph"/>
    <w:uiPriority w:val="34"/>
    <w:qFormat/>
    <w:rsid w:val="001A6542"/>
    <w:rPr>
      <w:rFonts w:ascii="Univers 45 Light" w:hAnsi="Univers 45 Light"/>
      <w:sz w:val="20"/>
    </w:rPr>
  </w:style>
  <w:style w:type="paragraph" w:styleId="TOCHeading">
    <w:name w:val="TOC Heading"/>
    <w:basedOn w:val="Heading1"/>
    <w:next w:val="Normal"/>
    <w:uiPriority w:val="39"/>
    <w:unhideWhenUsed/>
    <w:qFormat/>
    <w:rsid w:val="00BC5DA4"/>
    <w:pPr>
      <w:pageBreakBefore w:val="0"/>
      <w:spacing w:after="0" w:line="259" w:lineRule="auto"/>
      <w:ind w:left="0" w:firstLine="0"/>
      <w:outlineLvl w:val="9"/>
    </w:pPr>
    <w:rPr>
      <w:rFonts w:asciiTheme="majorHAnsi" w:hAnsiTheme="majorHAnsi"/>
      <w:color w:val="006CA3" w:themeColor="accent1" w:themeShade="BF"/>
      <w:sz w:val="32"/>
      <w:szCs w:val="32"/>
      <w:lang w:val="en-US"/>
    </w:rPr>
  </w:style>
  <w:style w:type="paragraph" w:styleId="TOC3">
    <w:name w:val="toc 3"/>
    <w:basedOn w:val="Normal"/>
    <w:next w:val="Normal"/>
    <w:autoRedefine/>
    <w:uiPriority w:val="39"/>
    <w:unhideWhenUsed/>
    <w:rsid w:val="00BC5DA4"/>
    <w:pPr>
      <w:spacing w:after="100"/>
      <w:ind w:left="400"/>
    </w:pPr>
  </w:style>
  <w:style w:type="paragraph" w:styleId="Caption">
    <w:name w:val="caption"/>
    <w:basedOn w:val="Normal"/>
    <w:next w:val="Normal"/>
    <w:uiPriority w:val="35"/>
    <w:unhideWhenUsed/>
    <w:qFormat/>
    <w:rsid w:val="00A94BA2"/>
    <w:pPr>
      <w:keepNext/>
    </w:pPr>
    <w:rPr>
      <w:b/>
      <w:iCs/>
      <w:color w:val="00338D" w:themeColor="text2"/>
      <w:sz w:val="18"/>
      <w:szCs w:val="18"/>
    </w:rPr>
  </w:style>
  <w:style w:type="paragraph" w:styleId="FootnoteText">
    <w:name w:val="footnote text"/>
    <w:basedOn w:val="Normal"/>
    <w:link w:val="FootnoteTextChar"/>
    <w:uiPriority w:val="99"/>
    <w:unhideWhenUsed/>
    <w:rsid w:val="00875C21"/>
    <w:pPr>
      <w:spacing w:before="0" w:after="0"/>
    </w:pPr>
    <w:rPr>
      <w:sz w:val="16"/>
      <w:szCs w:val="20"/>
    </w:rPr>
  </w:style>
  <w:style w:type="character" w:customStyle="1" w:styleId="FootnoteTextChar">
    <w:name w:val="Footnote Text Char"/>
    <w:basedOn w:val="DefaultParagraphFont"/>
    <w:link w:val="FootnoteText"/>
    <w:uiPriority w:val="99"/>
    <w:rsid w:val="00875C21"/>
    <w:rPr>
      <w:rFonts w:ascii="Univers 45 Light" w:hAnsi="Univers 45 Light"/>
      <w:sz w:val="16"/>
      <w:szCs w:val="20"/>
    </w:rPr>
  </w:style>
  <w:style w:type="character" w:styleId="FootnoteReference">
    <w:name w:val="footnote reference"/>
    <w:basedOn w:val="DefaultParagraphFont"/>
    <w:uiPriority w:val="99"/>
    <w:unhideWhenUsed/>
    <w:rsid w:val="00875C21"/>
    <w:rPr>
      <w:vertAlign w:val="superscript"/>
    </w:rPr>
  </w:style>
  <w:style w:type="character" w:customStyle="1" w:styleId="Bullet1stlevelChar">
    <w:name w:val="Bullet 1st level Char"/>
    <w:basedOn w:val="DefaultParagraphFont"/>
    <w:link w:val="Bullet1stlevel"/>
    <w:rsid w:val="005230A9"/>
    <w:rPr>
      <w:rFonts w:ascii="Univers 45 Light" w:hAnsi="Univers 45 Light"/>
      <w:sz w:val="20"/>
    </w:rPr>
  </w:style>
  <w:style w:type="paragraph" w:customStyle="1" w:styleId="BodyTextkeepwithnext">
    <w:name w:val="BodyTextkeepwithnext"/>
    <w:basedOn w:val="BodyText0"/>
    <w:rsid w:val="00875C21"/>
    <w:pPr>
      <w:keepNext/>
    </w:pPr>
    <w:rPr>
      <w:szCs w:val="20"/>
    </w:rPr>
  </w:style>
  <w:style w:type="paragraph" w:customStyle="1" w:styleId="BoxText">
    <w:name w:val="BoxText"/>
    <w:basedOn w:val="BodyText0"/>
    <w:rsid w:val="00875C21"/>
    <w:rPr>
      <w:sz w:val="19"/>
      <w:szCs w:val="20"/>
    </w:rPr>
  </w:style>
  <w:style w:type="paragraph" w:customStyle="1" w:styleId="BoxTextBold">
    <w:name w:val="BoxTextBold"/>
    <w:basedOn w:val="BoxText"/>
    <w:rsid w:val="00875C21"/>
    <w:rPr>
      <w:b/>
      <w:bCs/>
    </w:rPr>
  </w:style>
  <w:style w:type="paragraph" w:customStyle="1" w:styleId="BoxTextBoldBlock">
    <w:name w:val="BoxTextBoldBlock"/>
    <w:basedOn w:val="BoxTextBold"/>
    <w:rsid w:val="00875C21"/>
    <w:pPr>
      <w:ind w:left="720"/>
    </w:pPr>
  </w:style>
  <w:style w:type="table" w:styleId="ListTable3-Accent1">
    <w:name w:val="List Table 3 Accent 1"/>
    <w:basedOn w:val="TableNormal"/>
    <w:uiPriority w:val="48"/>
    <w:rsid w:val="008678BB"/>
    <w:pPr>
      <w:spacing w:after="0" w:line="240" w:lineRule="auto"/>
    </w:pPr>
    <w:tblPr>
      <w:tblStyleRowBandSize w:val="1"/>
      <w:tblStyleColBandSize w:val="1"/>
      <w:tblBorders>
        <w:top w:val="single" w:sz="4" w:space="0" w:color="0091DA" w:themeColor="accent1"/>
        <w:left w:val="single" w:sz="4" w:space="0" w:color="0091DA" w:themeColor="accent1"/>
        <w:bottom w:val="single" w:sz="4" w:space="0" w:color="0091DA" w:themeColor="accent1"/>
        <w:right w:val="single" w:sz="4" w:space="0" w:color="0091DA" w:themeColor="accent1"/>
      </w:tblBorders>
    </w:tblPr>
    <w:tblStylePr w:type="firstRow">
      <w:rPr>
        <w:b/>
        <w:bCs/>
        <w:color w:val="FFFFFF" w:themeColor="background1"/>
      </w:rPr>
      <w:tblPr/>
      <w:tcPr>
        <w:shd w:val="clear" w:color="auto" w:fill="0091DA" w:themeFill="accent1"/>
      </w:tcPr>
    </w:tblStylePr>
    <w:tblStylePr w:type="lastRow">
      <w:rPr>
        <w:b/>
        <w:bCs/>
      </w:rPr>
      <w:tblPr/>
      <w:tcPr>
        <w:tcBorders>
          <w:top w:val="double" w:sz="4" w:space="0" w:color="0091DA"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91DA" w:themeColor="accent1"/>
          <w:right w:val="single" w:sz="4" w:space="0" w:color="0091DA" w:themeColor="accent1"/>
        </w:tcBorders>
      </w:tcPr>
    </w:tblStylePr>
    <w:tblStylePr w:type="band1Horz">
      <w:tblPr/>
      <w:tcPr>
        <w:tcBorders>
          <w:top w:val="single" w:sz="4" w:space="0" w:color="0091DA" w:themeColor="accent1"/>
          <w:bottom w:val="single" w:sz="4" w:space="0" w:color="0091D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1DA" w:themeColor="accent1"/>
          <w:left w:val="nil"/>
        </w:tcBorders>
      </w:tcPr>
    </w:tblStylePr>
    <w:tblStylePr w:type="swCell">
      <w:tblPr/>
      <w:tcPr>
        <w:tcBorders>
          <w:top w:val="double" w:sz="4" w:space="0" w:color="0091DA" w:themeColor="accent1"/>
          <w:right w:val="nil"/>
        </w:tcBorders>
      </w:tcPr>
    </w:tblStylePr>
  </w:style>
  <w:style w:type="character" w:styleId="Mention">
    <w:name w:val="Mention"/>
    <w:basedOn w:val="DefaultParagraphFont"/>
    <w:uiPriority w:val="99"/>
    <w:unhideWhenUsed/>
    <w:rsid w:val="00B0780A"/>
    <w:rPr>
      <w:color w:val="2B579A"/>
      <w:shd w:val="clear" w:color="auto" w:fill="E1DFDD"/>
    </w:rPr>
  </w:style>
  <w:style w:type="paragraph" w:customStyle="1" w:styleId="source">
    <w:name w:val="source"/>
    <w:basedOn w:val="Caption"/>
    <w:rsid w:val="009D3EA7"/>
    <w:pPr>
      <w:keepNext w:val="0"/>
    </w:pPr>
  </w:style>
  <w:style w:type="character" w:customStyle="1" w:styleId="TabletextChar">
    <w:name w:val="Table text Char"/>
    <w:aliases w:val="body text Char Char Char,body text Char Char Char Char Char Char,Body Text x Char,b Char,block Char,bt Char,Body text Char,body Char,body text Char,Body Char,t1 Char,taten_body Char,Body Text 1 Char,NoticeText-List Char"/>
    <w:basedOn w:val="DefaultParagraphFont"/>
    <w:link w:val="Tabletext"/>
    <w:locked/>
    <w:rsid w:val="00243CD3"/>
    <w:rPr>
      <w:rFonts w:ascii="Univers 45 Light" w:hAnsi="Univers 45 Light"/>
      <w:sz w:val="18"/>
    </w:rPr>
  </w:style>
  <w:style w:type="character" w:customStyle="1" w:styleId="BodyTextChar1">
    <w:name w:val="_Body Text Char"/>
    <w:basedOn w:val="DefaultParagraphFont"/>
    <w:link w:val="BodyText2"/>
    <w:locked/>
    <w:rsid w:val="00544C53"/>
    <w:rPr>
      <w:rFonts w:ascii="Univers 45 Light" w:eastAsia="SimSun" w:hAnsi="Univers 45 Light" w:cs="Times New Roman"/>
      <w:sz w:val="20"/>
      <w:szCs w:val="20"/>
    </w:rPr>
  </w:style>
  <w:style w:type="paragraph" w:customStyle="1" w:styleId="BodyText2">
    <w:name w:val="_Body Text"/>
    <w:basedOn w:val="Normal"/>
    <w:link w:val="BodyTextChar1"/>
    <w:rsid w:val="00544C53"/>
    <w:rPr>
      <w:rFonts w:eastAsia="SimSun" w:cs="Times New Roman"/>
      <w:szCs w:val="20"/>
    </w:rPr>
  </w:style>
  <w:style w:type="table" w:styleId="ListTable1Light-Accent1">
    <w:name w:val="List Table 1 Light Accent 1"/>
    <w:basedOn w:val="TableNormal"/>
    <w:uiPriority w:val="46"/>
    <w:rsid w:val="00F072BB"/>
    <w:pPr>
      <w:spacing w:after="0" w:line="240" w:lineRule="auto"/>
    </w:pPr>
    <w:tblPr>
      <w:tblStyleRowBandSize w:val="1"/>
      <w:tblStyleColBandSize w:val="1"/>
    </w:tblPr>
    <w:tblStylePr w:type="firstRow">
      <w:rPr>
        <w:b/>
        <w:bCs/>
      </w:rPr>
      <w:tblPr/>
      <w:tcPr>
        <w:tcBorders>
          <w:bottom w:val="single" w:sz="4" w:space="0" w:color="4FC3FF" w:themeColor="accent1" w:themeTint="99"/>
        </w:tcBorders>
      </w:tcPr>
    </w:tblStylePr>
    <w:tblStylePr w:type="lastRow">
      <w:rPr>
        <w:b/>
        <w:bCs/>
      </w:rPr>
      <w:tblPr/>
      <w:tcPr>
        <w:tcBorders>
          <w:top w:val="single" w:sz="4" w:space="0" w:color="4FC3FF" w:themeColor="accent1" w:themeTint="99"/>
        </w:tcBorders>
      </w:tcPr>
    </w:tblStylePr>
    <w:tblStylePr w:type="firstCol">
      <w:rPr>
        <w:b/>
        <w:bCs/>
      </w:rPr>
    </w:tblStylePr>
    <w:tblStylePr w:type="lastCol">
      <w:rPr>
        <w:b/>
        <w:bCs/>
      </w:rPr>
    </w:tblStylePr>
    <w:tblStylePr w:type="band1Vert">
      <w:tblPr/>
      <w:tcPr>
        <w:shd w:val="clear" w:color="auto" w:fill="C4EBFF" w:themeFill="accent1" w:themeFillTint="33"/>
      </w:tcPr>
    </w:tblStylePr>
    <w:tblStylePr w:type="band1Horz">
      <w:tblPr/>
      <w:tcPr>
        <w:shd w:val="clear" w:color="auto" w:fill="C4EBFF" w:themeFill="accent1" w:themeFillTint="33"/>
      </w:tcPr>
    </w:tblStylePr>
  </w:style>
  <w:style w:type="paragraph" w:styleId="ListNumber2">
    <w:name w:val="List Number 2"/>
    <w:basedOn w:val="Normal"/>
    <w:uiPriority w:val="99"/>
    <w:unhideWhenUsed/>
    <w:rsid w:val="00593B7C"/>
    <w:pPr>
      <w:numPr>
        <w:numId w:val="43"/>
      </w:numPr>
      <w:spacing w:before="0" w:after="0" w:line="259" w:lineRule="auto"/>
      <w:ind w:left="851" w:hanging="284"/>
      <w:contextualSpacing/>
    </w:pPr>
    <w:rPr>
      <w:szCs w:val="20"/>
    </w:rPr>
  </w:style>
  <w:style w:type="paragraph" w:customStyle="1" w:styleId="Heading210">
    <w:name w:val="Heading 21"/>
    <w:basedOn w:val="backcoverdetails"/>
    <w:next w:val="Normal"/>
    <w:uiPriority w:val="9"/>
    <w:unhideWhenUsed/>
    <w:qFormat/>
    <w:rsid w:val="002B542C"/>
    <w:pPr>
      <w:keepNext/>
      <w:tabs>
        <w:tab w:val="num" w:pos="851"/>
      </w:tabs>
      <w:spacing w:before="240" w:after="120"/>
      <w:ind w:left="851" w:hanging="851"/>
      <w:outlineLvl w:val="1"/>
    </w:pPr>
    <w:rPr>
      <w:rFonts w:ascii="KPMG Light" w:hAnsi="KPMG Light"/>
      <w:color w:val="470A68"/>
      <w:sz w:val="48"/>
      <w:szCs w:val="48"/>
    </w:rPr>
  </w:style>
  <w:style w:type="paragraph" w:customStyle="1" w:styleId="Heading31">
    <w:name w:val="Heading 31"/>
    <w:basedOn w:val="Normal"/>
    <w:next w:val="Normal"/>
    <w:uiPriority w:val="9"/>
    <w:unhideWhenUsed/>
    <w:qFormat/>
    <w:rsid w:val="005E769C"/>
    <w:pPr>
      <w:keepNext/>
      <w:spacing w:before="40" w:after="0"/>
      <w:ind w:left="720" w:hanging="360"/>
      <w:outlineLvl w:val="2"/>
    </w:pPr>
    <w:rPr>
      <w:rFonts w:eastAsia="MS Gothic" w:cs="Times New Roman"/>
      <w:color w:val="483698"/>
      <w:sz w:val="32"/>
      <w:szCs w:val="24"/>
    </w:rPr>
  </w:style>
  <w:style w:type="paragraph" w:customStyle="1" w:styleId="Heading41">
    <w:name w:val="Heading 41"/>
    <w:basedOn w:val="Normal"/>
    <w:next w:val="Normal"/>
    <w:uiPriority w:val="9"/>
    <w:unhideWhenUsed/>
    <w:qFormat/>
    <w:rsid w:val="005E769C"/>
    <w:pPr>
      <w:keepNext/>
      <w:keepLines/>
      <w:numPr>
        <w:numId w:val="12"/>
      </w:numPr>
      <w:spacing w:after="0"/>
      <w:outlineLvl w:val="3"/>
    </w:pPr>
    <w:rPr>
      <w:rFonts w:eastAsia="MS Gothic" w:cs="Times New Roman"/>
      <w:b/>
      <w:iCs/>
      <w:color w:val="00338D"/>
      <w:sz w:val="24"/>
    </w:rPr>
  </w:style>
  <w:style w:type="paragraph" w:customStyle="1" w:styleId="Heading61">
    <w:name w:val="Heading 61"/>
    <w:basedOn w:val="BodyText1"/>
    <w:next w:val="Normal"/>
    <w:uiPriority w:val="9"/>
    <w:unhideWhenUsed/>
    <w:qFormat/>
    <w:rsid w:val="005E769C"/>
    <w:pPr>
      <w:tabs>
        <w:tab w:val="num" w:pos="360"/>
      </w:tabs>
      <w:ind w:left="720" w:hanging="360"/>
      <w:outlineLvl w:val="5"/>
    </w:pPr>
    <w:rPr>
      <w:i/>
      <w:color w:val="483698"/>
    </w:rPr>
  </w:style>
  <w:style w:type="paragraph" w:customStyle="1" w:styleId="Heading71">
    <w:name w:val="Heading 71"/>
    <w:basedOn w:val="Normal"/>
    <w:next w:val="Normal"/>
    <w:uiPriority w:val="9"/>
    <w:semiHidden/>
    <w:unhideWhenUsed/>
    <w:qFormat/>
    <w:rsid w:val="005E769C"/>
    <w:pPr>
      <w:keepNext/>
      <w:keepLines/>
      <w:tabs>
        <w:tab w:val="num" w:pos="360"/>
      </w:tabs>
      <w:spacing w:before="40" w:after="0"/>
      <w:ind w:left="720" w:hanging="360"/>
      <w:outlineLvl w:val="6"/>
    </w:pPr>
    <w:rPr>
      <w:rFonts w:ascii="Calibri Light" w:eastAsia="MS Gothic" w:hAnsi="Calibri Light" w:cs="Times New Roman"/>
      <w:i/>
      <w:iCs/>
      <w:color w:val="00476C"/>
    </w:rPr>
  </w:style>
  <w:style w:type="paragraph" w:customStyle="1" w:styleId="Heading81">
    <w:name w:val="Heading 81"/>
    <w:basedOn w:val="Normal"/>
    <w:next w:val="Normal"/>
    <w:uiPriority w:val="9"/>
    <w:semiHidden/>
    <w:unhideWhenUsed/>
    <w:qFormat/>
    <w:rsid w:val="005E769C"/>
    <w:pPr>
      <w:keepNext/>
      <w:keepLines/>
      <w:tabs>
        <w:tab w:val="num" w:pos="360"/>
      </w:tabs>
      <w:spacing w:before="40" w:after="0"/>
      <w:ind w:left="720" w:hanging="360"/>
      <w:outlineLvl w:val="7"/>
    </w:pPr>
    <w:rPr>
      <w:rFonts w:ascii="Calibri Light" w:eastAsia="MS Gothic" w:hAnsi="Calibri Light" w:cs="Times New Roman"/>
      <w:color w:val="272727"/>
      <w:sz w:val="21"/>
      <w:szCs w:val="21"/>
    </w:rPr>
  </w:style>
  <w:style w:type="paragraph" w:customStyle="1" w:styleId="Heading91">
    <w:name w:val="Heading 91"/>
    <w:basedOn w:val="Normal"/>
    <w:next w:val="Normal"/>
    <w:uiPriority w:val="9"/>
    <w:semiHidden/>
    <w:unhideWhenUsed/>
    <w:qFormat/>
    <w:rsid w:val="005E769C"/>
    <w:pPr>
      <w:keepNext/>
      <w:keepLines/>
      <w:tabs>
        <w:tab w:val="num" w:pos="360"/>
      </w:tabs>
      <w:spacing w:before="40" w:after="0"/>
      <w:ind w:left="720" w:hanging="360"/>
      <w:outlineLvl w:val="8"/>
    </w:pPr>
    <w:rPr>
      <w:rFonts w:ascii="Calibri Light" w:eastAsia="MS Gothic" w:hAnsi="Calibri Light" w:cs="Times New Roman"/>
      <w:i/>
      <w:iCs/>
      <w:color w:val="272727"/>
      <w:sz w:val="21"/>
      <w:szCs w:val="21"/>
    </w:rPr>
  </w:style>
  <w:style w:type="paragraph" w:customStyle="1" w:styleId="definition">
    <w:name w:val="definition"/>
    <w:basedOn w:val="Normal"/>
    <w:rsid w:val="00B025E9"/>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paragraph">
    <w:name w:val="paragraph"/>
    <w:basedOn w:val="Normal"/>
    <w:rsid w:val="00B025E9"/>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ListBullet31">
    <w:name w:val="List Bullet 31"/>
    <w:basedOn w:val="Normal"/>
    <w:next w:val="ListBullet3"/>
    <w:uiPriority w:val="99"/>
    <w:unhideWhenUsed/>
    <w:rsid w:val="00877A13"/>
    <w:pPr>
      <w:tabs>
        <w:tab w:val="num" w:pos="697"/>
        <w:tab w:val="num" w:pos="1072"/>
      </w:tabs>
      <w:ind w:left="1071" w:hanging="357"/>
      <w:contextualSpacing/>
    </w:pPr>
  </w:style>
  <w:style w:type="paragraph" w:customStyle="1" w:styleId="Source0">
    <w:name w:val="Source"/>
    <w:basedOn w:val="source"/>
    <w:qFormat/>
    <w:rsid w:val="00CD3D14"/>
    <w:rPr>
      <w:b w:val="0"/>
    </w:rPr>
  </w:style>
  <w:style w:type="paragraph" w:styleId="BlockText">
    <w:name w:val="Block Text"/>
    <w:basedOn w:val="Normal"/>
    <w:uiPriority w:val="99"/>
    <w:unhideWhenUsed/>
    <w:rsid w:val="00AA66F7"/>
    <w:pPr>
      <w:pBdr>
        <w:top w:val="single" w:sz="2" w:space="10" w:color="0091DA" w:themeColor="accent1"/>
        <w:left w:val="single" w:sz="2" w:space="10" w:color="0091DA" w:themeColor="accent1"/>
        <w:bottom w:val="single" w:sz="2" w:space="10" w:color="0091DA" w:themeColor="accent1"/>
        <w:right w:val="single" w:sz="2" w:space="10" w:color="0091DA" w:themeColor="accent1"/>
      </w:pBdr>
      <w:ind w:left="1152" w:right="1152"/>
    </w:pPr>
    <w:rPr>
      <w:rFonts w:asciiTheme="minorHAnsi" w:eastAsiaTheme="minorEastAsia" w:hAnsiTheme="minorHAnsi"/>
      <w:i/>
      <w:iCs/>
      <w:color w:val="0091DA" w:themeColor="accent1"/>
    </w:rPr>
  </w:style>
  <w:style w:type="paragraph" w:styleId="EndnoteText">
    <w:name w:val="endnote text"/>
    <w:basedOn w:val="Normal"/>
    <w:link w:val="EndnoteTextChar"/>
    <w:uiPriority w:val="99"/>
    <w:semiHidden/>
    <w:unhideWhenUsed/>
    <w:rsid w:val="00AA66F7"/>
    <w:pPr>
      <w:spacing w:before="0" w:after="0"/>
    </w:pPr>
    <w:rPr>
      <w:szCs w:val="20"/>
    </w:rPr>
  </w:style>
  <w:style w:type="character" w:customStyle="1" w:styleId="EndnoteTextChar">
    <w:name w:val="Endnote Text Char"/>
    <w:basedOn w:val="DefaultParagraphFont"/>
    <w:link w:val="EndnoteText"/>
    <w:uiPriority w:val="99"/>
    <w:semiHidden/>
    <w:rsid w:val="00AA66F7"/>
    <w:rPr>
      <w:rFonts w:ascii="Univers 45 Light" w:hAnsi="Univers 45 Light"/>
      <w:sz w:val="20"/>
      <w:szCs w:val="20"/>
    </w:rPr>
  </w:style>
  <w:style w:type="character" w:styleId="EndnoteReference">
    <w:name w:val="endnote reference"/>
    <w:basedOn w:val="DefaultParagraphFont"/>
    <w:uiPriority w:val="99"/>
    <w:semiHidden/>
    <w:unhideWhenUsed/>
    <w:rsid w:val="00AA66F7"/>
    <w:rPr>
      <w:vertAlign w:val="superscript"/>
    </w:rPr>
  </w:style>
  <w:style w:type="paragraph" w:styleId="BodyTextIndent">
    <w:name w:val="Body Text Indent"/>
    <w:basedOn w:val="Normal"/>
    <w:link w:val="BodyTextIndentChar"/>
    <w:uiPriority w:val="99"/>
    <w:unhideWhenUsed/>
    <w:rsid w:val="00AA66F7"/>
    <w:pPr>
      <w:ind w:left="340"/>
    </w:pPr>
  </w:style>
  <w:style w:type="character" w:customStyle="1" w:styleId="BodyTextIndentChar">
    <w:name w:val="Body Text Indent Char"/>
    <w:basedOn w:val="DefaultParagraphFont"/>
    <w:link w:val="BodyTextIndent"/>
    <w:uiPriority w:val="99"/>
    <w:rsid w:val="00AA66F7"/>
    <w:rPr>
      <w:rFonts w:ascii="Univers 45 Light" w:hAnsi="Univers 45 Light"/>
      <w:sz w:val="20"/>
    </w:rPr>
  </w:style>
  <w:style w:type="paragraph" w:customStyle="1" w:styleId="TableTextBold">
    <w:name w:val="TableTextBold"/>
    <w:basedOn w:val="Tabletext"/>
    <w:rsid w:val="00AA66F7"/>
    <w:rPr>
      <w:b/>
      <w:bCs/>
    </w:rPr>
  </w:style>
  <w:style w:type="paragraph" w:customStyle="1" w:styleId="TableTextNumber">
    <w:name w:val="TableTextNumber"/>
    <w:basedOn w:val="Tabletext"/>
    <w:qFormat/>
    <w:rsid w:val="00AA66F7"/>
    <w:pPr>
      <w:tabs>
        <w:tab w:val="decimal" w:pos="696"/>
      </w:tabs>
    </w:pPr>
  </w:style>
  <w:style w:type="character" w:styleId="FollowedHyperlink">
    <w:name w:val="FollowedHyperlink"/>
    <w:basedOn w:val="DefaultParagraphFont"/>
    <w:uiPriority w:val="99"/>
    <w:semiHidden/>
    <w:unhideWhenUsed/>
    <w:rsid w:val="00EF5B29"/>
    <w:rPr>
      <w:color w:val="0091DA" w:themeColor="followedHyperlink"/>
      <w:u w:val="single"/>
    </w:rPr>
  </w:style>
  <w:style w:type="character" w:styleId="Strong">
    <w:name w:val="Strong"/>
    <w:basedOn w:val="DefaultParagraphFont"/>
    <w:uiPriority w:val="22"/>
    <w:qFormat/>
    <w:rsid w:val="002114E3"/>
    <w:rPr>
      <w:b/>
      <w:bCs/>
    </w:rPr>
  </w:style>
  <w:style w:type="paragraph" w:customStyle="1" w:styleId="copyright">
    <w:name w:val="copyright"/>
    <w:basedOn w:val="Normal"/>
    <w:rsid w:val="00572227"/>
    <w:pPr>
      <w:spacing w:before="0" w:after="0"/>
    </w:pPr>
    <w:rPr>
      <w:rFonts w:ascii="Arial" w:hAnsi="Arial"/>
      <w:color w:val="808080" w:themeColor="background1" w:themeShade="80"/>
      <w:sz w:val="16"/>
      <w:szCs w:val="20"/>
    </w:rPr>
  </w:style>
  <w:style w:type="paragraph" w:styleId="Bibliography">
    <w:name w:val="Bibliography"/>
    <w:basedOn w:val="Normal"/>
    <w:next w:val="Normal"/>
    <w:uiPriority w:val="37"/>
    <w:semiHidden/>
    <w:unhideWhenUsed/>
    <w:rsid w:val="005E7D48"/>
  </w:style>
  <w:style w:type="paragraph" w:styleId="BodyText20">
    <w:name w:val="Body Text 2"/>
    <w:basedOn w:val="Normal"/>
    <w:link w:val="BodyText2Char"/>
    <w:uiPriority w:val="99"/>
    <w:semiHidden/>
    <w:unhideWhenUsed/>
    <w:rsid w:val="005E7D48"/>
    <w:pPr>
      <w:spacing w:line="480" w:lineRule="auto"/>
    </w:pPr>
  </w:style>
  <w:style w:type="character" w:customStyle="1" w:styleId="BodyText2Char">
    <w:name w:val="Body Text 2 Char"/>
    <w:basedOn w:val="DefaultParagraphFont"/>
    <w:link w:val="BodyText20"/>
    <w:uiPriority w:val="99"/>
    <w:semiHidden/>
    <w:rsid w:val="005E7D48"/>
    <w:rPr>
      <w:rFonts w:ascii="Univers 45 Light" w:hAnsi="Univers 45 Light"/>
      <w:sz w:val="20"/>
    </w:rPr>
  </w:style>
  <w:style w:type="paragraph" w:styleId="BodyText3">
    <w:name w:val="Body Text 3"/>
    <w:basedOn w:val="Normal"/>
    <w:link w:val="BodyText3Char"/>
    <w:uiPriority w:val="99"/>
    <w:semiHidden/>
    <w:unhideWhenUsed/>
    <w:rsid w:val="005E7D48"/>
    <w:rPr>
      <w:sz w:val="16"/>
      <w:szCs w:val="16"/>
    </w:rPr>
  </w:style>
  <w:style w:type="character" w:customStyle="1" w:styleId="BodyText3Char">
    <w:name w:val="Body Text 3 Char"/>
    <w:basedOn w:val="DefaultParagraphFont"/>
    <w:link w:val="BodyText3"/>
    <w:uiPriority w:val="99"/>
    <w:semiHidden/>
    <w:rsid w:val="005E7D48"/>
    <w:rPr>
      <w:rFonts w:ascii="Univers 45 Light" w:hAnsi="Univers 45 Light"/>
      <w:sz w:val="16"/>
      <w:szCs w:val="16"/>
    </w:rPr>
  </w:style>
  <w:style w:type="paragraph" w:styleId="BodyTextFirstIndent">
    <w:name w:val="Body Text First Indent"/>
    <w:basedOn w:val="BodyText0"/>
    <w:link w:val="BodyTextFirstIndentChar"/>
    <w:uiPriority w:val="99"/>
    <w:semiHidden/>
    <w:unhideWhenUsed/>
    <w:rsid w:val="005E7D48"/>
    <w:pPr>
      <w:ind w:firstLine="360"/>
    </w:pPr>
  </w:style>
  <w:style w:type="character" w:customStyle="1" w:styleId="BodyTextFirstIndentChar">
    <w:name w:val="Body Text First Indent Char"/>
    <w:basedOn w:val="BodyTextChar"/>
    <w:link w:val="BodyTextFirstIndent"/>
    <w:uiPriority w:val="99"/>
    <w:semiHidden/>
    <w:rsid w:val="005E7D48"/>
    <w:rPr>
      <w:rFonts w:ascii="Univers 45 Light" w:hAnsi="Univers 45 Light"/>
      <w:sz w:val="20"/>
    </w:rPr>
  </w:style>
  <w:style w:type="paragraph" w:styleId="BodyTextFirstIndent2">
    <w:name w:val="Body Text First Indent 2"/>
    <w:basedOn w:val="BodyTextIndent"/>
    <w:link w:val="BodyTextFirstIndent2Char"/>
    <w:uiPriority w:val="99"/>
    <w:semiHidden/>
    <w:unhideWhenUsed/>
    <w:rsid w:val="005E7D48"/>
    <w:pPr>
      <w:ind w:left="360" w:firstLine="360"/>
    </w:pPr>
  </w:style>
  <w:style w:type="character" w:customStyle="1" w:styleId="BodyTextFirstIndent2Char">
    <w:name w:val="Body Text First Indent 2 Char"/>
    <w:basedOn w:val="BodyTextIndentChar"/>
    <w:link w:val="BodyTextFirstIndent2"/>
    <w:uiPriority w:val="99"/>
    <w:semiHidden/>
    <w:rsid w:val="005E7D48"/>
    <w:rPr>
      <w:rFonts w:ascii="Univers 45 Light" w:hAnsi="Univers 45 Light"/>
      <w:sz w:val="20"/>
    </w:rPr>
  </w:style>
  <w:style w:type="paragraph" w:styleId="BodyTextIndent2">
    <w:name w:val="Body Text Indent 2"/>
    <w:basedOn w:val="Normal"/>
    <w:link w:val="BodyTextIndent2Char"/>
    <w:uiPriority w:val="99"/>
    <w:semiHidden/>
    <w:unhideWhenUsed/>
    <w:rsid w:val="005E7D48"/>
    <w:pPr>
      <w:spacing w:line="480" w:lineRule="auto"/>
      <w:ind w:left="283"/>
    </w:pPr>
  </w:style>
  <w:style w:type="character" w:customStyle="1" w:styleId="BodyTextIndent2Char">
    <w:name w:val="Body Text Indent 2 Char"/>
    <w:basedOn w:val="DefaultParagraphFont"/>
    <w:link w:val="BodyTextIndent2"/>
    <w:uiPriority w:val="99"/>
    <w:semiHidden/>
    <w:rsid w:val="005E7D48"/>
    <w:rPr>
      <w:rFonts w:ascii="Univers 45 Light" w:hAnsi="Univers 45 Light"/>
      <w:sz w:val="20"/>
    </w:rPr>
  </w:style>
  <w:style w:type="paragraph" w:styleId="BodyTextIndent3">
    <w:name w:val="Body Text Indent 3"/>
    <w:basedOn w:val="Normal"/>
    <w:link w:val="BodyTextIndent3Char"/>
    <w:uiPriority w:val="99"/>
    <w:semiHidden/>
    <w:unhideWhenUsed/>
    <w:rsid w:val="005E7D48"/>
    <w:pPr>
      <w:ind w:left="283"/>
    </w:pPr>
    <w:rPr>
      <w:sz w:val="16"/>
      <w:szCs w:val="16"/>
    </w:rPr>
  </w:style>
  <w:style w:type="character" w:customStyle="1" w:styleId="BodyTextIndent3Char">
    <w:name w:val="Body Text Indent 3 Char"/>
    <w:basedOn w:val="DefaultParagraphFont"/>
    <w:link w:val="BodyTextIndent3"/>
    <w:uiPriority w:val="99"/>
    <w:semiHidden/>
    <w:rsid w:val="005E7D48"/>
    <w:rPr>
      <w:rFonts w:ascii="Univers 45 Light" w:hAnsi="Univers 45 Light"/>
      <w:sz w:val="16"/>
      <w:szCs w:val="16"/>
    </w:rPr>
  </w:style>
  <w:style w:type="paragraph" w:styleId="Closing">
    <w:name w:val="Closing"/>
    <w:basedOn w:val="Normal"/>
    <w:link w:val="ClosingChar"/>
    <w:uiPriority w:val="99"/>
    <w:semiHidden/>
    <w:unhideWhenUsed/>
    <w:rsid w:val="005E7D48"/>
    <w:pPr>
      <w:spacing w:before="0" w:after="0"/>
      <w:ind w:left="4252"/>
    </w:pPr>
  </w:style>
  <w:style w:type="character" w:customStyle="1" w:styleId="ClosingChar">
    <w:name w:val="Closing Char"/>
    <w:basedOn w:val="DefaultParagraphFont"/>
    <w:link w:val="Closing"/>
    <w:uiPriority w:val="99"/>
    <w:semiHidden/>
    <w:rsid w:val="005E7D48"/>
    <w:rPr>
      <w:rFonts w:ascii="Univers 45 Light" w:hAnsi="Univers 45 Light"/>
      <w:sz w:val="20"/>
    </w:rPr>
  </w:style>
  <w:style w:type="paragraph" w:styleId="Date">
    <w:name w:val="Date"/>
    <w:basedOn w:val="Normal"/>
    <w:next w:val="Normal"/>
    <w:link w:val="DateChar"/>
    <w:uiPriority w:val="99"/>
    <w:semiHidden/>
    <w:unhideWhenUsed/>
    <w:rsid w:val="005E7D48"/>
  </w:style>
  <w:style w:type="character" w:customStyle="1" w:styleId="DateChar">
    <w:name w:val="Date Char"/>
    <w:basedOn w:val="DefaultParagraphFont"/>
    <w:link w:val="Date"/>
    <w:uiPriority w:val="99"/>
    <w:semiHidden/>
    <w:rsid w:val="005E7D48"/>
    <w:rPr>
      <w:rFonts w:ascii="Univers 45 Light" w:hAnsi="Univers 45 Light"/>
      <w:sz w:val="20"/>
    </w:rPr>
  </w:style>
  <w:style w:type="paragraph" w:styleId="DocumentMap">
    <w:name w:val="Document Map"/>
    <w:basedOn w:val="Normal"/>
    <w:link w:val="DocumentMapChar"/>
    <w:uiPriority w:val="99"/>
    <w:semiHidden/>
    <w:unhideWhenUsed/>
    <w:rsid w:val="005E7D48"/>
    <w:pPr>
      <w:spacing w:before="0"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5E7D48"/>
    <w:rPr>
      <w:rFonts w:ascii="Segoe UI" w:hAnsi="Segoe UI" w:cs="Segoe UI"/>
      <w:sz w:val="16"/>
      <w:szCs w:val="16"/>
    </w:rPr>
  </w:style>
  <w:style w:type="paragraph" w:styleId="E-mailSignature">
    <w:name w:val="E-mail Signature"/>
    <w:basedOn w:val="Normal"/>
    <w:link w:val="E-mailSignatureChar"/>
    <w:uiPriority w:val="99"/>
    <w:semiHidden/>
    <w:unhideWhenUsed/>
    <w:rsid w:val="005E7D48"/>
    <w:pPr>
      <w:spacing w:before="0" w:after="0"/>
    </w:pPr>
  </w:style>
  <w:style w:type="character" w:customStyle="1" w:styleId="E-mailSignatureChar">
    <w:name w:val="E-mail Signature Char"/>
    <w:basedOn w:val="DefaultParagraphFont"/>
    <w:link w:val="E-mailSignature"/>
    <w:uiPriority w:val="99"/>
    <w:semiHidden/>
    <w:rsid w:val="005E7D48"/>
    <w:rPr>
      <w:rFonts w:ascii="Univers 45 Light" w:hAnsi="Univers 45 Light"/>
      <w:sz w:val="20"/>
    </w:rPr>
  </w:style>
  <w:style w:type="paragraph" w:styleId="EnvelopeAddress">
    <w:name w:val="envelope address"/>
    <w:basedOn w:val="Normal"/>
    <w:uiPriority w:val="99"/>
    <w:semiHidden/>
    <w:unhideWhenUsed/>
    <w:rsid w:val="005E7D48"/>
    <w:pPr>
      <w:framePr w:w="7920" w:h="1980" w:hRule="exact" w:hSpace="180" w:wrap="auto" w:hAnchor="page" w:xAlign="center" w:yAlign="bottom"/>
      <w:spacing w:before="0"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5E7D48"/>
    <w:pPr>
      <w:spacing w:before="0" w:after="0"/>
    </w:pPr>
    <w:rPr>
      <w:rFonts w:asciiTheme="majorHAnsi" w:eastAsiaTheme="majorEastAsia" w:hAnsiTheme="majorHAnsi" w:cstheme="majorBidi"/>
      <w:szCs w:val="20"/>
    </w:rPr>
  </w:style>
  <w:style w:type="paragraph" w:styleId="HTMLAddress">
    <w:name w:val="HTML Address"/>
    <w:basedOn w:val="Normal"/>
    <w:link w:val="HTMLAddressChar"/>
    <w:uiPriority w:val="99"/>
    <w:semiHidden/>
    <w:unhideWhenUsed/>
    <w:rsid w:val="005E7D48"/>
    <w:pPr>
      <w:spacing w:before="0" w:after="0"/>
    </w:pPr>
    <w:rPr>
      <w:i/>
      <w:iCs/>
    </w:rPr>
  </w:style>
  <w:style w:type="character" w:customStyle="1" w:styleId="HTMLAddressChar">
    <w:name w:val="HTML Address Char"/>
    <w:basedOn w:val="DefaultParagraphFont"/>
    <w:link w:val="HTMLAddress"/>
    <w:uiPriority w:val="99"/>
    <w:semiHidden/>
    <w:rsid w:val="005E7D48"/>
    <w:rPr>
      <w:rFonts w:ascii="Univers 45 Light" w:hAnsi="Univers 45 Light"/>
      <w:i/>
      <w:iCs/>
      <w:sz w:val="20"/>
    </w:rPr>
  </w:style>
  <w:style w:type="paragraph" w:styleId="HTMLPreformatted">
    <w:name w:val="HTML Preformatted"/>
    <w:basedOn w:val="Normal"/>
    <w:link w:val="HTMLPreformattedChar"/>
    <w:uiPriority w:val="99"/>
    <w:semiHidden/>
    <w:unhideWhenUsed/>
    <w:rsid w:val="005E7D48"/>
    <w:pPr>
      <w:spacing w:before="0"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5E7D48"/>
    <w:rPr>
      <w:rFonts w:ascii="Consolas" w:hAnsi="Consolas"/>
      <w:sz w:val="20"/>
      <w:szCs w:val="20"/>
    </w:rPr>
  </w:style>
  <w:style w:type="paragraph" w:styleId="Index1">
    <w:name w:val="index 1"/>
    <w:basedOn w:val="Normal"/>
    <w:next w:val="Normal"/>
    <w:autoRedefine/>
    <w:uiPriority w:val="99"/>
    <w:semiHidden/>
    <w:unhideWhenUsed/>
    <w:rsid w:val="005E7D48"/>
    <w:pPr>
      <w:spacing w:before="0" w:after="0"/>
      <w:ind w:left="200" w:hanging="200"/>
    </w:pPr>
  </w:style>
  <w:style w:type="paragraph" w:styleId="Index2">
    <w:name w:val="index 2"/>
    <w:basedOn w:val="Normal"/>
    <w:next w:val="Normal"/>
    <w:autoRedefine/>
    <w:uiPriority w:val="99"/>
    <w:semiHidden/>
    <w:unhideWhenUsed/>
    <w:rsid w:val="005E7D48"/>
    <w:pPr>
      <w:spacing w:before="0" w:after="0"/>
      <w:ind w:left="400" w:hanging="200"/>
    </w:pPr>
  </w:style>
  <w:style w:type="paragraph" w:styleId="Index3">
    <w:name w:val="index 3"/>
    <w:basedOn w:val="Normal"/>
    <w:next w:val="Normal"/>
    <w:autoRedefine/>
    <w:uiPriority w:val="99"/>
    <w:semiHidden/>
    <w:unhideWhenUsed/>
    <w:rsid w:val="005E7D48"/>
    <w:pPr>
      <w:spacing w:before="0" w:after="0"/>
      <w:ind w:left="600" w:hanging="200"/>
    </w:pPr>
  </w:style>
  <w:style w:type="paragraph" w:styleId="Index4">
    <w:name w:val="index 4"/>
    <w:basedOn w:val="Normal"/>
    <w:next w:val="Normal"/>
    <w:autoRedefine/>
    <w:uiPriority w:val="99"/>
    <w:semiHidden/>
    <w:unhideWhenUsed/>
    <w:rsid w:val="005E7D48"/>
    <w:pPr>
      <w:spacing w:before="0" w:after="0"/>
      <w:ind w:left="800" w:hanging="200"/>
    </w:pPr>
  </w:style>
  <w:style w:type="paragraph" w:styleId="Index5">
    <w:name w:val="index 5"/>
    <w:basedOn w:val="Normal"/>
    <w:next w:val="Normal"/>
    <w:autoRedefine/>
    <w:uiPriority w:val="99"/>
    <w:semiHidden/>
    <w:unhideWhenUsed/>
    <w:rsid w:val="005E7D48"/>
    <w:pPr>
      <w:spacing w:before="0" w:after="0"/>
      <w:ind w:left="1000" w:hanging="200"/>
    </w:pPr>
  </w:style>
  <w:style w:type="paragraph" w:styleId="Index6">
    <w:name w:val="index 6"/>
    <w:basedOn w:val="Normal"/>
    <w:next w:val="Normal"/>
    <w:autoRedefine/>
    <w:uiPriority w:val="99"/>
    <w:semiHidden/>
    <w:unhideWhenUsed/>
    <w:rsid w:val="005E7D48"/>
    <w:pPr>
      <w:spacing w:before="0" w:after="0"/>
      <w:ind w:left="1200" w:hanging="200"/>
    </w:pPr>
  </w:style>
  <w:style w:type="paragraph" w:styleId="Index7">
    <w:name w:val="index 7"/>
    <w:basedOn w:val="Normal"/>
    <w:next w:val="Normal"/>
    <w:autoRedefine/>
    <w:uiPriority w:val="99"/>
    <w:semiHidden/>
    <w:unhideWhenUsed/>
    <w:rsid w:val="005E7D48"/>
    <w:pPr>
      <w:spacing w:before="0" w:after="0"/>
      <w:ind w:left="1400" w:hanging="200"/>
    </w:pPr>
  </w:style>
  <w:style w:type="paragraph" w:styleId="Index8">
    <w:name w:val="index 8"/>
    <w:basedOn w:val="Normal"/>
    <w:next w:val="Normal"/>
    <w:autoRedefine/>
    <w:uiPriority w:val="99"/>
    <w:semiHidden/>
    <w:unhideWhenUsed/>
    <w:rsid w:val="005E7D48"/>
    <w:pPr>
      <w:spacing w:before="0" w:after="0"/>
      <w:ind w:left="1600" w:hanging="200"/>
    </w:pPr>
  </w:style>
  <w:style w:type="paragraph" w:styleId="Index9">
    <w:name w:val="index 9"/>
    <w:basedOn w:val="Normal"/>
    <w:next w:val="Normal"/>
    <w:autoRedefine/>
    <w:uiPriority w:val="99"/>
    <w:semiHidden/>
    <w:unhideWhenUsed/>
    <w:rsid w:val="005E7D48"/>
    <w:pPr>
      <w:spacing w:before="0" w:after="0"/>
      <w:ind w:left="1800" w:hanging="200"/>
    </w:pPr>
  </w:style>
  <w:style w:type="paragraph" w:styleId="IndexHeading">
    <w:name w:val="index heading"/>
    <w:basedOn w:val="Normal"/>
    <w:next w:val="Index1"/>
    <w:uiPriority w:val="99"/>
    <w:semiHidden/>
    <w:unhideWhenUsed/>
    <w:rsid w:val="005E7D48"/>
    <w:rPr>
      <w:rFonts w:asciiTheme="majorHAnsi" w:eastAsiaTheme="majorEastAsia" w:hAnsiTheme="majorHAnsi" w:cstheme="majorBidi"/>
      <w:b/>
      <w:bCs/>
    </w:rPr>
  </w:style>
  <w:style w:type="paragraph" w:styleId="List">
    <w:name w:val="List"/>
    <w:basedOn w:val="Normal"/>
    <w:uiPriority w:val="99"/>
    <w:semiHidden/>
    <w:unhideWhenUsed/>
    <w:rsid w:val="005E7D48"/>
    <w:pPr>
      <w:ind w:left="283" w:hanging="283"/>
      <w:contextualSpacing/>
    </w:pPr>
  </w:style>
  <w:style w:type="paragraph" w:styleId="List2">
    <w:name w:val="List 2"/>
    <w:basedOn w:val="Normal"/>
    <w:uiPriority w:val="99"/>
    <w:semiHidden/>
    <w:unhideWhenUsed/>
    <w:rsid w:val="005E7D48"/>
    <w:pPr>
      <w:ind w:left="566" w:hanging="283"/>
      <w:contextualSpacing/>
    </w:pPr>
  </w:style>
  <w:style w:type="paragraph" w:styleId="List3">
    <w:name w:val="List 3"/>
    <w:basedOn w:val="Normal"/>
    <w:uiPriority w:val="99"/>
    <w:semiHidden/>
    <w:unhideWhenUsed/>
    <w:rsid w:val="005E7D48"/>
    <w:pPr>
      <w:ind w:left="849" w:hanging="283"/>
      <w:contextualSpacing/>
    </w:pPr>
  </w:style>
  <w:style w:type="paragraph" w:styleId="List4">
    <w:name w:val="List 4"/>
    <w:basedOn w:val="Normal"/>
    <w:uiPriority w:val="99"/>
    <w:semiHidden/>
    <w:unhideWhenUsed/>
    <w:rsid w:val="005E7D48"/>
    <w:pPr>
      <w:ind w:left="1132" w:hanging="283"/>
      <w:contextualSpacing/>
    </w:pPr>
  </w:style>
  <w:style w:type="paragraph" w:styleId="List5">
    <w:name w:val="List 5"/>
    <w:basedOn w:val="Normal"/>
    <w:uiPriority w:val="99"/>
    <w:semiHidden/>
    <w:unhideWhenUsed/>
    <w:rsid w:val="005E7D48"/>
    <w:pPr>
      <w:ind w:left="1415" w:hanging="283"/>
      <w:contextualSpacing/>
    </w:pPr>
  </w:style>
  <w:style w:type="paragraph" w:styleId="ListBullet4">
    <w:name w:val="List Bullet 4"/>
    <w:basedOn w:val="Normal"/>
    <w:uiPriority w:val="99"/>
    <w:semiHidden/>
    <w:unhideWhenUsed/>
    <w:rsid w:val="005E7D48"/>
    <w:pPr>
      <w:numPr>
        <w:numId w:val="23"/>
      </w:numPr>
      <w:contextualSpacing/>
    </w:pPr>
  </w:style>
  <w:style w:type="paragraph" w:styleId="ListBullet5">
    <w:name w:val="List Bullet 5"/>
    <w:basedOn w:val="Normal"/>
    <w:uiPriority w:val="99"/>
    <w:semiHidden/>
    <w:unhideWhenUsed/>
    <w:rsid w:val="005E7D48"/>
    <w:pPr>
      <w:numPr>
        <w:numId w:val="24"/>
      </w:numPr>
      <w:contextualSpacing/>
    </w:pPr>
  </w:style>
  <w:style w:type="paragraph" w:styleId="ListContinue">
    <w:name w:val="List Continue"/>
    <w:basedOn w:val="Normal"/>
    <w:uiPriority w:val="99"/>
    <w:semiHidden/>
    <w:unhideWhenUsed/>
    <w:rsid w:val="005E7D48"/>
    <w:pPr>
      <w:ind w:left="283"/>
      <w:contextualSpacing/>
    </w:pPr>
  </w:style>
  <w:style w:type="paragraph" w:styleId="ListContinue2">
    <w:name w:val="List Continue 2"/>
    <w:basedOn w:val="Normal"/>
    <w:uiPriority w:val="99"/>
    <w:semiHidden/>
    <w:unhideWhenUsed/>
    <w:rsid w:val="005E7D48"/>
    <w:pPr>
      <w:ind w:left="566"/>
      <w:contextualSpacing/>
    </w:pPr>
  </w:style>
  <w:style w:type="paragraph" w:styleId="ListContinue3">
    <w:name w:val="List Continue 3"/>
    <w:basedOn w:val="Normal"/>
    <w:uiPriority w:val="99"/>
    <w:semiHidden/>
    <w:unhideWhenUsed/>
    <w:rsid w:val="005E7D48"/>
    <w:pPr>
      <w:ind w:left="849"/>
      <w:contextualSpacing/>
    </w:pPr>
  </w:style>
  <w:style w:type="paragraph" w:styleId="ListContinue4">
    <w:name w:val="List Continue 4"/>
    <w:basedOn w:val="Normal"/>
    <w:uiPriority w:val="99"/>
    <w:semiHidden/>
    <w:unhideWhenUsed/>
    <w:rsid w:val="005E7D48"/>
    <w:pPr>
      <w:ind w:left="1132"/>
      <w:contextualSpacing/>
    </w:pPr>
  </w:style>
  <w:style w:type="paragraph" w:styleId="ListContinue5">
    <w:name w:val="List Continue 5"/>
    <w:basedOn w:val="Normal"/>
    <w:uiPriority w:val="99"/>
    <w:semiHidden/>
    <w:unhideWhenUsed/>
    <w:rsid w:val="005E7D48"/>
    <w:pPr>
      <w:ind w:left="1415"/>
      <w:contextualSpacing/>
    </w:pPr>
  </w:style>
  <w:style w:type="paragraph" w:styleId="ListNumber">
    <w:name w:val="List Number"/>
    <w:basedOn w:val="Normal"/>
    <w:uiPriority w:val="99"/>
    <w:unhideWhenUsed/>
    <w:rsid w:val="005E7D48"/>
    <w:pPr>
      <w:numPr>
        <w:numId w:val="25"/>
      </w:numPr>
      <w:contextualSpacing/>
    </w:pPr>
  </w:style>
  <w:style w:type="paragraph" w:styleId="ListNumber3">
    <w:name w:val="List Number 3"/>
    <w:basedOn w:val="Normal"/>
    <w:uiPriority w:val="99"/>
    <w:semiHidden/>
    <w:unhideWhenUsed/>
    <w:rsid w:val="005E7D48"/>
    <w:pPr>
      <w:numPr>
        <w:numId w:val="26"/>
      </w:numPr>
      <w:contextualSpacing/>
    </w:pPr>
  </w:style>
  <w:style w:type="paragraph" w:styleId="ListNumber4">
    <w:name w:val="List Number 4"/>
    <w:basedOn w:val="Normal"/>
    <w:uiPriority w:val="99"/>
    <w:semiHidden/>
    <w:unhideWhenUsed/>
    <w:rsid w:val="005E7D48"/>
    <w:pPr>
      <w:numPr>
        <w:numId w:val="27"/>
      </w:numPr>
      <w:contextualSpacing/>
    </w:pPr>
  </w:style>
  <w:style w:type="paragraph" w:styleId="ListNumber5">
    <w:name w:val="List Number 5"/>
    <w:basedOn w:val="Normal"/>
    <w:uiPriority w:val="99"/>
    <w:semiHidden/>
    <w:unhideWhenUsed/>
    <w:rsid w:val="005E7D48"/>
    <w:pPr>
      <w:numPr>
        <w:numId w:val="28"/>
      </w:numPr>
      <w:contextualSpacing/>
    </w:pPr>
  </w:style>
  <w:style w:type="paragraph" w:styleId="MacroText">
    <w:name w:val="macro"/>
    <w:link w:val="MacroTextChar"/>
    <w:uiPriority w:val="99"/>
    <w:semiHidden/>
    <w:unhideWhenUsed/>
    <w:rsid w:val="005E7D48"/>
    <w:pPr>
      <w:tabs>
        <w:tab w:val="left" w:pos="480"/>
        <w:tab w:val="left" w:pos="960"/>
        <w:tab w:val="left" w:pos="1440"/>
        <w:tab w:val="left" w:pos="1920"/>
        <w:tab w:val="left" w:pos="2400"/>
        <w:tab w:val="left" w:pos="2880"/>
        <w:tab w:val="left" w:pos="3360"/>
        <w:tab w:val="left" w:pos="3840"/>
        <w:tab w:val="left" w:pos="4320"/>
      </w:tabs>
      <w:spacing w:before="120" w:after="0" w:line="24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5E7D48"/>
    <w:rPr>
      <w:rFonts w:ascii="Consolas" w:hAnsi="Consolas"/>
      <w:sz w:val="20"/>
      <w:szCs w:val="20"/>
    </w:rPr>
  </w:style>
  <w:style w:type="paragraph" w:styleId="MessageHeader">
    <w:name w:val="Message Header"/>
    <w:basedOn w:val="Normal"/>
    <w:link w:val="MessageHeaderChar"/>
    <w:uiPriority w:val="99"/>
    <w:semiHidden/>
    <w:unhideWhenUsed/>
    <w:rsid w:val="005E7D48"/>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5E7D48"/>
    <w:rPr>
      <w:rFonts w:asciiTheme="majorHAnsi" w:eastAsiaTheme="majorEastAsia" w:hAnsiTheme="majorHAnsi" w:cstheme="majorBidi"/>
      <w:sz w:val="24"/>
      <w:szCs w:val="24"/>
      <w:shd w:val="pct20" w:color="auto" w:fill="auto"/>
    </w:rPr>
  </w:style>
  <w:style w:type="paragraph" w:styleId="NoSpacing">
    <w:name w:val="No Spacing"/>
    <w:uiPriority w:val="1"/>
    <w:qFormat/>
    <w:rsid w:val="005E7D48"/>
    <w:pPr>
      <w:spacing w:after="0" w:line="240" w:lineRule="auto"/>
    </w:pPr>
    <w:rPr>
      <w:rFonts w:ascii="Univers 45 Light" w:hAnsi="Univers 45 Light"/>
      <w:sz w:val="20"/>
    </w:rPr>
  </w:style>
  <w:style w:type="paragraph" w:styleId="NormalIndent">
    <w:name w:val="Normal Indent"/>
    <w:basedOn w:val="Normal"/>
    <w:uiPriority w:val="99"/>
    <w:semiHidden/>
    <w:unhideWhenUsed/>
    <w:rsid w:val="005E7D48"/>
    <w:pPr>
      <w:ind w:left="720"/>
    </w:pPr>
  </w:style>
  <w:style w:type="paragraph" w:styleId="NoteHeading">
    <w:name w:val="Note Heading"/>
    <w:basedOn w:val="Normal"/>
    <w:next w:val="Normal"/>
    <w:link w:val="NoteHeadingChar"/>
    <w:uiPriority w:val="99"/>
    <w:semiHidden/>
    <w:unhideWhenUsed/>
    <w:rsid w:val="005E7D48"/>
    <w:pPr>
      <w:spacing w:before="0" w:after="0"/>
    </w:pPr>
  </w:style>
  <w:style w:type="character" w:customStyle="1" w:styleId="NoteHeadingChar">
    <w:name w:val="Note Heading Char"/>
    <w:basedOn w:val="DefaultParagraphFont"/>
    <w:link w:val="NoteHeading"/>
    <w:uiPriority w:val="99"/>
    <w:semiHidden/>
    <w:rsid w:val="005E7D48"/>
    <w:rPr>
      <w:rFonts w:ascii="Univers 45 Light" w:hAnsi="Univers 45 Light"/>
      <w:sz w:val="20"/>
    </w:rPr>
  </w:style>
  <w:style w:type="paragraph" w:styleId="PlainText">
    <w:name w:val="Plain Text"/>
    <w:basedOn w:val="Normal"/>
    <w:link w:val="PlainTextChar"/>
    <w:uiPriority w:val="99"/>
    <w:semiHidden/>
    <w:unhideWhenUsed/>
    <w:rsid w:val="005E7D48"/>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5E7D48"/>
    <w:rPr>
      <w:rFonts w:ascii="Consolas" w:hAnsi="Consolas"/>
      <w:sz w:val="21"/>
      <w:szCs w:val="21"/>
    </w:rPr>
  </w:style>
  <w:style w:type="paragraph" w:styleId="Salutation">
    <w:name w:val="Salutation"/>
    <w:basedOn w:val="Normal"/>
    <w:next w:val="Normal"/>
    <w:link w:val="SalutationChar"/>
    <w:uiPriority w:val="99"/>
    <w:semiHidden/>
    <w:unhideWhenUsed/>
    <w:rsid w:val="005E7D48"/>
  </w:style>
  <w:style w:type="character" w:customStyle="1" w:styleId="SalutationChar">
    <w:name w:val="Salutation Char"/>
    <w:basedOn w:val="DefaultParagraphFont"/>
    <w:link w:val="Salutation"/>
    <w:uiPriority w:val="99"/>
    <w:semiHidden/>
    <w:rsid w:val="005E7D48"/>
    <w:rPr>
      <w:rFonts w:ascii="Univers 45 Light" w:hAnsi="Univers 45 Light"/>
      <w:sz w:val="20"/>
    </w:rPr>
  </w:style>
  <w:style w:type="paragraph" w:styleId="Signature">
    <w:name w:val="Signature"/>
    <w:basedOn w:val="Normal"/>
    <w:link w:val="SignatureChar"/>
    <w:uiPriority w:val="99"/>
    <w:semiHidden/>
    <w:unhideWhenUsed/>
    <w:rsid w:val="005E7D48"/>
    <w:pPr>
      <w:spacing w:before="0" w:after="0"/>
      <w:ind w:left="4252"/>
    </w:pPr>
  </w:style>
  <w:style w:type="character" w:customStyle="1" w:styleId="SignatureChar">
    <w:name w:val="Signature Char"/>
    <w:basedOn w:val="DefaultParagraphFont"/>
    <w:link w:val="Signature"/>
    <w:uiPriority w:val="99"/>
    <w:semiHidden/>
    <w:rsid w:val="005E7D48"/>
    <w:rPr>
      <w:rFonts w:ascii="Univers 45 Light" w:hAnsi="Univers 45 Light"/>
      <w:sz w:val="20"/>
    </w:rPr>
  </w:style>
  <w:style w:type="paragraph" w:styleId="Subtitle">
    <w:name w:val="Subtitle"/>
    <w:basedOn w:val="Normal"/>
    <w:next w:val="Normal"/>
    <w:link w:val="SubtitleChar"/>
    <w:uiPriority w:val="11"/>
    <w:qFormat/>
    <w:rsid w:val="005E7D48"/>
    <w:pPr>
      <w:numPr>
        <w:ilvl w:val="1"/>
      </w:numPr>
      <w:spacing w:after="160"/>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5E7D48"/>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5E7D48"/>
    <w:pPr>
      <w:spacing w:after="0"/>
      <w:ind w:left="200" w:hanging="200"/>
    </w:pPr>
  </w:style>
  <w:style w:type="paragraph" w:styleId="TOAHeading">
    <w:name w:val="toa heading"/>
    <w:basedOn w:val="Normal"/>
    <w:next w:val="Normal"/>
    <w:uiPriority w:val="99"/>
    <w:semiHidden/>
    <w:unhideWhenUsed/>
    <w:rsid w:val="005E7D48"/>
    <w:rPr>
      <w:rFonts w:asciiTheme="majorHAnsi" w:eastAsiaTheme="majorEastAsia" w:hAnsiTheme="majorHAnsi" w:cstheme="majorBidi"/>
      <w:b/>
      <w:bCs/>
      <w:sz w:val="24"/>
      <w:szCs w:val="24"/>
    </w:rPr>
  </w:style>
  <w:style w:type="paragraph" w:styleId="TOC4">
    <w:name w:val="toc 4"/>
    <w:basedOn w:val="Normal"/>
    <w:next w:val="Normal"/>
    <w:autoRedefine/>
    <w:uiPriority w:val="39"/>
    <w:semiHidden/>
    <w:unhideWhenUsed/>
    <w:rsid w:val="005E7D48"/>
    <w:pPr>
      <w:spacing w:after="100"/>
      <w:ind w:left="600"/>
    </w:pPr>
  </w:style>
  <w:style w:type="paragraph" w:styleId="TOC5">
    <w:name w:val="toc 5"/>
    <w:basedOn w:val="Normal"/>
    <w:next w:val="Normal"/>
    <w:autoRedefine/>
    <w:uiPriority w:val="39"/>
    <w:semiHidden/>
    <w:unhideWhenUsed/>
    <w:rsid w:val="005E7D48"/>
    <w:pPr>
      <w:spacing w:after="100"/>
      <w:ind w:left="800"/>
    </w:pPr>
  </w:style>
  <w:style w:type="paragraph" w:styleId="TOC6">
    <w:name w:val="toc 6"/>
    <w:basedOn w:val="Normal"/>
    <w:next w:val="Normal"/>
    <w:autoRedefine/>
    <w:uiPriority w:val="39"/>
    <w:semiHidden/>
    <w:unhideWhenUsed/>
    <w:rsid w:val="005E7D48"/>
    <w:pPr>
      <w:spacing w:after="100"/>
      <w:ind w:left="1000"/>
    </w:pPr>
  </w:style>
  <w:style w:type="paragraph" w:styleId="TOC7">
    <w:name w:val="toc 7"/>
    <w:basedOn w:val="Normal"/>
    <w:next w:val="Normal"/>
    <w:autoRedefine/>
    <w:uiPriority w:val="39"/>
    <w:semiHidden/>
    <w:unhideWhenUsed/>
    <w:rsid w:val="005E7D48"/>
    <w:pPr>
      <w:spacing w:after="100"/>
      <w:ind w:left="1200"/>
    </w:pPr>
  </w:style>
  <w:style w:type="paragraph" w:styleId="TOC8">
    <w:name w:val="toc 8"/>
    <w:basedOn w:val="Normal"/>
    <w:next w:val="Normal"/>
    <w:autoRedefine/>
    <w:uiPriority w:val="39"/>
    <w:semiHidden/>
    <w:unhideWhenUsed/>
    <w:rsid w:val="005E7D48"/>
    <w:pPr>
      <w:spacing w:after="100"/>
      <w:ind w:left="1400"/>
    </w:pPr>
  </w:style>
  <w:style w:type="paragraph" w:styleId="TOC9">
    <w:name w:val="toc 9"/>
    <w:basedOn w:val="Normal"/>
    <w:next w:val="Normal"/>
    <w:autoRedefine/>
    <w:uiPriority w:val="39"/>
    <w:semiHidden/>
    <w:unhideWhenUsed/>
    <w:rsid w:val="005E7D48"/>
    <w:pPr>
      <w:spacing w:after="100"/>
      <w:ind w:left="1600"/>
    </w:pPr>
  </w:style>
  <w:style w:type="table" w:styleId="TableGridLight">
    <w:name w:val="Grid Table Light"/>
    <w:basedOn w:val="TableNormal"/>
    <w:uiPriority w:val="40"/>
    <w:rsid w:val="000E4BC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rFonts w:asciiTheme="minorHAnsi" w:hAnsiTheme="minorHAnsi"/>
        <w:color w:val="auto"/>
        <w:sz w:val="22"/>
      </w:rPr>
      <w:tblPr/>
      <w:tcPr>
        <w:shd w:val="clear" w:color="auto" w:fill="004689" w:themeFill="accent3" w:themeFillShade="BF"/>
      </w:tcPr>
    </w:tblStylePr>
  </w:style>
  <w:style w:type="paragraph" w:customStyle="1" w:styleId="Heading1Divider">
    <w:name w:val="Heading 1_Divider"/>
    <w:qFormat/>
    <w:rsid w:val="000B0707"/>
    <w:pPr>
      <w:numPr>
        <w:numId w:val="37"/>
      </w:numPr>
      <w:spacing w:before="12120" w:after="0" w:line="240" w:lineRule="auto"/>
      <w:ind w:left="714" w:hanging="357"/>
    </w:pPr>
    <w:rPr>
      <w:rFonts w:ascii="KPMG Extralight" w:eastAsiaTheme="majorEastAsia" w:hAnsi="KPMG Extralight" w:cstheme="majorBidi"/>
      <w:color w:val="00338D" w:themeColor="text2"/>
      <w:sz w:val="72"/>
      <w:szCs w:val="72"/>
    </w:rPr>
  </w:style>
  <w:style w:type="paragraph" w:customStyle="1" w:styleId="Heading1DividerNoshow">
    <w:name w:val="Heading 1_Divider_No show"/>
    <w:basedOn w:val="Heading1Divider"/>
    <w:qFormat/>
    <w:rsid w:val="00F874CF"/>
    <w:pPr>
      <w:numPr>
        <w:numId w:val="0"/>
      </w:numPr>
    </w:pPr>
  </w:style>
  <w:style w:type="paragraph" w:customStyle="1" w:styleId="Heading21">
    <w:name w:val="Heading 2_1"/>
    <w:qFormat/>
    <w:rsid w:val="007B7CDB"/>
    <w:pPr>
      <w:numPr>
        <w:numId w:val="42"/>
      </w:numPr>
      <w:spacing w:before="240"/>
      <w:ind w:left="567" w:hanging="567"/>
    </w:pPr>
    <w:rPr>
      <w:rFonts w:ascii="KPMG Extralight" w:eastAsiaTheme="majorEastAsia" w:hAnsi="KPMG Extralight" w:cstheme="majorBidi"/>
      <w:color w:val="005EB8" w:themeColor="accent3"/>
      <w:sz w:val="56"/>
      <w:szCs w:val="72"/>
    </w:rPr>
  </w:style>
  <w:style w:type="character" w:styleId="Emphasis">
    <w:name w:val="Emphasis"/>
    <w:basedOn w:val="DefaultParagraphFont"/>
    <w:uiPriority w:val="20"/>
    <w:qFormat/>
    <w:rsid w:val="00593B7C"/>
    <w:rPr>
      <w:i/>
      <w:iCs/>
    </w:rPr>
  </w:style>
  <w:style w:type="paragraph" w:customStyle="1" w:styleId="Tablequestionbold">
    <w:name w:val="Table question bold"/>
    <w:basedOn w:val="Tabletext"/>
    <w:qFormat/>
    <w:rsid w:val="00894351"/>
    <w:rPr>
      <w:b/>
      <w:color w:val="00338D" w:themeColor="text2"/>
      <w:sz w:val="20"/>
      <w:szCs w:val="24"/>
    </w:rPr>
  </w:style>
  <w:style w:type="paragraph" w:customStyle="1" w:styleId="Tabletextbold0">
    <w:name w:val="Table text bold"/>
    <w:basedOn w:val="Tabletext"/>
    <w:qFormat/>
    <w:rsid w:val="00894351"/>
    <w:rPr>
      <w:b/>
      <w:bCs/>
    </w:rPr>
  </w:style>
  <w:style w:type="table" w:styleId="PlainTable2">
    <w:name w:val="Plain Table 2"/>
    <w:basedOn w:val="TableNormal"/>
    <w:uiPriority w:val="42"/>
    <w:rsid w:val="00691FD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8446">
      <w:bodyDiv w:val="1"/>
      <w:marLeft w:val="0"/>
      <w:marRight w:val="0"/>
      <w:marTop w:val="0"/>
      <w:marBottom w:val="0"/>
      <w:divBdr>
        <w:top w:val="none" w:sz="0" w:space="0" w:color="auto"/>
        <w:left w:val="none" w:sz="0" w:space="0" w:color="auto"/>
        <w:bottom w:val="none" w:sz="0" w:space="0" w:color="auto"/>
        <w:right w:val="none" w:sz="0" w:space="0" w:color="auto"/>
      </w:divBdr>
    </w:div>
    <w:div w:id="11302291">
      <w:bodyDiv w:val="1"/>
      <w:marLeft w:val="0"/>
      <w:marRight w:val="0"/>
      <w:marTop w:val="0"/>
      <w:marBottom w:val="0"/>
      <w:divBdr>
        <w:top w:val="none" w:sz="0" w:space="0" w:color="auto"/>
        <w:left w:val="none" w:sz="0" w:space="0" w:color="auto"/>
        <w:bottom w:val="none" w:sz="0" w:space="0" w:color="auto"/>
        <w:right w:val="none" w:sz="0" w:space="0" w:color="auto"/>
      </w:divBdr>
    </w:div>
    <w:div w:id="20857849">
      <w:bodyDiv w:val="1"/>
      <w:marLeft w:val="0"/>
      <w:marRight w:val="0"/>
      <w:marTop w:val="0"/>
      <w:marBottom w:val="0"/>
      <w:divBdr>
        <w:top w:val="none" w:sz="0" w:space="0" w:color="auto"/>
        <w:left w:val="none" w:sz="0" w:space="0" w:color="auto"/>
        <w:bottom w:val="none" w:sz="0" w:space="0" w:color="auto"/>
        <w:right w:val="none" w:sz="0" w:space="0" w:color="auto"/>
      </w:divBdr>
    </w:div>
    <w:div w:id="24716982">
      <w:bodyDiv w:val="1"/>
      <w:marLeft w:val="0"/>
      <w:marRight w:val="0"/>
      <w:marTop w:val="0"/>
      <w:marBottom w:val="0"/>
      <w:divBdr>
        <w:top w:val="none" w:sz="0" w:space="0" w:color="auto"/>
        <w:left w:val="none" w:sz="0" w:space="0" w:color="auto"/>
        <w:bottom w:val="none" w:sz="0" w:space="0" w:color="auto"/>
        <w:right w:val="none" w:sz="0" w:space="0" w:color="auto"/>
      </w:divBdr>
      <w:divsChild>
        <w:div w:id="497115560">
          <w:marLeft w:val="274"/>
          <w:marRight w:val="0"/>
          <w:marTop w:val="0"/>
          <w:marBottom w:val="0"/>
          <w:divBdr>
            <w:top w:val="none" w:sz="0" w:space="0" w:color="auto"/>
            <w:left w:val="none" w:sz="0" w:space="0" w:color="auto"/>
            <w:bottom w:val="none" w:sz="0" w:space="0" w:color="auto"/>
            <w:right w:val="none" w:sz="0" w:space="0" w:color="auto"/>
          </w:divBdr>
        </w:div>
      </w:divsChild>
    </w:div>
    <w:div w:id="99447320">
      <w:bodyDiv w:val="1"/>
      <w:marLeft w:val="0"/>
      <w:marRight w:val="0"/>
      <w:marTop w:val="0"/>
      <w:marBottom w:val="0"/>
      <w:divBdr>
        <w:top w:val="none" w:sz="0" w:space="0" w:color="auto"/>
        <w:left w:val="none" w:sz="0" w:space="0" w:color="auto"/>
        <w:bottom w:val="none" w:sz="0" w:space="0" w:color="auto"/>
        <w:right w:val="none" w:sz="0" w:space="0" w:color="auto"/>
      </w:divBdr>
      <w:divsChild>
        <w:div w:id="1581015061">
          <w:marLeft w:val="274"/>
          <w:marRight w:val="0"/>
          <w:marTop w:val="0"/>
          <w:marBottom w:val="120"/>
          <w:divBdr>
            <w:top w:val="none" w:sz="0" w:space="0" w:color="auto"/>
            <w:left w:val="none" w:sz="0" w:space="0" w:color="auto"/>
            <w:bottom w:val="none" w:sz="0" w:space="0" w:color="auto"/>
            <w:right w:val="none" w:sz="0" w:space="0" w:color="auto"/>
          </w:divBdr>
        </w:div>
        <w:div w:id="1907063163">
          <w:marLeft w:val="274"/>
          <w:marRight w:val="0"/>
          <w:marTop w:val="0"/>
          <w:marBottom w:val="120"/>
          <w:divBdr>
            <w:top w:val="none" w:sz="0" w:space="0" w:color="auto"/>
            <w:left w:val="none" w:sz="0" w:space="0" w:color="auto"/>
            <w:bottom w:val="none" w:sz="0" w:space="0" w:color="auto"/>
            <w:right w:val="none" w:sz="0" w:space="0" w:color="auto"/>
          </w:divBdr>
        </w:div>
      </w:divsChild>
    </w:div>
    <w:div w:id="123274452">
      <w:bodyDiv w:val="1"/>
      <w:marLeft w:val="0"/>
      <w:marRight w:val="0"/>
      <w:marTop w:val="0"/>
      <w:marBottom w:val="0"/>
      <w:divBdr>
        <w:top w:val="none" w:sz="0" w:space="0" w:color="auto"/>
        <w:left w:val="none" w:sz="0" w:space="0" w:color="auto"/>
        <w:bottom w:val="none" w:sz="0" w:space="0" w:color="auto"/>
        <w:right w:val="none" w:sz="0" w:space="0" w:color="auto"/>
      </w:divBdr>
    </w:div>
    <w:div w:id="144668703">
      <w:bodyDiv w:val="1"/>
      <w:marLeft w:val="0"/>
      <w:marRight w:val="0"/>
      <w:marTop w:val="0"/>
      <w:marBottom w:val="0"/>
      <w:divBdr>
        <w:top w:val="none" w:sz="0" w:space="0" w:color="auto"/>
        <w:left w:val="none" w:sz="0" w:space="0" w:color="auto"/>
        <w:bottom w:val="none" w:sz="0" w:space="0" w:color="auto"/>
        <w:right w:val="none" w:sz="0" w:space="0" w:color="auto"/>
      </w:divBdr>
    </w:div>
    <w:div w:id="165901009">
      <w:bodyDiv w:val="1"/>
      <w:marLeft w:val="0"/>
      <w:marRight w:val="0"/>
      <w:marTop w:val="0"/>
      <w:marBottom w:val="0"/>
      <w:divBdr>
        <w:top w:val="none" w:sz="0" w:space="0" w:color="auto"/>
        <w:left w:val="none" w:sz="0" w:space="0" w:color="auto"/>
        <w:bottom w:val="none" w:sz="0" w:space="0" w:color="auto"/>
        <w:right w:val="none" w:sz="0" w:space="0" w:color="auto"/>
      </w:divBdr>
    </w:div>
    <w:div w:id="220799322">
      <w:bodyDiv w:val="1"/>
      <w:marLeft w:val="0"/>
      <w:marRight w:val="0"/>
      <w:marTop w:val="0"/>
      <w:marBottom w:val="0"/>
      <w:divBdr>
        <w:top w:val="none" w:sz="0" w:space="0" w:color="auto"/>
        <w:left w:val="none" w:sz="0" w:space="0" w:color="auto"/>
        <w:bottom w:val="none" w:sz="0" w:space="0" w:color="auto"/>
        <w:right w:val="none" w:sz="0" w:space="0" w:color="auto"/>
      </w:divBdr>
    </w:div>
    <w:div w:id="254870757">
      <w:bodyDiv w:val="1"/>
      <w:marLeft w:val="0"/>
      <w:marRight w:val="0"/>
      <w:marTop w:val="0"/>
      <w:marBottom w:val="0"/>
      <w:divBdr>
        <w:top w:val="none" w:sz="0" w:space="0" w:color="auto"/>
        <w:left w:val="none" w:sz="0" w:space="0" w:color="auto"/>
        <w:bottom w:val="none" w:sz="0" w:space="0" w:color="auto"/>
        <w:right w:val="none" w:sz="0" w:space="0" w:color="auto"/>
      </w:divBdr>
    </w:div>
    <w:div w:id="283776680">
      <w:bodyDiv w:val="1"/>
      <w:marLeft w:val="0"/>
      <w:marRight w:val="0"/>
      <w:marTop w:val="0"/>
      <w:marBottom w:val="0"/>
      <w:divBdr>
        <w:top w:val="none" w:sz="0" w:space="0" w:color="auto"/>
        <w:left w:val="none" w:sz="0" w:space="0" w:color="auto"/>
        <w:bottom w:val="none" w:sz="0" w:space="0" w:color="auto"/>
        <w:right w:val="none" w:sz="0" w:space="0" w:color="auto"/>
      </w:divBdr>
    </w:div>
    <w:div w:id="312686465">
      <w:bodyDiv w:val="1"/>
      <w:marLeft w:val="0"/>
      <w:marRight w:val="0"/>
      <w:marTop w:val="0"/>
      <w:marBottom w:val="0"/>
      <w:divBdr>
        <w:top w:val="none" w:sz="0" w:space="0" w:color="auto"/>
        <w:left w:val="none" w:sz="0" w:space="0" w:color="auto"/>
        <w:bottom w:val="none" w:sz="0" w:space="0" w:color="auto"/>
        <w:right w:val="none" w:sz="0" w:space="0" w:color="auto"/>
      </w:divBdr>
      <w:divsChild>
        <w:div w:id="47844810">
          <w:marLeft w:val="274"/>
          <w:marRight w:val="0"/>
          <w:marTop w:val="0"/>
          <w:marBottom w:val="0"/>
          <w:divBdr>
            <w:top w:val="none" w:sz="0" w:space="0" w:color="auto"/>
            <w:left w:val="none" w:sz="0" w:space="0" w:color="auto"/>
            <w:bottom w:val="none" w:sz="0" w:space="0" w:color="auto"/>
            <w:right w:val="none" w:sz="0" w:space="0" w:color="auto"/>
          </w:divBdr>
        </w:div>
        <w:div w:id="110828369">
          <w:marLeft w:val="274"/>
          <w:marRight w:val="0"/>
          <w:marTop w:val="0"/>
          <w:marBottom w:val="0"/>
          <w:divBdr>
            <w:top w:val="none" w:sz="0" w:space="0" w:color="auto"/>
            <w:left w:val="none" w:sz="0" w:space="0" w:color="auto"/>
            <w:bottom w:val="none" w:sz="0" w:space="0" w:color="auto"/>
            <w:right w:val="none" w:sz="0" w:space="0" w:color="auto"/>
          </w:divBdr>
        </w:div>
        <w:div w:id="129322461">
          <w:marLeft w:val="274"/>
          <w:marRight w:val="0"/>
          <w:marTop w:val="0"/>
          <w:marBottom w:val="0"/>
          <w:divBdr>
            <w:top w:val="none" w:sz="0" w:space="0" w:color="auto"/>
            <w:left w:val="none" w:sz="0" w:space="0" w:color="auto"/>
            <w:bottom w:val="none" w:sz="0" w:space="0" w:color="auto"/>
            <w:right w:val="none" w:sz="0" w:space="0" w:color="auto"/>
          </w:divBdr>
        </w:div>
        <w:div w:id="165365529">
          <w:marLeft w:val="274"/>
          <w:marRight w:val="0"/>
          <w:marTop w:val="0"/>
          <w:marBottom w:val="0"/>
          <w:divBdr>
            <w:top w:val="none" w:sz="0" w:space="0" w:color="auto"/>
            <w:left w:val="none" w:sz="0" w:space="0" w:color="auto"/>
            <w:bottom w:val="none" w:sz="0" w:space="0" w:color="auto"/>
            <w:right w:val="none" w:sz="0" w:space="0" w:color="auto"/>
          </w:divBdr>
        </w:div>
        <w:div w:id="251931982">
          <w:marLeft w:val="274"/>
          <w:marRight w:val="0"/>
          <w:marTop w:val="0"/>
          <w:marBottom w:val="0"/>
          <w:divBdr>
            <w:top w:val="none" w:sz="0" w:space="0" w:color="auto"/>
            <w:left w:val="none" w:sz="0" w:space="0" w:color="auto"/>
            <w:bottom w:val="none" w:sz="0" w:space="0" w:color="auto"/>
            <w:right w:val="none" w:sz="0" w:space="0" w:color="auto"/>
          </w:divBdr>
        </w:div>
        <w:div w:id="351611380">
          <w:marLeft w:val="274"/>
          <w:marRight w:val="0"/>
          <w:marTop w:val="0"/>
          <w:marBottom w:val="0"/>
          <w:divBdr>
            <w:top w:val="none" w:sz="0" w:space="0" w:color="auto"/>
            <w:left w:val="none" w:sz="0" w:space="0" w:color="auto"/>
            <w:bottom w:val="none" w:sz="0" w:space="0" w:color="auto"/>
            <w:right w:val="none" w:sz="0" w:space="0" w:color="auto"/>
          </w:divBdr>
        </w:div>
        <w:div w:id="383916315">
          <w:marLeft w:val="274"/>
          <w:marRight w:val="0"/>
          <w:marTop w:val="0"/>
          <w:marBottom w:val="0"/>
          <w:divBdr>
            <w:top w:val="none" w:sz="0" w:space="0" w:color="auto"/>
            <w:left w:val="none" w:sz="0" w:space="0" w:color="auto"/>
            <w:bottom w:val="none" w:sz="0" w:space="0" w:color="auto"/>
            <w:right w:val="none" w:sz="0" w:space="0" w:color="auto"/>
          </w:divBdr>
        </w:div>
        <w:div w:id="445539832">
          <w:marLeft w:val="274"/>
          <w:marRight w:val="0"/>
          <w:marTop w:val="0"/>
          <w:marBottom w:val="0"/>
          <w:divBdr>
            <w:top w:val="none" w:sz="0" w:space="0" w:color="auto"/>
            <w:left w:val="none" w:sz="0" w:space="0" w:color="auto"/>
            <w:bottom w:val="none" w:sz="0" w:space="0" w:color="auto"/>
            <w:right w:val="none" w:sz="0" w:space="0" w:color="auto"/>
          </w:divBdr>
        </w:div>
        <w:div w:id="469908880">
          <w:marLeft w:val="274"/>
          <w:marRight w:val="0"/>
          <w:marTop w:val="0"/>
          <w:marBottom w:val="0"/>
          <w:divBdr>
            <w:top w:val="none" w:sz="0" w:space="0" w:color="auto"/>
            <w:left w:val="none" w:sz="0" w:space="0" w:color="auto"/>
            <w:bottom w:val="none" w:sz="0" w:space="0" w:color="auto"/>
            <w:right w:val="none" w:sz="0" w:space="0" w:color="auto"/>
          </w:divBdr>
        </w:div>
        <w:div w:id="493760332">
          <w:marLeft w:val="274"/>
          <w:marRight w:val="0"/>
          <w:marTop w:val="0"/>
          <w:marBottom w:val="0"/>
          <w:divBdr>
            <w:top w:val="none" w:sz="0" w:space="0" w:color="auto"/>
            <w:left w:val="none" w:sz="0" w:space="0" w:color="auto"/>
            <w:bottom w:val="none" w:sz="0" w:space="0" w:color="auto"/>
            <w:right w:val="none" w:sz="0" w:space="0" w:color="auto"/>
          </w:divBdr>
        </w:div>
        <w:div w:id="495540664">
          <w:marLeft w:val="274"/>
          <w:marRight w:val="0"/>
          <w:marTop w:val="0"/>
          <w:marBottom w:val="0"/>
          <w:divBdr>
            <w:top w:val="none" w:sz="0" w:space="0" w:color="auto"/>
            <w:left w:val="none" w:sz="0" w:space="0" w:color="auto"/>
            <w:bottom w:val="none" w:sz="0" w:space="0" w:color="auto"/>
            <w:right w:val="none" w:sz="0" w:space="0" w:color="auto"/>
          </w:divBdr>
        </w:div>
        <w:div w:id="503783653">
          <w:marLeft w:val="274"/>
          <w:marRight w:val="0"/>
          <w:marTop w:val="0"/>
          <w:marBottom w:val="0"/>
          <w:divBdr>
            <w:top w:val="none" w:sz="0" w:space="0" w:color="auto"/>
            <w:left w:val="none" w:sz="0" w:space="0" w:color="auto"/>
            <w:bottom w:val="none" w:sz="0" w:space="0" w:color="auto"/>
            <w:right w:val="none" w:sz="0" w:space="0" w:color="auto"/>
          </w:divBdr>
        </w:div>
        <w:div w:id="512453583">
          <w:marLeft w:val="274"/>
          <w:marRight w:val="0"/>
          <w:marTop w:val="0"/>
          <w:marBottom w:val="0"/>
          <w:divBdr>
            <w:top w:val="none" w:sz="0" w:space="0" w:color="auto"/>
            <w:left w:val="none" w:sz="0" w:space="0" w:color="auto"/>
            <w:bottom w:val="none" w:sz="0" w:space="0" w:color="auto"/>
            <w:right w:val="none" w:sz="0" w:space="0" w:color="auto"/>
          </w:divBdr>
        </w:div>
        <w:div w:id="523060981">
          <w:marLeft w:val="274"/>
          <w:marRight w:val="0"/>
          <w:marTop w:val="0"/>
          <w:marBottom w:val="0"/>
          <w:divBdr>
            <w:top w:val="none" w:sz="0" w:space="0" w:color="auto"/>
            <w:left w:val="none" w:sz="0" w:space="0" w:color="auto"/>
            <w:bottom w:val="none" w:sz="0" w:space="0" w:color="auto"/>
            <w:right w:val="none" w:sz="0" w:space="0" w:color="auto"/>
          </w:divBdr>
        </w:div>
        <w:div w:id="637806797">
          <w:marLeft w:val="274"/>
          <w:marRight w:val="0"/>
          <w:marTop w:val="0"/>
          <w:marBottom w:val="0"/>
          <w:divBdr>
            <w:top w:val="none" w:sz="0" w:space="0" w:color="auto"/>
            <w:left w:val="none" w:sz="0" w:space="0" w:color="auto"/>
            <w:bottom w:val="none" w:sz="0" w:space="0" w:color="auto"/>
            <w:right w:val="none" w:sz="0" w:space="0" w:color="auto"/>
          </w:divBdr>
        </w:div>
        <w:div w:id="651786964">
          <w:marLeft w:val="274"/>
          <w:marRight w:val="0"/>
          <w:marTop w:val="0"/>
          <w:marBottom w:val="0"/>
          <w:divBdr>
            <w:top w:val="none" w:sz="0" w:space="0" w:color="auto"/>
            <w:left w:val="none" w:sz="0" w:space="0" w:color="auto"/>
            <w:bottom w:val="none" w:sz="0" w:space="0" w:color="auto"/>
            <w:right w:val="none" w:sz="0" w:space="0" w:color="auto"/>
          </w:divBdr>
        </w:div>
        <w:div w:id="681857205">
          <w:marLeft w:val="274"/>
          <w:marRight w:val="0"/>
          <w:marTop w:val="0"/>
          <w:marBottom w:val="0"/>
          <w:divBdr>
            <w:top w:val="none" w:sz="0" w:space="0" w:color="auto"/>
            <w:left w:val="none" w:sz="0" w:space="0" w:color="auto"/>
            <w:bottom w:val="none" w:sz="0" w:space="0" w:color="auto"/>
            <w:right w:val="none" w:sz="0" w:space="0" w:color="auto"/>
          </w:divBdr>
        </w:div>
        <w:div w:id="685181664">
          <w:marLeft w:val="274"/>
          <w:marRight w:val="0"/>
          <w:marTop w:val="0"/>
          <w:marBottom w:val="0"/>
          <w:divBdr>
            <w:top w:val="none" w:sz="0" w:space="0" w:color="auto"/>
            <w:left w:val="none" w:sz="0" w:space="0" w:color="auto"/>
            <w:bottom w:val="none" w:sz="0" w:space="0" w:color="auto"/>
            <w:right w:val="none" w:sz="0" w:space="0" w:color="auto"/>
          </w:divBdr>
        </w:div>
        <w:div w:id="699285274">
          <w:marLeft w:val="274"/>
          <w:marRight w:val="0"/>
          <w:marTop w:val="0"/>
          <w:marBottom w:val="0"/>
          <w:divBdr>
            <w:top w:val="none" w:sz="0" w:space="0" w:color="auto"/>
            <w:left w:val="none" w:sz="0" w:space="0" w:color="auto"/>
            <w:bottom w:val="none" w:sz="0" w:space="0" w:color="auto"/>
            <w:right w:val="none" w:sz="0" w:space="0" w:color="auto"/>
          </w:divBdr>
        </w:div>
        <w:div w:id="726539127">
          <w:marLeft w:val="274"/>
          <w:marRight w:val="0"/>
          <w:marTop w:val="0"/>
          <w:marBottom w:val="0"/>
          <w:divBdr>
            <w:top w:val="none" w:sz="0" w:space="0" w:color="auto"/>
            <w:left w:val="none" w:sz="0" w:space="0" w:color="auto"/>
            <w:bottom w:val="none" w:sz="0" w:space="0" w:color="auto"/>
            <w:right w:val="none" w:sz="0" w:space="0" w:color="auto"/>
          </w:divBdr>
        </w:div>
        <w:div w:id="761141852">
          <w:marLeft w:val="274"/>
          <w:marRight w:val="0"/>
          <w:marTop w:val="0"/>
          <w:marBottom w:val="0"/>
          <w:divBdr>
            <w:top w:val="none" w:sz="0" w:space="0" w:color="auto"/>
            <w:left w:val="none" w:sz="0" w:space="0" w:color="auto"/>
            <w:bottom w:val="none" w:sz="0" w:space="0" w:color="auto"/>
            <w:right w:val="none" w:sz="0" w:space="0" w:color="auto"/>
          </w:divBdr>
        </w:div>
        <w:div w:id="790629979">
          <w:marLeft w:val="274"/>
          <w:marRight w:val="0"/>
          <w:marTop w:val="0"/>
          <w:marBottom w:val="0"/>
          <w:divBdr>
            <w:top w:val="none" w:sz="0" w:space="0" w:color="auto"/>
            <w:left w:val="none" w:sz="0" w:space="0" w:color="auto"/>
            <w:bottom w:val="none" w:sz="0" w:space="0" w:color="auto"/>
            <w:right w:val="none" w:sz="0" w:space="0" w:color="auto"/>
          </w:divBdr>
        </w:div>
        <w:div w:id="832065637">
          <w:marLeft w:val="274"/>
          <w:marRight w:val="0"/>
          <w:marTop w:val="0"/>
          <w:marBottom w:val="0"/>
          <w:divBdr>
            <w:top w:val="none" w:sz="0" w:space="0" w:color="auto"/>
            <w:left w:val="none" w:sz="0" w:space="0" w:color="auto"/>
            <w:bottom w:val="none" w:sz="0" w:space="0" w:color="auto"/>
            <w:right w:val="none" w:sz="0" w:space="0" w:color="auto"/>
          </w:divBdr>
        </w:div>
        <w:div w:id="876235986">
          <w:marLeft w:val="274"/>
          <w:marRight w:val="0"/>
          <w:marTop w:val="0"/>
          <w:marBottom w:val="0"/>
          <w:divBdr>
            <w:top w:val="none" w:sz="0" w:space="0" w:color="auto"/>
            <w:left w:val="none" w:sz="0" w:space="0" w:color="auto"/>
            <w:bottom w:val="none" w:sz="0" w:space="0" w:color="auto"/>
            <w:right w:val="none" w:sz="0" w:space="0" w:color="auto"/>
          </w:divBdr>
        </w:div>
        <w:div w:id="932935322">
          <w:marLeft w:val="274"/>
          <w:marRight w:val="0"/>
          <w:marTop w:val="0"/>
          <w:marBottom w:val="0"/>
          <w:divBdr>
            <w:top w:val="none" w:sz="0" w:space="0" w:color="auto"/>
            <w:left w:val="none" w:sz="0" w:space="0" w:color="auto"/>
            <w:bottom w:val="none" w:sz="0" w:space="0" w:color="auto"/>
            <w:right w:val="none" w:sz="0" w:space="0" w:color="auto"/>
          </w:divBdr>
        </w:div>
        <w:div w:id="1096485615">
          <w:marLeft w:val="274"/>
          <w:marRight w:val="0"/>
          <w:marTop w:val="0"/>
          <w:marBottom w:val="0"/>
          <w:divBdr>
            <w:top w:val="none" w:sz="0" w:space="0" w:color="auto"/>
            <w:left w:val="none" w:sz="0" w:space="0" w:color="auto"/>
            <w:bottom w:val="none" w:sz="0" w:space="0" w:color="auto"/>
            <w:right w:val="none" w:sz="0" w:space="0" w:color="auto"/>
          </w:divBdr>
        </w:div>
        <w:div w:id="1150556725">
          <w:marLeft w:val="274"/>
          <w:marRight w:val="0"/>
          <w:marTop w:val="0"/>
          <w:marBottom w:val="0"/>
          <w:divBdr>
            <w:top w:val="none" w:sz="0" w:space="0" w:color="auto"/>
            <w:left w:val="none" w:sz="0" w:space="0" w:color="auto"/>
            <w:bottom w:val="none" w:sz="0" w:space="0" w:color="auto"/>
            <w:right w:val="none" w:sz="0" w:space="0" w:color="auto"/>
          </w:divBdr>
        </w:div>
        <w:div w:id="1168402245">
          <w:marLeft w:val="274"/>
          <w:marRight w:val="0"/>
          <w:marTop w:val="0"/>
          <w:marBottom w:val="0"/>
          <w:divBdr>
            <w:top w:val="none" w:sz="0" w:space="0" w:color="auto"/>
            <w:left w:val="none" w:sz="0" w:space="0" w:color="auto"/>
            <w:bottom w:val="none" w:sz="0" w:space="0" w:color="auto"/>
            <w:right w:val="none" w:sz="0" w:space="0" w:color="auto"/>
          </w:divBdr>
        </w:div>
        <w:div w:id="1243217923">
          <w:marLeft w:val="274"/>
          <w:marRight w:val="0"/>
          <w:marTop w:val="0"/>
          <w:marBottom w:val="0"/>
          <w:divBdr>
            <w:top w:val="none" w:sz="0" w:space="0" w:color="auto"/>
            <w:left w:val="none" w:sz="0" w:space="0" w:color="auto"/>
            <w:bottom w:val="none" w:sz="0" w:space="0" w:color="auto"/>
            <w:right w:val="none" w:sz="0" w:space="0" w:color="auto"/>
          </w:divBdr>
        </w:div>
        <w:div w:id="1265727681">
          <w:marLeft w:val="274"/>
          <w:marRight w:val="0"/>
          <w:marTop w:val="0"/>
          <w:marBottom w:val="0"/>
          <w:divBdr>
            <w:top w:val="none" w:sz="0" w:space="0" w:color="auto"/>
            <w:left w:val="none" w:sz="0" w:space="0" w:color="auto"/>
            <w:bottom w:val="none" w:sz="0" w:space="0" w:color="auto"/>
            <w:right w:val="none" w:sz="0" w:space="0" w:color="auto"/>
          </w:divBdr>
        </w:div>
        <w:div w:id="1279799605">
          <w:marLeft w:val="274"/>
          <w:marRight w:val="0"/>
          <w:marTop w:val="0"/>
          <w:marBottom w:val="0"/>
          <w:divBdr>
            <w:top w:val="none" w:sz="0" w:space="0" w:color="auto"/>
            <w:left w:val="none" w:sz="0" w:space="0" w:color="auto"/>
            <w:bottom w:val="none" w:sz="0" w:space="0" w:color="auto"/>
            <w:right w:val="none" w:sz="0" w:space="0" w:color="auto"/>
          </w:divBdr>
        </w:div>
        <w:div w:id="1294558002">
          <w:marLeft w:val="274"/>
          <w:marRight w:val="0"/>
          <w:marTop w:val="0"/>
          <w:marBottom w:val="0"/>
          <w:divBdr>
            <w:top w:val="none" w:sz="0" w:space="0" w:color="auto"/>
            <w:left w:val="none" w:sz="0" w:space="0" w:color="auto"/>
            <w:bottom w:val="none" w:sz="0" w:space="0" w:color="auto"/>
            <w:right w:val="none" w:sz="0" w:space="0" w:color="auto"/>
          </w:divBdr>
        </w:div>
        <w:div w:id="1334529343">
          <w:marLeft w:val="274"/>
          <w:marRight w:val="0"/>
          <w:marTop w:val="0"/>
          <w:marBottom w:val="0"/>
          <w:divBdr>
            <w:top w:val="none" w:sz="0" w:space="0" w:color="auto"/>
            <w:left w:val="none" w:sz="0" w:space="0" w:color="auto"/>
            <w:bottom w:val="none" w:sz="0" w:space="0" w:color="auto"/>
            <w:right w:val="none" w:sz="0" w:space="0" w:color="auto"/>
          </w:divBdr>
        </w:div>
        <w:div w:id="1361541492">
          <w:marLeft w:val="274"/>
          <w:marRight w:val="0"/>
          <w:marTop w:val="0"/>
          <w:marBottom w:val="0"/>
          <w:divBdr>
            <w:top w:val="none" w:sz="0" w:space="0" w:color="auto"/>
            <w:left w:val="none" w:sz="0" w:space="0" w:color="auto"/>
            <w:bottom w:val="none" w:sz="0" w:space="0" w:color="auto"/>
            <w:right w:val="none" w:sz="0" w:space="0" w:color="auto"/>
          </w:divBdr>
        </w:div>
        <w:div w:id="1639262994">
          <w:marLeft w:val="274"/>
          <w:marRight w:val="0"/>
          <w:marTop w:val="0"/>
          <w:marBottom w:val="0"/>
          <w:divBdr>
            <w:top w:val="none" w:sz="0" w:space="0" w:color="auto"/>
            <w:left w:val="none" w:sz="0" w:space="0" w:color="auto"/>
            <w:bottom w:val="none" w:sz="0" w:space="0" w:color="auto"/>
            <w:right w:val="none" w:sz="0" w:space="0" w:color="auto"/>
          </w:divBdr>
        </w:div>
        <w:div w:id="1665863609">
          <w:marLeft w:val="274"/>
          <w:marRight w:val="0"/>
          <w:marTop w:val="0"/>
          <w:marBottom w:val="0"/>
          <w:divBdr>
            <w:top w:val="none" w:sz="0" w:space="0" w:color="auto"/>
            <w:left w:val="none" w:sz="0" w:space="0" w:color="auto"/>
            <w:bottom w:val="none" w:sz="0" w:space="0" w:color="auto"/>
            <w:right w:val="none" w:sz="0" w:space="0" w:color="auto"/>
          </w:divBdr>
        </w:div>
        <w:div w:id="1734043267">
          <w:marLeft w:val="274"/>
          <w:marRight w:val="0"/>
          <w:marTop w:val="0"/>
          <w:marBottom w:val="0"/>
          <w:divBdr>
            <w:top w:val="none" w:sz="0" w:space="0" w:color="auto"/>
            <w:left w:val="none" w:sz="0" w:space="0" w:color="auto"/>
            <w:bottom w:val="none" w:sz="0" w:space="0" w:color="auto"/>
            <w:right w:val="none" w:sz="0" w:space="0" w:color="auto"/>
          </w:divBdr>
        </w:div>
        <w:div w:id="1834831987">
          <w:marLeft w:val="274"/>
          <w:marRight w:val="0"/>
          <w:marTop w:val="0"/>
          <w:marBottom w:val="0"/>
          <w:divBdr>
            <w:top w:val="none" w:sz="0" w:space="0" w:color="auto"/>
            <w:left w:val="none" w:sz="0" w:space="0" w:color="auto"/>
            <w:bottom w:val="none" w:sz="0" w:space="0" w:color="auto"/>
            <w:right w:val="none" w:sz="0" w:space="0" w:color="auto"/>
          </w:divBdr>
        </w:div>
        <w:div w:id="1856455021">
          <w:marLeft w:val="274"/>
          <w:marRight w:val="0"/>
          <w:marTop w:val="0"/>
          <w:marBottom w:val="0"/>
          <w:divBdr>
            <w:top w:val="none" w:sz="0" w:space="0" w:color="auto"/>
            <w:left w:val="none" w:sz="0" w:space="0" w:color="auto"/>
            <w:bottom w:val="none" w:sz="0" w:space="0" w:color="auto"/>
            <w:right w:val="none" w:sz="0" w:space="0" w:color="auto"/>
          </w:divBdr>
        </w:div>
        <w:div w:id="1875802815">
          <w:marLeft w:val="274"/>
          <w:marRight w:val="0"/>
          <w:marTop w:val="0"/>
          <w:marBottom w:val="0"/>
          <w:divBdr>
            <w:top w:val="none" w:sz="0" w:space="0" w:color="auto"/>
            <w:left w:val="none" w:sz="0" w:space="0" w:color="auto"/>
            <w:bottom w:val="none" w:sz="0" w:space="0" w:color="auto"/>
            <w:right w:val="none" w:sz="0" w:space="0" w:color="auto"/>
          </w:divBdr>
        </w:div>
        <w:div w:id="1882471428">
          <w:marLeft w:val="274"/>
          <w:marRight w:val="0"/>
          <w:marTop w:val="0"/>
          <w:marBottom w:val="0"/>
          <w:divBdr>
            <w:top w:val="none" w:sz="0" w:space="0" w:color="auto"/>
            <w:left w:val="none" w:sz="0" w:space="0" w:color="auto"/>
            <w:bottom w:val="none" w:sz="0" w:space="0" w:color="auto"/>
            <w:right w:val="none" w:sz="0" w:space="0" w:color="auto"/>
          </w:divBdr>
        </w:div>
        <w:div w:id="1931162125">
          <w:marLeft w:val="274"/>
          <w:marRight w:val="0"/>
          <w:marTop w:val="0"/>
          <w:marBottom w:val="0"/>
          <w:divBdr>
            <w:top w:val="none" w:sz="0" w:space="0" w:color="auto"/>
            <w:left w:val="none" w:sz="0" w:space="0" w:color="auto"/>
            <w:bottom w:val="none" w:sz="0" w:space="0" w:color="auto"/>
            <w:right w:val="none" w:sz="0" w:space="0" w:color="auto"/>
          </w:divBdr>
        </w:div>
        <w:div w:id="1982418547">
          <w:marLeft w:val="274"/>
          <w:marRight w:val="0"/>
          <w:marTop w:val="0"/>
          <w:marBottom w:val="0"/>
          <w:divBdr>
            <w:top w:val="none" w:sz="0" w:space="0" w:color="auto"/>
            <w:left w:val="none" w:sz="0" w:space="0" w:color="auto"/>
            <w:bottom w:val="none" w:sz="0" w:space="0" w:color="auto"/>
            <w:right w:val="none" w:sz="0" w:space="0" w:color="auto"/>
          </w:divBdr>
        </w:div>
        <w:div w:id="2051150512">
          <w:marLeft w:val="274"/>
          <w:marRight w:val="0"/>
          <w:marTop w:val="0"/>
          <w:marBottom w:val="0"/>
          <w:divBdr>
            <w:top w:val="none" w:sz="0" w:space="0" w:color="auto"/>
            <w:left w:val="none" w:sz="0" w:space="0" w:color="auto"/>
            <w:bottom w:val="none" w:sz="0" w:space="0" w:color="auto"/>
            <w:right w:val="none" w:sz="0" w:space="0" w:color="auto"/>
          </w:divBdr>
        </w:div>
        <w:div w:id="2053266379">
          <w:marLeft w:val="274"/>
          <w:marRight w:val="0"/>
          <w:marTop w:val="0"/>
          <w:marBottom w:val="0"/>
          <w:divBdr>
            <w:top w:val="none" w:sz="0" w:space="0" w:color="auto"/>
            <w:left w:val="none" w:sz="0" w:space="0" w:color="auto"/>
            <w:bottom w:val="none" w:sz="0" w:space="0" w:color="auto"/>
            <w:right w:val="none" w:sz="0" w:space="0" w:color="auto"/>
          </w:divBdr>
        </w:div>
        <w:div w:id="2064786809">
          <w:marLeft w:val="274"/>
          <w:marRight w:val="0"/>
          <w:marTop w:val="0"/>
          <w:marBottom w:val="0"/>
          <w:divBdr>
            <w:top w:val="none" w:sz="0" w:space="0" w:color="auto"/>
            <w:left w:val="none" w:sz="0" w:space="0" w:color="auto"/>
            <w:bottom w:val="none" w:sz="0" w:space="0" w:color="auto"/>
            <w:right w:val="none" w:sz="0" w:space="0" w:color="auto"/>
          </w:divBdr>
        </w:div>
        <w:div w:id="2070417825">
          <w:marLeft w:val="274"/>
          <w:marRight w:val="0"/>
          <w:marTop w:val="0"/>
          <w:marBottom w:val="0"/>
          <w:divBdr>
            <w:top w:val="none" w:sz="0" w:space="0" w:color="auto"/>
            <w:left w:val="none" w:sz="0" w:space="0" w:color="auto"/>
            <w:bottom w:val="none" w:sz="0" w:space="0" w:color="auto"/>
            <w:right w:val="none" w:sz="0" w:space="0" w:color="auto"/>
          </w:divBdr>
        </w:div>
        <w:div w:id="2079673235">
          <w:marLeft w:val="274"/>
          <w:marRight w:val="0"/>
          <w:marTop w:val="0"/>
          <w:marBottom w:val="0"/>
          <w:divBdr>
            <w:top w:val="none" w:sz="0" w:space="0" w:color="auto"/>
            <w:left w:val="none" w:sz="0" w:space="0" w:color="auto"/>
            <w:bottom w:val="none" w:sz="0" w:space="0" w:color="auto"/>
            <w:right w:val="none" w:sz="0" w:space="0" w:color="auto"/>
          </w:divBdr>
        </w:div>
        <w:div w:id="2096592242">
          <w:marLeft w:val="274"/>
          <w:marRight w:val="0"/>
          <w:marTop w:val="0"/>
          <w:marBottom w:val="0"/>
          <w:divBdr>
            <w:top w:val="none" w:sz="0" w:space="0" w:color="auto"/>
            <w:left w:val="none" w:sz="0" w:space="0" w:color="auto"/>
            <w:bottom w:val="none" w:sz="0" w:space="0" w:color="auto"/>
            <w:right w:val="none" w:sz="0" w:space="0" w:color="auto"/>
          </w:divBdr>
        </w:div>
        <w:div w:id="2105496105">
          <w:marLeft w:val="274"/>
          <w:marRight w:val="0"/>
          <w:marTop w:val="0"/>
          <w:marBottom w:val="0"/>
          <w:divBdr>
            <w:top w:val="none" w:sz="0" w:space="0" w:color="auto"/>
            <w:left w:val="none" w:sz="0" w:space="0" w:color="auto"/>
            <w:bottom w:val="none" w:sz="0" w:space="0" w:color="auto"/>
            <w:right w:val="none" w:sz="0" w:space="0" w:color="auto"/>
          </w:divBdr>
        </w:div>
      </w:divsChild>
    </w:div>
    <w:div w:id="317346169">
      <w:bodyDiv w:val="1"/>
      <w:marLeft w:val="0"/>
      <w:marRight w:val="0"/>
      <w:marTop w:val="0"/>
      <w:marBottom w:val="0"/>
      <w:divBdr>
        <w:top w:val="none" w:sz="0" w:space="0" w:color="auto"/>
        <w:left w:val="none" w:sz="0" w:space="0" w:color="auto"/>
        <w:bottom w:val="none" w:sz="0" w:space="0" w:color="auto"/>
        <w:right w:val="none" w:sz="0" w:space="0" w:color="auto"/>
      </w:divBdr>
    </w:div>
    <w:div w:id="322977168">
      <w:bodyDiv w:val="1"/>
      <w:marLeft w:val="0"/>
      <w:marRight w:val="0"/>
      <w:marTop w:val="0"/>
      <w:marBottom w:val="0"/>
      <w:divBdr>
        <w:top w:val="none" w:sz="0" w:space="0" w:color="auto"/>
        <w:left w:val="none" w:sz="0" w:space="0" w:color="auto"/>
        <w:bottom w:val="none" w:sz="0" w:space="0" w:color="auto"/>
        <w:right w:val="none" w:sz="0" w:space="0" w:color="auto"/>
      </w:divBdr>
      <w:divsChild>
        <w:div w:id="1328677195">
          <w:marLeft w:val="274"/>
          <w:marRight w:val="0"/>
          <w:marTop w:val="0"/>
          <w:marBottom w:val="0"/>
          <w:divBdr>
            <w:top w:val="none" w:sz="0" w:space="0" w:color="auto"/>
            <w:left w:val="none" w:sz="0" w:space="0" w:color="auto"/>
            <w:bottom w:val="none" w:sz="0" w:space="0" w:color="auto"/>
            <w:right w:val="none" w:sz="0" w:space="0" w:color="auto"/>
          </w:divBdr>
        </w:div>
      </w:divsChild>
    </w:div>
    <w:div w:id="345789583">
      <w:bodyDiv w:val="1"/>
      <w:marLeft w:val="0"/>
      <w:marRight w:val="0"/>
      <w:marTop w:val="0"/>
      <w:marBottom w:val="0"/>
      <w:divBdr>
        <w:top w:val="none" w:sz="0" w:space="0" w:color="auto"/>
        <w:left w:val="none" w:sz="0" w:space="0" w:color="auto"/>
        <w:bottom w:val="none" w:sz="0" w:space="0" w:color="auto"/>
        <w:right w:val="none" w:sz="0" w:space="0" w:color="auto"/>
      </w:divBdr>
      <w:divsChild>
        <w:div w:id="134035486">
          <w:marLeft w:val="360"/>
          <w:marRight w:val="0"/>
          <w:marTop w:val="0"/>
          <w:marBottom w:val="120"/>
          <w:divBdr>
            <w:top w:val="none" w:sz="0" w:space="0" w:color="auto"/>
            <w:left w:val="none" w:sz="0" w:space="0" w:color="auto"/>
            <w:bottom w:val="none" w:sz="0" w:space="0" w:color="auto"/>
            <w:right w:val="none" w:sz="0" w:space="0" w:color="auto"/>
          </w:divBdr>
        </w:div>
        <w:div w:id="1935160993">
          <w:marLeft w:val="360"/>
          <w:marRight w:val="0"/>
          <w:marTop w:val="0"/>
          <w:marBottom w:val="120"/>
          <w:divBdr>
            <w:top w:val="none" w:sz="0" w:space="0" w:color="auto"/>
            <w:left w:val="none" w:sz="0" w:space="0" w:color="auto"/>
            <w:bottom w:val="none" w:sz="0" w:space="0" w:color="auto"/>
            <w:right w:val="none" w:sz="0" w:space="0" w:color="auto"/>
          </w:divBdr>
        </w:div>
        <w:div w:id="2071951397">
          <w:marLeft w:val="360"/>
          <w:marRight w:val="0"/>
          <w:marTop w:val="0"/>
          <w:marBottom w:val="120"/>
          <w:divBdr>
            <w:top w:val="none" w:sz="0" w:space="0" w:color="auto"/>
            <w:left w:val="none" w:sz="0" w:space="0" w:color="auto"/>
            <w:bottom w:val="none" w:sz="0" w:space="0" w:color="auto"/>
            <w:right w:val="none" w:sz="0" w:space="0" w:color="auto"/>
          </w:divBdr>
        </w:div>
        <w:div w:id="2097894626">
          <w:marLeft w:val="360"/>
          <w:marRight w:val="0"/>
          <w:marTop w:val="0"/>
          <w:marBottom w:val="120"/>
          <w:divBdr>
            <w:top w:val="none" w:sz="0" w:space="0" w:color="auto"/>
            <w:left w:val="none" w:sz="0" w:space="0" w:color="auto"/>
            <w:bottom w:val="none" w:sz="0" w:space="0" w:color="auto"/>
            <w:right w:val="none" w:sz="0" w:space="0" w:color="auto"/>
          </w:divBdr>
        </w:div>
      </w:divsChild>
    </w:div>
    <w:div w:id="359087586">
      <w:bodyDiv w:val="1"/>
      <w:marLeft w:val="0"/>
      <w:marRight w:val="0"/>
      <w:marTop w:val="0"/>
      <w:marBottom w:val="0"/>
      <w:divBdr>
        <w:top w:val="none" w:sz="0" w:space="0" w:color="auto"/>
        <w:left w:val="none" w:sz="0" w:space="0" w:color="auto"/>
        <w:bottom w:val="none" w:sz="0" w:space="0" w:color="auto"/>
        <w:right w:val="none" w:sz="0" w:space="0" w:color="auto"/>
      </w:divBdr>
    </w:div>
    <w:div w:id="362219146">
      <w:bodyDiv w:val="1"/>
      <w:marLeft w:val="0"/>
      <w:marRight w:val="0"/>
      <w:marTop w:val="0"/>
      <w:marBottom w:val="0"/>
      <w:divBdr>
        <w:top w:val="none" w:sz="0" w:space="0" w:color="auto"/>
        <w:left w:val="none" w:sz="0" w:space="0" w:color="auto"/>
        <w:bottom w:val="none" w:sz="0" w:space="0" w:color="auto"/>
        <w:right w:val="none" w:sz="0" w:space="0" w:color="auto"/>
      </w:divBdr>
      <w:divsChild>
        <w:div w:id="652298825">
          <w:marLeft w:val="274"/>
          <w:marRight w:val="0"/>
          <w:marTop w:val="0"/>
          <w:marBottom w:val="0"/>
          <w:divBdr>
            <w:top w:val="none" w:sz="0" w:space="0" w:color="auto"/>
            <w:left w:val="none" w:sz="0" w:space="0" w:color="auto"/>
            <w:bottom w:val="none" w:sz="0" w:space="0" w:color="auto"/>
            <w:right w:val="none" w:sz="0" w:space="0" w:color="auto"/>
          </w:divBdr>
        </w:div>
        <w:div w:id="755174922">
          <w:marLeft w:val="274"/>
          <w:marRight w:val="0"/>
          <w:marTop w:val="0"/>
          <w:marBottom w:val="0"/>
          <w:divBdr>
            <w:top w:val="none" w:sz="0" w:space="0" w:color="auto"/>
            <w:left w:val="none" w:sz="0" w:space="0" w:color="auto"/>
            <w:bottom w:val="none" w:sz="0" w:space="0" w:color="auto"/>
            <w:right w:val="none" w:sz="0" w:space="0" w:color="auto"/>
          </w:divBdr>
        </w:div>
        <w:div w:id="1836072533">
          <w:marLeft w:val="274"/>
          <w:marRight w:val="0"/>
          <w:marTop w:val="0"/>
          <w:marBottom w:val="0"/>
          <w:divBdr>
            <w:top w:val="none" w:sz="0" w:space="0" w:color="auto"/>
            <w:left w:val="none" w:sz="0" w:space="0" w:color="auto"/>
            <w:bottom w:val="none" w:sz="0" w:space="0" w:color="auto"/>
            <w:right w:val="none" w:sz="0" w:space="0" w:color="auto"/>
          </w:divBdr>
        </w:div>
      </w:divsChild>
    </w:div>
    <w:div w:id="370149138">
      <w:bodyDiv w:val="1"/>
      <w:marLeft w:val="0"/>
      <w:marRight w:val="0"/>
      <w:marTop w:val="0"/>
      <w:marBottom w:val="0"/>
      <w:divBdr>
        <w:top w:val="none" w:sz="0" w:space="0" w:color="auto"/>
        <w:left w:val="none" w:sz="0" w:space="0" w:color="auto"/>
        <w:bottom w:val="none" w:sz="0" w:space="0" w:color="auto"/>
        <w:right w:val="none" w:sz="0" w:space="0" w:color="auto"/>
      </w:divBdr>
    </w:div>
    <w:div w:id="376390707">
      <w:bodyDiv w:val="1"/>
      <w:marLeft w:val="0"/>
      <w:marRight w:val="0"/>
      <w:marTop w:val="0"/>
      <w:marBottom w:val="0"/>
      <w:divBdr>
        <w:top w:val="none" w:sz="0" w:space="0" w:color="auto"/>
        <w:left w:val="none" w:sz="0" w:space="0" w:color="auto"/>
        <w:bottom w:val="none" w:sz="0" w:space="0" w:color="auto"/>
        <w:right w:val="none" w:sz="0" w:space="0" w:color="auto"/>
      </w:divBdr>
      <w:divsChild>
        <w:div w:id="1411075735">
          <w:marLeft w:val="274"/>
          <w:marRight w:val="0"/>
          <w:marTop w:val="0"/>
          <w:marBottom w:val="0"/>
          <w:divBdr>
            <w:top w:val="none" w:sz="0" w:space="0" w:color="auto"/>
            <w:left w:val="none" w:sz="0" w:space="0" w:color="auto"/>
            <w:bottom w:val="none" w:sz="0" w:space="0" w:color="auto"/>
            <w:right w:val="none" w:sz="0" w:space="0" w:color="auto"/>
          </w:divBdr>
        </w:div>
      </w:divsChild>
    </w:div>
    <w:div w:id="392654670">
      <w:bodyDiv w:val="1"/>
      <w:marLeft w:val="0"/>
      <w:marRight w:val="0"/>
      <w:marTop w:val="0"/>
      <w:marBottom w:val="0"/>
      <w:divBdr>
        <w:top w:val="none" w:sz="0" w:space="0" w:color="auto"/>
        <w:left w:val="none" w:sz="0" w:space="0" w:color="auto"/>
        <w:bottom w:val="none" w:sz="0" w:space="0" w:color="auto"/>
        <w:right w:val="none" w:sz="0" w:space="0" w:color="auto"/>
      </w:divBdr>
    </w:div>
    <w:div w:id="394202469">
      <w:bodyDiv w:val="1"/>
      <w:marLeft w:val="0"/>
      <w:marRight w:val="0"/>
      <w:marTop w:val="0"/>
      <w:marBottom w:val="0"/>
      <w:divBdr>
        <w:top w:val="none" w:sz="0" w:space="0" w:color="auto"/>
        <w:left w:val="none" w:sz="0" w:space="0" w:color="auto"/>
        <w:bottom w:val="none" w:sz="0" w:space="0" w:color="auto"/>
        <w:right w:val="none" w:sz="0" w:space="0" w:color="auto"/>
      </w:divBdr>
    </w:div>
    <w:div w:id="425805673">
      <w:bodyDiv w:val="1"/>
      <w:marLeft w:val="0"/>
      <w:marRight w:val="0"/>
      <w:marTop w:val="0"/>
      <w:marBottom w:val="0"/>
      <w:divBdr>
        <w:top w:val="none" w:sz="0" w:space="0" w:color="auto"/>
        <w:left w:val="none" w:sz="0" w:space="0" w:color="auto"/>
        <w:bottom w:val="none" w:sz="0" w:space="0" w:color="auto"/>
        <w:right w:val="none" w:sz="0" w:space="0" w:color="auto"/>
      </w:divBdr>
    </w:div>
    <w:div w:id="467434046">
      <w:bodyDiv w:val="1"/>
      <w:marLeft w:val="0"/>
      <w:marRight w:val="0"/>
      <w:marTop w:val="0"/>
      <w:marBottom w:val="0"/>
      <w:divBdr>
        <w:top w:val="none" w:sz="0" w:space="0" w:color="auto"/>
        <w:left w:val="none" w:sz="0" w:space="0" w:color="auto"/>
        <w:bottom w:val="none" w:sz="0" w:space="0" w:color="auto"/>
        <w:right w:val="none" w:sz="0" w:space="0" w:color="auto"/>
      </w:divBdr>
      <w:divsChild>
        <w:div w:id="306057878">
          <w:marLeft w:val="274"/>
          <w:marRight w:val="0"/>
          <w:marTop w:val="0"/>
          <w:marBottom w:val="120"/>
          <w:divBdr>
            <w:top w:val="none" w:sz="0" w:space="0" w:color="auto"/>
            <w:left w:val="none" w:sz="0" w:space="0" w:color="auto"/>
            <w:bottom w:val="none" w:sz="0" w:space="0" w:color="auto"/>
            <w:right w:val="none" w:sz="0" w:space="0" w:color="auto"/>
          </w:divBdr>
        </w:div>
        <w:div w:id="536234070">
          <w:marLeft w:val="274"/>
          <w:marRight w:val="0"/>
          <w:marTop w:val="0"/>
          <w:marBottom w:val="120"/>
          <w:divBdr>
            <w:top w:val="none" w:sz="0" w:space="0" w:color="auto"/>
            <w:left w:val="none" w:sz="0" w:space="0" w:color="auto"/>
            <w:bottom w:val="none" w:sz="0" w:space="0" w:color="auto"/>
            <w:right w:val="none" w:sz="0" w:space="0" w:color="auto"/>
          </w:divBdr>
        </w:div>
        <w:div w:id="694963733">
          <w:marLeft w:val="274"/>
          <w:marRight w:val="0"/>
          <w:marTop w:val="0"/>
          <w:marBottom w:val="120"/>
          <w:divBdr>
            <w:top w:val="none" w:sz="0" w:space="0" w:color="auto"/>
            <w:left w:val="none" w:sz="0" w:space="0" w:color="auto"/>
            <w:bottom w:val="none" w:sz="0" w:space="0" w:color="auto"/>
            <w:right w:val="none" w:sz="0" w:space="0" w:color="auto"/>
          </w:divBdr>
        </w:div>
      </w:divsChild>
    </w:div>
    <w:div w:id="487328473">
      <w:bodyDiv w:val="1"/>
      <w:marLeft w:val="0"/>
      <w:marRight w:val="0"/>
      <w:marTop w:val="0"/>
      <w:marBottom w:val="0"/>
      <w:divBdr>
        <w:top w:val="none" w:sz="0" w:space="0" w:color="auto"/>
        <w:left w:val="none" w:sz="0" w:space="0" w:color="auto"/>
        <w:bottom w:val="none" w:sz="0" w:space="0" w:color="auto"/>
        <w:right w:val="none" w:sz="0" w:space="0" w:color="auto"/>
      </w:divBdr>
    </w:div>
    <w:div w:id="504781972">
      <w:bodyDiv w:val="1"/>
      <w:marLeft w:val="0"/>
      <w:marRight w:val="0"/>
      <w:marTop w:val="0"/>
      <w:marBottom w:val="0"/>
      <w:divBdr>
        <w:top w:val="none" w:sz="0" w:space="0" w:color="auto"/>
        <w:left w:val="none" w:sz="0" w:space="0" w:color="auto"/>
        <w:bottom w:val="none" w:sz="0" w:space="0" w:color="auto"/>
        <w:right w:val="none" w:sz="0" w:space="0" w:color="auto"/>
      </w:divBdr>
    </w:div>
    <w:div w:id="506410309">
      <w:bodyDiv w:val="1"/>
      <w:marLeft w:val="0"/>
      <w:marRight w:val="0"/>
      <w:marTop w:val="0"/>
      <w:marBottom w:val="0"/>
      <w:divBdr>
        <w:top w:val="none" w:sz="0" w:space="0" w:color="auto"/>
        <w:left w:val="none" w:sz="0" w:space="0" w:color="auto"/>
        <w:bottom w:val="none" w:sz="0" w:space="0" w:color="auto"/>
        <w:right w:val="none" w:sz="0" w:space="0" w:color="auto"/>
      </w:divBdr>
      <w:divsChild>
        <w:div w:id="32732155">
          <w:marLeft w:val="446"/>
          <w:marRight w:val="0"/>
          <w:marTop w:val="0"/>
          <w:marBottom w:val="120"/>
          <w:divBdr>
            <w:top w:val="none" w:sz="0" w:space="0" w:color="auto"/>
            <w:left w:val="none" w:sz="0" w:space="0" w:color="auto"/>
            <w:bottom w:val="none" w:sz="0" w:space="0" w:color="auto"/>
            <w:right w:val="none" w:sz="0" w:space="0" w:color="auto"/>
          </w:divBdr>
        </w:div>
        <w:div w:id="427041982">
          <w:marLeft w:val="446"/>
          <w:marRight w:val="0"/>
          <w:marTop w:val="0"/>
          <w:marBottom w:val="120"/>
          <w:divBdr>
            <w:top w:val="none" w:sz="0" w:space="0" w:color="auto"/>
            <w:left w:val="none" w:sz="0" w:space="0" w:color="auto"/>
            <w:bottom w:val="none" w:sz="0" w:space="0" w:color="auto"/>
            <w:right w:val="none" w:sz="0" w:space="0" w:color="auto"/>
          </w:divBdr>
        </w:div>
        <w:div w:id="903642898">
          <w:marLeft w:val="446"/>
          <w:marRight w:val="0"/>
          <w:marTop w:val="0"/>
          <w:marBottom w:val="120"/>
          <w:divBdr>
            <w:top w:val="none" w:sz="0" w:space="0" w:color="auto"/>
            <w:left w:val="none" w:sz="0" w:space="0" w:color="auto"/>
            <w:bottom w:val="none" w:sz="0" w:space="0" w:color="auto"/>
            <w:right w:val="none" w:sz="0" w:space="0" w:color="auto"/>
          </w:divBdr>
        </w:div>
        <w:div w:id="1971745019">
          <w:marLeft w:val="446"/>
          <w:marRight w:val="0"/>
          <w:marTop w:val="0"/>
          <w:marBottom w:val="120"/>
          <w:divBdr>
            <w:top w:val="none" w:sz="0" w:space="0" w:color="auto"/>
            <w:left w:val="none" w:sz="0" w:space="0" w:color="auto"/>
            <w:bottom w:val="none" w:sz="0" w:space="0" w:color="auto"/>
            <w:right w:val="none" w:sz="0" w:space="0" w:color="auto"/>
          </w:divBdr>
        </w:div>
        <w:div w:id="1987081207">
          <w:marLeft w:val="446"/>
          <w:marRight w:val="0"/>
          <w:marTop w:val="0"/>
          <w:marBottom w:val="120"/>
          <w:divBdr>
            <w:top w:val="none" w:sz="0" w:space="0" w:color="auto"/>
            <w:left w:val="none" w:sz="0" w:space="0" w:color="auto"/>
            <w:bottom w:val="none" w:sz="0" w:space="0" w:color="auto"/>
            <w:right w:val="none" w:sz="0" w:space="0" w:color="auto"/>
          </w:divBdr>
        </w:div>
      </w:divsChild>
    </w:div>
    <w:div w:id="524632566">
      <w:bodyDiv w:val="1"/>
      <w:marLeft w:val="0"/>
      <w:marRight w:val="0"/>
      <w:marTop w:val="0"/>
      <w:marBottom w:val="0"/>
      <w:divBdr>
        <w:top w:val="none" w:sz="0" w:space="0" w:color="auto"/>
        <w:left w:val="none" w:sz="0" w:space="0" w:color="auto"/>
        <w:bottom w:val="none" w:sz="0" w:space="0" w:color="auto"/>
        <w:right w:val="none" w:sz="0" w:space="0" w:color="auto"/>
      </w:divBdr>
    </w:div>
    <w:div w:id="581842197">
      <w:bodyDiv w:val="1"/>
      <w:marLeft w:val="0"/>
      <w:marRight w:val="0"/>
      <w:marTop w:val="0"/>
      <w:marBottom w:val="0"/>
      <w:divBdr>
        <w:top w:val="none" w:sz="0" w:space="0" w:color="auto"/>
        <w:left w:val="none" w:sz="0" w:space="0" w:color="auto"/>
        <w:bottom w:val="none" w:sz="0" w:space="0" w:color="auto"/>
        <w:right w:val="none" w:sz="0" w:space="0" w:color="auto"/>
      </w:divBdr>
      <w:divsChild>
        <w:div w:id="2083866670">
          <w:marLeft w:val="446"/>
          <w:marRight w:val="0"/>
          <w:marTop w:val="0"/>
          <w:marBottom w:val="0"/>
          <w:divBdr>
            <w:top w:val="none" w:sz="0" w:space="0" w:color="auto"/>
            <w:left w:val="none" w:sz="0" w:space="0" w:color="auto"/>
            <w:bottom w:val="none" w:sz="0" w:space="0" w:color="auto"/>
            <w:right w:val="none" w:sz="0" w:space="0" w:color="auto"/>
          </w:divBdr>
        </w:div>
      </w:divsChild>
    </w:div>
    <w:div w:id="605843284">
      <w:bodyDiv w:val="1"/>
      <w:marLeft w:val="0"/>
      <w:marRight w:val="0"/>
      <w:marTop w:val="0"/>
      <w:marBottom w:val="0"/>
      <w:divBdr>
        <w:top w:val="none" w:sz="0" w:space="0" w:color="auto"/>
        <w:left w:val="none" w:sz="0" w:space="0" w:color="auto"/>
        <w:bottom w:val="none" w:sz="0" w:space="0" w:color="auto"/>
        <w:right w:val="none" w:sz="0" w:space="0" w:color="auto"/>
      </w:divBdr>
    </w:div>
    <w:div w:id="606929498">
      <w:bodyDiv w:val="1"/>
      <w:marLeft w:val="0"/>
      <w:marRight w:val="0"/>
      <w:marTop w:val="0"/>
      <w:marBottom w:val="0"/>
      <w:divBdr>
        <w:top w:val="none" w:sz="0" w:space="0" w:color="auto"/>
        <w:left w:val="none" w:sz="0" w:space="0" w:color="auto"/>
        <w:bottom w:val="none" w:sz="0" w:space="0" w:color="auto"/>
        <w:right w:val="none" w:sz="0" w:space="0" w:color="auto"/>
      </w:divBdr>
    </w:div>
    <w:div w:id="661156303">
      <w:bodyDiv w:val="1"/>
      <w:marLeft w:val="0"/>
      <w:marRight w:val="0"/>
      <w:marTop w:val="0"/>
      <w:marBottom w:val="0"/>
      <w:divBdr>
        <w:top w:val="none" w:sz="0" w:space="0" w:color="auto"/>
        <w:left w:val="none" w:sz="0" w:space="0" w:color="auto"/>
        <w:bottom w:val="none" w:sz="0" w:space="0" w:color="auto"/>
        <w:right w:val="none" w:sz="0" w:space="0" w:color="auto"/>
      </w:divBdr>
    </w:div>
    <w:div w:id="670914894">
      <w:bodyDiv w:val="1"/>
      <w:marLeft w:val="0"/>
      <w:marRight w:val="0"/>
      <w:marTop w:val="0"/>
      <w:marBottom w:val="0"/>
      <w:divBdr>
        <w:top w:val="none" w:sz="0" w:space="0" w:color="auto"/>
        <w:left w:val="none" w:sz="0" w:space="0" w:color="auto"/>
        <w:bottom w:val="none" w:sz="0" w:space="0" w:color="auto"/>
        <w:right w:val="none" w:sz="0" w:space="0" w:color="auto"/>
      </w:divBdr>
      <w:divsChild>
        <w:div w:id="306401182">
          <w:marLeft w:val="274"/>
          <w:marRight w:val="0"/>
          <w:marTop w:val="0"/>
          <w:marBottom w:val="120"/>
          <w:divBdr>
            <w:top w:val="none" w:sz="0" w:space="0" w:color="auto"/>
            <w:left w:val="none" w:sz="0" w:space="0" w:color="auto"/>
            <w:bottom w:val="none" w:sz="0" w:space="0" w:color="auto"/>
            <w:right w:val="none" w:sz="0" w:space="0" w:color="auto"/>
          </w:divBdr>
        </w:div>
        <w:div w:id="372659311">
          <w:marLeft w:val="274"/>
          <w:marRight w:val="0"/>
          <w:marTop w:val="0"/>
          <w:marBottom w:val="120"/>
          <w:divBdr>
            <w:top w:val="none" w:sz="0" w:space="0" w:color="auto"/>
            <w:left w:val="none" w:sz="0" w:space="0" w:color="auto"/>
            <w:bottom w:val="none" w:sz="0" w:space="0" w:color="auto"/>
            <w:right w:val="none" w:sz="0" w:space="0" w:color="auto"/>
          </w:divBdr>
        </w:div>
        <w:div w:id="402145353">
          <w:marLeft w:val="274"/>
          <w:marRight w:val="0"/>
          <w:marTop w:val="0"/>
          <w:marBottom w:val="120"/>
          <w:divBdr>
            <w:top w:val="none" w:sz="0" w:space="0" w:color="auto"/>
            <w:left w:val="none" w:sz="0" w:space="0" w:color="auto"/>
            <w:bottom w:val="none" w:sz="0" w:space="0" w:color="auto"/>
            <w:right w:val="none" w:sz="0" w:space="0" w:color="auto"/>
          </w:divBdr>
        </w:div>
        <w:div w:id="456721156">
          <w:marLeft w:val="274"/>
          <w:marRight w:val="0"/>
          <w:marTop w:val="0"/>
          <w:marBottom w:val="120"/>
          <w:divBdr>
            <w:top w:val="none" w:sz="0" w:space="0" w:color="auto"/>
            <w:left w:val="none" w:sz="0" w:space="0" w:color="auto"/>
            <w:bottom w:val="none" w:sz="0" w:space="0" w:color="auto"/>
            <w:right w:val="none" w:sz="0" w:space="0" w:color="auto"/>
          </w:divBdr>
        </w:div>
        <w:div w:id="1410349817">
          <w:marLeft w:val="274"/>
          <w:marRight w:val="0"/>
          <w:marTop w:val="0"/>
          <w:marBottom w:val="120"/>
          <w:divBdr>
            <w:top w:val="none" w:sz="0" w:space="0" w:color="auto"/>
            <w:left w:val="none" w:sz="0" w:space="0" w:color="auto"/>
            <w:bottom w:val="none" w:sz="0" w:space="0" w:color="auto"/>
            <w:right w:val="none" w:sz="0" w:space="0" w:color="auto"/>
          </w:divBdr>
        </w:div>
        <w:div w:id="1719891222">
          <w:marLeft w:val="274"/>
          <w:marRight w:val="0"/>
          <w:marTop w:val="0"/>
          <w:marBottom w:val="120"/>
          <w:divBdr>
            <w:top w:val="none" w:sz="0" w:space="0" w:color="auto"/>
            <w:left w:val="none" w:sz="0" w:space="0" w:color="auto"/>
            <w:bottom w:val="none" w:sz="0" w:space="0" w:color="auto"/>
            <w:right w:val="none" w:sz="0" w:space="0" w:color="auto"/>
          </w:divBdr>
        </w:div>
        <w:div w:id="1948658341">
          <w:marLeft w:val="274"/>
          <w:marRight w:val="0"/>
          <w:marTop w:val="0"/>
          <w:marBottom w:val="120"/>
          <w:divBdr>
            <w:top w:val="none" w:sz="0" w:space="0" w:color="auto"/>
            <w:left w:val="none" w:sz="0" w:space="0" w:color="auto"/>
            <w:bottom w:val="none" w:sz="0" w:space="0" w:color="auto"/>
            <w:right w:val="none" w:sz="0" w:space="0" w:color="auto"/>
          </w:divBdr>
        </w:div>
      </w:divsChild>
    </w:div>
    <w:div w:id="680544028">
      <w:bodyDiv w:val="1"/>
      <w:marLeft w:val="0"/>
      <w:marRight w:val="0"/>
      <w:marTop w:val="0"/>
      <w:marBottom w:val="0"/>
      <w:divBdr>
        <w:top w:val="none" w:sz="0" w:space="0" w:color="auto"/>
        <w:left w:val="none" w:sz="0" w:space="0" w:color="auto"/>
        <w:bottom w:val="none" w:sz="0" w:space="0" w:color="auto"/>
        <w:right w:val="none" w:sz="0" w:space="0" w:color="auto"/>
      </w:divBdr>
    </w:div>
    <w:div w:id="694699427">
      <w:bodyDiv w:val="1"/>
      <w:marLeft w:val="0"/>
      <w:marRight w:val="0"/>
      <w:marTop w:val="0"/>
      <w:marBottom w:val="0"/>
      <w:divBdr>
        <w:top w:val="none" w:sz="0" w:space="0" w:color="auto"/>
        <w:left w:val="none" w:sz="0" w:space="0" w:color="auto"/>
        <w:bottom w:val="none" w:sz="0" w:space="0" w:color="auto"/>
        <w:right w:val="none" w:sz="0" w:space="0" w:color="auto"/>
      </w:divBdr>
    </w:div>
    <w:div w:id="722366332">
      <w:bodyDiv w:val="1"/>
      <w:marLeft w:val="0"/>
      <w:marRight w:val="0"/>
      <w:marTop w:val="0"/>
      <w:marBottom w:val="0"/>
      <w:divBdr>
        <w:top w:val="none" w:sz="0" w:space="0" w:color="auto"/>
        <w:left w:val="none" w:sz="0" w:space="0" w:color="auto"/>
        <w:bottom w:val="none" w:sz="0" w:space="0" w:color="auto"/>
        <w:right w:val="none" w:sz="0" w:space="0" w:color="auto"/>
      </w:divBdr>
    </w:div>
    <w:div w:id="738090881">
      <w:bodyDiv w:val="1"/>
      <w:marLeft w:val="0"/>
      <w:marRight w:val="0"/>
      <w:marTop w:val="0"/>
      <w:marBottom w:val="0"/>
      <w:divBdr>
        <w:top w:val="none" w:sz="0" w:space="0" w:color="auto"/>
        <w:left w:val="none" w:sz="0" w:space="0" w:color="auto"/>
        <w:bottom w:val="none" w:sz="0" w:space="0" w:color="auto"/>
        <w:right w:val="none" w:sz="0" w:space="0" w:color="auto"/>
      </w:divBdr>
    </w:div>
    <w:div w:id="753670797">
      <w:bodyDiv w:val="1"/>
      <w:marLeft w:val="0"/>
      <w:marRight w:val="0"/>
      <w:marTop w:val="0"/>
      <w:marBottom w:val="0"/>
      <w:divBdr>
        <w:top w:val="none" w:sz="0" w:space="0" w:color="auto"/>
        <w:left w:val="none" w:sz="0" w:space="0" w:color="auto"/>
        <w:bottom w:val="none" w:sz="0" w:space="0" w:color="auto"/>
        <w:right w:val="none" w:sz="0" w:space="0" w:color="auto"/>
      </w:divBdr>
      <w:divsChild>
        <w:div w:id="614022742">
          <w:marLeft w:val="274"/>
          <w:marRight w:val="0"/>
          <w:marTop w:val="0"/>
          <w:marBottom w:val="120"/>
          <w:divBdr>
            <w:top w:val="none" w:sz="0" w:space="0" w:color="auto"/>
            <w:left w:val="none" w:sz="0" w:space="0" w:color="auto"/>
            <w:bottom w:val="none" w:sz="0" w:space="0" w:color="auto"/>
            <w:right w:val="none" w:sz="0" w:space="0" w:color="auto"/>
          </w:divBdr>
        </w:div>
        <w:div w:id="1308776742">
          <w:marLeft w:val="274"/>
          <w:marRight w:val="0"/>
          <w:marTop w:val="0"/>
          <w:marBottom w:val="120"/>
          <w:divBdr>
            <w:top w:val="none" w:sz="0" w:space="0" w:color="auto"/>
            <w:left w:val="none" w:sz="0" w:space="0" w:color="auto"/>
            <w:bottom w:val="none" w:sz="0" w:space="0" w:color="auto"/>
            <w:right w:val="none" w:sz="0" w:space="0" w:color="auto"/>
          </w:divBdr>
        </w:div>
        <w:div w:id="1659115366">
          <w:marLeft w:val="274"/>
          <w:marRight w:val="0"/>
          <w:marTop w:val="0"/>
          <w:marBottom w:val="120"/>
          <w:divBdr>
            <w:top w:val="none" w:sz="0" w:space="0" w:color="auto"/>
            <w:left w:val="none" w:sz="0" w:space="0" w:color="auto"/>
            <w:bottom w:val="none" w:sz="0" w:space="0" w:color="auto"/>
            <w:right w:val="none" w:sz="0" w:space="0" w:color="auto"/>
          </w:divBdr>
        </w:div>
      </w:divsChild>
    </w:div>
    <w:div w:id="770004203">
      <w:bodyDiv w:val="1"/>
      <w:marLeft w:val="0"/>
      <w:marRight w:val="0"/>
      <w:marTop w:val="0"/>
      <w:marBottom w:val="0"/>
      <w:divBdr>
        <w:top w:val="none" w:sz="0" w:space="0" w:color="auto"/>
        <w:left w:val="none" w:sz="0" w:space="0" w:color="auto"/>
        <w:bottom w:val="none" w:sz="0" w:space="0" w:color="auto"/>
        <w:right w:val="none" w:sz="0" w:space="0" w:color="auto"/>
      </w:divBdr>
    </w:div>
    <w:div w:id="784926694">
      <w:bodyDiv w:val="1"/>
      <w:marLeft w:val="0"/>
      <w:marRight w:val="0"/>
      <w:marTop w:val="0"/>
      <w:marBottom w:val="0"/>
      <w:divBdr>
        <w:top w:val="none" w:sz="0" w:space="0" w:color="auto"/>
        <w:left w:val="none" w:sz="0" w:space="0" w:color="auto"/>
        <w:bottom w:val="none" w:sz="0" w:space="0" w:color="auto"/>
        <w:right w:val="none" w:sz="0" w:space="0" w:color="auto"/>
      </w:divBdr>
      <w:divsChild>
        <w:div w:id="256133564">
          <w:marLeft w:val="274"/>
          <w:marRight w:val="0"/>
          <w:marTop w:val="0"/>
          <w:marBottom w:val="0"/>
          <w:divBdr>
            <w:top w:val="none" w:sz="0" w:space="0" w:color="auto"/>
            <w:left w:val="none" w:sz="0" w:space="0" w:color="auto"/>
            <w:bottom w:val="none" w:sz="0" w:space="0" w:color="auto"/>
            <w:right w:val="none" w:sz="0" w:space="0" w:color="auto"/>
          </w:divBdr>
        </w:div>
        <w:div w:id="978148516">
          <w:marLeft w:val="274"/>
          <w:marRight w:val="0"/>
          <w:marTop w:val="0"/>
          <w:marBottom w:val="0"/>
          <w:divBdr>
            <w:top w:val="none" w:sz="0" w:space="0" w:color="auto"/>
            <w:left w:val="none" w:sz="0" w:space="0" w:color="auto"/>
            <w:bottom w:val="none" w:sz="0" w:space="0" w:color="auto"/>
            <w:right w:val="none" w:sz="0" w:space="0" w:color="auto"/>
          </w:divBdr>
        </w:div>
        <w:div w:id="2060279513">
          <w:marLeft w:val="274"/>
          <w:marRight w:val="0"/>
          <w:marTop w:val="0"/>
          <w:marBottom w:val="0"/>
          <w:divBdr>
            <w:top w:val="none" w:sz="0" w:space="0" w:color="auto"/>
            <w:left w:val="none" w:sz="0" w:space="0" w:color="auto"/>
            <w:bottom w:val="none" w:sz="0" w:space="0" w:color="auto"/>
            <w:right w:val="none" w:sz="0" w:space="0" w:color="auto"/>
          </w:divBdr>
        </w:div>
      </w:divsChild>
    </w:div>
    <w:div w:id="790632553">
      <w:bodyDiv w:val="1"/>
      <w:marLeft w:val="0"/>
      <w:marRight w:val="0"/>
      <w:marTop w:val="0"/>
      <w:marBottom w:val="0"/>
      <w:divBdr>
        <w:top w:val="none" w:sz="0" w:space="0" w:color="auto"/>
        <w:left w:val="none" w:sz="0" w:space="0" w:color="auto"/>
        <w:bottom w:val="none" w:sz="0" w:space="0" w:color="auto"/>
        <w:right w:val="none" w:sz="0" w:space="0" w:color="auto"/>
      </w:divBdr>
    </w:div>
    <w:div w:id="793983942">
      <w:bodyDiv w:val="1"/>
      <w:marLeft w:val="0"/>
      <w:marRight w:val="0"/>
      <w:marTop w:val="0"/>
      <w:marBottom w:val="0"/>
      <w:divBdr>
        <w:top w:val="none" w:sz="0" w:space="0" w:color="auto"/>
        <w:left w:val="none" w:sz="0" w:space="0" w:color="auto"/>
        <w:bottom w:val="none" w:sz="0" w:space="0" w:color="auto"/>
        <w:right w:val="none" w:sz="0" w:space="0" w:color="auto"/>
      </w:divBdr>
      <w:divsChild>
        <w:div w:id="149105263">
          <w:marLeft w:val="547"/>
          <w:marRight w:val="0"/>
          <w:marTop w:val="0"/>
          <w:marBottom w:val="0"/>
          <w:divBdr>
            <w:top w:val="none" w:sz="0" w:space="0" w:color="auto"/>
            <w:left w:val="none" w:sz="0" w:space="0" w:color="auto"/>
            <w:bottom w:val="none" w:sz="0" w:space="0" w:color="auto"/>
            <w:right w:val="none" w:sz="0" w:space="0" w:color="auto"/>
          </w:divBdr>
        </w:div>
        <w:div w:id="154802979">
          <w:marLeft w:val="547"/>
          <w:marRight w:val="0"/>
          <w:marTop w:val="0"/>
          <w:marBottom w:val="0"/>
          <w:divBdr>
            <w:top w:val="none" w:sz="0" w:space="0" w:color="auto"/>
            <w:left w:val="none" w:sz="0" w:space="0" w:color="auto"/>
            <w:bottom w:val="none" w:sz="0" w:space="0" w:color="auto"/>
            <w:right w:val="none" w:sz="0" w:space="0" w:color="auto"/>
          </w:divBdr>
        </w:div>
        <w:div w:id="390231565">
          <w:marLeft w:val="1267"/>
          <w:marRight w:val="0"/>
          <w:marTop w:val="0"/>
          <w:marBottom w:val="0"/>
          <w:divBdr>
            <w:top w:val="none" w:sz="0" w:space="0" w:color="auto"/>
            <w:left w:val="none" w:sz="0" w:space="0" w:color="auto"/>
            <w:bottom w:val="none" w:sz="0" w:space="0" w:color="auto"/>
            <w:right w:val="none" w:sz="0" w:space="0" w:color="auto"/>
          </w:divBdr>
        </w:div>
        <w:div w:id="418602760">
          <w:marLeft w:val="547"/>
          <w:marRight w:val="0"/>
          <w:marTop w:val="0"/>
          <w:marBottom w:val="0"/>
          <w:divBdr>
            <w:top w:val="none" w:sz="0" w:space="0" w:color="auto"/>
            <w:left w:val="none" w:sz="0" w:space="0" w:color="auto"/>
            <w:bottom w:val="none" w:sz="0" w:space="0" w:color="auto"/>
            <w:right w:val="none" w:sz="0" w:space="0" w:color="auto"/>
          </w:divBdr>
        </w:div>
        <w:div w:id="433325490">
          <w:marLeft w:val="547"/>
          <w:marRight w:val="0"/>
          <w:marTop w:val="0"/>
          <w:marBottom w:val="0"/>
          <w:divBdr>
            <w:top w:val="none" w:sz="0" w:space="0" w:color="auto"/>
            <w:left w:val="none" w:sz="0" w:space="0" w:color="auto"/>
            <w:bottom w:val="none" w:sz="0" w:space="0" w:color="auto"/>
            <w:right w:val="none" w:sz="0" w:space="0" w:color="auto"/>
          </w:divBdr>
        </w:div>
        <w:div w:id="484591997">
          <w:marLeft w:val="1267"/>
          <w:marRight w:val="0"/>
          <w:marTop w:val="0"/>
          <w:marBottom w:val="0"/>
          <w:divBdr>
            <w:top w:val="none" w:sz="0" w:space="0" w:color="auto"/>
            <w:left w:val="none" w:sz="0" w:space="0" w:color="auto"/>
            <w:bottom w:val="none" w:sz="0" w:space="0" w:color="auto"/>
            <w:right w:val="none" w:sz="0" w:space="0" w:color="auto"/>
          </w:divBdr>
        </w:div>
        <w:div w:id="1043213712">
          <w:marLeft w:val="547"/>
          <w:marRight w:val="0"/>
          <w:marTop w:val="0"/>
          <w:marBottom w:val="0"/>
          <w:divBdr>
            <w:top w:val="none" w:sz="0" w:space="0" w:color="auto"/>
            <w:left w:val="none" w:sz="0" w:space="0" w:color="auto"/>
            <w:bottom w:val="none" w:sz="0" w:space="0" w:color="auto"/>
            <w:right w:val="none" w:sz="0" w:space="0" w:color="auto"/>
          </w:divBdr>
        </w:div>
        <w:div w:id="1052191045">
          <w:marLeft w:val="547"/>
          <w:marRight w:val="0"/>
          <w:marTop w:val="0"/>
          <w:marBottom w:val="0"/>
          <w:divBdr>
            <w:top w:val="none" w:sz="0" w:space="0" w:color="auto"/>
            <w:left w:val="none" w:sz="0" w:space="0" w:color="auto"/>
            <w:bottom w:val="none" w:sz="0" w:space="0" w:color="auto"/>
            <w:right w:val="none" w:sz="0" w:space="0" w:color="auto"/>
          </w:divBdr>
        </w:div>
        <w:div w:id="1666396690">
          <w:marLeft w:val="547"/>
          <w:marRight w:val="0"/>
          <w:marTop w:val="0"/>
          <w:marBottom w:val="0"/>
          <w:divBdr>
            <w:top w:val="none" w:sz="0" w:space="0" w:color="auto"/>
            <w:left w:val="none" w:sz="0" w:space="0" w:color="auto"/>
            <w:bottom w:val="none" w:sz="0" w:space="0" w:color="auto"/>
            <w:right w:val="none" w:sz="0" w:space="0" w:color="auto"/>
          </w:divBdr>
        </w:div>
        <w:div w:id="1743913029">
          <w:marLeft w:val="1267"/>
          <w:marRight w:val="0"/>
          <w:marTop w:val="0"/>
          <w:marBottom w:val="0"/>
          <w:divBdr>
            <w:top w:val="none" w:sz="0" w:space="0" w:color="auto"/>
            <w:left w:val="none" w:sz="0" w:space="0" w:color="auto"/>
            <w:bottom w:val="none" w:sz="0" w:space="0" w:color="auto"/>
            <w:right w:val="none" w:sz="0" w:space="0" w:color="auto"/>
          </w:divBdr>
        </w:div>
        <w:div w:id="2043702286">
          <w:marLeft w:val="547"/>
          <w:marRight w:val="0"/>
          <w:marTop w:val="0"/>
          <w:marBottom w:val="0"/>
          <w:divBdr>
            <w:top w:val="none" w:sz="0" w:space="0" w:color="auto"/>
            <w:left w:val="none" w:sz="0" w:space="0" w:color="auto"/>
            <w:bottom w:val="none" w:sz="0" w:space="0" w:color="auto"/>
            <w:right w:val="none" w:sz="0" w:space="0" w:color="auto"/>
          </w:divBdr>
        </w:div>
        <w:div w:id="2054231200">
          <w:marLeft w:val="547"/>
          <w:marRight w:val="0"/>
          <w:marTop w:val="0"/>
          <w:marBottom w:val="0"/>
          <w:divBdr>
            <w:top w:val="none" w:sz="0" w:space="0" w:color="auto"/>
            <w:left w:val="none" w:sz="0" w:space="0" w:color="auto"/>
            <w:bottom w:val="none" w:sz="0" w:space="0" w:color="auto"/>
            <w:right w:val="none" w:sz="0" w:space="0" w:color="auto"/>
          </w:divBdr>
        </w:div>
        <w:div w:id="2100060852">
          <w:marLeft w:val="1267"/>
          <w:marRight w:val="0"/>
          <w:marTop w:val="0"/>
          <w:marBottom w:val="0"/>
          <w:divBdr>
            <w:top w:val="none" w:sz="0" w:space="0" w:color="auto"/>
            <w:left w:val="none" w:sz="0" w:space="0" w:color="auto"/>
            <w:bottom w:val="none" w:sz="0" w:space="0" w:color="auto"/>
            <w:right w:val="none" w:sz="0" w:space="0" w:color="auto"/>
          </w:divBdr>
        </w:div>
      </w:divsChild>
    </w:div>
    <w:div w:id="807942947">
      <w:bodyDiv w:val="1"/>
      <w:marLeft w:val="0"/>
      <w:marRight w:val="0"/>
      <w:marTop w:val="0"/>
      <w:marBottom w:val="0"/>
      <w:divBdr>
        <w:top w:val="none" w:sz="0" w:space="0" w:color="auto"/>
        <w:left w:val="none" w:sz="0" w:space="0" w:color="auto"/>
        <w:bottom w:val="none" w:sz="0" w:space="0" w:color="auto"/>
        <w:right w:val="none" w:sz="0" w:space="0" w:color="auto"/>
      </w:divBdr>
      <w:divsChild>
        <w:div w:id="525366961">
          <w:marLeft w:val="274"/>
          <w:marRight w:val="0"/>
          <w:marTop w:val="0"/>
          <w:marBottom w:val="120"/>
          <w:divBdr>
            <w:top w:val="none" w:sz="0" w:space="0" w:color="auto"/>
            <w:left w:val="none" w:sz="0" w:space="0" w:color="auto"/>
            <w:bottom w:val="none" w:sz="0" w:space="0" w:color="auto"/>
            <w:right w:val="none" w:sz="0" w:space="0" w:color="auto"/>
          </w:divBdr>
        </w:div>
        <w:div w:id="1295481692">
          <w:marLeft w:val="274"/>
          <w:marRight w:val="0"/>
          <w:marTop w:val="0"/>
          <w:marBottom w:val="120"/>
          <w:divBdr>
            <w:top w:val="none" w:sz="0" w:space="0" w:color="auto"/>
            <w:left w:val="none" w:sz="0" w:space="0" w:color="auto"/>
            <w:bottom w:val="none" w:sz="0" w:space="0" w:color="auto"/>
            <w:right w:val="none" w:sz="0" w:space="0" w:color="auto"/>
          </w:divBdr>
        </w:div>
        <w:div w:id="1880240380">
          <w:marLeft w:val="274"/>
          <w:marRight w:val="0"/>
          <w:marTop w:val="0"/>
          <w:marBottom w:val="120"/>
          <w:divBdr>
            <w:top w:val="none" w:sz="0" w:space="0" w:color="auto"/>
            <w:left w:val="none" w:sz="0" w:space="0" w:color="auto"/>
            <w:bottom w:val="none" w:sz="0" w:space="0" w:color="auto"/>
            <w:right w:val="none" w:sz="0" w:space="0" w:color="auto"/>
          </w:divBdr>
        </w:div>
      </w:divsChild>
    </w:div>
    <w:div w:id="811557963">
      <w:bodyDiv w:val="1"/>
      <w:marLeft w:val="0"/>
      <w:marRight w:val="0"/>
      <w:marTop w:val="0"/>
      <w:marBottom w:val="0"/>
      <w:divBdr>
        <w:top w:val="none" w:sz="0" w:space="0" w:color="auto"/>
        <w:left w:val="none" w:sz="0" w:space="0" w:color="auto"/>
        <w:bottom w:val="none" w:sz="0" w:space="0" w:color="auto"/>
        <w:right w:val="none" w:sz="0" w:space="0" w:color="auto"/>
      </w:divBdr>
    </w:div>
    <w:div w:id="826626043">
      <w:bodyDiv w:val="1"/>
      <w:marLeft w:val="0"/>
      <w:marRight w:val="0"/>
      <w:marTop w:val="0"/>
      <w:marBottom w:val="0"/>
      <w:divBdr>
        <w:top w:val="none" w:sz="0" w:space="0" w:color="auto"/>
        <w:left w:val="none" w:sz="0" w:space="0" w:color="auto"/>
        <w:bottom w:val="none" w:sz="0" w:space="0" w:color="auto"/>
        <w:right w:val="none" w:sz="0" w:space="0" w:color="auto"/>
      </w:divBdr>
    </w:div>
    <w:div w:id="858809422">
      <w:bodyDiv w:val="1"/>
      <w:marLeft w:val="0"/>
      <w:marRight w:val="0"/>
      <w:marTop w:val="0"/>
      <w:marBottom w:val="0"/>
      <w:divBdr>
        <w:top w:val="none" w:sz="0" w:space="0" w:color="auto"/>
        <w:left w:val="none" w:sz="0" w:space="0" w:color="auto"/>
        <w:bottom w:val="none" w:sz="0" w:space="0" w:color="auto"/>
        <w:right w:val="none" w:sz="0" w:space="0" w:color="auto"/>
      </w:divBdr>
      <w:divsChild>
        <w:div w:id="113796379">
          <w:marLeft w:val="1267"/>
          <w:marRight w:val="0"/>
          <w:marTop w:val="0"/>
          <w:marBottom w:val="0"/>
          <w:divBdr>
            <w:top w:val="none" w:sz="0" w:space="0" w:color="auto"/>
            <w:left w:val="none" w:sz="0" w:space="0" w:color="auto"/>
            <w:bottom w:val="none" w:sz="0" w:space="0" w:color="auto"/>
            <w:right w:val="none" w:sz="0" w:space="0" w:color="auto"/>
          </w:divBdr>
        </w:div>
        <w:div w:id="190726452">
          <w:marLeft w:val="547"/>
          <w:marRight w:val="0"/>
          <w:marTop w:val="0"/>
          <w:marBottom w:val="0"/>
          <w:divBdr>
            <w:top w:val="none" w:sz="0" w:space="0" w:color="auto"/>
            <w:left w:val="none" w:sz="0" w:space="0" w:color="auto"/>
            <w:bottom w:val="none" w:sz="0" w:space="0" w:color="auto"/>
            <w:right w:val="none" w:sz="0" w:space="0" w:color="auto"/>
          </w:divBdr>
        </w:div>
        <w:div w:id="358629831">
          <w:marLeft w:val="547"/>
          <w:marRight w:val="0"/>
          <w:marTop w:val="0"/>
          <w:marBottom w:val="0"/>
          <w:divBdr>
            <w:top w:val="none" w:sz="0" w:space="0" w:color="auto"/>
            <w:left w:val="none" w:sz="0" w:space="0" w:color="auto"/>
            <w:bottom w:val="none" w:sz="0" w:space="0" w:color="auto"/>
            <w:right w:val="none" w:sz="0" w:space="0" w:color="auto"/>
          </w:divBdr>
        </w:div>
        <w:div w:id="583026404">
          <w:marLeft w:val="547"/>
          <w:marRight w:val="0"/>
          <w:marTop w:val="0"/>
          <w:marBottom w:val="0"/>
          <w:divBdr>
            <w:top w:val="none" w:sz="0" w:space="0" w:color="auto"/>
            <w:left w:val="none" w:sz="0" w:space="0" w:color="auto"/>
            <w:bottom w:val="none" w:sz="0" w:space="0" w:color="auto"/>
            <w:right w:val="none" w:sz="0" w:space="0" w:color="auto"/>
          </w:divBdr>
        </w:div>
        <w:div w:id="804157853">
          <w:marLeft w:val="547"/>
          <w:marRight w:val="0"/>
          <w:marTop w:val="0"/>
          <w:marBottom w:val="0"/>
          <w:divBdr>
            <w:top w:val="none" w:sz="0" w:space="0" w:color="auto"/>
            <w:left w:val="none" w:sz="0" w:space="0" w:color="auto"/>
            <w:bottom w:val="none" w:sz="0" w:space="0" w:color="auto"/>
            <w:right w:val="none" w:sz="0" w:space="0" w:color="auto"/>
          </w:divBdr>
        </w:div>
        <w:div w:id="1754937872">
          <w:marLeft w:val="547"/>
          <w:marRight w:val="0"/>
          <w:marTop w:val="0"/>
          <w:marBottom w:val="0"/>
          <w:divBdr>
            <w:top w:val="none" w:sz="0" w:space="0" w:color="auto"/>
            <w:left w:val="none" w:sz="0" w:space="0" w:color="auto"/>
            <w:bottom w:val="none" w:sz="0" w:space="0" w:color="auto"/>
            <w:right w:val="none" w:sz="0" w:space="0" w:color="auto"/>
          </w:divBdr>
        </w:div>
        <w:div w:id="1769764148">
          <w:marLeft w:val="1267"/>
          <w:marRight w:val="0"/>
          <w:marTop w:val="0"/>
          <w:marBottom w:val="0"/>
          <w:divBdr>
            <w:top w:val="none" w:sz="0" w:space="0" w:color="auto"/>
            <w:left w:val="none" w:sz="0" w:space="0" w:color="auto"/>
            <w:bottom w:val="none" w:sz="0" w:space="0" w:color="auto"/>
            <w:right w:val="none" w:sz="0" w:space="0" w:color="auto"/>
          </w:divBdr>
        </w:div>
        <w:div w:id="2042393719">
          <w:marLeft w:val="547"/>
          <w:marRight w:val="0"/>
          <w:marTop w:val="0"/>
          <w:marBottom w:val="0"/>
          <w:divBdr>
            <w:top w:val="none" w:sz="0" w:space="0" w:color="auto"/>
            <w:left w:val="none" w:sz="0" w:space="0" w:color="auto"/>
            <w:bottom w:val="none" w:sz="0" w:space="0" w:color="auto"/>
            <w:right w:val="none" w:sz="0" w:space="0" w:color="auto"/>
          </w:divBdr>
        </w:div>
      </w:divsChild>
    </w:div>
    <w:div w:id="900945668">
      <w:bodyDiv w:val="1"/>
      <w:marLeft w:val="0"/>
      <w:marRight w:val="0"/>
      <w:marTop w:val="0"/>
      <w:marBottom w:val="0"/>
      <w:divBdr>
        <w:top w:val="none" w:sz="0" w:space="0" w:color="auto"/>
        <w:left w:val="none" w:sz="0" w:space="0" w:color="auto"/>
        <w:bottom w:val="none" w:sz="0" w:space="0" w:color="auto"/>
        <w:right w:val="none" w:sz="0" w:space="0" w:color="auto"/>
      </w:divBdr>
    </w:div>
    <w:div w:id="900991853">
      <w:bodyDiv w:val="1"/>
      <w:marLeft w:val="0"/>
      <w:marRight w:val="0"/>
      <w:marTop w:val="0"/>
      <w:marBottom w:val="0"/>
      <w:divBdr>
        <w:top w:val="none" w:sz="0" w:space="0" w:color="auto"/>
        <w:left w:val="none" w:sz="0" w:space="0" w:color="auto"/>
        <w:bottom w:val="none" w:sz="0" w:space="0" w:color="auto"/>
        <w:right w:val="none" w:sz="0" w:space="0" w:color="auto"/>
      </w:divBdr>
      <w:divsChild>
        <w:div w:id="1844973984">
          <w:marLeft w:val="274"/>
          <w:marRight w:val="0"/>
          <w:marTop w:val="0"/>
          <w:marBottom w:val="0"/>
          <w:divBdr>
            <w:top w:val="none" w:sz="0" w:space="0" w:color="auto"/>
            <w:left w:val="none" w:sz="0" w:space="0" w:color="auto"/>
            <w:bottom w:val="none" w:sz="0" w:space="0" w:color="auto"/>
            <w:right w:val="none" w:sz="0" w:space="0" w:color="auto"/>
          </w:divBdr>
        </w:div>
      </w:divsChild>
    </w:div>
    <w:div w:id="909656411">
      <w:bodyDiv w:val="1"/>
      <w:marLeft w:val="0"/>
      <w:marRight w:val="0"/>
      <w:marTop w:val="0"/>
      <w:marBottom w:val="0"/>
      <w:divBdr>
        <w:top w:val="none" w:sz="0" w:space="0" w:color="auto"/>
        <w:left w:val="none" w:sz="0" w:space="0" w:color="auto"/>
        <w:bottom w:val="none" w:sz="0" w:space="0" w:color="auto"/>
        <w:right w:val="none" w:sz="0" w:space="0" w:color="auto"/>
      </w:divBdr>
    </w:div>
    <w:div w:id="997726195">
      <w:bodyDiv w:val="1"/>
      <w:marLeft w:val="0"/>
      <w:marRight w:val="0"/>
      <w:marTop w:val="0"/>
      <w:marBottom w:val="0"/>
      <w:divBdr>
        <w:top w:val="none" w:sz="0" w:space="0" w:color="auto"/>
        <w:left w:val="none" w:sz="0" w:space="0" w:color="auto"/>
        <w:bottom w:val="none" w:sz="0" w:space="0" w:color="auto"/>
        <w:right w:val="none" w:sz="0" w:space="0" w:color="auto"/>
      </w:divBdr>
      <w:divsChild>
        <w:div w:id="26807294">
          <w:marLeft w:val="274"/>
          <w:marRight w:val="0"/>
          <w:marTop w:val="0"/>
          <w:marBottom w:val="120"/>
          <w:divBdr>
            <w:top w:val="none" w:sz="0" w:space="0" w:color="auto"/>
            <w:left w:val="none" w:sz="0" w:space="0" w:color="auto"/>
            <w:bottom w:val="none" w:sz="0" w:space="0" w:color="auto"/>
            <w:right w:val="none" w:sz="0" w:space="0" w:color="auto"/>
          </w:divBdr>
        </w:div>
        <w:div w:id="283122144">
          <w:marLeft w:val="274"/>
          <w:marRight w:val="0"/>
          <w:marTop w:val="0"/>
          <w:marBottom w:val="120"/>
          <w:divBdr>
            <w:top w:val="none" w:sz="0" w:space="0" w:color="auto"/>
            <w:left w:val="none" w:sz="0" w:space="0" w:color="auto"/>
            <w:bottom w:val="none" w:sz="0" w:space="0" w:color="auto"/>
            <w:right w:val="none" w:sz="0" w:space="0" w:color="auto"/>
          </w:divBdr>
        </w:div>
        <w:div w:id="1190949089">
          <w:marLeft w:val="274"/>
          <w:marRight w:val="0"/>
          <w:marTop w:val="0"/>
          <w:marBottom w:val="120"/>
          <w:divBdr>
            <w:top w:val="none" w:sz="0" w:space="0" w:color="auto"/>
            <w:left w:val="none" w:sz="0" w:space="0" w:color="auto"/>
            <w:bottom w:val="none" w:sz="0" w:space="0" w:color="auto"/>
            <w:right w:val="none" w:sz="0" w:space="0" w:color="auto"/>
          </w:divBdr>
        </w:div>
        <w:div w:id="1451364317">
          <w:marLeft w:val="274"/>
          <w:marRight w:val="0"/>
          <w:marTop w:val="0"/>
          <w:marBottom w:val="120"/>
          <w:divBdr>
            <w:top w:val="none" w:sz="0" w:space="0" w:color="auto"/>
            <w:left w:val="none" w:sz="0" w:space="0" w:color="auto"/>
            <w:bottom w:val="none" w:sz="0" w:space="0" w:color="auto"/>
            <w:right w:val="none" w:sz="0" w:space="0" w:color="auto"/>
          </w:divBdr>
        </w:div>
      </w:divsChild>
    </w:div>
    <w:div w:id="1009794680">
      <w:bodyDiv w:val="1"/>
      <w:marLeft w:val="0"/>
      <w:marRight w:val="0"/>
      <w:marTop w:val="0"/>
      <w:marBottom w:val="0"/>
      <w:divBdr>
        <w:top w:val="none" w:sz="0" w:space="0" w:color="auto"/>
        <w:left w:val="none" w:sz="0" w:space="0" w:color="auto"/>
        <w:bottom w:val="none" w:sz="0" w:space="0" w:color="auto"/>
        <w:right w:val="none" w:sz="0" w:space="0" w:color="auto"/>
      </w:divBdr>
    </w:div>
    <w:div w:id="1012534975">
      <w:bodyDiv w:val="1"/>
      <w:marLeft w:val="0"/>
      <w:marRight w:val="0"/>
      <w:marTop w:val="0"/>
      <w:marBottom w:val="0"/>
      <w:divBdr>
        <w:top w:val="none" w:sz="0" w:space="0" w:color="auto"/>
        <w:left w:val="none" w:sz="0" w:space="0" w:color="auto"/>
        <w:bottom w:val="none" w:sz="0" w:space="0" w:color="auto"/>
        <w:right w:val="none" w:sz="0" w:space="0" w:color="auto"/>
      </w:divBdr>
      <w:divsChild>
        <w:div w:id="503058987">
          <w:marLeft w:val="446"/>
          <w:marRight w:val="0"/>
          <w:marTop w:val="0"/>
          <w:marBottom w:val="120"/>
          <w:divBdr>
            <w:top w:val="none" w:sz="0" w:space="0" w:color="auto"/>
            <w:left w:val="none" w:sz="0" w:space="0" w:color="auto"/>
            <w:bottom w:val="none" w:sz="0" w:space="0" w:color="auto"/>
            <w:right w:val="none" w:sz="0" w:space="0" w:color="auto"/>
          </w:divBdr>
        </w:div>
        <w:div w:id="557398621">
          <w:marLeft w:val="446"/>
          <w:marRight w:val="0"/>
          <w:marTop w:val="0"/>
          <w:marBottom w:val="120"/>
          <w:divBdr>
            <w:top w:val="none" w:sz="0" w:space="0" w:color="auto"/>
            <w:left w:val="none" w:sz="0" w:space="0" w:color="auto"/>
            <w:bottom w:val="none" w:sz="0" w:space="0" w:color="auto"/>
            <w:right w:val="none" w:sz="0" w:space="0" w:color="auto"/>
          </w:divBdr>
        </w:div>
        <w:div w:id="666707348">
          <w:marLeft w:val="446"/>
          <w:marRight w:val="0"/>
          <w:marTop w:val="0"/>
          <w:marBottom w:val="120"/>
          <w:divBdr>
            <w:top w:val="none" w:sz="0" w:space="0" w:color="auto"/>
            <w:left w:val="none" w:sz="0" w:space="0" w:color="auto"/>
            <w:bottom w:val="none" w:sz="0" w:space="0" w:color="auto"/>
            <w:right w:val="none" w:sz="0" w:space="0" w:color="auto"/>
          </w:divBdr>
        </w:div>
        <w:div w:id="1790659014">
          <w:marLeft w:val="446"/>
          <w:marRight w:val="0"/>
          <w:marTop w:val="0"/>
          <w:marBottom w:val="120"/>
          <w:divBdr>
            <w:top w:val="none" w:sz="0" w:space="0" w:color="auto"/>
            <w:left w:val="none" w:sz="0" w:space="0" w:color="auto"/>
            <w:bottom w:val="none" w:sz="0" w:space="0" w:color="auto"/>
            <w:right w:val="none" w:sz="0" w:space="0" w:color="auto"/>
          </w:divBdr>
        </w:div>
        <w:div w:id="2100910401">
          <w:marLeft w:val="446"/>
          <w:marRight w:val="0"/>
          <w:marTop w:val="0"/>
          <w:marBottom w:val="120"/>
          <w:divBdr>
            <w:top w:val="none" w:sz="0" w:space="0" w:color="auto"/>
            <w:left w:val="none" w:sz="0" w:space="0" w:color="auto"/>
            <w:bottom w:val="none" w:sz="0" w:space="0" w:color="auto"/>
            <w:right w:val="none" w:sz="0" w:space="0" w:color="auto"/>
          </w:divBdr>
        </w:div>
      </w:divsChild>
    </w:div>
    <w:div w:id="1021010388">
      <w:bodyDiv w:val="1"/>
      <w:marLeft w:val="0"/>
      <w:marRight w:val="0"/>
      <w:marTop w:val="0"/>
      <w:marBottom w:val="0"/>
      <w:divBdr>
        <w:top w:val="none" w:sz="0" w:space="0" w:color="auto"/>
        <w:left w:val="none" w:sz="0" w:space="0" w:color="auto"/>
        <w:bottom w:val="none" w:sz="0" w:space="0" w:color="auto"/>
        <w:right w:val="none" w:sz="0" w:space="0" w:color="auto"/>
      </w:divBdr>
      <w:divsChild>
        <w:div w:id="22288343">
          <w:marLeft w:val="274"/>
          <w:marRight w:val="0"/>
          <w:marTop w:val="0"/>
          <w:marBottom w:val="120"/>
          <w:divBdr>
            <w:top w:val="none" w:sz="0" w:space="0" w:color="auto"/>
            <w:left w:val="none" w:sz="0" w:space="0" w:color="auto"/>
            <w:bottom w:val="none" w:sz="0" w:space="0" w:color="auto"/>
            <w:right w:val="none" w:sz="0" w:space="0" w:color="auto"/>
          </w:divBdr>
        </w:div>
        <w:div w:id="446051054">
          <w:marLeft w:val="274"/>
          <w:marRight w:val="0"/>
          <w:marTop w:val="0"/>
          <w:marBottom w:val="120"/>
          <w:divBdr>
            <w:top w:val="none" w:sz="0" w:space="0" w:color="auto"/>
            <w:left w:val="none" w:sz="0" w:space="0" w:color="auto"/>
            <w:bottom w:val="none" w:sz="0" w:space="0" w:color="auto"/>
            <w:right w:val="none" w:sz="0" w:space="0" w:color="auto"/>
          </w:divBdr>
        </w:div>
        <w:div w:id="573392959">
          <w:marLeft w:val="274"/>
          <w:marRight w:val="0"/>
          <w:marTop w:val="0"/>
          <w:marBottom w:val="120"/>
          <w:divBdr>
            <w:top w:val="none" w:sz="0" w:space="0" w:color="auto"/>
            <w:left w:val="none" w:sz="0" w:space="0" w:color="auto"/>
            <w:bottom w:val="none" w:sz="0" w:space="0" w:color="auto"/>
            <w:right w:val="none" w:sz="0" w:space="0" w:color="auto"/>
          </w:divBdr>
        </w:div>
        <w:div w:id="797261031">
          <w:marLeft w:val="274"/>
          <w:marRight w:val="0"/>
          <w:marTop w:val="0"/>
          <w:marBottom w:val="120"/>
          <w:divBdr>
            <w:top w:val="none" w:sz="0" w:space="0" w:color="auto"/>
            <w:left w:val="none" w:sz="0" w:space="0" w:color="auto"/>
            <w:bottom w:val="none" w:sz="0" w:space="0" w:color="auto"/>
            <w:right w:val="none" w:sz="0" w:space="0" w:color="auto"/>
          </w:divBdr>
        </w:div>
        <w:div w:id="1190952783">
          <w:marLeft w:val="274"/>
          <w:marRight w:val="0"/>
          <w:marTop w:val="0"/>
          <w:marBottom w:val="120"/>
          <w:divBdr>
            <w:top w:val="none" w:sz="0" w:space="0" w:color="auto"/>
            <w:left w:val="none" w:sz="0" w:space="0" w:color="auto"/>
            <w:bottom w:val="none" w:sz="0" w:space="0" w:color="auto"/>
            <w:right w:val="none" w:sz="0" w:space="0" w:color="auto"/>
          </w:divBdr>
        </w:div>
      </w:divsChild>
    </w:div>
    <w:div w:id="1060984272">
      <w:bodyDiv w:val="1"/>
      <w:marLeft w:val="0"/>
      <w:marRight w:val="0"/>
      <w:marTop w:val="0"/>
      <w:marBottom w:val="0"/>
      <w:divBdr>
        <w:top w:val="none" w:sz="0" w:space="0" w:color="auto"/>
        <w:left w:val="none" w:sz="0" w:space="0" w:color="auto"/>
        <w:bottom w:val="none" w:sz="0" w:space="0" w:color="auto"/>
        <w:right w:val="none" w:sz="0" w:space="0" w:color="auto"/>
      </w:divBdr>
      <w:divsChild>
        <w:div w:id="940138738">
          <w:marLeft w:val="274"/>
          <w:marRight w:val="0"/>
          <w:marTop w:val="0"/>
          <w:marBottom w:val="120"/>
          <w:divBdr>
            <w:top w:val="none" w:sz="0" w:space="0" w:color="auto"/>
            <w:left w:val="none" w:sz="0" w:space="0" w:color="auto"/>
            <w:bottom w:val="none" w:sz="0" w:space="0" w:color="auto"/>
            <w:right w:val="none" w:sz="0" w:space="0" w:color="auto"/>
          </w:divBdr>
        </w:div>
        <w:div w:id="989601343">
          <w:marLeft w:val="274"/>
          <w:marRight w:val="0"/>
          <w:marTop w:val="0"/>
          <w:marBottom w:val="120"/>
          <w:divBdr>
            <w:top w:val="none" w:sz="0" w:space="0" w:color="auto"/>
            <w:left w:val="none" w:sz="0" w:space="0" w:color="auto"/>
            <w:bottom w:val="none" w:sz="0" w:space="0" w:color="auto"/>
            <w:right w:val="none" w:sz="0" w:space="0" w:color="auto"/>
          </w:divBdr>
        </w:div>
        <w:div w:id="1841774429">
          <w:marLeft w:val="274"/>
          <w:marRight w:val="0"/>
          <w:marTop w:val="0"/>
          <w:marBottom w:val="120"/>
          <w:divBdr>
            <w:top w:val="none" w:sz="0" w:space="0" w:color="auto"/>
            <w:left w:val="none" w:sz="0" w:space="0" w:color="auto"/>
            <w:bottom w:val="none" w:sz="0" w:space="0" w:color="auto"/>
            <w:right w:val="none" w:sz="0" w:space="0" w:color="auto"/>
          </w:divBdr>
        </w:div>
        <w:div w:id="1875003071">
          <w:marLeft w:val="274"/>
          <w:marRight w:val="0"/>
          <w:marTop w:val="0"/>
          <w:marBottom w:val="120"/>
          <w:divBdr>
            <w:top w:val="none" w:sz="0" w:space="0" w:color="auto"/>
            <w:left w:val="none" w:sz="0" w:space="0" w:color="auto"/>
            <w:bottom w:val="none" w:sz="0" w:space="0" w:color="auto"/>
            <w:right w:val="none" w:sz="0" w:space="0" w:color="auto"/>
          </w:divBdr>
        </w:div>
      </w:divsChild>
    </w:div>
    <w:div w:id="1071195594">
      <w:bodyDiv w:val="1"/>
      <w:marLeft w:val="0"/>
      <w:marRight w:val="0"/>
      <w:marTop w:val="0"/>
      <w:marBottom w:val="0"/>
      <w:divBdr>
        <w:top w:val="none" w:sz="0" w:space="0" w:color="auto"/>
        <w:left w:val="none" w:sz="0" w:space="0" w:color="auto"/>
        <w:bottom w:val="none" w:sz="0" w:space="0" w:color="auto"/>
        <w:right w:val="none" w:sz="0" w:space="0" w:color="auto"/>
      </w:divBdr>
    </w:div>
    <w:div w:id="1079210917">
      <w:bodyDiv w:val="1"/>
      <w:marLeft w:val="0"/>
      <w:marRight w:val="0"/>
      <w:marTop w:val="0"/>
      <w:marBottom w:val="0"/>
      <w:divBdr>
        <w:top w:val="none" w:sz="0" w:space="0" w:color="auto"/>
        <w:left w:val="none" w:sz="0" w:space="0" w:color="auto"/>
        <w:bottom w:val="none" w:sz="0" w:space="0" w:color="auto"/>
        <w:right w:val="none" w:sz="0" w:space="0" w:color="auto"/>
      </w:divBdr>
    </w:div>
    <w:div w:id="1106730019">
      <w:bodyDiv w:val="1"/>
      <w:marLeft w:val="0"/>
      <w:marRight w:val="0"/>
      <w:marTop w:val="0"/>
      <w:marBottom w:val="0"/>
      <w:divBdr>
        <w:top w:val="none" w:sz="0" w:space="0" w:color="auto"/>
        <w:left w:val="none" w:sz="0" w:space="0" w:color="auto"/>
        <w:bottom w:val="none" w:sz="0" w:space="0" w:color="auto"/>
        <w:right w:val="none" w:sz="0" w:space="0" w:color="auto"/>
      </w:divBdr>
    </w:div>
    <w:div w:id="1111322844">
      <w:bodyDiv w:val="1"/>
      <w:marLeft w:val="0"/>
      <w:marRight w:val="0"/>
      <w:marTop w:val="0"/>
      <w:marBottom w:val="0"/>
      <w:divBdr>
        <w:top w:val="none" w:sz="0" w:space="0" w:color="auto"/>
        <w:left w:val="none" w:sz="0" w:space="0" w:color="auto"/>
        <w:bottom w:val="none" w:sz="0" w:space="0" w:color="auto"/>
        <w:right w:val="none" w:sz="0" w:space="0" w:color="auto"/>
      </w:divBdr>
      <w:divsChild>
        <w:div w:id="1260022389">
          <w:marLeft w:val="274"/>
          <w:marRight w:val="0"/>
          <w:marTop w:val="0"/>
          <w:marBottom w:val="0"/>
          <w:divBdr>
            <w:top w:val="none" w:sz="0" w:space="0" w:color="auto"/>
            <w:left w:val="none" w:sz="0" w:space="0" w:color="auto"/>
            <w:bottom w:val="none" w:sz="0" w:space="0" w:color="auto"/>
            <w:right w:val="none" w:sz="0" w:space="0" w:color="auto"/>
          </w:divBdr>
        </w:div>
      </w:divsChild>
    </w:div>
    <w:div w:id="1114399934">
      <w:bodyDiv w:val="1"/>
      <w:marLeft w:val="0"/>
      <w:marRight w:val="0"/>
      <w:marTop w:val="0"/>
      <w:marBottom w:val="0"/>
      <w:divBdr>
        <w:top w:val="none" w:sz="0" w:space="0" w:color="auto"/>
        <w:left w:val="none" w:sz="0" w:space="0" w:color="auto"/>
        <w:bottom w:val="none" w:sz="0" w:space="0" w:color="auto"/>
        <w:right w:val="none" w:sz="0" w:space="0" w:color="auto"/>
      </w:divBdr>
      <w:divsChild>
        <w:div w:id="417865568">
          <w:marLeft w:val="446"/>
          <w:marRight w:val="0"/>
          <w:marTop w:val="0"/>
          <w:marBottom w:val="0"/>
          <w:divBdr>
            <w:top w:val="none" w:sz="0" w:space="0" w:color="auto"/>
            <w:left w:val="none" w:sz="0" w:space="0" w:color="auto"/>
            <w:bottom w:val="none" w:sz="0" w:space="0" w:color="auto"/>
            <w:right w:val="none" w:sz="0" w:space="0" w:color="auto"/>
          </w:divBdr>
        </w:div>
      </w:divsChild>
    </w:div>
    <w:div w:id="1117260601">
      <w:bodyDiv w:val="1"/>
      <w:marLeft w:val="0"/>
      <w:marRight w:val="0"/>
      <w:marTop w:val="0"/>
      <w:marBottom w:val="0"/>
      <w:divBdr>
        <w:top w:val="none" w:sz="0" w:space="0" w:color="auto"/>
        <w:left w:val="none" w:sz="0" w:space="0" w:color="auto"/>
        <w:bottom w:val="none" w:sz="0" w:space="0" w:color="auto"/>
        <w:right w:val="none" w:sz="0" w:space="0" w:color="auto"/>
      </w:divBdr>
    </w:div>
    <w:div w:id="1151483924">
      <w:bodyDiv w:val="1"/>
      <w:marLeft w:val="0"/>
      <w:marRight w:val="0"/>
      <w:marTop w:val="0"/>
      <w:marBottom w:val="0"/>
      <w:divBdr>
        <w:top w:val="none" w:sz="0" w:space="0" w:color="auto"/>
        <w:left w:val="none" w:sz="0" w:space="0" w:color="auto"/>
        <w:bottom w:val="none" w:sz="0" w:space="0" w:color="auto"/>
        <w:right w:val="none" w:sz="0" w:space="0" w:color="auto"/>
      </w:divBdr>
      <w:divsChild>
        <w:div w:id="17896431">
          <w:marLeft w:val="274"/>
          <w:marRight w:val="0"/>
          <w:marTop w:val="0"/>
          <w:marBottom w:val="120"/>
          <w:divBdr>
            <w:top w:val="none" w:sz="0" w:space="0" w:color="auto"/>
            <w:left w:val="none" w:sz="0" w:space="0" w:color="auto"/>
            <w:bottom w:val="none" w:sz="0" w:space="0" w:color="auto"/>
            <w:right w:val="none" w:sz="0" w:space="0" w:color="auto"/>
          </w:divBdr>
        </w:div>
        <w:div w:id="180361570">
          <w:marLeft w:val="274"/>
          <w:marRight w:val="0"/>
          <w:marTop w:val="0"/>
          <w:marBottom w:val="120"/>
          <w:divBdr>
            <w:top w:val="none" w:sz="0" w:space="0" w:color="auto"/>
            <w:left w:val="none" w:sz="0" w:space="0" w:color="auto"/>
            <w:bottom w:val="none" w:sz="0" w:space="0" w:color="auto"/>
            <w:right w:val="none" w:sz="0" w:space="0" w:color="auto"/>
          </w:divBdr>
        </w:div>
        <w:div w:id="241641154">
          <w:marLeft w:val="274"/>
          <w:marRight w:val="0"/>
          <w:marTop w:val="0"/>
          <w:marBottom w:val="120"/>
          <w:divBdr>
            <w:top w:val="none" w:sz="0" w:space="0" w:color="auto"/>
            <w:left w:val="none" w:sz="0" w:space="0" w:color="auto"/>
            <w:bottom w:val="none" w:sz="0" w:space="0" w:color="auto"/>
            <w:right w:val="none" w:sz="0" w:space="0" w:color="auto"/>
          </w:divBdr>
        </w:div>
        <w:div w:id="782850051">
          <w:marLeft w:val="274"/>
          <w:marRight w:val="0"/>
          <w:marTop w:val="0"/>
          <w:marBottom w:val="120"/>
          <w:divBdr>
            <w:top w:val="none" w:sz="0" w:space="0" w:color="auto"/>
            <w:left w:val="none" w:sz="0" w:space="0" w:color="auto"/>
            <w:bottom w:val="none" w:sz="0" w:space="0" w:color="auto"/>
            <w:right w:val="none" w:sz="0" w:space="0" w:color="auto"/>
          </w:divBdr>
        </w:div>
        <w:div w:id="993139480">
          <w:marLeft w:val="274"/>
          <w:marRight w:val="0"/>
          <w:marTop w:val="0"/>
          <w:marBottom w:val="120"/>
          <w:divBdr>
            <w:top w:val="none" w:sz="0" w:space="0" w:color="auto"/>
            <w:left w:val="none" w:sz="0" w:space="0" w:color="auto"/>
            <w:bottom w:val="none" w:sz="0" w:space="0" w:color="auto"/>
            <w:right w:val="none" w:sz="0" w:space="0" w:color="auto"/>
          </w:divBdr>
        </w:div>
        <w:div w:id="1130437008">
          <w:marLeft w:val="274"/>
          <w:marRight w:val="0"/>
          <w:marTop w:val="0"/>
          <w:marBottom w:val="120"/>
          <w:divBdr>
            <w:top w:val="none" w:sz="0" w:space="0" w:color="auto"/>
            <w:left w:val="none" w:sz="0" w:space="0" w:color="auto"/>
            <w:bottom w:val="none" w:sz="0" w:space="0" w:color="auto"/>
            <w:right w:val="none" w:sz="0" w:space="0" w:color="auto"/>
          </w:divBdr>
        </w:div>
        <w:div w:id="1266114035">
          <w:marLeft w:val="274"/>
          <w:marRight w:val="0"/>
          <w:marTop w:val="0"/>
          <w:marBottom w:val="120"/>
          <w:divBdr>
            <w:top w:val="none" w:sz="0" w:space="0" w:color="auto"/>
            <w:left w:val="none" w:sz="0" w:space="0" w:color="auto"/>
            <w:bottom w:val="none" w:sz="0" w:space="0" w:color="auto"/>
            <w:right w:val="none" w:sz="0" w:space="0" w:color="auto"/>
          </w:divBdr>
        </w:div>
      </w:divsChild>
    </w:div>
    <w:div w:id="1154757699">
      <w:bodyDiv w:val="1"/>
      <w:marLeft w:val="0"/>
      <w:marRight w:val="0"/>
      <w:marTop w:val="0"/>
      <w:marBottom w:val="0"/>
      <w:divBdr>
        <w:top w:val="none" w:sz="0" w:space="0" w:color="auto"/>
        <w:left w:val="none" w:sz="0" w:space="0" w:color="auto"/>
        <w:bottom w:val="none" w:sz="0" w:space="0" w:color="auto"/>
        <w:right w:val="none" w:sz="0" w:space="0" w:color="auto"/>
      </w:divBdr>
    </w:div>
    <w:div w:id="1167869020">
      <w:bodyDiv w:val="1"/>
      <w:marLeft w:val="0"/>
      <w:marRight w:val="0"/>
      <w:marTop w:val="0"/>
      <w:marBottom w:val="0"/>
      <w:divBdr>
        <w:top w:val="none" w:sz="0" w:space="0" w:color="auto"/>
        <w:left w:val="none" w:sz="0" w:space="0" w:color="auto"/>
        <w:bottom w:val="none" w:sz="0" w:space="0" w:color="auto"/>
        <w:right w:val="none" w:sz="0" w:space="0" w:color="auto"/>
      </w:divBdr>
    </w:div>
    <w:div w:id="1173106172">
      <w:bodyDiv w:val="1"/>
      <w:marLeft w:val="0"/>
      <w:marRight w:val="0"/>
      <w:marTop w:val="0"/>
      <w:marBottom w:val="0"/>
      <w:divBdr>
        <w:top w:val="none" w:sz="0" w:space="0" w:color="auto"/>
        <w:left w:val="none" w:sz="0" w:space="0" w:color="auto"/>
        <w:bottom w:val="none" w:sz="0" w:space="0" w:color="auto"/>
        <w:right w:val="none" w:sz="0" w:space="0" w:color="auto"/>
      </w:divBdr>
    </w:div>
    <w:div w:id="1183011871">
      <w:bodyDiv w:val="1"/>
      <w:marLeft w:val="0"/>
      <w:marRight w:val="0"/>
      <w:marTop w:val="0"/>
      <w:marBottom w:val="0"/>
      <w:divBdr>
        <w:top w:val="none" w:sz="0" w:space="0" w:color="auto"/>
        <w:left w:val="none" w:sz="0" w:space="0" w:color="auto"/>
        <w:bottom w:val="none" w:sz="0" w:space="0" w:color="auto"/>
        <w:right w:val="none" w:sz="0" w:space="0" w:color="auto"/>
      </w:divBdr>
      <w:divsChild>
        <w:div w:id="52436746">
          <w:marLeft w:val="1267"/>
          <w:marRight w:val="0"/>
          <w:marTop w:val="0"/>
          <w:marBottom w:val="0"/>
          <w:divBdr>
            <w:top w:val="none" w:sz="0" w:space="0" w:color="auto"/>
            <w:left w:val="none" w:sz="0" w:space="0" w:color="auto"/>
            <w:bottom w:val="none" w:sz="0" w:space="0" w:color="auto"/>
            <w:right w:val="none" w:sz="0" w:space="0" w:color="auto"/>
          </w:divBdr>
        </w:div>
        <w:div w:id="486364166">
          <w:marLeft w:val="547"/>
          <w:marRight w:val="0"/>
          <w:marTop w:val="0"/>
          <w:marBottom w:val="0"/>
          <w:divBdr>
            <w:top w:val="none" w:sz="0" w:space="0" w:color="auto"/>
            <w:left w:val="none" w:sz="0" w:space="0" w:color="auto"/>
            <w:bottom w:val="none" w:sz="0" w:space="0" w:color="auto"/>
            <w:right w:val="none" w:sz="0" w:space="0" w:color="auto"/>
          </w:divBdr>
        </w:div>
        <w:div w:id="688683118">
          <w:marLeft w:val="547"/>
          <w:marRight w:val="0"/>
          <w:marTop w:val="0"/>
          <w:marBottom w:val="0"/>
          <w:divBdr>
            <w:top w:val="none" w:sz="0" w:space="0" w:color="auto"/>
            <w:left w:val="none" w:sz="0" w:space="0" w:color="auto"/>
            <w:bottom w:val="none" w:sz="0" w:space="0" w:color="auto"/>
            <w:right w:val="none" w:sz="0" w:space="0" w:color="auto"/>
          </w:divBdr>
        </w:div>
        <w:div w:id="1010059813">
          <w:marLeft w:val="547"/>
          <w:marRight w:val="0"/>
          <w:marTop w:val="0"/>
          <w:marBottom w:val="0"/>
          <w:divBdr>
            <w:top w:val="none" w:sz="0" w:space="0" w:color="auto"/>
            <w:left w:val="none" w:sz="0" w:space="0" w:color="auto"/>
            <w:bottom w:val="none" w:sz="0" w:space="0" w:color="auto"/>
            <w:right w:val="none" w:sz="0" w:space="0" w:color="auto"/>
          </w:divBdr>
        </w:div>
        <w:div w:id="1115053757">
          <w:marLeft w:val="547"/>
          <w:marRight w:val="0"/>
          <w:marTop w:val="0"/>
          <w:marBottom w:val="0"/>
          <w:divBdr>
            <w:top w:val="none" w:sz="0" w:space="0" w:color="auto"/>
            <w:left w:val="none" w:sz="0" w:space="0" w:color="auto"/>
            <w:bottom w:val="none" w:sz="0" w:space="0" w:color="auto"/>
            <w:right w:val="none" w:sz="0" w:space="0" w:color="auto"/>
          </w:divBdr>
        </w:div>
        <w:div w:id="1135487434">
          <w:marLeft w:val="1267"/>
          <w:marRight w:val="0"/>
          <w:marTop w:val="0"/>
          <w:marBottom w:val="0"/>
          <w:divBdr>
            <w:top w:val="none" w:sz="0" w:space="0" w:color="auto"/>
            <w:left w:val="none" w:sz="0" w:space="0" w:color="auto"/>
            <w:bottom w:val="none" w:sz="0" w:space="0" w:color="auto"/>
            <w:right w:val="none" w:sz="0" w:space="0" w:color="auto"/>
          </w:divBdr>
        </w:div>
        <w:div w:id="1511867571">
          <w:marLeft w:val="547"/>
          <w:marRight w:val="0"/>
          <w:marTop w:val="0"/>
          <w:marBottom w:val="0"/>
          <w:divBdr>
            <w:top w:val="none" w:sz="0" w:space="0" w:color="auto"/>
            <w:left w:val="none" w:sz="0" w:space="0" w:color="auto"/>
            <w:bottom w:val="none" w:sz="0" w:space="0" w:color="auto"/>
            <w:right w:val="none" w:sz="0" w:space="0" w:color="auto"/>
          </w:divBdr>
        </w:div>
        <w:div w:id="1622222456">
          <w:marLeft w:val="1267"/>
          <w:marRight w:val="0"/>
          <w:marTop w:val="0"/>
          <w:marBottom w:val="0"/>
          <w:divBdr>
            <w:top w:val="none" w:sz="0" w:space="0" w:color="auto"/>
            <w:left w:val="none" w:sz="0" w:space="0" w:color="auto"/>
            <w:bottom w:val="none" w:sz="0" w:space="0" w:color="auto"/>
            <w:right w:val="none" w:sz="0" w:space="0" w:color="auto"/>
          </w:divBdr>
        </w:div>
        <w:div w:id="1685672518">
          <w:marLeft w:val="547"/>
          <w:marRight w:val="0"/>
          <w:marTop w:val="0"/>
          <w:marBottom w:val="0"/>
          <w:divBdr>
            <w:top w:val="none" w:sz="0" w:space="0" w:color="auto"/>
            <w:left w:val="none" w:sz="0" w:space="0" w:color="auto"/>
            <w:bottom w:val="none" w:sz="0" w:space="0" w:color="auto"/>
            <w:right w:val="none" w:sz="0" w:space="0" w:color="auto"/>
          </w:divBdr>
        </w:div>
        <w:div w:id="1695302427">
          <w:marLeft w:val="1267"/>
          <w:marRight w:val="0"/>
          <w:marTop w:val="0"/>
          <w:marBottom w:val="0"/>
          <w:divBdr>
            <w:top w:val="none" w:sz="0" w:space="0" w:color="auto"/>
            <w:left w:val="none" w:sz="0" w:space="0" w:color="auto"/>
            <w:bottom w:val="none" w:sz="0" w:space="0" w:color="auto"/>
            <w:right w:val="none" w:sz="0" w:space="0" w:color="auto"/>
          </w:divBdr>
        </w:div>
        <w:div w:id="1773813979">
          <w:marLeft w:val="547"/>
          <w:marRight w:val="0"/>
          <w:marTop w:val="0"/>
          <w:marBottom w:val="0"/>
          <w:divBdr>
            <w:top w:val="none" w:sz="0" w:space="0" w:color="auto"/>
            <w:left w:val="none" w:sz="0" w:space="0" w:color="auto"/>
            <w:bottom w:val="none" w:sz="0" w:space="0" w:color="auto"/>
            <w:right w:val="none" w:sz="0" w:space="0" w:color="auto"/>
          </w:divBdr>
        </w:div>
      </w:divsChild>
    </w:div>
    <w:div w:id="1189830086">
      <w:bodyDiv w:val="1"/>
      <w:marLeft w:val="0"/>
      <w:marRight w:val="0"/>
      <w:marTop w:val="0"/>
      <w:marBottom w:val="0"/>
      <w:divBdr>
        <w:top w:val="none" w:sz="0" w:space="0" w:color="auto"/>
        <w:left w:val="none" w:sz="0" w:space="0" w:color="auto"/>
        <w:bottom w:val="none" w:sz="0" w:space="0" w:color="auto"/>
        <w:right w:val="none" w:sz="0" w:space="0" w:color="auto"/>
      </w:divBdr>
      <w:divsChild>
        <w:div w:id="1101989696">
          <w:marLeft w:val="446"/>
          <w:marRight w:val="0"/>
          <w:marTop w:val="0"/>
          <w:marBottom w:val="0"/>
          <w:divBdr>
            <w:top w:val="none" w:sz="0" w:space="0" w:color="auto"/>
            <w:left w:val="none" w:sz="0" w:space="0" w:color="auto"/>
            <w:bottom w:val="none" w:sz="0" w:space="0" w:color="auto"/>
            <w:right w:val="none" w:sz="0" w:space="0" w:color="auto"/>
          </w:divBdr>
        </w:div>
        <w:div w:id="1664311908">
          <w:marLeft w:val="446"/>
          <w:marRight w:val="0"/>
          <w:marTop w:val="0"/>
          <w:marBottom w:val="0"/>
          <w:divBdr>
            <w:top w:val="none" w:sz="0" w:space="0" w:color="auto"/>
            <w:left w:val="none" w:sz="0" w:space="0" w:color="auto"/>
            <w:bottom w:val="none" w:sz="0" w:space="0" w:color="auto"/>
            <w:right w:val="none" w:sz="0" w:space="0" w:color="auto"/>
          </w:divBdr>
        </w:div>
        <w:div w:id="1724132103">
          <w:marLeft w:val="446"/>
          <w:marRight w:val="0"/>
          <w:marTop w:val="0"/>
          <w:marBottom w:val="0"/>
          <w:divBdr>
            <w:top w:val="none" w:sz="0" w:space="0" w:color="auto"/>
            <w:left w:val="none" w:sz="0" w:space="0" w:color="auto"/>
            <w:bottom w:val="none" w:sz="0" w:space="0" w:color="auto"/>
            <w:right w:val="none" w:sz="0" w:space="0" w:color="auto"/>
          </w:divBdr>
        </w:div>
        <w:div w:id="2065173836">
          <w:marLeft w:val="446"/>
          <w:marRight w:val="0"/>
          <w:marTop w:val="0"/>
          <w:marBottom w:val="0"/>
          <w:divBdr>
            <w:top w:val="none" w:sz="0" w:space="0" w:color="auto"/>
            <w:left w:val="none" w:sz="0" w:space="0" w:color="auto"/>
            <w:bottom w:val="none" w:sz="0" w:space="0" w:color="auto"/>
            <w:right w:val="none" w:sz="0" w:space="0" w:color="auto"/>
          </w:divBdr>
        </w:div>
      </w:divsChild>
    </w:div>
    <w:div w:id="1211722439">
      <w:bodyDiv w:val="1"/>
      <w:marLeft w:val="0"/>
      <w:marRight w:val="0"/>
      <w:marTop w:val="0"/>
      <w:marBottom w:val="0"/>
      <w:divBdr>
        <w:top w:val="none" w:sz="0" w:space="0" w:color="auto"/>
        <w:left w:val="none" w:sz="0" w:space="0" w:color="auto"/>
        <w:bottom w:val="none" w:sz="0" w:space="0" w:color="auto"/>
        <w:right w:val="none" w:sz="0" w:space="0" w:color="auto"/>
      </w:divBdr>
      <w:divsChild>
        <w:div w:id="325403748">
          <w:marLeft w:val="446"/>
          <w:marRight w:val="0"/>
          <w:marTop w:val="0"/>
          <w:marBottom w:val="120"/>
          <w:divBdr>
            <w:top w:val="none" w:sz="0" w:space="0" w:color="auto"/>
            <w:left w:val="none" w:sz="0" w:space="0" w:color="auto"/>
            <w:bottom w:val="none" w:sz="0" w:space="0" w:color="auto"/>
            <w:right w:val="none" w:sz="0" w:space="0" w:color="auto"/>
          </w:divBdr>
        </w:div>
        <w:div w:id="407535400">
          <w:marLeft w:val="446"/>
          <w:marRight w:val="0"/>
          <w:marTop w:val="0"/>
          <w:marBottom w:val="120"/>
          <w:divBdr>
            <w:top w:val="none" w:sz="0" w:space="0" w:color="auto"/>
            <w:left w:val="none" w:sz="0" w:space="0" w:color="auto"/>
            <w:bottom w:val="none" w:sz="0" w:space="0" w:color="auto"/>
            <w:right w:val="none" w:sz="0" w:space="0" w:color="auto"/>
          </w:divBdr>
        </w:div>
        <w:div w:id="533537894">
          <w:marLeft w:val="446"/>
          <w:marRight w:val="0"/>
          <w:marTop w:val="0"/>
          <w:marBottom w:val="120"/>
          <w:divBdr>
            <w:top w:val="none" w:sz="0" w:space="0" w:color="auto"/>
            <w:left w:val="none" w:sz="0" w:space="0" w:color="auto"/>
            <w:bottom w:val="none" w:sz="0" w:space="0" w:color="auto"/>
            <w:right w:val="none" w:sz="0" w:space="0" w:color="auto"/>
          </w:divBdr>
        </w:div>
        <w:div w:id="576786621">
          <w:marLeft w:val="446"/>
          <w:marRight w:val="0"/>
          <w:marTop w:val="0"/>
          <w:marBottom w:val="120"/>
          <w:divBdr>
            <w:top w:val="none" w:sz="0" w:space="0" w:color="auto"/>
            <w:left w:val="none" w:sz="0" w:space="0" w:color="auto"/>
            <w:bottom w:val="none" w:sz="0" w:space="0" w:color="auto"/>
            <w:right w:val="none" w:sz="0" w:space="0" w:color="auto"/>
          </w:divBdr>
        </w:div>
        <w:div w:id="915093113">
          <w:marLeft w:val="446"/>
          <w:marRight w:val="0"/>
          <w:marTop w:val="0"/>
          <w:marBottom w:val="120"/>
          <w:divBdr>
            <w:top w:val="none" w:sz="0" w:space="0" w:color="auto"/>
            <w:left w:val="none" w:sz="0" w:space="0" w:color="auto"/>
            <w:bottom w:val="none" w:sz="0" w:space="0" w:color="auto"/>
            <w:right w:val="none" w:sz="0" w:space="0" w:color="auto"/>
          </w:divBdr>
        </w:div>
      </w:divsChild>
    </w:div>
    <w:div w:id="1215236702">
      <w:bodyDiv w:val="1"/>
      <w:marLeft w:val="0"/>
      <w:marRight w:val="0"/>
      <w:marTop w:val="0"/>
      <w:marBottom w:val="0"/>
      <w:divBdr>
        <w:top w:val="none" w:sz="0" w:space="0" w:color="auto"/>
        <w:left w:val="none" w:sz="0" w:space="0" w:color="auto"/>
        <w:bottom w:val="none" w:sz="0" w:space="0" w:color="auto"/>
        <w:right w:val="none" w:sz="0" w:space="0" w:color="auto"/>
      </w:divBdr>
    </w:div>
    <w:div w:id="1229724703">
      <w:bodyDiv w:val="1"/>
      <w:marLeft w:val="0"/>
      <w:marRight w:val="0"/>
      <w:marTop w:val="0"/>
      <w:marBottom w:val="0"/>
      <w:divBdr>
        <w:top w:val="none" w:sz="0" w:space="0" w:color="auto"/>
        <w:left w:val="none" w:sz="0" w:space="0" w:color="auto"/>
        <w:bottom w:val="none" w:sz="0" w:space="0" w:color="auto"/>
        <w:right w:val="none" w:sz="0" w:space="0" w:color="auto"/>
      </w:divBdr>
    </w:div>
    <w:div w:id="1233466829">
      <w:bodyDiv w:val="1"/>
      <w:marLeft w:val="0"/>
      <w:marRight w:val="0"/>
      <w:marTop w:val="0"/>
      <w:marBottom w:val="0"/>
      <w:divBdr>
        <w:top w:val="none" w:sz="0" w:space="0" w:color="auto"/>
        <w:left w:val="none" w:sz="0" w:space="0" w:color="auto"/>
        <w:bottom w:val="none" w:sz="0" w:space="0" w:color="auto"/>
        <w:right w:val="none" w:sz="0" w:space="0" w:color="auto"/>
      </w:divBdr>
    </w:div>
    <w:div w:id="1265770502">
      <w:bodyDiv w:val="1"/>
      <w:marLeft w:val="0"/>
      <w:marRight w:val="0"/>
      <w:marTop w:val="0"/>
      <w:marBottom w:val="0"/>
      <w:divBdr>
        <w:top w:val="none" w:sz="0" w:space="0" w:color="auto"/>
        <w:left w:val="none" w:sz="0" w:space="0" w:color="auto"/>
        <w:bottom w:val="none" w:sz="0" w:space="0" w:color="auto"/>
        <w:right w:val="none" w:sz="0" w:space="0" w:color="auto"/>
      </w:divBdr>
      <w:divsChild>
        <w:div w:id="9767756">
          <w:marLeft w:val="274"/>
          <w:marRight w:val="0"/>
          <w:marTop w:val="0"/>
          <w:marBottom w:val="0"/>
          <w:divBdr>
            <w:top w:val="none" w:sz="0" w:space="0" w:color="auto"/>
            <w:left w:val="none" w:sz="0" w:space="0" w:color="auto"/>
            <w:bottom w:val="none" w:sz="0" w:space="0" w:color="auto"/>
            <w:right w:val="none" w:sz="0" w:space="0" w:color="auto"/>
          </w:divBdr>
        </w:div>
        <w:div w:id="31349036">
          <w:marLeft w:val="274"/>
          <w:marRight w:val="0"/>
          <w:marTop w:val="0"/>
          <w:marBottom w:val="0"/>
          <w:divBdr>
            <w:top w:val="none" w:sz="0" w:space="0" w:color="auto"/>
            <w:left w:val="none" w:sz="0" w:space="0" w:color="auto"/>
            <w:bottom w:val="none" w:sz="0" w:space="0" w:color="auto"/>
            <w:right w:val="none" w:sz="0" w:space="0" w:color="auto"/>
          </w:divBdr>
        </w:div>
        <w:div w:id="165483645">
          <w:marLeft w:val="274"/>
          <w:marRight w:val="0"/>
          <w:marTop w:val="0"/>
          <w:marBottom w:val="0"/>
          <w:divBdr>
            <w:top w:val="none" w:sz="0" w:space="0" w:color="auto"/>
            <w:left w:val="none" w:sz="0" w:space="0" w:color="auto"/>
            <w:bottom w:val="none" w:sz="0" w:space="0" w:color="auto"/>
            <w:right w:val="none" w:sz="0" w:space="0" w:color="auto"/>
          </w:divBdr>
        </w:div>
        <w:div w:id="216940621">
          <w:marLeft w:val="274"/>
          <w:marRight w:val="0"/>
          <w:marTop w:val="0"/>
          <w:marBottom w:val="0"/>
          <w:divBdr>
            <w:top w:val="none" w:sz="0" w:space="0" w:color="auto"/>
            <w:left w:val="none" w:sz="0" w:space="0" w:color="auto"/>
            <w:bottom w:val="none" w:sz="0" w:space="0" w:color="auto"/>
            <w:right w:val="none" w:sz="0" w:space="0" w:color="auto"/>
          </w:divBdr>
        </w:div>
        <w:div w:id="237639681">
          <w:marLeft w:val="274"/>
          <w:marRight w:val="0"/>
          <w:marTop w:val="0"/>
          <w:marBottom w:val="0"/>
          <w:divBdr>
            <w:top w:val="none" w:sz="0" w:space="0" w:color="auto"/>
            <w:left w:val="none" w:sz="0" w:space="0" w:color="auto"/>
            <w:bottom w:val="none" w:sz="0" w:space="0" w:color="auto"/>
            <w:right w:val="none" w:sz="0" w:space="0" w:color="auto"/>
          </w:divBdr>
        </w:div>
        <w:div w:id="327094284">
          <w:marLeft w:val="274"/>
          <w:marRight w:val="0"/>
          <w:marTop w:val="0"/>
          <w:marBottom w:val="0"/>
          <w:divBdr>
            <w:top w:val="none" w:sz="0" w:space="0" w:color="auto"/>
            <w:left w:val="none" w:sz="0" w:space="0" w:color="auto"/>
            <w:bottom w:val="none" w:sz="0" w:space="0" w:color="auto"/>
            <w:right w:val="none" w:sz="0" w:space="0" w:color="auto"/>
          </w:divBdr>
        </w:div>
        <w:div w:id="379207508">
          <w:marLeft w:val="274"/>
          <w:marRight w:val="0"/>
          <w:marTop w:val="0"/>
          <w:marBottom w:val="0"/>
          <w:divBdr>
            <w:top w:val="none" w:sz="0" w:space="0" w:color="auto"/>
            <w:left w:val="none" w:sz="0" w:space="0" w:color="auto"/>
            <w:bottom w:val="none" w:sz="0" w:space="0" w:color="auto"/>
            <w:right w:val="none" w:sz="0" w:space="0" w:color="auto"/>
          </w:divBdr>
        </w:div>
        <w:div w:id="449319143">
          <w:marLeft w:val="274"/>
          <w:marRight w:val="0"/>
          <w:marTop w:val="0"/>
          <w:marBottom w:val="0"/>
          <w:divBdr>
            <w:top w:val="none" w:sz="0" w:space="0" w:color="auto"/>
            <w:left w:val="none" w:sz="0" w:space="0" w:color="auto"/>
            <w:bottom w:val="none" w:sz="0" w:space="0" w:color="auto"/>
            <w:right w:val="none" w:sz="0" w:space="0" w:color="auto"/>
          </w:divBdr>
        </w:div>
        <w:div w:id="458379775">
          <w:marLeft w:val="274"/>
          <w:marRight w:val="0"/>
          <w:marTop w:val="0"/>
          <w:marBottom w:val="0"/>
          <w:divBdr>
            <w:top w:val="none" w:sz="0" w:space="0" w:color="auto"/>
            <w:left w:val="none" w:sz="0" w:space="0" w:color="auto"/>
            <w:bottom w:val="none" w:sz="0" w:space="0" w:color="auto"/>
            <w:right w:val="none" w:sz="0" w:space="0" w:color="auto"/>
          </w:divBdr>
        </w:div>
        <w:div w:id="461121703">
          <w:marLeft w:val="274"/>
          <w:marRight w:val="0"/>
          <w:marTop w:val="0"/>
          <w:marBottom w:val="0"/>
          <w:divBdr>
            <w:top w:val="none" w:sz="0" w:space="0" w:color="auto"/>
            <w:left w:val="none" w:sz="0" w:space="0" w:color="auto"/>
            <w:bottom w:val="none" w:sz="0" w:space="0" w:color="auto"/>
            <w:right w:val="none" w:sz="0" w:space="0" w:color="auto"/>
          </w:divBdr>
        </w:div>
        <w:div w:id="462693187">
          <w:marLeft w:val="274"/>
          <w:marRight w:val="0"/>
          <w:marTop w:val="0"/>
          <w:marBottom w:val="0"/>
          <w:divBdr>
            <w:top w:val="none" w:sz="0" w:space="0" w:color="auto"/>
            <w:left w:val="none" w:sz="0" w:space="0" w:color="auto"/>
            <w:bottom w:val="none" w:sz="0" w:space="0" w:color="auto"/>
            <w:right w:val="none" w:sz="0" w:space="0" w:color="auto"/>
          </w:divBdr>
        </w:div>
        <w:div w:id="477069200">
          <w:marLeft w:val="274"/>
          <w:marRight w:val="0"/>
          <w:marTop w:val="0"/>
          <w:marBottom w:val="0"/>
          <w:divBdr>
            <w:top w:val="none" w:sz="0" w:space="0" w:color="auto"/>
            <w:left w:val="none" w:sz="0" w:space="0" w:color="auto"/>
            <w:bottom w:val="none" w:sz="0" w:space="0" w:color="auto"/>
            <w:right w:val="none" w:sz="0" w:space="0" w:color="auto"/>
          </w:divBdr>
        </w:div>
        <w:div w:id="494614293">
          <w:marLeft w:val="274"/>
          <w:marRight w:val="0"/>
          <w:marTop w:val="0"/>
          <w:marBottom w:val="0"/>
          <w:divBdr>
            <w:top w:val="none" w:sz="0" w:space="0" w:color="auto"/>
            <w:left w:val="none" w:sz="0" w:space="0" w:color="auto"/>
            <w:bottom w:val="none" w:sz="0" w:space="0" w:color="auto"/>
            <w:right w:val="none" w:sz="0" w:space="0" w:color="auto"/>
          </w:divBdr>
        </w:div>
        <w:div w:id="497816353">
          <w:marLeft w:val="274"/>
          <w:marRight w:val="0"/>
          <w:marTop w:val="0"/>
          <w:marBottom w:val="0"/>
          <w:divBdr>
            <w:top w:val="none" w:sz="0" w:space="0" w:color="auto"/>
            <w:left w:val="none" w:sz="0" w:space="0" w:color="auto"/>
            <w:bottom w:val="none" w:sz="0" w:space="0" w:color="auto"/>
            <w:right w:val="none" w:sz="0" w:space="0" w:color="auto"/>
          </w:divBdr>
        </w:div>
        <w:div w:id="552157987">
          <w:marLeft w:val="274"/>
          <w:marRight w:val="0"/>
          <w:marTop w:val="0"/>
          <w:marBottom w:val="0"/>
          <w:divBdr>
            <w:top w:val="none" w:sz="0" w:space="0" w:color="auto"/>
            <w:left w:val="none" w:sz="0" w:space="0" w:color="auto"/>
            <w:bottom w:val="none" w:sz="0" w:space="0" w:color="auto"/>
            <w:right w:val="none" w:sz="0" w:space="0" w:color="auto"/>
          </w:divBdr>
        </w:div>
        <w:div w:id="557787007">
          <w:marLeft w:val="274"/>
          <w:marRight w:val="0"/>
          <w:marTop w:val="0"/>
          <w:marBottom w:val="0"/>
          <w:divBdr>
            <w:top w:val="none" w:sz="0" w:space="0" w:color="auto"/>
            <w:left w:val="none" w:sz="0" w:space="0" w:color="auto"/>
            <w:bottom w:val="none" w:sz="0" w:space="0" w:color="auto"/>
            <w:right w:val="none" w:sz="0" w:space="0" w:color="auto"/>
          </w:divBdr>
        </w:div>
        <w:div w:id="596595582">
          <w:marLeft w:val="274"/>
          <w:marRight w:val="0"/>
          <w:marTop w:val="0"/>
          <w:marBottom w:val="0"/>
          <w:divBdr>
            <w:top w:val="none" w:sz="0" w:space="0" w:color="auto"/>
            <w:left w:val="none" w:sz="0" w:space="0" w:color="auto"/>
            <w:bottom w:val="none" w:sz="0" w:space="0" w:color="auto"/>
            <w:right w:val="none" w:sz="0" w:space="0" w:color="auto"/>
          </w:divBdr>
        </w:div>
        <w:div w:id="630526226">
          <w:marLeft w:val="274"/>
          <w:marRight w:val="0"/>
          <w:marTop w:val="0"/>
          <w:marBottom w:val="0"/>
          <w:divBdr>
            <w:top w:val="none" w:sz="0" w:space="0" w:color="auto"/>
            <w:left w:val="none" w:sz="0" w:space="0" w:color="auto"/>
            <w:bottom w:val="none" w:sz="0" w:space="0" w:color="auto"/>
            <w:right w:val="none" w:sz="0" w:space="0" w:color="auto"/>
          </w:divBdr>
        </w:div>
        <w:div w:id="741289905">
          <w:marLeft w:val="274"/>
          <w:marRight w:val="0"/>
          <w:marTop w:val="0"/>
          <w:marBottom w:val="0"/>
          <w:divBdr>
            <w:top w:val="none" w:sz="0" w:space="0" w:color="auto"/>
            <w:left w:val="none" w:sz="0" w:space="0" w:color="auto"/>
            <w:bottom w:val="none" w:sz="0" w:space="0" w:color="auto"/>
            <w:right w:val="none" w:sz="0" w:space="0" w:color="auto"/>
          </w:divBdr>
        </w:div>
        <w:div w:id="776756042">
          <w:marLeft w:val="274"/>
          <w:marRight w:val="0"/>
          <w:marTop w:val="0"/>
          <w:marBottom w:val="0"/>
          <w:divBdr>
            <w:top w:val="none" w:sz="0" w:space="0" w:color="auto"/>
            <w:left w:val="none" w:sz="0" w:space="0" w:color="auto"/>
            <w:bottom w:val="none" w:sz="0" w:space="0" w:color="auto"/>
            <w:right w:val="none" w:sz="0" w:space="0" w:color="auto"/>
          </w:divBdr>
        </w:div>
        <w:div w:id="993609863">
          <w:marLeft w:val="274"/>
          <w:marRight w:val="0"/>
          <w:marTop w:val="0"/>
          <w:marBottom w:val="0"/>
          <w:divBdr>
            <w:top w:val="none" w:sz="0" w:space="0" w:color="auto"/>
            <w:left w:val="none" w:sz="0" w:space="0" w:color="auto"/>
            <w:bottom w:val="none" w:sz="0" w:space="0" w:color="auto"/>
            <w:right w:val="none" w:sz="0" w:space="0" w:color="auto"/>
          </w:divBdr>
        </w:div>
        <w:div w:id="999962127">
          <w:marLeft w:val="274"/>
          <w:marRight w:val="0"/>
          <w:marTop w:val="0"/>
          <w:marBottom w:val="0"/>
          <w:divBdr>
            <w:top w:val="none" w:sz="0" w:space="0" w:color="auto"/>
            <w:left w:val="none" w:sz="0" w:space="0" w:color="auto"/>
            <w:bottom w:val="none" w:sz="0" w:space="0" w:color="auto"/>
            <w:right w:val="none" w:sz="0" w:space="0" w:color="auto"/>
          </w:divBdr>
        </w:div>
        <w:div w:id="1031150935">
          <w:marLeft w:val="274"/>
          <w:marRight w:val="0"/>
          <w:marTop w:val="0"/>
          <w:marBottom w:val="0"/>
          <w:divBdr>
            <w:top w:val="none" w:sz="0" w:space="0" w:color="auto"/>
            <w:left w:val="none" w:sz="0" w:space="0" w:color="auto"/>
            <w:bottom w:val="none" w:sz="0" w:space="0" w:color="auto"/>
            <w:right w:val="none" w:sz="0" w:space="0" w:color="auto"/>
          </w:divBdr>
        </w:div>
        <w:div w:id="1036194050">
          <w:marLeft w:val="274"/>
          <w:marRight w:val="0"/>
          <w:marTop w:val="0"/>
          <w:marBottom w:val="0"/>
          <w:divBdr>
            <w:top w:val="none" w:sz="0" w:space="0" w:color="auto"/>
            <w:left w:val="none" w:sz="0" w:space="0" w:color="auto"/>
            <w:bottom w:val="none" w:sz="0" w:space="0" w:color="auto"/>
            <w:right w:val="none" w:sz="0" w:space="0" w:color="auto"/>
          </w:divBdr>
        </w:div>
        <w:div w:id="1134056196">
          <w:marLeft w:val="274"/>
          <w:marRight w:val="0"/>
          <w:marTop w:val="0"/>
          <w:marBottom w:val="0"/>
          <w:divBdr>
            <w:top w:val="none" w:sz="0" w:space="0" w:color="auto"/>
            <w:left w:val="none" w:sz="0" w:space="0" w:color="auto"/>
            <w:bottom w:val="none" w:sz="0" w:space="0" w:color="auto"/>
            <w:right w:val="none" w:sz="0" w:space="0" w:color="auto"/>
          </w:divBdr>
        </w:div>
        <w:div w:id="1162431407">
          <w:marLeft w:val="274"/>
          <w:marRight w:val="0"/>
          <w:marTop w:val="0"/>
          <w:marBottom w:val="0"/>
          <w:divBdr>
            <w:top w:val="none" w:sz="0" w:space="0" w:color="auto"/>
            <w:left w:val="none" w:sz="0" w:space="0" w:color="auto"/>
            <w:bottom w:val="none" w:sz="0" w:space="0" w:color="auto"/>
            <w:right w:val="none" w:sz="0" w:space="0" w:color="auto"/>
          </w:divBdr>
        </w:div>
        <w:div w:id="1164249218">
          <w:marLeft w:val="274"/>
          <w:marRight w:val="0"/>
          <w:marTop w:val="0"/>
          <w:marBottom w:val="0"/>
          <w:divBdr>
            <w:top w:val="none" w:sz="0" w:space="0" w:color="auto"/>
            <w:left w:val="none" w:sz="0" w:space="0" w:color="auto"/>
            <w:bottom w:val="none" w:sz="0" w:space="0" w:color="auto"/>
            <w:right w:val="none" w:sz="0" w:space="0" w:color="auto"/>
          </w:divBdr>
        </w:div>
        <w:div w:id="1216160152">
          <w:marLeft w:val="274"/>
          <w:marRight w:val="0"/>
          <w:marTop w:val="0"/>
          <w:marBottom w:val="0"/>
          <w:divBdr>
            <w:top w:val="none" w:sz="0" w:space="0" w:color="auto"/>
            <w:left w:val="none" w:sz="0" w:space="0" w:color="auto"/>
            <w:bottom w:val="none" w:sz="0" w:space="0" w:color="auto"/>
            <w:right w:val="none" w:sz="0" w:space="0" w:color="auto"/>
          </w:divBdr>
        </w:div>
        <w:div w:id="1286040801">
          <w:marLeft w:val="274"/>
          <w:marRight w:val="0"/>
          <w:marTop w:val="0"/>
          <w:marBottom w:val="0"/>
          <w:divBdr>
            <w:top w:val="none" w:sz="0" w:space="0" w:color="auto"/>
            <w:left w:val="none" w:sz="0" w:space="0" w:color="auto"/>
            <w:bottom w:val="none" w:sz="0" w:space="0" w:color="auto"/>
            <w:right w:val="none" w:sz="0" w:space="0" w:color="auto"/>
          </w:divBdr>
        </w:div>
        <w:div w:id="1394622722">
          <w:marLeft w:val="274"/>
          <w:marRight w:val="0"/>
          <w:marTop w:val="0"/>
          <w:marBottom w:val="0"/>
          <w:divBdr>
            <w:top w:val="none" w:sz="0" w:space="0" w:color="auto"/>
            <w:left w:val="none" w:sz="0" w:space="0" w:color="auto"/>
            <w:bottom w:val="none" w:sz="0" w:space="0" w:color="auto"/>
            <w:right w:val="none" w:sz="0" w:space="0" w:color="auto"/>
          </w:divBdr>
        </w:div>
        <w:div w:id="1400636988">
          <w:marLeft w:val="274"/>
          <w:marRight w:val="0"/>
          <w:marTop w:val="0"/>
          <w:marBottom w:val="0"/>
          <w:divBdr>
            <w:top w:val="none" w:sz="0" w:space="0" w:color="auto"/>
            <w:left w:val="none" w:sz="0" w:space="0" w:color="auto"/>
            <w:bottom w:val="none" w:sz="0" w:space="0" w:color="auto"/>
            <w:right w:val="none" w:sz="0" w:space="0" w:color="auto"/>
          </w:divBdr>
        </w:div>
        <w:div w:id="1415007708">
          <w:marLeft w:val="274"/>
          <w:marRight w:val="0"/>
          <w:marTop w:val="0"/>
          <w:marBottom w:val="0"/>
          <w:divBdr>
            <w:top w:val="none" w:sz="0" w:space="0" w:color="auto"/>
            <w:left w:val="none" w:sz="0" w:space="0" w:color="auto"/>
            <w:bottom w:val="none" w:sz="0" w:space="0" w:color="auto"/>
            <w:right w:val="none" w:sz="0" w:space="0" w:color="auto"/>
          </w:divBdr>
        </w:div>
        <w:div w:id="1415400388">
          <w:marLeft w:val="274"/>
          <w:marRight w:val="0"/>
          <w:marTop w:val="0"/>
          <w:marBottom w:val="0"/>
          <w:divBdr>
            <w:top w:val="none" w:sz="0" w:space="0" w:color="auto"/>
            <w:left w:val="none" w:sz="0" w:space="0" w:color="auto"/>
            <w:bottom w:val="none" w:sz="0" w:space="0" w:color="auto"/>
            <w:right w:val="none" w:sz="0" w:space="0" w:color="auto"/>
          </w:divBdr>
        </w:div>
        <w:div w:id="1456211945">
          <w:marLeft w:val="274"/>
          <w:marRight w:val="0"/>
          <w:marTop w:val="0"/>
          <w:marBottom w:val="0"/>
          <w:divBdr>
            <w:top w:val="none" w:sz="0" w:space="0" w:color="auto"/>
            <w:left w:val="none" w:sz="0" w:space="0" w:color="auto"/>
            <w:bottom w:val="none" w:sz="0" w:space="0" w:color="auto"/>
            <w:right w:val="none" w:sz="0" w:space="0" w:color="auto"/>
          </w:divBdr>
        </w:div>
        <w:div w:id="1463958268">
          <w:marLeft w:val="274"/>
          <w:marRight w:val="0"/>
          <w:marTop w:val="0"/>
          <w:marBottom w:val="0"/>
          <w:divBdr>
            <w:top w:val="none" w:sz="0" w:space="0" w:color="auto"/>
            <w:left w:val="none" w:sz="0" w:space="0" w:color="auto"/>
            <w:bottom w:val="none" w:sz="0" w:space="0" w:color="auto"/>
            <w:right w:val="none" w:sz="0" w:space="0" w:color="auto"/>
          </w:divBdr>
        </w:div>
        <w:div w:id="1479835444">
          <w:marLeft w:val="274"/>
          <w:marRight w:val="0"/>
          <w:marTop w:val="0"/>
          <w:marBottom w:val="0"/>
          <w:divBdr>
            <w:top w:val="none" w:sz="0" w:space="0" w:color="auto"/>
            <w:left w:val="none" w:sz="0" w:space="0" w:color="auto"/>
            <w:bottom w:val="none" w:sz="0" w:space="0" w:color="auto"/>
            <w:right w:val="none" w:sz="0" w:space="0" w:color="auto"/>
          </w:divBdr>
        </w:div>
        <w:div w:id="1502237731">
          <w:marLeft w:val="274"/>
          <w:marRight w:val="0"/>
          <w:marTop w:val="0"/>
          <w:marBottom w:val="0"/>
          <w:divBdr>
            <w:top w:val="none" w:sz="0" w:space="0" w:color="auto"/>
            <w:left w:val="none" w:sz="0" w:space="0" w:color="auto"/>
            <w:bottom w:val="none" w:sz="0" w:space="0" w:color="auto"/>
            <w:right w:val="none" w:sz="0" w:space="0" w:color="auto"/>
          </w:divBdr>
        </w:div>
        <w:div w:id="1639148863">
          <w:marLeft w:val="274"/>
          <w:marRight w:val="0"/>
          <w:marTop w:val="0"/>
          <w:marBottom w:val="0"/>
          <w:divBdr>
            <w:top w:val="none" w:sz="0" w:space="0" w:color="auto"/>
            <w:left w:val="none" w:sz="0" w:space="0" w:color="auto"/>
            <w:bottom w:val="none" w:sz="0" w:space="0" w:color="auto"/>
            <w:right w:val="none" w:sz="0" w:space="0" w:color="auto"/>
          </w:divBdr>
        </w:div>
        <w:div w:id="1644891006">
          <w:marLeft w:val="274"/>
          <w:marRight w:val="0"/>
          <w:marTop w:val="0"/>
          <w:marBottom w:val="0"/>
          <w:divBdr>
            <w:top w:val="none" w:sz="0" w:space="0" w:color="auto"/>
            <w:left w:val="none" w:sz="0" w:space="0" w:color="auto"/>
            <w:bottom w:val="none" w:sz="0" w:space="0" w:color="auto"/>
            <w:right w:val="none" w:sz="0" w:space="0" w:color="auto"/>
          </w:divBdr>
        </w:div>
        <w:div w:id="1770616341">
          <w:marLeft w:val="274"/>
          <w:marRight w:val="0"/>
          <w:marTop w:val="0"/>
          <w:marBottom w:val="0"/>
          <w:divBdr>
            <w:top w:val="none" w:sz="0" w:space="0" w:color="auto"/>
            <w:left w:val="none" w:sz="0" w:space="0" w:color="auto"/>
            <w:bottom w:val="none" w:sz="0" w:space="0" w:color="auto"/>
            <w:right w:val="none" w:sz="0" w:space="0" w:color="auto"/>
          </w:divBdr>
        </w:div>
        <w:div w:id="1773629910">
          <w:marLeft w:val="274"/>
          <w:marRight w:val="0"/>
          <w:marTop w:val="0"/>
          <w:marBottom w:val="0"/>
          <w:divBdr>
            <w:top w:val="none" w:sz="0" w:space="0" w:color="auto"/>
            <w:left w:val="none" w:sz="0" w:space="0" w:color="auto"/>
            <w:bottom w:val="none" w:sz="0" w:space="0" w:color="auto"/>
            <w:right w:val="none" w:sz="0" w:space="0" w:color="auto"/>
          </w:divBdr>
        </w:div>
        <w:div w:id="1796555393">
          <w:marLeft w:val="274"/>
          <w:marRight w:val="0"/>
          <w:marTop w:val="0"/>
          <w:marBottom w:val="0"/>
          <w:divBdr>
            <w:top w:val="none" w:sz="0" w:space="0" w:color="auto"/>
            <w:left w:val="none" w:sz="0" w:space="0" w:color="auto"/>
            <w:bottom w:val="none" w:sz="0" w:space="0" w:color="auto"/>
            <w:right w:val="none" w:sz="0" w:space="0" w:color="auto"/>
          </w:divBdr>
        </w:div>
        <w:div w:id="1806045988">
          <w:marLeft w:val="274"/>
          <w:marRight w:val="0"/>
          <w:marTop w:val="0"/>
          <w:marBottom w:val="0"/>
          <w:divBdr>
            <w:top w:val="none" w:sz="0" w:space="0" w:color="auto"/>
            <w:left w:val="none" w:sz="0" w:space="0" w:color="auto"/>
            <w:bottom w:val="none" w:sz="0" w:space="0" w:color="auto"/>
            <w:right w:val="none" w:sz="0" w:space="0" w:color="auto"/>
          </w:divBdr>
        </w:div>
        <w:div w:id="1839349297">
          <w:marLeft w:val="274"/>
          <w:marRight w:val="0"/>
          <w:marTop w:val="0"/>
          <w:marBottom w:val="0"/>
          <w:divBdr>
            <w:top w:val="none" w:sz="0" w:space="0" w:color="auto"/>
            <w:left w:val="none" w:sz="0" w:space="0" w:color="auto"/>
            <w:bottom w:val="none" w:sz="0" w:space="0" w:color="auto"/>
            <w:right w:val="none" w:sz="0" w:space="0" w:color="auto"/>
          </w:divBdr>
        </w:div>
        <w:div w:id="1872717061">
          <w:marLeft w:val="274"/>
          <w:marRight w:val="0"/>
          <w:marTop w:val="0"/>
          <w:marBottom w:val="0"/>
          <w:divBdr>
            <w:top w:val="none" w:sz="0" w:space="0" w:color="auto"/>
            <w:left w:val="none" w:sz="0" w:space="0" w:color="auto"/>
            <w:bottom w:val="none" w:sz="0" w:space="0" w:color="auto"/>
            <w:right w:val="none" w:sz="0" w:space="0" w:color="auto"/>
          </w:divBdr>
        </w:div>
        <w:div w:id="1966230621">
          <w:marLeft w:val="274"/>
          <w:marRight w:val="0"/>
          <w:marTop w:val="0"/>
          <w:marBottom w:val="0"/>
          <w:divBdr>
            <w:top w:val="none" w:sz="0" w:space="0" w:color="auto"/>
            <w:left w:val="none" w:sz="0" w:space="0" w:color="auto"/>
            <w:bottom w:val="none" w:sz="0" w:space="0" w:color="auto"/>
            <w:right w:val="none" w:sz="0" w:space="0" w:color="auto"/>
          </w:divBdr>
        </w:div>
        <w:div w:id="1969125529">
          <w:marLeft w:val="274"/>
          <w:marRight w:val="0"/>
          <w:marTop w:val="0"/>
          <w:marBottom w:val="0"/>
          <w:divBdr>
            <w:top w:val="none" w:sz="0" w:space="0" w:color="auto"/>
            <w:left w:val="none" w:sz="0" w:space="0" w:color="auto"/>
            <w:bottom w:val="none" w:sz="0" w:space="0" w:color="auto"/>
            <w:right w:val="none" w:sz="0" w:space="0" w:color="auto"/>
          </w:divBdr>
        </w:div>
        <w:div w:id="1991861980">
          <w:marLeft w:val="274"/>
          <w:marRight w:val="0"/>
          <w:marTop w:val="0"/>
          <w:marBottom w:val="0"/>
          <w:divBdr>
            <w:top w:val="none" w:sz="0" w:space="0" w:color="auto"/>
            <w:left w:val="none" w:sz="0" w:space="0" w:color="auto"/>
            <w:bottom w:val="none" w:sz="0" w:space="0" w:color="auto"/>
            <w:right w:val="none" w:sz="0" w:space="0" w:color="auto"/>
          </w:divBdr>
        </w:div>
        <w:div w:id="2081363438">
          <w:marLeft w:val="274"/>
          <w:marRight w:val="0"/>
          <w:marTop w:val="0"/>
          <w:marBottom w:val="0"/>
          <w:divBdr>
            <w:top w:val="none" w:sz="0" w:space="0" w:color="auto"/>
            <w:left w:val="none" w:sz="0" w:space="0" w:color="auto"/>
            <w:bottom w:val="none" w:sz="0" w:space="0" w:color="auto"/>
            <w:right w:val="none" w:sz="0" w:space="0" w:color="auto"/>
          </w:divBdr>
        </w:div>
        <w:div w:id="2083484895">
          <w:marLeft w:val="274"/>
          <w:marRight w:val="0"/>
          <w:marTop w:val="0"/>
          <w:marBottom w:val="0"/>
          <w:divBdr>
            <w:top w:val="none" w:sz="0" w:space="0" w:color="auto"/>
            <w:left w:val="none" w:sz="0" w:space="0" w:color="auto"/>
            <w:bottom w:val="none" w:sz="0" w:space="0" w:color="auto"/>
            <w:right w:val="none" w:sz="0" w:space="0" w:color="auto"/>
          </w:divBdr>
        </w:div>
      </w:divsChild>
    </w:div>
    <w:div w:id="1361278227">
      <w:bodyDiv w:val="1"/>
      <w:marLeft w:val="0"/>
      <w:marRight w:val="0"/>
      <w:marTop w:val="0"/>
      <w:marBottom w:val="0"/>
      <w:divBdr>
        <w:top w:val="none" w:sz="0" w:space="0" w:color="auto"/>
        <w:left w:val="none" w:sz="0" w:space="0" w:color="auto"/>
        <w:bottom w:val="none" w:sz="0" w:space="0" w:color="auto"/>
        <w:right w:val="none" w:sz="0" w:space="0" w:color="auto"/>
      </w:divBdr>
      <w:divsChild>
        <w:div w:id="2072926496">
          <w:marLeft w:val="274"/>
          <w:marRight w:val="0"/>
          <w:marTop w:val="0"/>
          <w:marBottom w:val="0"/>
          <w:divBdr>
            <w:top w:val="none" w:sz="0" w:space="0" w:color="auto"/>
            <w:left w:val="none" w:sz="0" w:space="0" w:color="auto"/>
            <w:bottom w:val="none" w:sz="0" w:space="0" w:color="auto"/>
            <w:right w:val="none" w:sz="0" w:space="0" w:color="auto"/>
          </w:divBdr>
        </w:div>
      </w:divsChild>
    </w:div>
    <w:div w:id="1366977024">
      <w:bodyDiv w:val="1"/>
      <w:marLeft w:val="0"/>
      <w:marRight w:val="0"/>
      <w:marTop w:val="0"/>
      <w:marBottom w:val="0"/>
      <w:divBdr>
        <w:top w:val="none" w:sz="0" w:space="0" w:color="auto"/>
        <w:left w:val="none" w:sz="0" w:space="0" w:color="auto"/>
        <w:bottom w:val="none" w:sz="0" w:space="0" w:color="auto"/>
        <w:right w:val="none" w:sz="0" w:space="0" w:color="auto"/>
      </w:divBdr>
    </w:div>
    <w:div w:id="1372539806">
      <w:bodyDiv w:val="1"/>
      <w:marLeft w:val="0"/>
      <w:marRight w:val="0"/>
      <w:marTop w:val="0"/>
      <w:marBottom w:val="0"/>
      <w:divBdr>
        <w:top w:val="none" w:sz="0" w:space="0" w:color="auto"/>
        <w:left w:val="none" w:sz="0" w:space="0" w:color="auto"/>
        <w:bottom w:val="none" w:sz="0" w:space="0" w:color="auto"/>
        <w:right w:val="none" w:sz="0" w:space="0" w:color="auto"/>
      </w:divBdr>
    </w:div>
    <w:div w:id="1382364016">
      <w:bodyDiv w:val="1"/>
      <w:marLeft w:val="0"/>
      <w:marRight w:val="0"/>
      <w:marTop w:val="0"/>
      <w:marBottom w:val="0"/>
      <w:divBdr>
        <w:top w:val="none" w:sz="0" w:space="0" w:color="auto"/>
        <w:left w:val="none" w:sz="0" w:space="0" w:color="auto"/>
        <w:bottom w:val="none" w:sz="0" w:space="0" w:color="auto"/>
        <w:right w:val="none" w:sz="0" w:space="0" w:color="auto"/>
      </w:divBdr>
      <w:divsChild>
        <w:div w:id="129173002">
          <w:marLeft w:val="547"/>
          <w:marRight w:val="0"/>
          <w:marTop w:val="0"/>
          <w:marBottom w:val="0"/>
          <w:divBdr>
            <w:top w:val="none" w:sz="0" w:space="0" w:color="auto"/>
            <w:left w:val="none" w:sz="0" w:space="0" w:color="auto"/>
            <w:bottom w:val="none" w:sz="0" w:space="0" w:color="auto"/>
            <w:right w:val="none" w:sz="0" w:space="0" w:color="auto"/>
          </w:divBdr>
        </w:div>
        <w:div w:id="650407714">
          <w:marLeft w:val="547"/>
          <w:marRight w:val="0"/>
          <w:marTop w:val="0"/>
          <w:marBottom w:val="0"/>
          <w:divBdr>
            <w:top w:val="none" w:sz="0" w:space="0" w:color="auto"/>
            <w:left w:val="none" w:sz="0" w:space="0" w:color="auto"/>
            <w:bottom w:val="none" w:sz="0" w:space="0" w:color="auto"/>
            <w:right w:val="none" w:sz="0" w:space="0" w:color="auto"/>
          </w:divBdr>
        </w:div>
        <w:div w:id="894967876">
          <w:marLeft w:val="547"/>
          <w:marRight w:val="0"/>
          <w:marTop w:val="0"/>
          <w:marBottom w:val="0"/>
          <w:divBdr>
            <w:top w:val="none" w:sz="0" w:space="0" w:color="auto"/>
            <w:left w:val="none" w:sz="0" w:space="0" w:color="auto"/>
            <w:bottom w:val="none" w:sz="0" w:space="0" w:color="auto"/>
            <w:right w:val="none" w:sz="0" w:space="0" w:color="auto"/>
          </w:divBdr>
        </w:div>
        <w:div w:id="1326200834">
          <w:marLeft w:val="547"/>
          <w:marRight w:val="0"/>
          <w:marTop w:val="0"/>
          <w:marBottom w:val="0"/>
          <w:divBdr>
            <w:top w:val="none" w:sz="0" w:space="0" w:color="auto"/>
            <w:left w:val="none" w:sz="0" w:space="0" w:color="auto"/>
            <w:bottom w:val="none" w:sz="0" w:space="0" w:color="auto"/>
            <w:right w:val="none" w:sz="0" w:space="0" w:color="auto"/>
          </w:divBdr>
        </w:div>
        <w:div w:id="1644658133">
          <w:marLeft w:val="547"/>
          <w:marRight w:val="0"/>
          <w:marTop w:val="0"/>
          <w:marBottom w:val="0"/>
          <w:divBdr>
            <w:top w:val="none" w:sz="0" w:space="0" w:color="auto"/>
            <w:left w:val="none" w:sz="0" w:space="0" w:color="auto"/>
            <w:bottom w:val="none" w:sz="0" w:space="0" w:color="auto"/>
            <w:right w:val="none" w:sz="0" w:space="0" w:color="auto"/>
          </w:divBdr>
        </w:div>
        <w:div w:id="1697193567">
          <w:marLeft w:val="547"/>
          <w:marRight w:val="0"/>
          <w:marTop w:val="0"/>
          <w:marBottom w:val="0"/>
          <w:divBdr>
            <w:top w:val="none" w:sz="0" w:space="0" w:color="auto"/>
            <w:left w:val="none" w:sz="0" w:space="0" w:color="auto"/>
            <w:bottom w:val="none" w:sz="0" w:space="0" w:color="auto"/>
            <w:right w:val="none" w:sz="0" w:space="0" w:color="auto"/>
          </w:divBdr>
        </w:div>
      </w:divsChild>
    </w:div>
    <w:div w:id="1393507091">
      <w:bodyDiv w:val="1"/>
      <w:marLeft w:val="0"/>
      <w:marRight w:val="0"/>
      <w:marTop w:val="0"/>
      <w:marBottom w:val="0"/>
      <w:divBdr>
        <w:top w:val="none" w:sz="0" w:space="0" w:color="auto"/>
        <w:left w:val="none" w:sz="0" w:space="0" w:color="auto"/>
        <w:bottom w:val="none" w:sz="0" w:space="0" w:color="auto"/>
        <w:right w:val="none" w:sz="0" w:space="0" w:color="auto"/>
      </w:divBdr>
      <w:divsChild>
        <w:div w:id="905456340">
          <w:marLeft w:val="274"/>
          <w:marRight w:val="0"/>
          <w:marTop w:val="0"/>
          <w:marBottom w:val="0"/>
          <w:divBdr>
            <w:top w:val="none" w:sz="0" w:space="0" w:color="auto"/>
            <w:left w:val="none" w:sz="0" w:space="0" w:color="auto"/>
            <w:bottom w:val="none" w:sz="0" w:space="0" w:color="auto"/>
            <w:right w:val="none" w:sz="0" w:space="0" w:color="auto"/>
          </w:divBdr>
        </w:div>
        <w:div w:id="1128085859">
          <w:marLeft w:val="274"/>
          <w:marRight w:val="0"/>
          <w:marTop w:val="0"/>
          <w:marBottom w:val="0"/>
          <w:divBdr>
            <w:top w:val="none" w:sz="0" w:space="0" w:color="auto"/>
            <w:left w:val="none" w:sz="0" w:space="0" w:color="auto"/>
            <w:bottom w:val="none" w:sz="0" w:space="0" w:color="auto"/>
            <w:right w:val="none" w:sz="0" w:space="0" w:color="auto"/>
          </w:divBdr>
        </w:div>
        <w:div w:id="1453162340">
          <w:marLeft w:val="274"/>
          <w:marRight w:val="0"/>
          <w:marTop w:val="0"/>
          <w:marBottom w:val="0"/>
          <w:divBdr>
            <w:top w:val="none" w:sz="0" w:space="0" w:color="auto"/>
            <w:left w:val="none" w:sz="0" w:space="0" w:color="auto"/>
            <w:bottom w:val="none" w:sz="0" w:space="0" w:color="auto"/>
            <w:right w:val="none" w:sz="0" w:space="0" w:color="auto"/>
          </w:divBdr>
        </w:div>
      </w:divsChild>
    </w:div>
    <w:div w:id="1404915527">
      <w:bodyDiv w:val="1"/>
      <w:marLeft w:val="0"/>
      <w:marRight w:val="0"/>
      <w:marTop w:val="0"/>
      <w:marBottom w:val="0"/>
      <w:divBdr>
        <w:top w:val="none" w:sz="0" w:space="0" w:color="auto"/>
        <w:left w:val="none" w:sz="0" w:space="0" w:color="auto"/>
        <w:bottom w:val="none" w:sz="0" w:space="0" w:color="auto"/>
        <w:right w:val="none" w:sz="0" w:space="0" w:color="auto"/>
      </w:divBdr>
    </w:div>
    <w:div w:id="1428579452">
      <w:bodyDiv w:val="1"/>
      <w:marLeft w:val="0"/>
      <w:marRight w:val="0"/>
      <w:marTop w:val="0"/>
      <w:marBottom w:val="0"/>
      <w:divBdr>
        <w:top w:val="none" w:sz="0" w:space="0" w:color="auto"/>
        <w:left w:val="none" w:sz="0" w:space="0" w:color="auto"/>
        <w:bottom w:val="none" w:sz="0" w:space="0" w:color="auto"/>
        <w:right w:val="none" w:sz="0" w:space="0" w:color="auto"/>
      </w:divBdr>
    </w:div>
    <w:div w:id="1429812119">
      <w:bodyDiv w:val="1"/>
      <w:marLeft w:val="0"/>
      <w:marRight w:val="0"/>
      <w:marTop w:val="0"/>
      <w:marBottom w:val="0"/>
      <w:divBdr>
        <w:top w:val="none" w:sz="0" w:space="0" w:color="auto"/>
        <w:left w:val="none" w:sz="0" w:space="0" w:color="auto"/>
        <w:bottom w:val="none" w:sz="0" w:space="0" w:color="auto"/>
        <w:right w:val="none" w:sz="0" w:space="0" w:color="auto"/>
      </w:divBdr>
      <w:divsChild>
        <w:div w:id="297535307">
          <w:marLeft w:val="274"/>
          <w:marRight w:val="0"/>
          <w:marTop w:val="60"/>
          <w:marBottom w:val="60"/>
          <w:divBdr>
            <w:top w:val="none" w:sz="0" w:space="0" w:color="auto"/>
            <w:left w:val="none" w:sz="0" w:space="0" w:color="auto"/>
            <w:bottom w:val="none" w:sz="0" w:space="0" w:color="auto"/>
            <w:right w:val="none" w:sz="0" w:space="0" w:color="auto"/>
          </w:divBdr>
        </w:div>
        <w:div w:id="930747408">
          <w:marLeft w:val="274"/>
          <w:marRight w:val="0"/>
          <w:marTop w:val="60"/>
          <w:marBottom w:val="60"/>
          <w:divBdr>
            <w:top w:val="none" w:sz="0" w:space="0" w:color="auto"/>
            <w:left w:val="none" w:sz="0" w:space="0" w:color="auto"/>
            <w:bottom w:val="none" w:sz="0" w:space="0" w:color="auto"/>
            <w:right w:val="none" w:sz="0" w:space="0" w:color="auto"/>
          </w:divBdr>
        </w:div>
        <w:div w:id="1347555300">
          <w:marLeft w:val="274"/>
          <w:marRight w:val="0"/>
          <w:marTop w:val="60"/>
          <w:marBottom w:val="60"/>
          <w:divBdr>
            <w:top w:val="none" w:sz="0" w:space="0" w:color="auto"/>
            <w:left w:val="none" w:sz="0" w:space="0" w:color="auto"/>
            <w:bottom w:val="none" w:sz="0" w:space="0" w:color="auto"/>
            <w:right w:val="none" w:sz="0" w:space="0" w:color="auto"/>
          </w:divBdr>
        </w:div>
      </w:divsChild>
    </w:div>
    <w:div w:id="1446191894">
      <w:bodyDiv w:val="1"/>
      <w:marLeft w:val="0"/>
      <w:marRight w:val="0"/>
      <w:marTop w:val="0"/>
      <w:marBottom w:val="0"/>
      <w:divBdr>
        <w:top w:val="none" w:sz="0" w:space="0" w:color="auto"/>
        <w:left w:val="none" w:sz="0" w:space="0" w:color="auto"/>
        <w:bottom w:val="none" w:sz="0" w:space="0" w:color="auto"/>
        <w:right w:val="none" w:sz="0" w:space="0" w:color="auto"/>
      </w:divBdr>
      <w:divsChild>
        <w:div w:id="37897602">
          <w:marLeft w:val="274"/>
          <w:marRight w:val="0"/>
          <w:marTop w:val="0"/>
          <w:marBottom w:val="0"/>
          <w:divBdr>
            <w:top w:val="none" w:sz="0" w:space="0" w:color="auto"/>
            <w:left w:val="none" w:sz="0" w:space="0" w:color="auto"/>
            <w:bottom w:val="none" w:sz="0" w:space="0" w:color="auto"/>
            <w:right w:val="none" w:sz="0" w:space="0" w:color="auto"/>
          </w:divBdr>
        </w:div>
        <w:div w:id="61223954">
          <w:marLeft w:val="274"/>
          <w:marRight w:val="0"/>
          <w:marTop w:val="0"/>
          <w:marBottom w:val="0"/>
          <w:divBdr>
            <w:top w:val="none" w:sz="0" w:space="0" w:color="auto"/>
            <w:left w:val="none" w:sz="0" w:space="0" w:color="auto"/>
            <w:bottom w:val="none" w:sz="0" w:space="0" w:color="auto"/>
            <w:right w:val="none" w:sz="0" w:space="0" w:color="auto"/>
          </w:divBdr>
        </w:div>
        <w:div w:id="76369561">
          <w:marLeft w:val="274"/>
          <w:marRight w:val="0"/>
          <w:marTop w:val="0"/>
          <w:marBottom w:val="0"/>
          <w:divBdr>
            <w:top w:val="none" w:sz="0" w:space="0" w:color="auto"/>
            <w:left w:val="none" w:sz="0" w:space="0" w:color="auto"/>
            <w:bottom w:val="none" w:sz="0" w:space="0" w:color="auto"/>
            <w:right w:val="none" w:sz="0" w:space="0" w:color="auto"/>
          </w:divBdr>
        </w:div>
        <w:div w:id="183518282">
          <w:marLeft w:val="274"/>
          <w:marRight w:val="0"/>
          <w:marTop w:val="0"/>
          <w:marBottom w:val="0"/>
          <w:divBdr>
            <w:top w:val="none" w:sz="0" w:space="0" w:color="auto"/>
            <w:left w:val="none" w:sz="0" w:space="0" w:color="auto"/>
            <w:bottom w:val="none" w:sz="0" w:space="0" w:color="auto"/>
            <w:right w:val="none" w:sz="0" w:space="0" w:color="auto"/>
          </w:divBdr>
        </w:div>
        <w:div w:id="237791978">
          <w:marLeft w:val="274"/>
          <w:marRight w:val="0"/>
          <w:marTop w:val="0"/>
          <w:marBottom w:val="0"/>
          <w:divBdr>
            <w:top w:val="none" w:sz="0" w:space="0" w:color="auto"/>
            <w:left w:val="none" w:sz="0" w:space="0" w:color="auto"/>
            <w:bottom w:val="none" w:sz="0" w:space="0" w:color="auto"/>
            <w:right w:val="none" w:sz="0" w:space="0" w:color="auto"/>
          </w:divBdr>
        </w:div>
        <w:div w:id="355926564">
          <w:marLeft w:val="274"/>
          <w:marRight w:val="0"/>
          <w:marTop w:val="0"/>
          <w:marBottom w:val="0"/>
          <w:divBdr>
            <w:top w:val="none" w:sz="0" w:space="0" w:color="auto"/>
            <w:left w:val="none" w:sz="0" w:space="0" w:color="auto"/>
            <w:bottom w:val="none" w:sz="0" w:space="0" w:color="auto"/>
            <w:right w:val="none" w:sz="0" w:space="0" w:color="auto"/>
          </w:divBdr>
        </w:div>
        <w:div w:id="356080262">
          <w:marLeft w:val="274"/>
          <w:marRight w:val="0"/>
          <w:marTop w:val="0"/>
          <w:marBottom w:val="0"/>
          <w:divBdr>
            <w:top w:val="none" w:sz="0" w:space="0" w:color="auto"/>
            <w:left w:val="none" w:sz="0" w:space="0" w:color="auto"/>
            <w:bottom w:val="none" w:sz="0" w:space="0" w:color="auto"/>
            <w:right w:val="none" w:sz="0" w:space="0" w:color="auto"/>
          </w:divBdr>
        </w:div>
        <w:div w:id="419910045">
          <w:marLeft w:val="274"/>
          <w:marRight w:val="0"/>
          <w:marTop w:val="0"/>
          <w:marBottom w:val="0"/>
          <w:divBdr>
            <w:top w:val="none" w:sz="0" w:space="0" w:color="auto"/>
            <w:left w:val="none" w:sz="0" w:space="0" w:color="auto"/>
            <w:bottom w:val="none" w:sz="0" w:space="0" w:color="auto"/>
            <w:right w:val="none" w:sz="0" w:space="0" w:color="auto"/>
          </w:divBdr>
        </w:div>
        <w:div w:id="420952074">
          <w:marLeft w:val="274"/>
          <w:marRight w:val="0"/>
          <w:marTop w:val="0"/>
          <w:marBottom w:val="0"/>
          <w:divBdr>
            <w:top w:val="none" w:sz="0" w:space="0" w:color="auto"/>
            <w:left w:val="none" w:sz="0" w:space="0" w:color="auto"/>
            <w:bottom w:val="none" w:sz="0" w:space="0" w:color="auto"/>
            <w:right w:val="none" w:sz="0" w:space="0" w:color="auto"/>
          </w:divBdr>
        </w:div>
        <w:div w:id="474689305">
          <w:marLeft w:val="274"/>
          <w:marRight w:val="0"/>
          <w:marTop w:val="0"/>
          <w:marBottom w:val="0"/>
          <w:divBdr>
            <w:top w:val="none" w:sz="0" w:space="0" w:color="auto"/>
            <w:left w:val="none" w:sz="0" w:space="0" w:color="auto"/>
            <w:bottom w:val="none" w:sz="0" w:space="0" w:color="auto"/>
            <w:right w:val="none" w:sz="0" w:space="0" w:color="auto"/>
          </w:divBdr>
        </w:div>
        <w:div w:id="549389147">
          <w:marLeft w:val="274"/>
          <w:marRight w:val="0"/>
          <w:marTop w:val="0"/>
          <w:marBottom w:val="0"/>
          <w:divBdr>
            <w:top w:val="none" w:sz="0" w:space="0" w:color="auto"/>
            <w:left w:val="none" w:sz="0" w:space="0" w:color="auto"/>
            <w:bottom w:val="none" w:sz="0" w:space="0" w:color="auto"/>
            <w:right w:val="none" w:sz="0" w:space="0" w:color="auto"/>
          </w:divBdr>
        </w:div>
        <w:div w:id="595938827">
          <w:marLeft w:val="274"/>
          <w:marRight w:val="0"/>
          <w:marTop w:val="0"/>
          <w:marBottom w:val="0"/>
          <w:divBdr>
            <w:top w:val="none" w:sz="0" w:space="0" w:color="auto"/>
            <w:left w:val="none" w:sz="0" w:space="0" w:color="auto"/>
            <w:bottom w:val="none" w:sz="0" w:space="0" w:color="auto"/>
            <w:right w:val="none" w:sz="0" w:space="0" w:color="auto"/>
          </w:divBdr>
        </w:div>
        <w:div w:id="600068708">
          <w:marLeft w:val="274"/>
          <w:marRight w:val="0"/>
          <w:marTop w:val="0"/>
          <w:marBottom w:val="0"/>
          <w:divBdr>
            <w:top w:val="none" w:sz="0" w:space="0" w:color="auto"/>
            <w:left w:val="none" w:sz="0" w:space="0" w:color="auto"/>
            <w:bottom w:val="none" w:sz="0" w:space="0" w:color="auto"/>
            <w:right w:val="none" w:sz="0" w:space="0" w:color="auto"/>
          </w:divBdr>
        </w:div>
        <w:div w:id="630985823">
          <w:marLeft w:val="274"/>
          <w:marRight w:val="0"/>
          <w:marTop w:val="0"/>
          <w:marBottom w:val="0"/>
          <w:divBdr>
            <w:top w:val="none" w:sz="0" w:space="0" w:color="auto"/>
            <w:left w:val="none" w:sz="0" w:space="0" w:color="auto"/>
            <w:bottom w:val="none" w:sz="0" w:space="0" w:color="auto"/>
            <w:right w:val="none" w:sz="0" w:space="0" w:color="auto"/>
          </w:divBdr>
        </w:div>
        <w:div w:id="668288424">
          <w:marLeft w:val="274"/>
          <w:marRight w:val="0"/>
          <w:marTop w:val="0"/>
          <w:marBottom w:val="0"/>
          <w:divBdr>
            <w:top w:val="none" w:sz="0" w:space="0" w:color="auto"/>
            <w:left w:val="none" w:sz="0" w:space="0" w:color="auto"/>
            <w:bottom w:val="none" w:sz="0" w:space="0" w:color="auto"/>
            <w:right w:val="none" w:sz="0" w:space="0" w:color="auto"/>
          </w:divBdr>
        </w:div>
        <w:div w:id="670254202">
          <w:marLeft w:val="274"/>
          <w:marRight w:val="0"/>
          <w:marTop w:val="0"/>
          <w:marBottom w:val="0"/>
          <w:divBdr>
            <w:top w:val="none" w:sz="0" w:space="0" w:color="auto"/>
            <w:left w:val="none" w:sz="0" w:space="0" w:color="auto"/>
            <w:bottom w:val="none" w:sz="0" w:space="0" w:color="auto"/>
            <w:right w:val="none" w:sz="0" w:space="0" w:color="auto"/>
          </w:divBdr>
        </w:div>
        <w:div w:id="683164984">
          <w:marLeft w:val="274"/>
          <w:marRight w:val="0"/>
          <w:marTop w:val="0"/>
          <w:marBottom w:val="0"/>
          <w:divBdr>
            <w:top w:val="none" w:sz="0" w:space="0" w:color="auto"/>
            <w:left w:val="none" w:sz="0" w:space="0" w:color="auto"/>
            <w:bottom w:val="none" w:sz="0" w:space="0" w:color="auto"/>
            <w:right w:val="none" w:sz="0" w:space="0" w:color="auto"/>
          </w:divBdr>
        </w:div>
        <w:div w:id="737631622">
          <w:marLeft w:val="274"/>
          <w:marRight w:val="0"/>
          <w:marTop w:val="0"/>
          <w:marBottom w:val="0"/>
          <w:divBdr>
            <w:top w:val="none" w:sz="0" w:space="0" w:color="auto"/>
            <w:left w:val="none" w:sz="0" w:space="0" w:color="auto"/>
            <w:bottom w:val="none" w:sz="0" w:space="0" w:color="auto"/>
            <w:right w:val="none" w:sz="0" w:space="0" w:color="auto"/>
          </w:divBdr>
        </w:div>
        <w:div w:id="756051259">
          <w:marLeft w:val="274"/>
          <w:marRight w:val="0"/>
          <w:marTop w:val="0"/>
          <w:marBottom w:val="0"/>
          <w:divBdr>
            <w:top w:val="none" w:sz="0" w:space="0" w:color="auto"/>
            <w:left w:val="none" w:sz="0" w:space="0" w:color="auto"/>
            <w:bottom w:val="none" w:sz="0" w:space="0" w:color="auto"/>
            <w:right w:val="none" w:sz="0" w:space="0" w:color="auto"/>
          </w:divBdr>
        </w:div>
        <w:div w:id="842087332">
          <w:marLeft w:val="274"/>
          <w:marRight w:val="0"/>
          <w:marTop w:val="0"/>
          <w:marBottom w:val="0"/>
          <w:divBdr>
            <w:top w:val="none" w:sz="0" w:space="0" w:color="auto"/>
            <w:left w:val="none" w:sz="0" w:space="0" w:color="auto"/>
            <w:bottom w:val="none" w:sz="0" w:space="0" w:color="auto"/>
            <w:right w:val="none" w:sz="0" w:space="0" w:color="auto"/>
          </w:divBdr>
        </w:div>
        <w:div w:id="861630021">
          <w:marLeft w:val="274"/>
          <w:marRight w:val="0"/>
          <w:marTop w:val="0"/>
          <w:marBottom w:val="0"/>
          <w:divBdr>
            <w:top w:val="none" w:sz="0" w:space="0" w:color="auto"/>
            <w:left w:val="none" w:sz="0" w:space="0" w:color="auto"/>
            <w:bottom w:val="none" w:sz="0" w:space="0" w:color="auto"/>
            <w:right w:val="none" w:sz="0" w:space="0" w:color="auto"/>
          </w:divBdr>
        </w:div>
        <w:div w:id="968247672">
          <w:marLeft w:val="274"/>
          <w:marRight w:val="0"/>
          <w:marTop w:val="0"/>
          <w:marBottom w:val="0"/>
          <w:divBdr>
            <w:top w:val="none" w:sz="0" w:space="0" w:color="auto"/>
            <w:left w:val="none" w:sz="0" w:space="0" w:color="auto"/>
            <w:bottom w:val="none" w:sz="0" w:space="0" w:color="auto"/>
            <w:right w:val="none" w:sz="0" w:space="0" w:color="auto"/>
          </w:divBdr>
        </w:div>
        <w:div w:id="998539004">
          <w:marLeft w:val="274"/>
          <w:marRight w:val="0"/>
          <w:marTop w:val="0"/>
          <w:marBottom w:val="0"/>
          <w:divBdr>
            <w:top w:val="none" w:sz="0" w:space="0" w:color="auto"/>
            <w:left w:val="none" w:sz="0" w:space="0" w:color="auto"/>
            <w:bottom w:val="none" w:sz="0" w:space="0" w:color="auto"/>
            <w:right w:val="none" w:sz="0" w:space="0" w:color="auto"/>
          </w:divBdr>
        </w:div>
        <w:div w:id="1051608933">
          <w:marLeft w:val="274"/>
          <w:marRight w:val="0"/>
          <w:marTop w:val="0"/>
          <w:marBottom w:val="0"/>
          <w:divBdr>
            <w:top w:val="none" w:sz="0" w:space="0" w:color="auto"/>
            <w:left w:val="none" w:sz="0" w:space="0" w:color="auto"/>
            <w:bottom w:val="none" w:sz="0" w:space="0" w:color="auto"/>
            <w:right w:val="none" w:sz="0" w:space="0" w:color="auto"/>
          </w:divBdr>
        </w:div>
        <w:div w:id="1066756584">
          <w:marLeft w:val="274"/>
          <w:marRight w:val="0"/>
          <w:marTop w:val="0"/>
          <w:marBottom w:val="0"/>
          <w:divBdr>
            <w:top w:val="none" w:sz="0" w:space="0" w:color="auto"/>
            <w:left w:val="none" w:sz="0" w:space="0" w:color="auto"/>
            <w:bottom w:val="none" w:sz="0" w:space="0" w:color="auto"/>
            <w:right w:val="none" w:sz="0" w:space="0" w:color="auto"/>
          </w:divBdr>
        </w:div>
        <w:div w:id="1092511623">
          <w:marLeft w:val="274"/>
          <w:marRight w:val="0"/>
          <w:marTop w:val="0"/>
          <w:marBottom w:val="0"/>
          <w:divBdr>
            <w:top w:val="none" w:sz="0" w:space="0" w:color="auto"/>
            <w:left w:val="none" w:sz="0" w:space="0" w:color="auto"/>
            <w:bottom w:val="none" w:sz="0" w:space="0" w:color="auto"/>
            <w:right w:val="none" w:sz="0" w:space="0" w:color="auto"/>
          </w:divBdr>
        </w:div>
        <w:div w:id="1098405343">
          <w:marLeft w:val="274"/>
          <w:marRight w:val="0"/>
          <w:marTop w:val="0"/>
          <w:marBottom w:val="0"/>
          <w:divBdr>
            <w:top w:val="none" w:sz="0" w:space="0" w:color="auto"/>
            <w:left w:val="none" w:sz="0" w:space="0" w:color="auto"/>
            <w:bottom w:val="none" w:sz="0" w:space="0" w:color="auto"/>
            <w:right w:val="none" w:sz="0" w:space="0" w:color="auto"/>
          </w:divBdr>
        </w:div>
        <w:div w:id="1130827999">
          <w:marLeft w:val="274"/>
          <w:marRight w:val="0"/>
          <w:marTop w:val="0"/>
          <w:marBottom w:val="0"/>
          <w:divBdr>
            <w:top w:val="none" w:sz="0" w:space="0" w:color="auto"/>
            <w:left w:val="none" w:sz="0" w:space="0" w:color="auto"/>
            <w:bottom w:val="none" w:sz="0" w:space="0" w:color="auto"/>
            <w:right w:val="none" w:sz="0" w:space="0" w:color="auto"/>
          </w:divBdr>
        </w:div>
        <w:div w:id="1133790330">
          <w:marLeft w:val="274"/>
          <w:marRight w:val="0"/>
          <w:marTop w:val="0"/>
          <w:marBottom w:val="0"/>
          <w:divBdr>
            <w:top w:val="none" w:sz="0" w:space="0" w:color="auto"/>
            <w:left w:val="none" w:sz="0" w:space="0" w:color="auto"/>
            <w:bottom w:val="none" w:sz="0" w:space="0" w:color="auto"/>
            <w:right w:val="none" w:sz="0" w:space="0" w:color="auto"/>
          </w:divBdr>
        </w:div>
        <w:div w:id="1306466029">
          <w:marLeft w:val="274"/>
          <w:marRight w:val="0"/>
          <w:marTop w:val="0"/>
          <w:marBottom w:val="0"/>
          <w:divBdr>
            <w:top w:val="none" w:sz="0" w:space="0" w:color="auto"/>
            <w:left w:val="none" w:sz="0" w:space="0" w:color="auto"/>
            <w:bottom w:val="none" w:sz="0" w:space="0" w:color="auto"/>
            <w:right w:val="none" w:sz="0" w:space="0" w:color="auto"/>
          </w:divBdr>
        </w:div>
        <w:div w:id="1317611496">
          <w:marLeft w:val="274"/>
          <w:marRight w:val="0"/>
          <w:marTop w:val="0"/>
          <w:marBottom w:val="0"/>
          <w:divBdr>
            <w:top w:val="none" w:sz="0" w:space="0" w:color="auto"/>
            <w:left w:val="none" w:sz="0" w:space="0" w:color="auto"/>
            <w:bottom w:val="none" w:sz="0" w:space="0" w:color="auto"/>
            <w:right w:val="none" w:sz="0" w:space="0" w:color="auto"/>
          </w:divBdr>
        </w:div>
        <w:div w:id="1349478323">
          <w:marLeft w:val="274"/>
          <w:marRight w:val="0"/>
          <w:marTop w:val="0"/>
          <w:marBottom w:val="0"/>
          <w:divBdr>
            <w:top w:val="none" w:sz="0" w:space="0" w:color="auto"/>
            <w:left w:val="none" w:sz="0" w:space="0" w:color="auto"/>
            <w:bottom w:val="none" w:sz="0" w:space="0" w:color="auto"/>
            <w:right w:val="none" w:sz="0" w:space="0" w:color="auto"/>
          </w:divBdr>
        </w:div>
        <w:div w:id="1370909876">
          <w:marLeft w:val="274"/>
          <w:marRight w:val="0"/>
          <w:marTop w:val="0"/>
          <w:marBottom w:val="0"/>
          <w:divBdr>
            <w:top w:val="none" w:sz="0" w:space="0" w:color="auto"/>
            <w:left w:val="none" w:sz="0" w:space="0" w:color="auto"/>
            <w:bottom w:val="none" w:sz="0" w:space="0" w:color="auto"/>
            <w:right w:val="none" w:sz="0" w:space="0" w:color="auto"/>
          </w:divBdr>
        </w:div>
        <w:div w:id="1453284402">
          <w:marLeft w:val="274"/>
          <w:marRight w:val="0"/>
          <w:marTop w:val="0"/>
          <w:marBottom w:val="0"/>
          <w:divBdr>
            <w:top w:val="none" w:sz="0" w:space="0" w:color="auto"/>
            <w:left w:val="none" w:sz="0" w:space="0" w:color="auto"/>
            <w:bottom w:val="none" w:sz="0" w:space="0" w:color="auto"/>
            <w:right w:val="none" w:sz="0" w:space="0" w:color="auto"/>
          </w:divBdr>
        </w:div>
        <w:div w:id="1481920249">
          <w:marLeft w:val="274"/>
          <w:marRight w:val="0"/>
          <w:marTop w:val="0"/>
          <w:marBottom w:val="0"/>
          <w:divBdr>
            <w:top w:val="none" w:sz="0" w:space="0" w:color="auto"/>
            <w:left w:val="none" w:sz="0" w:space="0" w:color="auto"/>
            <w:bottom w:val="none" w:sz="0" w:space="0" w:color="auto"/>
            <w:right w:val="none" w:sz="0" w:space="0" w:color="auto"/>
          </w:divBdr>
        </w:div>
        <w:div w:id="1523126858">
          <w:marLeft w:val="274"/>
          <w:marRight w:val="0"/>
          <w:marTop w:val="0"/>
          <w:marBottom w:val="0"/>
          <w:divBdr>
            <w:top w:val="none" w:sz="0" w:space="0" w:color="auto"/>
            <w:left w:val="none" w:sz="0" w:space="0" w:color="auto"/>
            <w:bottom w:val="none" w:sz="0" w:space="0" w:color="auto"/>
            <w:right w:val="none" w:sz="0" w:space="0" w:color="auto"/>
          </w:divBdr>
        </w:div>
        <w:div w:id="1572041447">
          <w:marLeft w:val="274"/>
          <w:marRight w:val="0"/>
          <w:marTop w:val="0"/>
          <w:marBottom w:val="0"/>
          <w:divBdr>
            <w:top w:val="none" w:sz="0" w:space="0" w:color="auto"/>
            <w:left w:val="none" w:sz="0" w:space="0" w:color="auto"/>
            <w:bottom w:val="none" w:sz="0" w:space="0" w:color="auto"/>
            <w:right w:val="none" w:sz="0" w:space="0" w:color="auto"/>
          </w:divBdr>
        </w:div>
        <w:div w:id="1579100210">
          <w:marLeft w:val="274"/>
          <w:marRight w:val="0"/>
          <w:marTop w:val="0"/>
          <w:marBottom w:val="0"/>
          <w:divBdr>
            <w:top w:val="none" w:sz="0" w:space="0" w:color="auto"/>
            <w:left w:val="none" w:sz="0" w:space="0" w:color="auto"/>
            <w:bottom w:val="none" w:sz="0" w:space="0" w:color="auto"/>
            <w:right w:val="none" w:sz="0" w:space="0" w:color="auto"/>
          </w:divBdr>
        </w:div>
        <w:div w:id="1613778169">
          <w:marLeft w:val="274"/>
          <w:marRight w:val="0"/>
          <w:marTop w:val="0"/>
          <w:marBottom w:val="0"/>
          <w:divBdr>
            <w:top w:val="none" w:sz="0" w:space="0" w:color="auto"/>
            <w:left w:val="none" w:sz="0" w:space="0" w:color="auto"/>
            <w:bottom w:val="none" w:sz="0" w:space="0" w:color="auto"/>
            <w:right w:val="none" w:sz="0" w:space="0" w:color="auto"/>
          </w:divBdr>
        </w:div>
        <w:div w:id="1672416429">
          <w:marLeft w:val="274"/>
          <w:marRight w:val="0"/>
          <w:marTop w:val="0"/>
          <w:marBottom w:val="0"/>
          <w:divBdr>
            <w:top w:val="none" w:sz="0" w:space="0" w:color="auto"/>
            <w:left w:val="none" w:sz="0" w:space="0" w:color="auto"/>
            <w:bottom w:val="none" w:sz="0" w:space="0" w:color="auto"/>
            <w:right w:val="none" w:sz="0" w:space="0" w:color="auto"/>
          </w:divBdr>
        </w:div>
        <w:div w:id="1675760418">
          <w:marLeft w:val="274"/>
          <w:marRight w:val="0"/>
          <w:marTop w:val="0"/>
          <w:marBottom w:val="0"/>
          <w:divBdr>
            <w:top w:val="none" w:sz="0" w:space="0" w:color="auto"/>
            <w:left w:val="none" w:sz="0" w:space="0" w:color="auto"/>
            <w:bottom w:val="none" w:sz="0" w:space="0" w:color="auto"/>
            <w:right w:val="none" w:sz="0" w:space="0" w:color="auto"/>
          </w:divBdr>
        </w:div>
        <w:div w:id="1688480482">
          <w:marLeft w:val="274"/>
          <w:marRight w:val="0"/>
          <w:marTop w:val="0"/>
          <w:marBottom w:val="0"/>
          <w:divBdr>
            <w:top w:val="none" w:sz="0" w:space="0" w:color="auto"/>
            <w:left w:val="none" w:sz="0" w:space="0" w:color="auto"/>
            <w:bottom w:val="none" w:sz="0" w:space="0" w:color="auto"/>
            <w:right w:val="none" w:sz="0" w:space="0" w:color="auto"/>
          </w:divBdr>
        </w:div>
        <w:div w:id="1705328805">
          <w:marLeft w:val="274"/>
          <w:marRight w:val="0"/>
          <w:marTop w:val="0"/>
          <w:marBottom w:val="0"/>
          <w:divBdr>
            <w:top w:val="none" w:sz="0" w:space="0" w:color="auto"/>
            <w:left w:val="none" w:sz="0" w:space="0" w:color="auto"/>
            <w:bottom w:val="none" w:sz="0" w:space="0" w:color="auto"/>
            <w:right w:val="none" w:sz="0" w:space="0" w:color="auto"/>
          </w:divBdr>
        </w:div>
        <w:div w:id="1839802834">
          <w:marLeft w:val="274"/>
          <w:marRight w:val="0"/>
          <w:marTop w:val="0"/>
          <w:marBottom w:val="0"/>
          <w:divBdr>
            <w:top w:val="none" w:sz="0" w:space="0" w:color="auto"/>
            <w:left w:val="none" w:sz="0" w:space="0" w:color="auto"/>
            <w:bottom w:val="none" w:sz="0" w:space="0" w:color="auto"/>
            <w:right w:val="none" w:sz="0" w:space="0" w:color="auto"/>
          </w:divBdr>
        </w:div>
        <w:div w:id="1902134751">
          <w:marLeft w:val="274"/>
          <w:marRight w:val="0"/>
          <w:marTop w:val="0"/>
          <w:marBottom w:val="0"/>
          <w:divBdr>
            <w:top w:val="none" w:sz="0" w:space="0" w:color="auto"/>
            <w:left w:val="none" w:sz="0" w:space="0" w:color="auto"/>
            <w:bottom w:val="none" w:sz="0" w:space="0" w:color="auto"/>
            <w:right w:val="none" w:sz="0" w:space="0" w:color="auto"/>
          </w:divBdr>
        </w:div>
        <w:div w:id="1907451354">
          <w:marLeft w:val="274"/>
          <w:marRight w:val="0"/>
          <w:marTop w:val="0"/>
          <w:marBottom w:val="0"/>
          <w:divBdr>
            <w:top w:val="none" w:sz="0" w:space="0" w:color="auto"/>
            <w:left w:val="none" w:sz="0" w:space="0" w:color="auto"/>
            <w:bottom w:val="none" w:sz="0" w:space="0" w:color="auto"/>
            <w:right w:val="none" w:sz="0" w:space="0" w:color="auto"/>
          </w:divBdr>
        </w:div>
        <w:div w:id="1991204065">
          <w:marLeft w:val="274"/>
          <w:marRight w:val="0"/>
          <w:marTop w:val="0"/>
          <w:marBottom w:val="0"/>
          <w:divBdr>
            <w:top w:val="none" w:sz="0" w:space="0" w:color="auto"/>
            <w:left w:val="none" w:sz="0" w:space="0" w:color="auto"/>
            <w:bottom w:val="none" w:sz="0" w:space="0" w:color="auto"/>
            <w:right w:val="none" w:sz="0" w:space="0" w:color="auto"/>
          </w:divBdr>
        </w:div>
        <w:div w:id="2023585444">
          <w:marLeft w:val="274"/>
          <w:marRight w:val="0"/>
          <w:marTop w:val="0"/>
          <w:marBottom w:val="0"/>
          <w:divBdr>
            <w:top w:val="none" w:sz="0" w:space="0" w:color="auto"/>
            <w:left w:val="none" w:sz="0" w:space="0" w:color="auto"/>
            <w:bottom w:val="none" w:sz="0" w:space="0" w:color="auto"/>
            <w:right w:val="none" w:sz="0" w:space="0" w:color="auto"/>
          </w:divBdr>
        </w:div>
        <w:div w:id="2072388670">
          <w:marLeft w:val="274"/>
          <w:marRight w:val="0"/>
          <w:marTop w:val="0"/>
          <w:marBottom w:val="0"/>
          <w:divBdr>
            <w:top w:val="none" w:sz="0" w:space="0" w:color="auto"/>
            <w:left w:val="none" w:sz="0" w:space="0" w:color="auto"/>
            <w:bottom w:val="none" w:sz="0" w:space="0" w:color="auto"/>
            <w:right w:val="none" w:sz="0" w:space="0" w:color="auto"/>
          </w:divBdr>
        </w:div>
        <w:div w:id="2127967427">
          <w:marLeft w:val="274"/>
          <w:marRight w:val="0"/>
          <w:marTop w:val="0"/>
          <w:marBottom w:val="0"/>
          <w:divBdr>
            <w:top w:val="none" w:sz="0" w:space="0" w:color="auto"/>
            <w:left w:val="none" w:sz="0" w:space="0" w:color="auto"/>
            <w:bottom w:val="none" w:sz="0" w:space="0" w:color="auto"/>
            <w:right w:val="none" w:sz="0" w:space="0" w:color="auto"/>
          </w:divBdr>
        </w:div>
      </w:divsChild>
    </w:div>
    <w:div w:id="1455516507">
      <w:bodyDiv w:val="1"/>
      <w:marLeft w:val="0"/>
      <w:marRight w:val="0"/>
      <w:marTop w:val="0"/>
      <w:marBottom w:val="0"/>
      <w:divBdr>
        <w:top w:val="none" w:sz="0" w:space="0" w:color="auto"/>
        <w:left w:val="none" w:sz="0" w:space="0" w:color="auto"/>
        <w:bottom w:val="none" w:sz="0" w:space="0" w:color="auto"/>
        <w:right w:val="none" w:sz="0" w:space="0" w:color="auto"/>
      </w:divBdr>
      <w:divsChild>
        <w:div w:id="178204434">
          <w:marLeft w:val="274"/>
          <w:marRight w:val="0"/>
          <w:marTop w:val="0"/>
          <w:marBottom w:val="0"/>
          <w:divBdr>
            <w:top w:val="none" w:sz="0" w:space="0" w:color="auto"/>
            <w:left w:val="none" w:sz="0" w:space="0" w:color="auto"/>
            <w:bottom w:val="none" w:sz="0" w:space="0" w:color="auto"/>
            <w:right w:val="none" w:sz="0" w:space="0" w:color="auto"/>
          </w:divBdr>
        </w:div>
      </w:divsChild>
    </w:div>
    <w:div w:id="1457213848">
      <w:bodyDiv w:val="1"/>
      <w:marLeft w:val="0"/>
      <w:marRight w:val="0"/>
      <w:marTop w:val="0"/>
      <w:marBottom w:val="0"/>
      <w:divBdr>
        <w:top w:val="none" w:sz="0" w:space="0" w:color="auto"/>
        <w:left w:val="none" w:sz="0" w:space="0" w:color="auto"/>
        <w:bottom w:val="none" w:sz="0" w:space="0" w:color="auto"/>
        <w:right w:val="none" w:sz="0" w:space="0" w:color="auto"/>
      </w:divBdr>
      <w:divsChild>
        <w:div w:id="709039945">
          <w:marLeft w:val="547"/>
          <w:marRight w:val="0"/>
          <w:marTop w:val="0"/>
          <w:marBottom w:val="0"/>
          <w:divBdr>
            <w:top w:val="none" w:sz="0" w:space="0" w:color="auto"/>
            <w:left w:val="none" w:sz="0" w:space="0" w:color="auto"/>
            <w:bottom w:val="none" w:sz="0" w:space="0" w:color="auto"/>
            <w:right w:val="none" w:sz="0" w:space="0" w:color="auto"/>
          </w:divBdr>
        </w:div>
      </w:divsChild>
    </w:div>
    <w:div w:id="1457220203">
      <w:bodyDiv w:val="1"/>
      <w:marLeft w:val="0"/>
      <w:marRight w:val="0"/>
      <w:marTop w:val="0"/>
      <w:marBottom w:val="0"/>
      <w:divBdr>
        <w:top w:val="none" w:sz="0" w:space="0" w:color="auto"/>
        <w:left w:val="none" w:sz="0" w:space="0" w:color="auto"/>
        <w:bottom w:val="none" w:sz="0" w:space="0" w:color="auto"/>
        <w:right w:val="none" w:sz="0" w:space="0" w:color="auto"/>
      </w:divBdr>
    </w:div>
    <w:div w:id="1478720819">
      <w:bodyDiv w:val="1"/>
      <w:marLeft w:val="0"/>
      <w:marRight w:val="0"/>
      <w:marTop w:val="0"/>
      <w:marBottom w:val="0"/>
      <w:divBdr>
        <w:top w:val="none" w:sz="0" w:space="0" w:color="auto"/>
        <w:left w:val="none" w:sz="0" w:space="0" w:color="auto"/>
        <w:bottom w:val="none" w:sz="0" w:space="0" w:color="auto"/>
        <w:right w:val="none" w:sz="0" w:space="0" w:color="auto"/>
      </w:divBdr>
      <w:divsChild>
        <w:div w:id="828520073">
          <w:marLeft w:val="446"/>
          <w:marRight w:val="0"/>
          <w:marTop w:val="0"/>
          <w:marBottom w:val="0"/>
          <w:divBdr>
            <w:top w:val="none" w:sz="0" w:space="0" w:color="auto"/>
            <w:left w:val="none" w:sz="0" w:space="0" w:color="auto"/>
            <w:bottom w:val="none" w:sz="0" w:space="0" w:color="auto"/>
            <w:right w:val="none" w:sz="0" w:space="0" w:color="auto"/>
          </w:divBdr>
        </w:div>
        <w:div w:id="1302612916">
          <w:marLeft w:val="446"/>
          <w:marRight w:val="0"/>
          <w:marTop w:val="0"/>
          <w:marBottom w:val="0"/>
          <w:divBdr>
            <w:top w:val="none" w:sz="0" w:space="0" w:color="auto"/>
            <w:left w:val="none" w:sz="0" w:space="0" w:color="auto"/>
            <w:bottom w:val="none" w:sz="0" w:space="0" w:color="auto"/>
            <w:right w:val="none" w:sz="0" w:space="0" w:color="auto"/>
          </w:divBdr>
        </w:div>
        <w:div w:id="1328172541">
          <w:marLeft w:val="446"/>
          <w:marRight w:val="0"/>
          <w:marTop w:val="0"/>
          <w:marBottom w:val="0"/>
          <w:divBdr>
            <w:top w:val="none" w:sz="0" w:space="0" w:color="auto"/>
            <w:left w:val="none" w:sz="0" w:space="0" w:color="auto"/>
            <w:bottom w:val="none" w:sz="0" w:space="0" w:color="auto"/>
            <w:right w:val="none" w:sz="0" w:space="0" w:color="auto"/>
          </w:divBdr>
        </w:div>
        <w:div w:id="1558659715">
          <w:marLeft w:val="446"/>
          <w:marRight w:val="0"/>
          <w:marTop w:val="0"/>
          <w:marBottom w:val="0"/>
          <w:divBdr>
            <w:top w:val="none" w:sz="0" w:space="0" w:color="auto"/>
            <w:left w:val="none" w:sz="0" w:space="0" w:color="auto"/>
            <w:bottom w:val="none" w:sz="0" w:space="0" w:color="auto"/>
            <w:right w:val="none" w:sz="0" w:space="0" w:color="auto"/>
          </w:divBdr>
        </w:div>
      </w:divsChild>
    </w:div>
    <w:div w:id="1515000572">
      <w:bodyDiv w:val="1"/>
      <w:marLeft w:val="0"/>
      <w:marRight w:val="0"/>
      <w:marTop w:val="0"/>
      <w:marBottom w:val="0"/>
      <w:divBdr>
        <w:top w:val="none" w:sz="0" w:space="0" w:color="auto"/>
        <w:left w:val="none" w:sz="0" w:space="0" w:color="auto"/>
        <w:bottom w:val="none" w:sz="0" w:space="0" w:color="auto"/>
        <w:right w:val="none" w:sz="0" w:space="0" w:color="auto"/>
      </w:divBdr>
      <w:divsChild>
        <w:div w:id="1292637524">
          <w:marLeft w:val="274"/>
          <w:marRight w:val="0"/>
          <w:marTop w:val="0"/>
          <w:marBottom w:val="120"/>
          <w:divBdr>
            <w:top w:val="none" w:sz="0" w:space="0" w:color="auto"/>
            <w:left w:val="none" w:sz="0" w:space="0" w:color="auto"/>
            <w:bottom w:val="none" w:sz="0" w:space="0" w:color="auto"/>
            <w:right w:val="none" w:sz="0" w:space="0" w:color="auto"/>
          </w:divBdr>
        </w:div>
        <w:div w:id="1292831442">
          <w:marLeft w:val="274"/>
          <w:marRight w:val="0"/>
          <w:marTop w:val="0"/>
          <w:marBottom w:val="120"/>
          <w:divBdr>
            <w:top w:val="none" w:sz="0" w:space="0" w:color="auto"/>
            <w:left w:val="none" w:sz="0" w:space="0" w:color="auto"/>
            <w:bottom w:val="none" w:sz="0" w:space="0" w:color="auto"/>
            <w:right w:val="none" w:sz="0" w:space="0" w:color="auto"/>
          </w:divBdr>
        </w:div>
        <w:div w:id="1292979044">
          <w:marLeft w:val="274"/>
          <w:marRight w:val="0"/>
          <w:marTop w:val="0"/>
          <w:marBottom w:val="120"/>
          <w:divBdr>
            <w:top w:val="none" w:sz="0" w:space="0" w:color="auto"/>
            <w:left w:val="none" w:sz="0" w:space="0" w:color="auto"/>
            <w:bottom w:val="none" w:sz="0" w:space="0" w:color="auto"/>
            <w:right w:val="none" w:sz="0" w:space="0" w:color="auto"/>
          </w:divBdr>
        </w:div>
      </w:divsChild>
    </w:div>
    <w:div w:id="1524442511">
      <w:bodyDiv w:val="1"/>
      <w:marLeft w:val="0"/>
      <w:marRight w:val="0"/>
      <w:marTop w:val="0"/>
      <w:marBottom w:val="0"/>
      <w:divBdr>
        <w:top w:val="none" w:sz="0" w:space="0" w:color="auto"/>
        <w:left w:val="none" w:sz="0" w:space="0" w:color="auto"/>
        <w:bottom w:val="none" w:sz="0" w:space="0" w:color="auto"/>
        <w:right w:val="none" w:sz="0" w:space="0" w:color="auto"/>
      </w:divBdr>
    </w:div>
    <w:div w:id="1528639758">
      <w:bodyDiv w:val="1"/>
      <w:marLeft w:val="0"/>
      <w:marRight w:val="0"/>
      <w:marTop w:val="0"/>
      <w:marBottom w:val="0"/>
      <w:divBdr>
        <w:top w:val="none" w:sz="0" w:space="0" w:color="auto"/>
        <w:left w:val="none" w:sz="0" w:space="0" w:color="auto"/>
        <w:bottom w:val="none" w:sz="0" w:space="0" w:color="auto"/>
        <w:right w:val="none" w:sz="0" w:space="0" w:color="auto"/>
      </w:divBdr>
      <w:divsChild>
        <w:div w:id="394477901">
          <w:marLeft w:val="274"/>
          <w:marRight w:val="0"/>
          <w:marTop w:val="0"/>
          <w:marBottom w:val="120"/>
          <w:divBdr>
            <w:top w:val="none" w:sz="0" w:space="0" w:color="auto"/>
            <w:left w:val="none" w:sz="0" w:space="0" w:color="auto"/>
            <w:bottom w:val="none" w:sz="0" w:space="0" w:color="auto"/>
            <w:right w:val="none" w:sz="0" w:space="0" w:color="auto"/>
          </w:divBdr>
        </w:div>
        <w:div w:id="478230507">
          <w:marLeft w:val="274"/>
          <w:marRight w:val="0"/>
          <w:marTop w:val="0"/>
          <w:marBottom w:val="120"/>
          <w:divBdr>
            <w:top w:val="none" w:sz="0" w:space="0" w:color="auto"/>
            <w:left w:val="none" w:sz="0" w:space="0" w:color="auto"/>
            <w:bottom w:val="none" w:sz="0" w:space="0" w:color="auto"/>
            <w:right w:val="none" w:sz="0" w:space="0" w:color="auto"/>
          </w:divBdr>
        </w:div>
      </w:divsChild>
    </w:div>
    <w:div w:id="1544171769">
      <w:bodyDiv w:val="1"/>
      <w:marLeft w:val="0"/>
      <w:marRight w:val="0"/>
      <w:marTop w:val="0"/>
      <w:marBottom w:val="0"/>
      <w:divBdr>
        <w:top w:val="none" w:sz="0" w:space="0" w:color="auto"/>
        <w:left w:val="none" w:sz="0" w:space="0" w:color="auto"/>
        <w:bottom w:val="none" w:sz="0" w:space="0" w:color="auto"/>
        <w:right w:val="none" w:sz="0" w:space="0" w:color="auto"/>
      </w:divBdr>
    </w:div>
    <w:div w:id="1553689716">
      <w:bodyDiv w:val="1"/>
      <w:marLeft w:val="0"/>
      <w:marRight w:val="0"/>
      <w:marTop w:val="0"/>
      <w:marBottom w:val="0"/>
      <w:divBdr>
        <w:top w:val="none" w:sz="0" w:space="0" w:color="auto"/>
        <w:left w:val="none" w:sz="0" w:space="0" w:color="auto"/>
        <w:bottom w:val="none" w:sz="0" w:space="0" w:color="auto"/>
        <w:right w:val="none" w:sz="0" w:space="0" w:color="auto"/>
      </w:divBdr>
      <w:divsChild>
        <w:div w:id="359816604">
          <w:marLeft w:val="274"/>
          <w:marRight w:val="0"/>
          <w:marTop w:val="0"/>
          <w:marBottom w:val="0"/>
          <w:divBdr>
            <w:top w:val="none" w:sz="0" w:space="0" w:color="auto"/>
            <w:left w:val="none" w:sz="0" w:space="0" w:color="auto"/>
            <w:bottom w:val="none" w:sz="0" w:space="0" w:color="auto"/>
            <w:right w:val="none" w:sz="0" w:space="0" w:color="auto"/>
          </w:divBdr>
        </w:div>
        <w:div w:id="379407658">
          <w:marLeft w:val="274"/>
          <w:marRight w:val="0"/>
          <w:marTop w:val="0"/>
          <w:marBottom w:val="0"/>
          <w:divBdr>
            <w:top w:val="none" w:sz="0" w:space="0" w:color="auto"/>
            <w:left w:val="none" w:sz="0" w:space="0" w:color="auto"/>
            <w:bottom w:val="none" w:sz="0" w:space="0" w:color="auto"/>
            <w:right w:val="none" w:sz="0" w:space="0" w:color="auto"/>
          </w:divBdr>
        </w:div>
        <w:div w:id="776483361">
          <w:marLeft w:val="274"/>
          <w:marRight w:val="0"/>
          <w:marTop w:val="0"/>
          <w:marBottom w:val="0"/>
          <w:divBdr>
            <w:top w:val="none" w:sz="0" w:space="0" w:color="auto"/>
            <w:left w:val="none" w:sz="0" w:space="0" w:color="auto"/>
            <w:bottom w:val="none" w:sz="0" w:space="0" w:color="auto"/>
            <w:right w:val="none" w:sz="0" w:space="0" w:color="auto"/>
          </w:divBdr>
        </w:div>
        <w:div w:id="1169757647">
          <w:marLeft w:val="274"/>
          <w:marRight w:val="0"/>
          <w:marTop w:val="0"/>
          <w:marBottom w:val="0"/>
          <w:divBdr>
            <w:top w:val="none" w:sz="0" w:space="0" w:color="auto"/>
            <w:left w:val="none" w:sz="0" w:space="0" w:color="auto"/>
            <w:bottom w:val="none" w:sz="0" w:space="0" w:color="auto"/>
            <w:right w:val="none" w:sz="0" w:space="0" w:color="auto"/>
          </w:divBdr>
        </w:div>
        <w:div w:id="1481118405">
          <w:marLeft w:val="274"/>
          <w:marRight w:val="0"/>
          <w:marTop w:val="0"/>
          <w:marBottom w:val="0"/>
          <w:divBdr>
            <w:top w:val="none" w:sz="0" w:space="0" w:color="auto"/>
            <w:left w:val="none" w:sz="0" w:space="0" w:color="auto"/>
            <w:bottom w:val="none" w:sz="0" w:space="0" w:color="auto"/>
            <w:right w:val="none" w:sz="0" w:space="0" w:color="auto"/>
          </w:divBdr>
        </w:div>
      </w:divsChild>
    </w:div>
    <w:div w:id="1579317213">
      <w:bodyDiv w:val="1"/>
      <w:marLeft w:val="0"/>
      <w:marRight w:val="0"/>
      <w:marTop w:val="0"/>
      <w:marBottom w:val="0"/>
      <w:divBdr>
        <w:top w:val="none" w:sz="0" w:space="0" w:color="auto"/>
        <w:left w:val="none" w:sz="0" w:space="0" w:color="auto"/>
        <w:bottom w:val="none" w:sz="0" w:space="0" w:color="auto"/>
        <w:right w:val="none" w:sz="0" w:space="0" w:color="auto"/>
      </w:divBdr>
    </w:div>
    <w:div w:id="1589658105">
      <w:bodyDiv w:val="1"/>
      <w:marLeft w:val="0"/>
      <w:marRight w:val="0"/>
      <w:marTop w:val="0"/>
      <w:marBottom w:val="0"/>
      <w:divBdr>
        <w:top w:val="none" w:sz="0" w:space="0" w:color="auto"/>
        <w:left w:val="none" w:sz="0" w:space="0" w:color="auto"/>
        <w:bottom w:val="none" w:sz="0" w:space="0" w:color="auto"/>
        <w:right w:val="none" w:sz="0" w:space="0" w:color="auto"/>
      </w:divBdr>
    </w:div>
    <w:div w:id="1595362966">
      <w:bodyDiv w:val="1"/>
      <w:marLeft w:val="0"/>
      <w:marRight w:val="0"/>
      <w:marTop w:val="0"/>
      <w:marBottom w:val="0"/>
      <w:divBdr>
        <w:top w:val="none" w:sz="0" w:space="0" w:color="auto"/>
        <w:left w:val="none" w:sz="0" w:space="0" w:color="auto"/>
        <w:bottom w:val="none" w:sz="0" w:space="0" w:color="auto"/>
        <w:right w:val="none" w:sz="0" w:space="0" w:color="auto"/>
      </w:divBdr>
    </w:div>
    <w:div w:id="1611888326">
      <w:bodyDiv w:val="1"/>
      <w:marLeft w:val="0"/>
      <w:marRight w:val="0"/>
      <w:marTop w:val="0"/>
      <w:marBottom w:val="0"/>
      <w:divBdr>
        <w:top w:val="none" w:sz="0" w:space="0" w:color="auto"/>
        <w:left w:val="none" w:sz="0" w:space="0" w:color="auto"/>
        <w:bottom w:val="none" w:sz="0" w:space="0" w:color="auto"/>
        <w:right w:val="none" w:sz="0" w:space="0" w:color="auto"/>
      </w:divBdr>
    </w:div>
    <w:div w:id="1617368070">
      <w:bodyDiv w:val="1"/>
      <w:marLeft w:val="0"/>
      <w:marRight w:val="0"/>
      <w:marTop w:val="0"/>
      <w:marBottom w:val="0"/>
      <w:divBdr>
        <w:top w:val="none" w:sz="0" w:space="0" w:color="auto"/>
        <w:left w:val="none" w:sz="0" w:space="0" w:color="auto"/>
        <w:bottom w:val="none" w:sz="0" w:space="0" w:color="auto"/>
        <w:right w:val="none" w:sz="0" w:space="0" w:color="auto"/>
      </w:divBdr>
    </w:div>
    <w:div w:id="1624187529">
      <w:bodyDiv w:val="1"/>
      <w:marLeft w:val="0"/>
      <w:marRight w:val="0"/>
      <w:marTop w:val="0"/>
      <w:marBottom w:val="0"/>
      <w:divBdr>
        <w:top w:val="none" w:sz="0" w:space="0" w:color="auto"/>
        <w:left w:val="none" w:sz="0" w:space="0" w:color="auto"/>
        <w:bottom w:val="none" w:sz="0" w:space="0" w:color="auto"/>
        <w:right w:val="none" w:sz="0" w:space="0" w:color="auto"/>
      </w:divBdr>
    </w:div>
    <w:div w:id="1666129921">
      <w:bodyDiv w:val="1"/>
      <w:marLeft w:val="0"/>
      <w:marRight w:val="0"/>
      <w:marTop w:val="0"/>
      <w:marBottom w:val="0"/>
      <w:divBdr>
        <w:top w:val="none" w:sz="0" w:space="0" w:color="auto"/>
        <w:left w:val="none" w:sz="0" w:space="0" w:color="auto"/>
        <w:bottom w:val="none" w:sz="0" w:space="0" w:color="auto"/>
        <w:right w:val="none" w:sz="0" w:space="0" w:color="auto"/>
      </w:divBdr>
    </w:div>
    <w:div w:id="1680886067">
      <w:bodyDiv w:val="1"/>
      <w:marLeft w:val="0"/>
      <w:marRight w:val="0"/>
      <w:marTop w:val="0"/>
      <w:marBottom w:val="0"/>
      <w:divBdr>
        <w:top w:val="none" w:sz="0" w:space="0" w:color="auto"/>
        <w:left w:val="none" w:sz="0" w:space="0" w:color="auto"/>
        <w:bottom w:val="none" w:sz="0" w:space="0" w:color="auto"/>
        <w:right w:val="none" w:sz="0" w:space="0" w:color="auto"/>
      </w:divBdr>
      <w:divsChild>
        <w:div w:id="1171725183">
          <w:marLeft w:val="446"/>
          <w:marRight w:val="0"/>
          <w:marTop w:val="120"/>
          <w:marBottom w:val="120"/>
          <w:divBdr>
            <w:top w:val="none" w:sz="0" w:space="0" w:color="auto"/>
            <w:left w:val="none" w:sz="0" w:space="0" w:color="auto"/>
            <w:bottom w:val="none" w:sz="0" w:space="0" w:color="auto"/>
            <w:right w:val="none" w:sz="0" w:space="0" w:color="auto"/>
          </w:divBdr>
        </w:div>
        <w:div w:id="1626538994">
          <w:marLeft w:val="446"/>
          <w:marRight w:val="0"/>
          <w:marTop w:val="120"/>
          <w:marBottom w:val="120"/>
          <w:divBdr>
            <w:top w:val="none" w:sz="0" w:space="0" w:color="auto"/>
            <w:left w:val="none" w:sz="0" w:space="0" w:color="auto"/>
            <w:bottom w:val="none" w:sz="0" w:space="0" w:color="auto"/>
            <w:right w:val="none" w:sz="0" w:space="0" w:color="auto"/>
          </w:divBdr>
        </w:div>
        <w:div w:id="1701318962">
          <w:marLeft w:val="446"/>
          <w:marRight w:val="0"/>
          <w:marTop w:val="120"/>
          <w:marBottom w:val="120"/>
          <w:divBdr>
            <w:top w:val="none" w:sz="0" w:space="0" w:color="auto"/>
            <w:left w:val="none" w:sz="0" w:space="0" w:color="auto"/>
            <w:bottom w:val="none" w:sz="0" w:space="0" w:color="auto"/>
            <w:right w:val="none" w:sz="0" w:space="0" w:color="auto"/>
          </w:divBdr>
        </w:div>
      </w:divsChild>
    </w:div>
    <w:div w:id="1686007676">
      <w:bodyDiv w:val="1"/>
      <w:marLeft w:val="0"/>
      <w:marRight w:val="0"/>
      <w:marTop w:val="0"/>
      <w:marBottom w:val="0"/>
      <w:divBdr>
        <w:top w:val="none" w:sz="0" w:space="0" w:color="auto"/>
        <w:left w:val="none" w:sz="0" w:space="0" w:color="auto"/>
        <w:bottom w:val="none" w:sz="0" w:space="0" w:color="auto"/>
        <w:right w:val="none" w:sz="0" w:space="0" w:color="auto"/>
      </w:divBdr>
      <w:divsChild>
        <w:div w:id="777801051">
          <w:marLeft w:val="274"/>
          <w:marRight w:val="0"/>
          <w:marTop w:val="0"/>
          <w:marBottom w:val="120"/>
          <w:divBdr>
            <w:top w:val="none" w:sz="0" w:space="0" w:color="auto"/>
            <w:left w:val="none" w:sz="0" w:space="0" w:color="auto"/>
            <w:bottom w:val="none" w:sz="0" w:space="0" w:color="auto"/>
            <w:right w:val="none" w:sz="0" w:space="0" w:color="auto"/>
          </w:divBdr>
        </w:div>
        <w:div w:id="833840945">
          <w:marLeft w:val="274"/>
          <w:marRight w:val="0"/>
          <w:marTop w:val="0"/>
          <w:marBottom w:val="120"/>
          <w:divBdr>
            <w:top w:val="none" w:sz="0" w:space="0" w:color="auto"/>
            <w:left w:val="none" w:sz="0" w:space="0" w:color="auto"/>
            <w:bottom w:val="none" w:sz="0" w:space="0" w:color="auto"/>
            <w:right w:val="none" w:sz="0" w:space="0" w:color="auto"/>
          </w:divBdr>
        </w:div>
        <w:div w:id="1617252557">
          <w:marLeft w:val="274"/>
          <w:marRight w:val="0"/>
          <w:marTop w:val="0"/>
          <w:marBottom w:val="120"/>
          <w:divBdr>
            <w:top w:val="none" w:sz="0" w:space="0" w:color="auto"/>
            <w:left w:val="none" w:sz="0" w:space="0" w:color="auto"/>
            <w:bottom w:val="none" w:sz="0" w:space="0" w:color="auto"/>
            <w:right w:val="none" w:sz="0" w:space="0" w:color="auto"/>
          </w:divBdr>
        </w:div>
      </w:divsChild>
    </w:div>
    <w:div w:id="1693609410">
      <w:bodyDiv w:val="1"/>
      <w:marLeft w:val="0"/>
      <w:marRight w:val="0"/>
      <w:marTop w:val="0"/>
      <w:marBottom w:val="0"/>
      <w:divBdr>
        <w:top w:val="none" w:sz="0" w:space="0" w:color="auto"/>
        <w:left w:val="none" w:sz="0" w:space="0" w:color="auto"/>
        <w:bottom w:val="none" w:sz="0" w:space="0" w:color="auto"/>
        <w:right w:val="none" w:sz="0" w:space="0" w:color="auto"/>
      </w:divBdr>
    </w:div>
    <w:div w:id="1696078494">
      <w:bodyDiv w:val="1"/>
      <w:marLeft w:val="0"/>
      <w:marRight w:val="0"/>
      <w:marTop w:val="0"/>
      <w:marBottom w:val="0"/>
      <w:divBdr>
        <w:top w:val="none" w:sz="0" w:space="0" w:color="auto"/>
        <w:left w:val="none" w:sz="0" w:space="0" w:color="auto"/>
        <w:bottom w:val="none" w:sz="0" w:space="0" w:color="auto"/>
        <w:right w:val="none" w:sz="0" w:space="0" w:color="auto"/>
      </w:divBdr>
    </w:div>
    <w:div w:id="1706055961">
      <w:bodyDiv w:val="1"/>
      <w:marLeft w:val="0"/>
      <w:marRight w:val="0"/>
      <w:marTop w:val="0"/>
      <w:marBottom w:val="0"/>
      <w:divBdr>
        <w:top w:val="none" w:sz="0" w:space="0" w:color="auto"/>
        <w:left w:val="none" w:sz="0" w:space="0" w:color="auto"/>
        <w:bottom w:val="none" w:sz="0" w:space="0" w:color="auto"/>
        <w:right w:val="none" w:sz="0" w:space="0" w:color="auto"/>
      </w:divBdr>
    </w:div>
    <w:div w:id="1724213289">
      <w:bodyDiv w:val="1"/>
      <w:marLeft w:val="0"/>
      <w:marRight w:val="0"/>
      <w:marTop w:val="0"/>
      <w:marBottom w:val="0"/>
      <w:divBdr>
        <w:top w:val="none" w:sz="0" w:space="0" w:color="auto"/>
        <w:left w:val="none" w:sz="0" w:space="0" w:color="auto"/>
        <w:bottom w:val="none" w:sz="0" w:space="0" w:color="auto"/>
        <w:right w:val="none" w:sz="0" w:space="0" w:color="auto"/>
      </w:divBdr>
      <w:divsChild>
        <w:div w:id="868185033">
          <w:marLeft w:val="274"/>
          <w:marRight w:val="0"/>
          <w:marTop w:val="0"/>
          <w:marBottom w:val="120"/>
          <w:divBdr>
            <w:top w:val="none" w:sz="0" w:space="0" w:color="auto"/>
            <w:left w:val="none" w:sz="0" w:space="0" w:color="auto"/>
            <w:bottom w:val="none" w:sz="0" w:space="0" w:color="auto"/>
            <w:right w:val="none" w:sz="0" w:space="0" w:color="auto"/>
          </w:divBdr>
        </w:div>
        <w:div w:id="1094085033">
          <w:marLeft w:val="274"/>
          <w:marRight w:val="0"/>
          <w:marTop w:val="0"/>
          <w:marBottom w:val="120"/>
          <w:divBdr>
            <w:top w:val="none" w:sz="0" w:space="0" w:color="auto"/>
            <w:left w:val="none" w:sz="0" w:space="0" w:color="auto"/>
            <w:bottom w:val="none" w:sz="0" w:space="0" w:color="auto"/>
            <w:right w:val="none" w:sz="0" w:space="0" w:color="auto"/>
          </w:divBdr>
        </w:div>
        <w:div w:id="1770537491">
          <w:marLeft w:val="274"/>
          <w:marRight w:val="0"/>
          <w:marTop w:val="0"/>
          <w:marBottom w:val="120"/>
          <w:divBdr>
            <w:top w:val="none" w:sz="0" w:space="0" w:color="auto"/>
            <w:left w:val="none" w:sz="0" w:space="0" w:color="auto"/>
            <w:bottom w:val="none" w:sz="0" w:space="0" w:color="auto"/>
            <w:right w:val="none" w:sz="0" w:space="0" w:color="auto"/>
          </w:divBdr>
        </w:div>
      </w:divsChild>
    </w:div>
    <w:div w:id="1740668424">
      <w:bodyDiv w:val="1"/>
      <w:marLeft w:val="0"/>
      <w:marRight w:val="0"/>
      <w:marTop w:val="0"/>
      <w:marBottom w:val="0"/>
      <w:divBdr>
        <w:top w:val="none" w:sz="0" w:space="0" w:color="auto"/>
        <w:left w:val="none" w:sz="0" w:space="0" w:color="auto"/>
        <w:bottom w:val="none" w:sz="0" w:space="0" w:color="auto"/>
        <w:right w:val="none" w:sz="0" w:space="0" w:color="auto"/>
      </w:divBdr>
      <w:divsChild>
        <w:div w:id="16346519">
          <w:marLeft w:val="274"/>
          <w:marRight w:val="0"/>
          <w:marTop w:val="0"/>
          <w:marBottom w:val="0"/>
          <w:divBdr>
            <w:top w:val="none" w:sz="0" w:space="0" w:color="auto"/>
            <w:left w:val="none" w:sz="0" w:space="0" w:color="auto"/>
            <w:bottom w:val="none" w:sz="0" w:space="0" w:color="auto"/>
            <w:right w:val="none" w:sz="0" w:space="0" w:color="auto"/>
          </w:divBdr>
        </w:div>
        <w:div w:id="506943378">
          <w:marLeft w:val="274"/>
          <w:marRight w:val="0"/>
          <w:marTop w:val="0"/>
          <w:marBottom w:val="0"/>
          <w:divBdr>
            <w:top w:val="none" w:sz="0" w:space="0" w:color="auto"/>
            <w:left w:val="none" w:sz="0" w:space="0" w:color="auto"/>
            <w:bottom w:val="none" w:sz="0" w:space="0" w:color="auto"/>
            <w:right w:val="none" w:sz="0" w:space="0" w:color="auto"/>
          </w:divBdr>
        </w:div>
        <w:div w:id="512307323">
          <w:marLeft w:val="274"/>
          <w:marRight w:val="0"/>
          <w:marTop w:val="0"/>
          <w:marBottom w:val="0"/>
          <w:divBdr>
            <w:top w:val="none" w:sz="0" w:space="0" w:color="auto"/>
            <w:left w:val="none" w:sz="0" w:space="0" w:color="auto"/>
            <w:bottom w:val="none" w:sz="0" w:space="0" w:color="auto"/>
            <w:right w:val="none" w:sz="0" w:space="0" w:color="auto"/>
          </w:divBdr>
        </w:div>
        <w:div w:id="708917260">
          <w:marLeft w:val="274"/>
          <w:marRight w:val="0"/>
          <w:marTop w:val="0"/>
          <w:marBottom w:val="0"/>
          <w:divBdr>
            <w:top w:val="none" w:sz="0" w:space="0" w:color="auto"/>
            <w:left w:val="none" w:sz="0" w:space="0" w:color="auto"/>
            <w:bottom w:val="none" w:sz="0" w:space="0" w:color="auto"/>
            <w:right w:val="none" w:sz="0" w:space="0" w:color="auto"/>
          </w:divBdr>
        </w:div>
        <w:div w:id="945573417">
          <w:marLeft w:val="274"/>
          <w:marRight w:val="0"/>
          <w:marTop w:val="0"/>
          <w:marBottom w:val="0"/>
          <w:divBdr>
            <w:top w:val="none" w:sz="0" w:space="0" w:color="auto"/>
            <w:left w:val="none" w:sz="0" w:space="0" w:color="auto"/>
            <w:bottom w:val="none" w:sz="0" w:space="0" w:color="auto"/>
            <w:right w:val="none" w:sz="0" w:space="0" w:color="auto"/>
          </w:divBdr>
        </w:div>
      </w:divsChild>
    </w:div>
    <w:div w:id="1750694530">
      <w:bodyDiv w:val="1"/>
      <w:marLeft w:val="0"/>
      <w:marRight w:val="0"/>
      <w:marTop w:val="0"/>
      <w:marBottom w:val="0"/>
      <w:divBdr>
        <w:top w:val="none" w:sz="0" w:space="0" w:color="auto"/>
        <w:left w:val="none" w:sz="0" w:space="0" w:color="auto"/>
        <w:bottom w:val="none" w:sz="0" w:space="0" w:color="auto"/>
        <w:right w:val="none" w:sz="0" w:space="0" w:color="auto"/>
      </w:divBdr>
    </w:div>
    <w:div w:id="1751659916">
      <w:bodyDiv w:val="1"/>
      <w:marLeft w:val="0"/>
      <w:marRight w:val="0"/>
      <w:marTop w:val="0"/>
      <w:marBottom w:val="0"/>
      <w:divBdr>
        <w:top w:val="none" w:sz="0" w:space="0" w:color="auto"/>
        <w:left w:val="none" w:sz="0" w:space="0" w:color="auto"/>
        <w:bottom w:val="none" w:sz="0" w:space="0" w:color="auto"/>
        <w:right w:val="none" w:sz="0" w:space="0" w:color="auto"/>
      </w:divBdr>
    </w:div>
    <w:div w:id="1752696495">
      <w:bodyDiv w:val="1"/>
      <w:marLeft w:val="0"/>
      <w:marRight w:val="0"/>
      <w:marTop w:val="0"/>
      <w:marBottom w:val="0"/>
      <w:divBdr>
        <w:top w:val="none" w:sz="0" w:space="0" w:color="auto"/>
        <w:left w:val="none" w:sz="0" w:space="0" w:color="auto"/>
        <w:bottom w:val="none" w:sz="0" w:space="0" w:color="auto"/>
        <w:right w:val="none" w:sz="0" w:space="0" w:color="auto"/>
      </w:divBdr>
      <w:divsChild>
        <w:div w:id="110588789">
          <w:marLeft w:val="547"/>
          <w:marRight w:val="0"/>
          <w:marTop w:val="0"/>
          <w:marBottom w:val="0"/>
          <w:divBdr>
            <w:top w:val="none" w:sz="0" w:space="0" w:color="auto"/>
            <w:left w:val="none" w:sz="0" w:space="0" w:color="auto"/>
            <w:bottom w:val="none" w:sz="0" w:space="0" w:color="auto"/>
            <w:right w:val="none" w:sz="0" w:space="0" w:color="auto"/>
          </w:divBdr>
        </w:div>
        <w:div w:id="334572536">
          <w:marLeft w:val="547"/>
          <w:marRight w:val="0"/>
          <w:marTop w:val="0"/>
          <w:marBottom w:val="0"/>
          <w:divBdr>
            <w:top w:val="none" w:sz="0" w:space="0" w:color="auto"/>
            <w:left w:val="none" w:sz="0" w:space="0" w:color="auto"/>
            <w:bottom w:val="none" w:sz="0" w:space="0" w:color="auto"/>
            <w:right w:val="none" w:sz="0" w:space="0" w:color="auto"/>
          </w:divBdr>
        </w:div>
        <w:div w:id="501897896">
          <w:marLeft w:val="547"/>
          <w:marRight w:val="0"/>
          <w:marTop w:val="0"/>
          <w:marBottom w:val="0"/>
          <w:divBdr>
            <w:top w:val="none" w:sz="0" w:space="0" w:color="auto"/>
            <w:left w:val="none" w:sz="0" w:space="0" w:color="auto"/>
            <w:bottom w:val="none" w:sz="0" w:space="0" w:color="auto"/>
            <w:right w:val="none" w:sz="0" w:space="0" w:color="auto"/>
          </w:divBdr>
        </w:div>
        <w:div w:id="643043441">
          <w:marLeft w:val="547"/>
          <w:marRight w:val="0"/>
          <w:marTop w:val="0"/>
          <w:marBottom w:val="0"/>
          <w:divBdr>
            <w:top w:val="none" w:sz="0" w:space="0" w:color="auto"/>
            <w:left w:val="none" w:sz="0" w:space="0" w:color="auto"/>
            <w:bottom w:val="none" w:sz="0" w:space="0" w:color="auto"/>
            <w:right w:val="none" w:sz="0" w:space="0" w:color="auto"/>
          </w:divBdr>
        </w:div>
        <w:div w:id="1008286533">
          <w:marLeft w:val="547"/>
          <w:marRight w:val="0"/>
          <w:marTop w:val="0"/>
          <w:marBottom w:val="0"/>
          <w:divBdr>
            <w:top w:val="none" w:sz="0" w:space="0" w:color="auto"/>
            <w:left w:val="none" w:sz="0" w:space="0" w:color="auto"/>
            <w:bottom w:val="none" w:sz="0" w:space="0" w:color="auto"/>
            <w:right w:val="none" w:sz="0" w:space="0" w:color="auto"/>
          </w:divBdr>
        </w:div>
        <w:div w:id="1767770345">
          <w:marLeft w:val="547"/>
          <w:marRight w:val="0"/>
          <w:marTop w:val="0"/>
          <w:marBottom w:val="0"/>
          <w:divBdr>
            <w:top w:val="none" w:sz="0" w:space="0" w:color="auto"/>
            <w:left w:val="none" w:sz="0" w:space="0" w:color="auto"/>
            <w:bottom w:val="none" w:sz="0" w:space="0" w:color="auto"/>
            <w:right w:val="none" w:sz="0" w:space="0" w:color="auto"/>
          </w:divBdr>
        </w:div>
      </w:divsChild>
    </w:div>
    <w:div w:id="1767530317">
      <w:bodyDiv w:val="1"/>
      <w:marLeft w:val="0"/>
      <w:marRight w:val="0"/>
      <w:marTop w:val="0"/>
      <w:marBottom w:val="0"/>
      <w:divBdr>
        <w:top w:val="none" w:sz="0" w:space="0" w:color="auto"/>
        <w:left w:val="none" w:sz="0" w:space="0" w:color="auto"/>
        <w:bottom w:val="none" w:sz="0" w:space="0" w:color="auto"/>
        <w:right w:val="none" w:sz="0" w:space="0" w:color="auto"/>
      </w:divBdr>
      <w:divsChild>
        <w:div w:id="75326887">
          <w:marLeft w:val="274"/>
          <w:marRight w:val="0"/>
          <w:marTop w:val="0"/>
          <w:marBottom w:val="120"/>
          <w:divBdr>
            <w:top w:val="none" w:sz="0" w:space="0" w:color="auto"/>
            <w:left w:val="none" w:sz="0" w:space="0" w:color="auto"/>
            <w:bottom w:val="none" w:sz="0" w:space="0" w:color="auto"/>
            <w:right w:val="none" w:sz="0" w:space="0" w:color="auto"/>
          </w:divBdr>
        </w:div>
        <w:div w:id="432092479">
          <w:marLeft w:val="274"/>
          <w:marRight w:val="0"/>
          <w:marTop w:val="0"/>
          <w:marBottom w:val="120"/>
          <w:divBdr>
            <w:top w:val="none" w:sz="0" w:space="0" w:color="auto"/>
            <w:left w:val="none" w:sz="0" w:space="0" w:color="auto"/>
            <w:bottom w:val="none" w:sz="0" w:space="0" w:color="auto"/>
            <w:right w:val="none" w:sz="0" w:space="0" w:color="auto"/>
          </w:divBdr>
        </w:div>
        <w:div w:id="873074643">
          <w:marLeft w:val="274"/>
          <w:marRight w:val="0"/>
          <w:marTop w:val="0"/>
          <w:marBottom w:val="120"/>
          <w:divBdr>
            <w:top w:val="none" w:sz="0" w:space="0" w:color="auto"/>
            <w:left w:val="none" w:sz="0" w:space="0" w:color="auto"/>
            <w:bottom w:val="none" w:sz="0" w:space="0" w:color="auto"/>
            <w:right w:val="none" w:sz="0" w:space="0" w:color="auto"/>
          </w:divBdr>
        </w:div>
        <w:div w:id="1205212747">
          <w:marLeft w:val="274"/>
          <w:marRight w:val="0"/>
          <w:marTop w:val="0"/>
          <w:marBottom w:val="120"/>
          <w:divBdr>
            <w:top w:val="none" w:sz="0" w:space="0" w:color="auto"/>
            <w:left w:val="none" w:sz="0" w:space="0" w:color="auto"/>
            <w:bottom w:val="none" w:sz="0" w:space="0" w:color="auto"/>
            <w:right w:val="none" w:sz="0" w:space="0" w:color="auto"/>
          </w:divBdr>
        </w:div>
        <w:div w:id="1300038833">
          <w:marLeft w:val="274"/>
          <w:marRight w:val="0"/>
          <w:marTop w:val="0"/>
          <w:marBottom w:val="120"/>
          <w:divBdr>
            <w:top w:val="none" w:sz="0" w:space="0" w:color="auto"/>
            <w:left w:val="none" w:sz="0" w:space="0" w:color="auto"/>
            <w:bottom w:val="none" w:sz="0" w:space="0" w:color="auto"/>
            <w:right w:val="none" w:sz="0" w:space="0" w:color="auto"/>
          </w:divBdr>
        </w:div>
        <w:div w:id="1321890317">
          <w:marLeft w:val="274"/>
          <w:marRight w:val="0"/>
          <w:marTop w:val="0"/>
          <w:marBottom w:val="120"/>
          <w:divBdr>
            <w:top w:val="none" w:sz="0" w:space="0" w:color="auto"/>
            <w:left w:val="none" w:sz="0" w:space="0" w:color="auto"/>
            <w:bottom w:val="none" w:sz="0" w:space="0" w:color="auto"/>
            <w:right w:val="none" w:sz="0" w:space="0" w:color="auto"/>
          </w:divBdr>
        </w:div>
        <w:div w:id="1782341665">
          <w:marLeft w:val="274"/>
          <w:marRight w:val="0"/>
          <w:marTop w:val="0"/>
          <w:marBottom w:val="120"/>
          <w:divBdr>
            <w:top w:val="none" w:sz="0" w:space="0" w:color="auto"/>
            <w:left w:val="none" w:sz="0" w:space="0" w:color="auto"/>
            <w:bottom w:val="none" w:sz="0" w:space="0" w:color="auto"/>
            <w:right w:val="none" w:sz="0" w:space="0" w:color="auto"/>
          </w:divBdr>
        </w:div>
      </w:divsChild>
    </w:div>
    <w:div w:id="1769620644">
      <w:bodyDiv w:val="1"/>
      <w:marLeft w:val="0"/>
      <w:marRight w:val="0"/>
      <w:marTop w:val="0"/>
      <w:marBottom w:val="0"/>
      <w:divBdr>
        <w:top w:val="none" w:sz="0" w:space="0" w:color="auto"/>
        <w:left w:val="none" w:sz="0" w:space="0" w:color="auto"/>
        <w:bottom w:val="none" w:sz="0" w:space="0" w:color="auto"/>
        <w:right w:val="none" w:sz="0" w:space="0" w:color="auto"/>
      </w:divBdr>
    </w:div>
    <w:div w:id="1778332400">
      <w:bodyDiv w:val="1"/>
      <w:marLeft w:val="0"/>
      <w:marRight w:val="0"/>
      <w:marTop w:val="0"/>
      <w:marBottom w:val="0"/>
      <w:divBdr>
        <w:top w:val="none" w:sz="0" w:space="0" w:color="auto"/>
        <w:left w:val="none" w:sz="0" w:space="0" w:color="auto"/>
        <w:bottom w:val="none" w:sz="0" w:space="0" w:color="auto"/>
        <w:right w:val="none" w:sz="0" w:space="0" w:color="auto"/>
      </w:divBdr>
    </w:div>
    <w:div w:id="1793547570">
      <w:bodyDiv w:val="1"/>
      <w:marLeft w:val="0"/>
      <w:marRight w:val="0"/>
      <w:marTop w:val="0"/>
      <w:marBottom w:val="0"/>
      <w:divBdr>
        <w:top w:val="none" w:sz="0" w:space="0" w:color="auto"/>
        <w:left w:val="none" w:sz="0" w:space="0" w:color="auto"/>
        <w:bottom w:val="none" w:sz="0" w:space="0" w:color="auto"/>
        <w:right w:val="none" w:sz="0" w:space="0" w:color="auto"/>
      </w:divBdr>
    </w:div>
    <w:div w:id="1802186636">
      <w:bodyDiv w:val="1"/>
      <w:marLeft w:val="0"/>
      <w:marRight w:val="0"/>
      <w:marTop w:val="0"/>
      <w:marBottom w:val="0"/>
      <w:divBdr>
        <w:top w:val="none" w:sz="0" w:space="0" w:color="auto"/>
        <w:left w:val="none" w:sz="0" w:space="0" w:color="auto"/>
        <w:bottom w:val="none" w:sz="0" w:space="0" w:color="auto"/>
        <w:right w:val="none" w:sz="0" w:space="0" w:color="auto"/>
      </w:divBdr>
    </w:div>
    <w:div w:id="1826702115">
      <w:bodyDiv w:val="1"/>
      <w:marLeft w:val="0"/>
      <w:marRight w:val="0"/>
      <w:marTop w:val="0"/>
      <w:marBottom w:val="0"/>
      <w:divBdr>
        <w:top w:val="none" w:sz="0" w:space="0" w:color="auto"/>
        <w:left w:val="none" w:sz="0" w:space="0" w:color="auto"/>
        <w:bottom w:val="none" w:sz="0" w:space="0" w:color="auto"/>
        <w:right w:val="none" w:sz="0" w:space="0" w:color="auto"/>
      </w:divBdr>
      <w:divsChild>
        <w:div w:id="94134673">
          <w:marLeft w:val="446"/>
          <w:marRight w:val="0"/>
          <w:marTop w:val="0"/>
          <w:marBottom w:val="120"/>
          <w:divBdr>
            <w:top w:val="none" w:sz="0" w:space="0" w:color="auto"/>
            <w:left w:val="none" w:sz="0" w:space="0" w:color="auto"/>
            <w:bottom w:val="none" w:sz="0" w:space="0" w:color="auto"/>
            <w:right w:val="none" w:sz="0" w:space="0" w:color="auto"/>
          </w:divBdr>
        </w:div>
        <w:div w:id="98334644">
          <w:marLeft w:val="446"/>
          <w:marRight w:val="0"/>
          <w:marTop w:val="0"/>
          <w:marBottom w:val="120"/>
          <w:divBdr>
            <w:top w:val="none" w:sz="0" w:space="0" w:color="auto"/>
            <w:left w:val="none" w:sz="0" w:space="0" w:color="auto"/>
            <w:bottom w:val="none" w:sz="0" w:space="0" w:color="auto"/>
            <w:right w:val="none" w:sz="0" w:space="0" w:color="auto"/>
          </w:divBdr>
        </w:div>
        <w:div w:id="197010689">
          <w:marLeft w:val="446"/>
          <w:marRight w:val="0"/>
          <w:marTop w:val="0"/>
          <w:marBottom w:val="120"/>
          <w:divBdr>
            <w:top w:val="none" w:sz="0" w:space="0" w:color="auto"/>
            <w:left w:val="none" w:sz="0" w:space="0" w:color="auto"/>
            <w:bottom w:val="none" w:sz="0" w:space="0" w:color="auto"/>
            <w:right w:val="none" w:sz="0" w:space="0" w:color="auto"/>
          </w:divBdr>
        </w:div>
        <w:div w:id="204878723">
          <w:marLeft w:val="446"/>
          <w:marRight w:val="0"/>
          <w:marTop w:val="0"/>
          <w:marBottom w:val="120"/>
          <w:divBdr>
            <w:top w:val="none" w:sz="0" w:space="0" w:color="auto"/>
            <w:left w:val="none" w:sz="0" w:space="0" w:color="auto"/>
            <w:bottom w:val="none" w:sz="0" w:space="0" w:color="auto"/>
            <w:right w:val="none" w:sz="0" w:space="0" w:color="auto"/>
          </w:divBdr>
        </w:div>
        <w:div w:id="214974885">
          <w:marLeft w:val="446"/>
          <w:marRight w:val="0"/>
          <w:marTop w:val="0"/>
          <w:marBottom w:val="120"/>
          <w:divBdr>
            <w:top w:val="none" w:sz="0" w:space="0" w:color="auto"/>
            <w:left w:val="none" w:sz="0" w:space="0" w:color="auto"/>
            <w:bottom w:val="none" w:sz="0" w:space="0" w:color="auto"/>
            <w:right w:val="none" w:sz="0" w:space="0" w:color="auto"/>
          </w:divBdr>
        </w:div>
        <w:div w:id="230390432">
          <w:marLeft w:val="446"/>
          <w:marRight w:val="0"/>
          <w:marTop w:val="0"/>
          <w:marBottom w:val="120"/>
          <w:divBdr>
            <w:top w:val="none" w:sz="0" w:space="0" w:color="auto"/>
            <w:left w:val="none" w:sz="0" w:space="0" w:color="auto"/>
            <w:bottom w:val="none" w:sz="0" w:space="0" w:color="auto"/>
            <w:right w:val="none" w:sz="0" w:space="0" w:color="auto"/>
          </w:divBdr>
        </w:div>
        <w:div w:id="298652933">
          <w:marLeft w:val="274"/>
          <w:marRight w:val="0"/>
          <w:marTop w:val="0"/>
          <w:marBottom w:val="120"/>
          <w:divBdr>
            <w:top w:val="none" w:sz="0" w:space="0" w:color="auto"/>
            <w:left w:val="none" w:sz="0" w:space="0" w:color="auto"/>
            <w:bottom w:val="none" w:sz="0" w:space="0" w:color="auto"/>
            <w:right w:val="none" w:sz="0" w:space="0" w:color="auto"/>
          </w:divBdr>
        </w:div>
        <w:div w:id="1105075670">
          <w:marLeft w:val="274"/>
          <w:marRight w:val="0"/>
          <w:marTop w:val="0"/>
          <w:marBottom w:val="120"/>
          <w:divBdr>
            <w:top w:val="none" w:sz="0" w:space="0" w:color="auto"/>
            <w:left w:val="none" w:sz="0" w:space="0" w:color="auto"/>
            <w:bottom w:val="none" w:sz="0" w:space="0" w:color="auto"/>
            <w:right w:val="none" w:sz="0" w:space="0" w:color="auto"/>
          </w:divBdr>
        </w:div>
        <w:div w:id="1181898242">
          <w:marLeft w:val="274"/>
          <w:marRight w:val="0"/>
          <w:marTop w:val="0"/>
          <w:marBottom w:val="120"/>
          <w:divBdr>
            <w:top w:val="none" w:sz="0" w:space="0" w:color="auto"/>
            <w:left w:val="none" w:sz="0" w:space="0" w:color="auto"/>
            <w:bottom w:val="none" w:sz="0" w:space="0" w:color="auto"/>
            <w:right w:val="none" w:sz="0" w:space="0" w:color="auto"/>
          </w:divBdr>
        </w:div>
        <w:div w:id="1187987126">
          <w:marLeft w:val="446"/>
          <w:marRight w:val="0"/>
          <w:marTop w:val="0"/>
          <w:marBottom w:val="120"/>
          <w:divBdr>
            <w:top w:val="none" w:sz="0" w:space="0" w:color="auto"/>
            <w:left w:val="none" w:sz="0" w:space="0" w:color="auto"/>
            <w:bottom w:val="none" w:sz="0" w:space="0" w:color="auto"/>
            <w:right w:val="none" w:sz="0" w:space="0" w:color="auto"/>
          </w:divBdr>
        </w:div>
        <w:div w:id="1975134037">
          <w:marLeft w:val="446"/>
          <w:marRight w:val="0"/>
          <w:marTop w:val="0"/>
          <w:marBottom w:val="120"/>
          <w:divBdr>
            <w:top w:val="none" w:sz="0" w:space="0" w:color="auto"/>
            <w:left w:val="none" w:sz="0" w:space="0" w:color="auto"/>
            <w:bottom w:val="none" w:sz="0" w:space="0" w:color="auto"/>
            <w:right w:val="none" w:sz="0" w:space="0" w:color="auto"/>
          </w:divBdr>
        </w:div>
      </w:divsChild>
    </w:div>
    <w:div w:id="1840804636">
      <w:bodyDiv w:val="1"/>
      <w:marLeft w:val="0"/>
      <w:marRight w:val="0"/>
      <w:marTop w:val="0"/>
      <w:marBottom w:val="0"/>
      <w:divBdr>
        <w:top w:val="none" w:sz="0" w:space="0" w:color="auto"/>
        <w:left w:val="none" w:sz="0" w:space="0" w:color="auto"/>
        <w:bottom w:val="none" w:sz="0" w:space="0" w:color="auto"/>
        <w:right w:val="none" w:sz="0" w:space="0" w:color="auto"/>
      </w:divBdr>
    </w:div>
    <w:div w:id="1850484338">
      <w:bodyDiv w:val="1"/>
      <w:marLeft w:val="0"/>
      <w:marRight w:val="0"/>
      <w:marTop w:val="0"/>
      <w:marBottom w:val="0"/>
      <w:divBdr>
        <w:top w:val="none" w:sz="0" w:space="0" w:color="auto"/>
        <w:left w:val="none" w:sz="0" w:space="0" w:color="auto"/>
        <w:bottom w:val="none" w:sz="0" w:space="0" w:color="auto"/>
        <w:right w:val="none" w:sz="0" w:space="0" w:color="auto"/>
      </w:divBdr>
    </w:div>
    <w:div w:id="1865971581">
      <w:bodyDiv w:val="1"/>
      <w:marLeft w:val="0"/>
      <w:marRight w:val="0"/>
      <w:marTop w:val="0"/>
      <w:marBottom w:val="0"/>
      <w:divBdr>
        <w:top w:val="none" w:sz="0" w:space="0" w:color="auto"/>
        <w:left w:val="none" w:sz="0" w:space="0" w:color="auto"/>
        <w:bottom w:val="none" w:sz="0" w:space="0" w:color="auto"/>
        <w:right w:val="none" w:sz="0" w:space="0" w:color="auto"/>
      </w:divBdr>
      <w:divsChild>
        <w:div w:id="1074358274">
          <w:marLeft w:val="274"/>
          <w:marRight w:val="0"/>
          <w:marTop w:val="60"/>
          <w:marBottom w:val="60"/>
          <w:divBdr>
            <w:top w:val="none" w:sz="0" w:space="0" w:color="auto"/>
            <w:left w:val="none" w:sz="0" w:space="0" w:color="auto"/>
            <w:bottom w:val="none" w:sz="0" w:space="0" w:color="auto"/>
            <w:right w:val="none" w:sz="0" w:space="0" w:color="auto"/>
          </w:divBdr>
        </w:div>
        <w:div w:id="1221988006">
          <w:marLeft w:val="274"/>
          <w:marRight w:val="0"/>
          <w:marTop w:val="60"/>
          <w:marBottom w:val="60"/>
          <w:divBdr>
            <w:top w:val="none" w:sz="0" w:space="0" w:color="auto"/>
            <w:left w:val="none" w:sz="0" w:space="0" w:color="auto"/>
            <w:bottom w:val="none" w:sz="0" w:space="0" w:color="auto"/>
            <w:right w:val="none" w:sz="0" w:space="0" w:color="auto"/>
          </w:divBdr>
        </w:div>
        <w:div w:id="1332635228">
          <w:marLeft w:val="274"/>
          <w:marRight w:val="0"/>
          <w:marTop w:val="60"/>
          <w:marBottom w:val="60"/>
          <w:divBdr>
            <w:top w:val="none" w:sz="0" w:space="0" w:color="auto"/>
            <w:left w:val="none" w:sz="0" w:space="0" w:color="auto"/>
            <w:bottom w:val="none" w:sz="0" w:space="0" w:color="auto"/>
            <w:right w:val="none" w:sz="0" w:space="0" w:color="auto"/>
          </w:divBdr>
        </w:div>
        <w:div w:id="1384715335">
          <w:marLeft w:val="274"/>
          <w:marRight w:val="0"/>
          <w:marTop w:val="60"/>
          <w:marBottom w:val="60"/>
          <w:divBdr>
            <w:top w:val="none" w:sz="0" w:space="0" w:color="auto"/>
            <w:left w:val="none" w:sz="0" w:space="0" w:color="auto"/>
            <w:bottom w:val="none" w:sz="0" w:space="0" w:color="auto"/>
            <w:right w:val="none" w:sz="0" w:space="0" w:color="auto"/>
          </w:divBdr>
        </w:div>
      </w:divsChild>
    </w:div>
    <w:div w:id="1869294248">
      <w:bodyDiv w:val="1"/>
      <w:marLeft w:val="0"/>
      <w:marRight w:val="0"/>
      <w:marTop w:val="0"/>
      <w:marBottom w:val="0"/>
      <w:divBdr>
        <w:top w:val="none" w:sz="0" w:space="0" w:color="auto"/>
        <w:left w:val="none" w:sz="0" w:space="0" w:color="auto"/>
        <w:bottom w:val="none" w:sz="0" w:space="0" w:color="auto"/>
        <w:right w:val="none" w:sz="0" w:space="0" w:color="auto"/>
      </w:divBdr>
    </w:div>
    <w:div w:id="1870412157">
      <w:bodyDiv w:val="1"/>
      <w:marLeft w:val="0"/>
      <w:marRight w:val="0"/>
      <w:marTop w:val="0"/>
      <w:marBottom w:val="0"/>
      <w:divBdr>
        <w:top w:val="none" w:sz="0" w:space="0" w:color="auto"/>
        <w:left w:val="none" w:sz="0" w:space="0" w:color="auto"/>
        <w:bottom w:val="none" w:sz="0" w:space="0" w:color="auto"/>
        <w:right w:val="none" w:sz="0" w:space="0" w:color="auto"/>
      </w:divBdr>
    </w:div>
    <w:div w:id="1873030667">
      <w:bodyDiv w:val="1"/>
      <w:marLeft w:val="0"/>
      <w:marRight w:val="0"/>
      <w:marTop w:val="0"/>
      <w:marBottom w:val="0"/>
      <w:divBdr>
        <w:top w:val="none" w:sz="0" w:space="0" w:color="auto"/>
        <w:left w:val="none" w:sz="0" w:space="0" w:color="auto"/>
        <w:bottom w:val="none" w:sz="0" w:space="0" w:color="auto"/>
        <w:right w:val="none" w:sz="0" w:space="0" w:color="auto"/>
      </w:divBdr>
    </w:div>
    <w:div w:id="1883400044">
      <w:bodyDiv w:val="1"/>
      <w:marLeft w:val="0"/>
      <w:marRight w:val="0"/>
      <w:marTop w:val="0"/>
      <w:marBottom w:val="0"/>
      <w:divBdr>
        <w:top w:val="none" w:sz="0" w:space="0" w:color="auto"/>
        <w:left w:val="none" w:sz="0" w:space="0" w:color="auto"/>
        <w:bottom w:val="none" w:sz="0" w:space="0" w:color="auto"/>
        <w:right w:val="none" w:sz="0" w:space="0" w:color="auto"/>
      </w:divBdr>
    </w:div>
    <w:div w:id="1884519309">
      <w:bodyDiv w:val="1"/>
      <w:marLeft w:val="0"/>
      <w:marRight w:val="0"/>
      <w:marTop w:val="0"/>
      <w:marBottom w:val="0"/>
      <w:divBdr>
        <w:top w:val="none" w:sz="0" w:space="0" w:color="auto"/>
        <w:left w:val="none" w:sz="0" w:space="0" w:color="auto"/>
        <w:bottom w:val="none" w:sz="0" w:space="0" w:color="auto"/>
        <w:right w:val="none" w:sz="0" w:space="0" w:color="auto"/>
      </w:divBdr>
    </w:div>
    <w:div w:id="1900478528">
      <w:bodyDiv w:val="1"/>
      <w:marLeft w:val="0"/>
      <w:marRight w:val="0"/>
      <w:marTop w:val="0"/>
      <w:marBottom w:val="0"/>
      <w:divBdr>
        <w:top w:val="none" w:sz="0" w:space="0" w:color="auto"/>
        <w:left w:val="none" w:sz="0" w:space="0" w:color="auto"/>
        <w:bottom w:val="none" w:sz="0" w:space="0" w:color="auto"/>
        <w:right w:val="none" w:sz="0" w:space="0" w:color="auto"/>
      </w:divBdr>
    </w:div>
    <w:div w:id="1903835111">
      <w:bodyDiv w:val="1"/>
      <w:marLeft w:val="0"/>
      <w:marRight w:val="0"/>
      <w:marTop w:val="0"/>
      <w:marBottom w:val="0"/>
      <w:divBdr>
        <w:top w:val="none" w:sz="0" w:space="0" w:color="auto"/>
        <w:left w:val="none" w:sz="0" w:space="0" w:color="auto"/>
        <w:bottom w:val="none" w:sz="0" w:space="0" w:color="auto"/>
        <w:right w:val="none" w:sz="0" w:space="0" w:color="auto"/>
      </w:divBdr>
    </w:div>
    <w:div w:id="1907259382">
      <w:bodyDiv w:val="1"/>
      <w:marLeft w:val="0"/>
      <w:marRight w:val="0"/>
      <w:marTop w:val="0"/>
      <w:marBottom w:val="0"/>
      <w:divBdr>
        <w:top w:val="none" w:sz="0" w:space="0" w:color="auto"/>
        <w:left w:val="none" w:sz="0" w:space="0" w:color="auto"/>
        <w:bottom w:val="none" w:sz="0" w:space="0" w:color="auto"/>
        <w:right w:val="none" w:sz="0" w:space="0" w:color="auto"/>
      </w:divBdr>
    </w:div>
    <w:div w:id="1939630805">
      <w:bodyDiv w:val="1"/>
      <w:marLeft w:val="0"/>
      <w:marRight w:val="0"/>
      <w:marTop w:val="0"/>
      <w:marBottom w:val="0"/>
      <w:divBdr>
        <w:top w:val="none" w:sz="0" w:space="0" w:color="auto"/>
        <w:left w:val="none" w:sz="0" w:space="0" w:color="auto"/>
        <w:bottom w:val="none" w:sz="0" w:space="0" w:color="auto"/>
        <w:right w:val="none" w:sz="0" w:space="0" w:color="auto"/>
      </w:divBdr>
    </w:div>
    <w:div w:id="1950313646">
      <w:bodyDiv w:val="1"/>
      <w:marLeft w:val="0"/>
      <w:marRight w:val="0"/>
      <w:marTop w:val="0"/>
      <w:marBottom w:val="0"/>
      <w:divBdr>
        <w:top w:val="none" w:sz="0" w:space="0" w:color="auto"/>
        <w:left w:val="none" w:sz="0" w:space="0" w:color="auto"/>
        <w:bottom w:val="none" w:sz="0" w:space="0" w:color="auto"/>
        <w:right w:val="none" w:sz="0" w:space="0" w:color="auto"/>
      </w:divBdr>
    </w:div>
    <w:div w:id="2005543547">
      <w:bodyDiv w:val="1"/>
      <w:marLeft w:val="0"/>
      <w:marRight w:val="0"/>
      <w:marTop w:val="0"/>
      <w:marBottom w:val="0"/>
      <w:divBdr>
        <w:top w:val="none" w:sz="0" w:space="0" w:color="auto"/>
        <w:left w:val="none" w:sz="0" w:space="0" w:color="auto"/>
        <w:bottom w:val="none" w:sz="0" w:space="0" w:color="auto"/>
        <w:right w:val="none" w:sz="0" w:space="0" w:color="auto"/>
      </w:divBdr>
    </w:div>
    <w:div w:id="2052342363">
      <w:bodyDiv w:val="1"/>
      <w:marLeft w:val="0"/>
      <w:marRight w:val="0"/>
      <w:marTop w:val="0"/>
      <w:marBottom w:val="0"/>
      <w:divBdr>
        <w:top w:val="none" w:sz="0" w:space="0" w:color="auto"/>
        <w:left w:val="none" w:sz="0" w:space="0" w:color="auto"/>
        <w:bottom w:val="none" w:sz="0" w:space="0" w:color="auto"/>
        <w:right w:val="none" w:sz="0" w:space="0" w:color="auto"/>
      </w:divBdr>
    </w:div>
    <w:div w:id="2120445345">
      <w:bodyDiv w:val="1"/>
      <w:marLeft w:val="0"/>
      <w:marRight w:val="0"/>
      <w:marTop w:val="0"/>
      <w:marBottom w:val="0"/>
      <w:divBdr>
        <w:top w:val="none" w:sz="0" w:space="0" w:color="auto"/>
        <w:left w:val="none" w:sz="0" w:space="0" w:color="auto"/>
        <w:bottom w:val="none" w:sz="0" w:space="0" w:color="auto"/>
        <w:right w:val="none" w:sz="0" w:space="0" w:color="auto"/>
      </w:divBdr>
      <w:divsChild>
        <w:div w:id="1366979325">
          <w:marLeft w:val="547"/>
          <w:marRight w:val="0"/>
          <w:marTop w:val="0"/>
          <w:marBottom w:val="0"/>
          <w:divBdr>
            <w:top w:val="none" w:sz="0" w:space="0" w:color="auto"/>
            <w:left w:val="none" w:sz="0" w:space="0" w:color="auto"/>
            <w:bottom w:val="none" w:sz="0" w:space="0" w:color="auto"/>
            <w:right w:val="none" w:sz="0" w:space="0" w:color="auto"/>
          </w:divBdr>
        </w:div>
      </w:divsChild>
    </w:div>
    <w:div w:id="2123526438">
      <w:bodyDiv w:val="1"/>
      <w:marLeft w:val="0"/>
      <w:marRight w:val="0"/>
      <w:marTop w:val="0"/>
      <w:marBottom w:val="0"/>
      <w:divBdr>
        <w:top w:val="none" w:sz="0" w:space="0" w:color="auto"/>
        <w:left w:val="none" w:sz="0" w:space="0" w:color="auto"/>
        <w:bottom w:val="none" w:sz="0" w:space="0" w:color="auto"/>
        <w:right w:val="none" w:sz="0" w:space="0" w:color="auto"/>
      </w:divBdr>
    </w:div>
    <w:div w:id="2123760178">
      <w:bodyDiv w:val="1"/>
      <w:marLeft w:val="0"/>
      <w:marRight w:val="0"/>
      <w:marTop w:val="0"/>
      <w:marBottom w:val="0"/>
      <w:divBdr>
        <w:top w:val="none" w:sz="0" w:space="0" w:color="auto"/>
        <w:left w:val="none" w:sz="0" w:space="0" w:color="auto"/>
        <w:bottom w:val="none" w:sz="0" w:space="0" w:color="auto"/>
        <w:right w:val="none" w:sz="0" w:space="0" w:color="auto"/>
      </w:divBdr>
    </w:div>
    <w:div w:id="2128813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2.xml"/><Relationship Id="rId26" Type="http://schemas.openxmlformats.org/officeDocument/2006/relationships/image" Target="media/image9.jpeg"/><Relationship Id="rId39" Type="http://schemas.openxmlformats.org/officeDocument/2006/relationships/image" Target="media/image21.jpeg"/><Relationship Id="rId21" Type="http://schemas.openxmlformats.org/officeDocument/2006/relationships/image" Target="media/image4.emf"/><Relationship Id="rId34" Type="http://schemas.openxmlformats.org/officeDocument/2006/relationships/image" Target="media/image17.jpeg"/><Relationship Id="rId42" Type="http://schemas.openxmlformats.org/officeDocument/2006/relationships/chart" Target="charts/chart4.xml"/><Relationship Id="rId47" Type="http://schemas.openxmlformats.org/officeDocument/2006/relationships/image" Target="media/image22.pn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1.jpeg"/><Relationship Id="rId68" Type="http://schemas.openxmlformats.org/officeDocument/2006/relationships/header" Target="header8.xm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7.png"/><Relationship Id="rId32" Type="http://schemas.openxmlformats.org/officeDocument/2006/relationships/image" Target="media/image15.jpeg"/><Relationship Id="rId37" Type="http://schemas.openxmlformats.org/officeDocument/2006/relationships/image" Target="media/image20.png"/><Relationship Id="rId40" Type="http://schemas.openxmlformats.org/officeDocument/2006/relationships/chart" Target="charts/chart2.xml"/><Relationship Id="rId45" Type="http://schemas.openxmlformats.org/officeDocument/2006/relationships/chart" Target="charts/chart7.xml"/><Relationship Id="rId53" Type="http://schemas.openxmlformats.org/officeDocument/2006/relationships/image" Target="media/image27.jpeg"/><Relationship Id="rId58" Type="http://schemas.openxmlformats.org/officeDocument/2006/relationships/chart" Target="charts/chart10.xml"/><Relationship Id="rId66" Type="http://schemas.openxmlformats.org/officeDocument/2006/relationships/header" Target="header6.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23.jpeg"/><Relationship Id="rId57" Type="http://schemas.openxmlformats.org/officeDocument/2006/relationships/image" Target="media/image30.jpeg"/><Relationship Id="rId61" Type="http://schemas.openxmlformats.org/officeDocument/2006/relationships/chart" Target="charts/chart13.xml"/><Relationship Id="rId10" Type="http://schemas.openxmlformats.org/officeDocument/2006/relationships/endnotes" Target="endnotes.xml"/><Relationship Id="rId19" Type="http://schemas.openxmlformats.org/officeDocument/2006/relationships/hyperlink" Target="https://www.health.gov.au/initiatives-and-programs/short-term-restorative-care-strc-programme" TargetMode="External"/><Relationship Id="rId31" Type="http://schemas.openxmlformats.org/officeDocument/2006/relationships/image" Target="media/image14.jpeg"/><Relationship Id="rId44" Type="http://schemas.openxmlformats.org/officeDocument/2006/relationships/chart" Target="charts/chart6.xml"/><Relationship Id="rId52" Type="http://schemas.openxmlformats.org/officeDocument/2006/relationships/image" Target="media/image26.jpeg"/><Relationship Id="rId60" Type="http://schemas.openxmlformats.org/officeDocument/2006/relationships/chart" Target="charts/chart12.xml"/><Relationship Id="rId65"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chart" Target="charts/chart5.xml"/><Relationship Id="rId48" Type="http://schemas.microsoft.com/office/2007/relationships/hdphoto" Target="media/hdphoto1.wdp"/><Relationship Id="rId56" Type="http://schemas.openxmlformats.org/officeDocument/2006/relationships/chart" Target="charts/chart9.xml"/><Relationship Id="rId64" Type="http://schemas.openxmlformats.org/officeDocument/2006/relationships/image" Target="media/image32.jpeg"/><Relationship Id="rId69"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image" Target="media/image25.jpe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4.xml"/><Relationship Id="rId25" Type="http://schemas.openxmlformats.org/officeDocument/2006/relationships/image" Target="media/image8.jpeg"/><Relationship Id="rId33" Type="http://schemas.openxmlformats.org/officeDocument/2006/relationships/image" Target="media/image16.emf"/><Relationship Id="rId38" Type="http://schemas.openxmlformats.org/officeDocument/2006/relationships/chart" Target="charts/chart1.xml"/><Relationship Id="rId46" Type="http://schemas.openxmlformats.org/officeDocument/2006/relationships/chart" Target="charts/chart8.xml"/><Relationship Id="rId59" Type="http://schemas.openxmlformats.org/officeDocument/2006/relationships/chart" Target="charts/chart11.xml"/><Relationship Id="rId67" Type="http://schemas.openxmlformats.org/officeDocument/2006/relationships/header" Target="header7.xml"/><Relationship Id="rId20" Type="http://schemas.openxmlformats.org/officeDocument/2006/relationships/image" Target="media/image3.jpeg"/><Relationship Id="rId41" Type="http://schemas.openxmlformats.org/officeDocument/2006/relationships/chart" Target="charts/chart3.xml"/><Relationship Id="rId54" Type="http://schemas.openxmlformats.org/officeDocument/2006/relationships/image" Target="media/image28.jpeg"/><Relationship Id="rId62" Type="http://schemas.openxmlformats.org/officeDocument/2006/relationships/chart" Target="charts/chart14.xml"/><Relationship Id="rId70" Type="http://schemas.openxmlformats.org/officeDocument/2006/relationships/header" Target="header9.xml"/></Relationships>
</file>

<file path=word/_rels/footnotes.xml.rels><?xml version="1.0" encoding="UTF-8" standalone="yes"?>
<Relationships xmlns="http://schemas.openxmlformats.org/package/2006/relationships"><Relationship Id="rId2" Type="http://schemas.openxmlformats.org/officeDocument/2006/relationships/hyperlink" Target="https://www.health.gov.au/sites/default/files/documents/2021/08/ninth-report-on-the-funding-and-financing-of-the-aged-care-industry-july-2021.pdf" TargetMode="External"/><Relationship Id="rId1" Type="http://schemas.openxmlformats.org/officeDocument/2006/relationships/hyperlink" Target="https://www.gen-agedcaredata.gov.au//Topics/Quality-in-aged-care/Residential-Aged-Care-Quality-Indicators-April-to-June" TargetMode="External"/></Relationships>
</file>

<file path=word/_rels/header8.xml.rels><?xml version="1.0" encoding="UTF-8" standalone="yes"?>
<Relationships xmlns="http://schemas.openxmlformats.org/package/2006/relationships"><Relationship Id="rId1" Type="http://schemas.openxmlformats.org/officeDocument/2006/relationships/image" Target="media/image33.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griffiths3\OneDrive%20-%20KPMG\Desktop\KPMG%20Portrait%20Report%20Word%20Template%20Jan%202021%20-%20Copy.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kpmgaust.sharepoint.com/sites/AU-AgedCareQSEvaluation/Shared%20Documents/General/5.%20Online%20survey/QS%20Evaluation%20-%20Quantitative%20-%20Survey%20analysis_20211001.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xlsx"/></Relationships>
</file>

<file path=word/charts/_rels/chart11.xml.rels><?xml version="1.0" encoding="UTF-8" standalone="yes"?>
<Relationships xmlns="http://schemas.openxmlformats.org/package/2006/relationships"><Relationship Id="rId2" Type="http://schemas.openxmlformats.org/officeDocument/2006/relationships/oleObject" Target="https://kpmgaust.sharepoint.com/sites/AU-AgedCareQSEvaluation/Shared%20Documents/General/5.%20Online%20survey/QS%20Evaluation%20-%20Quantitative%20-%20Survey%20analysis_20211001.xlsx" TargetMode="External"/><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oleObject" Target="https://kpmgaust.sharepoint.com/sites/AU-AgedCareQSEvaluation/Shared%20Documents/General/5.%20Online%20survey/QS%20Evaluation%20-%20Quantitative%20-%20Survey%20analysis_20211001.xlsx" TargetMode="External"/><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oleObject" Target="https://kpmgaust.sharepoint.com/sites/AU-AgedCareQSEvaluation/Shared%20Documents/General/5.%20Online%20survey/QS%20Evaluation%20-%20Quantitative%20-%20Survey%20analysis_20211001.xlsx" TargetMode="External"/><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2.xlsx"/></Relationships>
</file>

<file path=word/charts/_rels/chart2.xml.rels><?xml version="1.0" encoding="UTF-8" standalone="yes"?>
<Relationships xmlns="http://schemas.openxmlformats.org/package/2006/relationships"><Relationship Id="rId3" Type="http://schemas.openxmlformats.org/officeDocument/2006/relationships/oleObject" Target="https://kpmgaust.sharepoint.com/sites/AU-AgedCareQSEvaluation/Shared%20Documents/General/5.%20Online%20survey/QS%20Evaluation%20-%20Quantiative%20analysis_20211014_155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kpmgaust.sharepoint.com/sites/AU-AgedCareQSEvaluation/Shared%20Documents/General/5.%20Online%20survey/QS%20Evaluation%20-%20Quantiative%20analysis_20211014_1553.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https://kpmgaust.sharepoint.com/sites/AU-AgedCareQSEvaluation/Shared%20Documents/General/5.%20Online%20survey/QS%20Evaluation%20-%20Quantitative%20-%20Survey%20analysis_20211001.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https://kpmgaust.sharepoint.com/sites/AU-AgedCareQSEvaluation/Shared%20Documents/General/5.%20Online%20survey/QS%20Evaluation%20-%20Quantitative%20-%20Survey%20analysis_20211001.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kpmgaust.sharepoint.com/sites/AU-AgedCareQSEvaluation/Shared%20Documents/General/5.%20Online%20survey/QS%20Evaluation%20-%20Quantitative%20-%20Survey%20analysis_20211001.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https://kpmgaust.sharepoint.com/sites/AU-AgedCareQSEvaluation/Shared%20Documents/General/5.%20Online%20survey/QS%20Evaluation%20-%20Quantitative%20-%20Survey%20analysis_20211001.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https://kpmgaust.sharepoint.com/sites/AU-AgedCareQSEvaluation/Shared%20Documents/General/3.%20Lightning%20Review/Lightning%20Review%20Reference%20Material/headlines%20v%20req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850938891734454"/>
          <c:y val="3.3675187509566815E-2"/>
          <c:w val="0.36847285765133825"/>
          <c:h val="0.82527663913432836"/>
        </c:manualLayout>
      </c:layout>
      <c:barChart>
        <c:barDir val="bar"/>
        <c:grouping val="percentStacked"/>
        <c:varyColors val="0"/>
        <c:ser>
          <c:idx val="2"/>
          <c:order val="0"/>
          <c:tx>
            <c:strRef>
              <c:f>'Analysis - Quant Responses '!$N$747</c:f>
              <c:strCache>
                <c:ptCount val="1"/>
                <c:pt idx="0">
                  <c:v>Major city</c:v>
                </c:pt>
              </c:strCache>
            </c:strRef>
          </c:tx>
          <c:spPr>
            <a:solidFill>
              <a:srgbClr val="00338D"/>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'Analysis - Quant Responses '!$K$748:$K$760</c:f>
              <c:strCache>
                <c:ptCount val="13"/>
                <c:pt idx="0">
                  <c:v>Other (Free text)</c:v>
                </c:pt>
                <c:pt idx="1">
                  <c:v>Appropriateness to your organisation</c:v>
                </c:pt>
                <c:pt idx="2">
                  <c:v>Limited leadership from management</c:v>
                </c:pt>
                <c:pt idx="3">
                  <c:v>Availability of data on organisational performance</c:v>
                </c:pt>
                <c:pt idx="4">
                  <c:v>Accessing resources to interpret</c:v>
                </c:pt>
                <c:pt idx="5">
                  <c:v>Developing the policies and processes to implement</c:v>
                </c:pt>
                <c:pt idx="6">
                  <c:v>Access to training and resources to implement </c:v>
                </c:pt>
                <c:pt idx="7">
                  <c:v>Cost of compliance </c:v>
                </c:pt>
                <c:pt idx="8">
                  <c:v>Understanding what was required to implement</c:v>
                </c:pt>
                <c:pt idx="9">
                  <c:v>Implementing during COVID-19</c:v>
                </c:pt>
                <c:pt idx="10">
                  <c:v>Staff availability or capacity to implement </c:v>
                </c:pt>
                <c:pt idx="11">
                  <c:v>Developing staff skills to implement </c:v>
                </c:pt>
                <c:pt idx="12">
                  <c:v>Raising staff awareness of their role in implementing </c:v>
                </c:pt>
              </c:strCache>
            </c:strRef>
          </c:cat>
          <c:val>
            <c:numRef>
              <c:f>'Analysis - Quant Responses '!$N$748:$N$760</c:f>
              <c:numCache>
                <c:formatCode>0%</c:formatCode>
                <c:ptCount val="13"/>
                <c:pt idx="0">
                  <c:v>0.10256410256410256</c:v>
                </c:pt>
                <c:pt idx="1">
                  <c:v>0.20512820512820512</c:v>
                </c:pt>
                <c:pt idx="2">
                  <c:v>0.26923076923076922</c:v>
                </c:pt>
                <c:pt idx="3">
                  <c:v>0.29487179487179488</c:v>
                </c:pt>
                <c:pt idx="4">
                  <c:v>0.32051282051282054</c:v>
                </c:pt>
                <c:pt idx="5">
                  <c:v>0.41025641025641024</c:v>
                </c:pt>
                <c:pt idx="6">
                  <c:v>0.42307692307692307</c:v>
                </c:pt>
                <c:pt idx="7">
                  <c:v>0.46153846153846156</c:v>
                </c:pt>
                <c:pt idx="8">
                  <c:v>0.5</c:v>
                </c:pt>
                <c:pt idx="9">
                  <c:v>0.51282051282051277</c:v>
                </c:pt>
                <c:pt idx="10">
                  <c:v>0.57692307692307687</c:v>
                </c:pt>
                <c:pt idx="11">
                  <c:v>0.62820512820512819</c:v>
                </c:pt>
                <c:pt idx="12">
                  <c:v>0.64102564102564108</c:v>
                </c:pt>
              </c:numCache>
            </c:numRef>
          </c:val>
          <c:extLst>
            <c:ext xmlns:c16="http://schemas.microsoft.com/office/drawing/2014/chart" uri="{C3380CC4-5D6E-409C-BE32-E72D297353CC}">
              <c16:uniqueId val="{00000000-B6D7-462E-AA7E-29541ADE1BF3}"/>
            </c:ext>
          </c:extLst>
        </c:ser>
        <c:ser>
          <c:idx val="1"/>
          <c:order val="1"/>
          <c:tx>
            <c:strRef>
              <c:f>'Analysis - Quant Responses '!$M$747</c:f>
              <c:strCache>
                <c:ptCount val="1"/>
                <c:pt idx="0">
                  <c:v>Regional</c:v>
                </c:pt>
              </c:strCache>
            </c:strRef>
          </c:tx>
          <c:spPr>
            <a:solidFill>
              <a:srgbClr val="005EB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'Analysis - Quant Responses '!$K$748:$K$760</c:f>
              <c:strCache>
                <c:ptCount val="13"/>
                <c:pt idx="0">
                  <c:v>Other (Free text)</c:v>
                </c:pt>
                <c:pt idx="1">
                  <c:v>Appropriateness to your organisation</c:v>
                </c:pt>
                <c:pt idx="2">
                  <c:v>Limited leadership from management</c:v>
                </c:pt>
                <c:pt idx="3">
                  <c:v>Availability of data on organisational performance</c:v>
                </c:pt>
                <c:pt idx="4">
                  <c:v>Accessing resources to interpret</c:v>
                </c:pt>
                <c:pt idx="5">
                  <c:v>Developing the policies and processes to implement</c:v>
                </c:pt>
                <c:pt idx="6">
                  <c:v>Access to training and resources to implement </c:v>
                </c:pt>
                <c:pt idx="7">
                  <c:v>Cost of compliance </c:v>
                </c:pt>
                <c:pt idx="8">
                  <c:v>Understanding what was required to implement</c:v>
                </c:pt>
                <c:pt idx="9">
                  <c:v>Implementing during COVID-19</c:v>
                </c:pt>
                <c:pt idx="10">
                  <c:v>Staff availability or capacity to implement </c:v>
                </c:pt>
                <c:pt idx="11">
                  <c:v>Developing staff skills to implement </c:v>
                </c:pt>
                <c:pt idx="12">
                  <c:v>Raising staff awareness of their role in implementing </c:v>
                </c:pt>
              </c:strCache>
            </c:strRef>
          </c:cat>
          <c:val>
            <c:numRef>
              <c:f>'Analysis - Quant Responses '!$M$748:$M$760</c:f>
              <c:numCache>
                <c:formatCode>0%</c:formatCode>
                <c:ptCount val="13"/>
                <c:pt idx="0">
                  <c:v>7.9365079365079361E-2</c:v>
                </c:pt>
                <c:pt idx="1">
                  <c:v>0.22222222222222221</c:v>
                </c:pt>
                <c:pt idx="2">
                  <c:v>0.23809523809523808</c:v>
                </c:pt>
                <c:pt idx="3">
                  <c:v>0.23809523809523808</c:v>
                </c:pt>
                <c:pt idx="4">
                  <c:v>0.30158730158730157</c:v>
                </c:pt>
                <c:pt idx="5">
                  <c:v>0.50793650793650791</c:v>
                </c:pt>
                <c:pt idx="6">
                  <c:v>0.49206349206349204</c:v>
                </c:pt>
                <c:pt idx="7">
                  <c:v>0.47619047619047616</c:v>
                </c:pt>
                <c:pt idx="8">
                  <c:v>0.3968253968253968</c:v>
                </c:pt>
                <c:pt idx="9">
                  <c:v>0.60317460317460314</c:v>
                </c:pt>
                <c:pt idx="10">
                  <c:v>0.68253968253968256</c:v>
                </c:pt>
                <c:pt idx="11">
                  <c:v>0.63492063492063489</c:v>
                </c:pt>
                <c:pt idx="12">
                  <c:v>0.63492063492063489</c:v>
                </c:pt>
              </c:numCache>
            </c:numRef>
          </c:val>
          <c:extLst>
            <c:ext xmlns:c16="http://schemas.microsoft.com/office/drawing/2014/chart" uri="{C3380CC4-5D6E-409C-BE32-E72D297353CC}">
              <c16:uniqueId val="{00000001-B6D7-462E-AA7E-29541ADE1BF3}"/>
            </c:ext>
          </c:extLst>
        </c:ser>
        <c:ser>
          <c:idx val="0"/>
          <c:order val="2"/>
          <c:tx>
            <c:strRef>
              <c:f>'Analysis - Quant Responses '!$L$747</c:f>
              <c:strCache>
                <c:ptCount val="1"/>
                <c:pt idx="0">
                  <c:v>Rural or Remote</c:v>
                </c:pt>
              </c:strCache>
            </c:strRef>
          </c:tx>
          <c:spPr>
            <a:solidFill>
              <a:srgbClr val="0091DA"/>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'Analysis - Quant Responses '!$K$748:$K$760</c:f>
              <c:strCache>
                <c:ptCount val="13"/>
                <c:pt idx="0">
                  <c:v>Other (Free text)</c:v>
                </c:pt>
                <c:pt idx="1">
                  <c:v>Appropriateness to your organisation</c:v>
                </c:pt>
                <c:pt idx="2">
                  <c:v>Limited leadership from management</c:v>
                </c:pt>
                <c:pt idx="3">
                  <c:v>Availability of data on organisational performance</c:v>
                </c:pt>
                <c:pt idx="4">
                  <c:v>Accessing resources to interpret</c:v>
                </c:pt>
                <c:pt idx="5">
                  <c:v>Developing the policies and processes to implement</c:v>
                </c:pt>
                <c:pt idx="6">
                  <c:v>Access to training and resources to implement </c:v>
                </c:pt>
                <c:pt idx="7">
                  <c:v>Cost of compliance </c:v>
                </c:pt>
                <c:pt idx="8">
                  <c:v>Understanding what was required to implement</c:v>
                </c:pt>
                <c:pt idx="9">
                  <c:v>Implementing during COVID-19</c:v>
                </c:pt>
                <c:pt idx="10">
                  <c:v>Staff availability or capacity to implement </c:v>
                </c:pt>
                <c:pt idx="11">
                  <c:v>Developing staff skills to implement </c:v>
                </c:pt>
                <c:pt idx="12">
                  <c:v>Raising staff awareness of their role in implementing </c:v>
                </c:pt>
              </c:strCache>
            </c:strRef>
          </c:cat>
          <c:val>
            <c:numRef>
              <c:f>'Analysis - Quant Responses '!$L$748:$L$760</c:f>
              <c:numCache>
                <c:formatCode>0%</c:formatCode>
                <c:ptCount val="13"/>
                <c:pt idx="0">
                  <c:v>0.05</c:v>
                </c:pt>
                <c:pt idx="1">
                  <c:v>0.05</c:v>
                </c:pt>
                <c:pt idx="2">
                  <c:v>0.45</c:v>
                </c:pt>
                <c:pt idx="3">
                  <c:v>0.15</c:v>
                </c:pt>
                <c:pt idx="4">
                  <c:v>0.25</c:v>
                </c:pt>
                <c:pt idx="5">
                  <c:v>0.7</c:v>
                </c:pt>
                <c:pt idx="6">
                  <c:v>0.55000000000000004</c:v>
                </c:pt>
                <c:pt idx="7">
                  <c:v>0.6</c:v>
                </c:pt>
                <c:pt idx="8">
                  <c:v>0.5</c:v>
                </c:pt>
                <c:pt idx="9">
                  <c:v>0.45</c:v>
                </c:pt>
                <c:pt idx="10">
                  <c:v>0.9</c:v>
                </c:pt>
                <c:pt idx="11">
                  <c:v>0.8</c:v>
                </c:pt>
                <c:pt idx="12">
                  <c:v>0.9</c:v>
                </c:pt>
              </c:numCache>
            </c:numRef>
          </c:val>
          <c:extLst>
            <c:ext xmlns:c16="http://schemas.microsoft.com/office/drawing/2014/chart" uri="{C3380CC4-5D6E-409C-BE32-E72D297353CC}">
              <c16:uniqueId val="{00000002-B6D7-462E-AA7E-29541ADE1BF3}"/>
            </c:ext>
          </c:extLst>
        </c:ser>
        <c:dLbls>
          <c:dLblPos val="ctr"/>
          <c:showLegendKey val="0"/>
          <c:showVal val="1"/>
          <c:showCatName val="0"/>
          <c:showSerName val="0"/>
          <c:showPercent val="0"/>
          <c:showBubbleSize val="0"/>
        </c:dLbls>
        <c:gapWidth val="50"/>
        <c:overlap val="100"/>
        <c:axId val="722166160"/>
        <c:axId val="542946256"/>
      </c:barChart>
      <c:catAx>
        <c:axId val="722166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Univers 45 Light" pitchFamily="2" charset="0"/>
                <a:ea typeface="+mn-ea"/>
                <a:cs typeface="+mn-cs"/>
              </a:defRPr>
            </a:pPr>
            <a:endParaRPr lang="en-US"/>
          </a:p>
        </c:txPr>
        <c:crossAx val="542946256"/>
        <c:crosses val="autoZero"/>
        <c:auto val="1"/>
        <c:lblAlgn val="ctr"/>
        <c:lblOffset val="100"/>
        <c:noMultiLvlLbl val="0"/>
      </c:catAx>
      <c:valAx>
        <c:axId val="54294625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Univers 45 Light" pitchFamily="2" charset="0"/>
                <a:ea typeface="+mn-ea"/>
                <a:cs typeface="+mn-cs"/>
              </a:defRPr>
            </a:pPr>
            <a:endParaRPr lang="en-US"/>
          </a:p>
        </c:txPr>
        <c:crossAx val="722166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Univers 45 Light" pitchFamily="2"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Univers 45 Light" pitchFamily="2"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'q21, 27, 33, 41, 47, 53, 60, 66'!$M$7</c:f>
              <c:strCache>
                <c:ptCount val="1"/>
                <c:pt idx="0">
                  <c:v>Agree</c:v>
                </c:pt>
              </c:strCache>
            </c:strRef>
          </c:tx>
          <c:spPr>
            <a:solidFill>
              <a:srgbClr val="00338D"/>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'q21, 27, 33, 41, 47, 53, 60, 66'!$N$6:$U$6</c:f>
              <c:strCache>
                <c:ptCount val="8"/>
                <c:pt idx="0">
                  <c:v>QS 8 </c:v>
                </c:pt>
                <c:pt idx="1">
                  <c:v>QS 7 </c:v>
                </c:pt>
                <c:pt idx="2">
                  <c:v>QS 6 </c:v>
                </c:pt>
                <c:pt idx="3">
                  <c:v>QS 5 </c:v>
                </c:pt>
                <c:pt idx="4">
                  <c:v>QS 4 </c:v>
                </c:pt>
                <c:pt idx="5">
                  <c:v>QS 3 </c:v>
                </c:pt>
                <c:pt idx="6">
                  <c:v>QS 2 </c:v>
                </c:pt>
                <c:pt idx="7">
                  <c:v>QS 1 </c:v>
                </c:pt>
              </c:strCache>
            </c:strRef>
          </c:cat>
          <c:val>
            <c:numRef>
              <c:f>'q21, 27, 33, 41, 47, 53, 60, 66'!$N$7:$U$7</c:f>
              <c:numCache>
                <c:formatCode>0%</c:formatCode>
                <c:ptCount val="8"/>
                <c:pt idx="0">
                  <c:v>0.76760563380281688</c:v>
                </c:pt>
                <c:pt idx="1">
                  <c:v>0.68571428571428572</c:v>
                </c:pt>
                <c:pt idx="2">
                  <c:v>0.7931034482758621</c:v>
                </c:pt>
                <c:pt idx="3">
                  <c:v>0.79347826086956519</c:v>
                </c:pt>
                <c:pt idx="4">
                  <c:v>0.80882352941176472</c:v>
                </c:pt>
                <c:pt idx="5">
                  <c:v>0.73652694610778446</c:v>
                </c:pt>
                <c:pt idx="6">
                  <c:v>0.78807947019867552</c:v>
                </c:pt>
                <c:pt idx="7">
                  <c:v>0.79816513761467889</c:v>
                </c:pt>
              </c:numCache>
            </c:numRef>
          </c:val>
          <c:extLst>
            <c:ext xmlns:c16="http://schemas.microsoft.com/office/drawing/2014/chart" uri="{C3380CC4-5D6E-409C-BE32-E72D297353CC}">
              <c16:uniqueId val="{00000000-9E3A-468A-9003-3410F81681DB}"/>
            </c:ext>
          </c:extLst>
        </c:ser>
        <c:ser>
          <c:idx val="1"/>
          <c:order val="1"/>
          <c:tx>
            <c:strRef>
              <c:f>'q21, 27, 33, 41, 47, 53, 60, 66'!$M$8</c:f>
              <c:strCache>
                <c:ptCount val="1"/>
                <c:pt idx="0">
                  <c:v>Neither agree nor disagree</c:v>
                </c:pt>
              </c:strCache>
            </c:strRef>
          </c:tx>
          <c:spPr>
            <a:solidFill>
              <a:srgbClr val="005EB8"/>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'q21, 27, 33, 41, 47, 53, 60, 66'!$N$6:$U$6</c:f>
              <c:strCache>
                <c:ptCount val="8"/>
                <c:pt idx="0">
                  <c:v>QS 8 </c:v>
                </c:pt>
                <c:pt idx="1">
                  <c:v>QS 7 </c:v>
                </c:pt>
                <c:pt idx="2">
                  <c:v>QS 6 </c:v>
                </c:pt>
                <c:pt idx="3">
                  <c:v>QS 5 </c:v>
                </c:pt>
                <c:pt idx="4">
                  <c:v>QS 4 </c:v>
                </c:pt>
                <c:pt idx="5">
                  <c:v>QS 3 </c:v>
                </c:pt>
                <c:pt idx="6">
                  <c:v>QS 2 </c:v>
                </c:pt>
                <c:pt idx="7">
                  <c:v>QS 1 </c:v>
                </c:pt>
              </c:strCache>
            </c:strRef>
          </c:cat>
          <c:val>
            <c:numRef>
              <c:f>'q21, 27, 33, 41, 47, 53, 60, 66'!$N$8:$U$8</c:f>
              <c:numCache>
                <c:formatCode>0%</c:formatCode>
                <c:ptCount val="8"/>
                <c:pt idx="0">
                  <c:v>0.13380281690140844</c:v>
                </c:pt>
                <c:pt idx="1">
                  <c:v>0.19285714285714287</c:v>
                </c:pt>
                <c:pt idx="2">
                  <c:v>9.4827586206896547E-2</c:v>
                </c:pt>
                <c:pt idx="3">
                  <c:v>0.14130434782608695</c:v>
                </c:pt>
                <c:pt idx="4">
                  <c:v>0.11764705882352941</c:v>
                </c:pt>
                <c:pt idx="5">
                  <c:v>0.17365269461077845</c:v>
                </c:pt>
                <c:pt idx="6">
                  <c:v>0.11920529801324503</c:v>
                </c:pt>
                <c:pt idx="7">
                  <c:v>0.12844036697247707</c:v>
                </c:pt>
              </c:numCache>
            </c:numRef>
          </c:val>
          <c:extLst>
            <c:ext xmlns:c16="http://schemas.microsoft.com/office/drawing/2014/chart" uri="{C3380CC4-5D6E-409C-BE32-E72D297353CC}">
              <c16:uniqueId val="{00000001-9E3A-468A-9003-3410F81681DB}"/>
            </c:ext>
          </c:extLst>
        </c:ser>
        <c:ser>
          <c:idx val="2"/>
          <c:order val="2"/>
          <c:tx>
            <c:strRef>
              <c:f>'q21, 27, 33, 41, 47, 53, 60, 66'!$M$9</c:f>
              <c:strCache>
                <c:ptCount val="1"/>
                <c:pt idx="0">
                  <c:v>Disagree</c:v>
                </c:pt>
              </c:strCache>
            </c:strRef>
          </c:tx>
          <c:spPr>
            <a:solidFill>
              <a:srgbClr val="0091DA"/>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'q21, 27, 33, 41, 47, 53, 60, 66'!$N$6:$U$6</c:f>
              <c:strCache>
                <c:ptCount val="8"/>
                <c:pt idx="0">
                  <c:v>QS 8 </c:v>
                </c:pt>
                <c:pt idx="1">
                  <c:v>QS 7 </c:v>
                </c:pt>
                <c:pt idx="2">
                  <c:v>QS 6 </c:v>
                </c:pt>
                <c:pt idx="3">
                  <c:v>QS 5 </c:v>
                </c:pt>
                <c:pt idx="4">
                  <c:v>QS 4 </c:v>
                </c:pt>
                <c:pt idx="5">
                  <c:v>QS 3 </c:v>
                </c:pt>
                <c:pt idx="6">
                  <c:v>QS 2 </c:v>
                </c:pt>
                <c:pt idx="7">
                  <c:v>QS 1 </c:v>
                </c:pt>
              </c:strCache>
            </c:strRef>
          </c:cat>
          <c:val>
            <c:numRef>
              <c:f>'q21, 27, 33, 41, 47, 53, 60, 66'!$N$9:$U$9</c:f>
              <c:numCache>
                <c:formatCode>0%</c:formatCode>
                <c:ptCount val="8"/>
                <c:pt idx="0">
                  <c:v>9.8591549295774641E-2</c:v>
                </c:pt>
                <c:pt idx="1">
                  <c:v>0.12142857142857143</c:v>
                </c:pt>
                <c:pt idx="2">
                  <c:v>0.11206896551724138</c:v>
                </c:pt>
                <c:pt idx="3">
                  <c:v>6.5217391304347824E-2</c:v>
                </c:pt>
                <c:pt idx="4">
                  <c:v>7.3529411764705885E-2</c:v>
                </c:pt>
                <c:pt idx="5">
                  <c:v>8.9820359281437126E-2</c:v>
                </c:pt>
                <c:pt idx="6">
                  <c:v>9.2715231788079472E-2</c:v>
                </c:pt>
                <c:pt idx="7">
                  <c:v>7.3394495412844041E-2</c:v>
                </c:pt>
              </c:numCache>
            </c:numRef>
          </c:val>
          <c:extLst>
            <c:ext xmlns:c16="http://schemas.microsoft.com/office/drawing/2014/chart" uri="{C3380CC4-5D6E-409C-BE32-E72D297353CC}">
              <c16:uniqueId val="{00000002-9E3A-468A-9003-3410F81681DB}"/>
            </c:ext>
          </c:extLst>
        </c:ser>
        <c:dLbls>
          <c:dLblPos val="ctr"/>
          <c:showLegendKey val="0"/>
          <c:showVal val="1"/>
          <c:showCatName val="0"/>
          <c:showSerName val="0"/>
          <c:showPercent val="0"/>
          <c:showBubbleSize val="0"/>
        </c:dLbls>
        <c:gapWidth val="50"/>
        <c:overlap val="100"/>
        <c:axId val="1310526560"/>
        <c:axId val="1469183648"/>
      </c:barChart>
      <c:catAx>
        <c:axId val="1310526560"/>
        <c:scaling>
          <c:orientation val="minMax"/>
        </c:scaling>
        <c:delete val="0"/>
        <c:axPos val="l"/>
        <c:numFmt formatCode="General" sourceLinked="1"/>
        <c:majorTickMark val="none"/>
        <c:minorTickMark val="none"/>
        <c:tickLblPos val="nextTo"/>
        <c:spPr>
          <a:noFill/>
          <a:ln w="9525" cap="flat" cmpd="sng" algn="ctr">
            <a:solidFill>
              <a:srgbClr val="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1469183648"/>
        <c:crosses val="autoZero"/>
        <c:auto val="1"/>
        <c:lblAlgn val="ctr"/>
        <c:lblOffset val="100"/>
        <c:noMultiLvlLbl val="0"/>
      </c:catAx>
      <c:valAx>
        <c:axId val="1469183648"/>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1310526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Univers 45 Light" pitchFamily="2" charset="0"/>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q17_1!$M$12</c:f>
              <c:strCache>
                <c:ptCount val="1"/>
                <c:pt idx="0">
                  <c:v>A great deal</c:v>
                </c:pt>
              </c:strCache>
            </c:strRef>
          </c:tx>
          <c:spPr>
            <a:solidFill>
              <a:srgbClr val="00338D"/>
            </a:solidFill>
            <a:ln>
              <a:noFill/>
            </a:ln>
            <a:effectLst/>
          </c:spPr>
          <c:invertIfNegative val="0"/>
          <c:dLbls>
            <c:dLbl>
              <c:idx val="1"/>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4FA1-457C-B597-297BBB3F2CCB}"/>
                </c:ext>
              </c:extLst>
            </c:dLbl>
            <c:dLbl>
              <c:idx val="4"/>
              <c:layout>
                <c:manualLayout>
                  <c:x val="8.169934640522826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FA1-457C-B597-297BBB3F2CCB}"/>
                </c:ext>
              </c:extLst>
            </c:dLbl>
            <c:dLbl>
              <c:idx val="5"/>
              <c:layout>
                <c:manualLayout>
                  <c:x val="1.0893246187363785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FA1-457C-B597-297BBB3F2CCB}"/>
                </c:ext>
              </c:extLst>
            </c:dLbl>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q17_1!$N$11:$S$11</c:f>
              <c:strCache>
                <c:ptCount val="6"/>
                <c:pt idx="0">
                  <c:v>Other</c:v>
                </c:pt>
                <c:pt idx="1">
                  <c:v>Aged care workers/Health professionals</c:v>
                </c:pt>
                <c:pt idx="2">
                  <c:v>Aged care service provider</c:v>
                </c:pt>
                <c:pt idx="3">
                  <c:v>Provider peak body</c:v>
                </c:pt>
                <c:pt idx="4">
                  <c:v>Consumer peak body</c:v>
                </c:pt>
                <c:pt idx="5">
                  <c:v>Consumer, carer or family member</c:v>
                </c:pt>
              </c:strCache>
            </c:strRef>
          </c:cat>
          <c:val>
            <c:numRef>
              <c:f>q17_1!$N$12:$S$12</c:f>
              <c:numCache>
                <c:formatCode>0%</c:formatCode>
                <c:ptCount val="6"/>
                <c:pt idx="0">
                  <c:v>0.09</c:v>
                </c:pt>
                <c:pt idx="1">
                  <c:v>7.5528700906344406E-2</c:v>
                </c:pt>
                <c:pt idx="2">
                  <c:v>7.829977628635347E-2</c:v>
                </c:pt>
                <c:pt idx="3">
                  <c:v>0.05</c:v>
                </c:pt>
                <c:pt idx="4">
                  <c:v>4.3478260869565216E-2</c:v>
                </c:pt>
                <c:pt idx="5">
                  <c:v>2.5352112676056339E-2</c:v>
                </c:pt>
              </c:numCache>
            </c:numRef>
          </c:val>
          <c:extLst>
            <c:ext xmlns:c16="http://schemas.microsoft.com/office/drawing/2014/chart" uri="{C3380CC4-5D6E-409C-BE32-E72D297353CC}">
              <c16:uniqueId val="{00000003-4FA1-457C-B597-297BBB3F2CCB}"/>
            </c:ext>
          </c:extLst>
        </c:ser>
        <c:ser>
          <c:idx val="1"/>
          <c:order val="1"/>
          <c:tx>
            <c:strRef>
              <c:f>q17_1!$M$13</c:f>
              <c:strCache>
                <c:ptCount val="1"/>
                <c:pt idx="0">
                  <c:v>A lot</c:v>
                </c:pt>
              </c:strCache>
            </c:strRef>
          </c:tx>
          <c:spPr>
            <a:solidFill>
              <a:srgbClr val="005EB8"/>
            </a:solidFill>
            <a:ln>
              <a:noFill/>
            </a:ln>
            <a:effectLst/>
          </c:spPr>
          <c:invertIfNegative val="0"/>
          <c:dLbls>
            <c:dLbl>
              <c:idx val="0"/>
              <c:layout>
                <c:manualLayout>
                  <c:x val="1.9444444444444393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FA1-457C-B597-297BBB3F2CCB}"/>
                </c:ext>
              </c:extLst>
            </c:dLbl>
            <c:dLbl>
              <c:idx val="1"/>
              <c:layout>
                <c:manualLayout>
                  <c:x val="2.5000000000000001E-2"/>
                  <c:y val="-8.4875562720133283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FA1-457C-B597-297BBB3F2CCB}"/>
                </c:ext>
              </c:extLst>
            </c:dLbl>
            <c:dLbl>
              <c:idx val="4"/>
              <c:layout>
                <c:manualLayout>
                  <c:x val="1.906318082788671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FA1-457C-B597-297BBB3F2CCB}"/>
                </c:ext>
              </c:extLst>
            </c:dLbl>
            <c:dLbl>
              <c:idx val="5"/>
              <c:layout>
                <c:manualLayout>
                  <c:x val="2.450980392156862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FA1-457C-B597-297BBB3F2CCB}"/>
                </c:ext>
              </c:extLst>
            </c:dLbl>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q17_1!$N$11:$S$11</c:f>
              <c:strCache>
                <c:ptCount val="6"/>
                <c:pt idx="0">
                  <c:v>Other</c:v>
                </c:pt>
                <c:pt idx="1">
                  <c:v>Aged care workers/Health professionals</c:v>
                </c:pt>
                <c:pt idx="2">
                  <c:v>Aged care service provider</c:v>
                </c:pt>
                <c:pt idx="3">
                  <c:v>Provider peak body</c:v>
                </c:pt>
                <c:pt idx="4">
                  <c:v>Consumer peak body</c:v>
                </c:pt>
                <c:pt idx="5">
                  <c:v>Consumer, carer or family member</c:v>
                </c:pt>
              </c:strCache>
            </c:strRef>
          </c:cat>
          <c:val>
            <c:numRef>
              <c:f>q17_1!$N$13:$S$13</c:f>
              <c:numCache>
                <c:formatCode>0%</c:formatCode>
                <c:ptCount val="6"/>
                <c:pt idx="0">
                  <c:v>0.1</c:v>
                </c:pt>
                <c:pt idx="1">
                  <c:v>0.16012084592145015</c:v>
                </c:pt>
                <c:pt idx="2">
                  <c:v>0.22147651006711411</c:v>
                </c:pt>
                <c:pt idx="3">
                  <c:v>0.1</c:v>
                </c:pt>
                <c:pt idx="4">
                  <c:v>4.3478260869565216E-2</c:v>
                </c:pt>
                <c:pt idx="5">
                  <c:v>0.10422535211267606</c:v>
                </c:pt>
              </c:numCache>
            </c:numRef>
          </c:val>
          <c:extLst>
            <c:ext xmlns:c16="http://schemas.microsoft.com/office/drawing/2014/chart" uri="{C3380CC4-5D6E-409C-BE32-E72D297353CC}">
              <c16:uniqueId val="{00000008-4FA1-457C-B597-297BBB3F2CCB}"/>
            </c:ext>
          </c:extLst>
        </c:ser>
        <c:ser>
          <c:idx val="2"/>
          <c:order val="2"/>
          <c:tx>
            <c:strRef>
              <c:f>q17_1!$M$14</c:f>
              <c:strCache>
                <c:ptCount val="1"/>
                <c:pt idx="0">
                  <c:v>Somewhat</c:v>
                </c:pt>
              </c:strCache>
            </c:strRef>
          </c:tx>
          <c:spPr>
            <a:solidFill>
              <a:srgbClr val="0091DA"/>
            </a:solidFill>
            <a:ln>
              <a:noFill/>
            </a:ln>
            <a:effectLst/>
          </c:spPr>
          <c:invertIfNegative val="0"/>
          <c:dLbls>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q17_1!$N$11:$S$11</c:f>
              <c:strCache>
                <c:ptCount val="6"/>
                <c:pt idx="0">
                  <c:v>Other</c:v>
                </c:pt>
                <c:pt idx="1">
                  <c:v>Aged care workers/Health professionals</c:v>
                </c:pt>
                <c:pt idx="2">
                  <c:v>Aged care service provider</c:v>
                </c:pt>
                <c:pt idx="3">
                  <c:v>Provider peak body</c:v>
                </c:pt>
                <c:pt idx="4">
                  <c:v>Consumer peak body</c:v>
                </c:pt>
                <c:pt idx="5">
                  <c:v>Consumer, carer or family member</c:v>
                </c:pt>
              </c:strCache>
            </c:strRef>
          </c:cat>
          <c:val>
            <c:numRef>
              <c:f>q17_1!$N$14:$S$14</c:f>
              <c:numCache>
                <c:formatCode>0%</c:formatCode>
                <c:ptCount val="6"/>
                <c:pt idx="0">
                  <c:v>0.47</c:v>
                </c:pt>
                <c:pt idx="1">
                  <c:v>0.37764350453172207</c:v>
                </c:pt>
                <c:pt idx="2">
                  <c:v>0.48322147651006714</c:v>
                </c:pt>
                <c:pt idx="3">
                  <c:v>0.6</c:v>
                </c:pt>
                <c:pt idx="4">
                  <c:v>0.47826086956521741</c:v>
                </c:pt>
                <c:pt idx="5">
                  <c:v>0.39436619718309857</c:v>
                </c:pt>
              </c:numCache>
            </c:numRef>
          </c:val>
          <c:extLst>
            <c:ext xmlns:c16="http://schemas.microsoft.com/office/drawing/2014/chart" uri="{C3380CC4-5D6E-409C-BE32-E72D297353CC}">
              <c16:uniqueId val="{00000009-4FA1-457C-B597-297BBB3F2CCB}"/>
            </c:ext>
          </c:extLst>
        </c:ser>
        <c:ser>
          <c:idx val="3"/>
          <c:order val="3"/>
          <c:tx>
            <c:strRef>
              <c:f>q17_1!$M$15</c:f>
              <c:strCache>
                <c:ptCount val="1"/>
                <c:pt idx="0">
                  <c:v>Little</c:v>
                </c:pt>
              </c:strCache>
            </c:strRef>
          </c:tx>
          <c:spPr>
            <a:solidFill>
              <a:srgbClr val="00A3A1"/>
            </a:solidFill>
            <a:ln>
              <a:noFill/>
            </a:ln>
            <a:effectLst/>
          </c:spPr>
          <c:invertIfNegative val="0"/>
          <c:dLbls>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q17_1!$N$11:$S$11</c:f>
              <c:strCache>
                <c:ptCount val="6"/>
                <c:pt idx="0">
                  <c:v>Other</c:v>
                </c:pt>
                <c:pt idx="1">
                  <c:v>Aged care workers/Health professionals</c:v>
                </c:pt>
                <c:pt idx="2">
                  <c:v>Aged care service provider</c:v>
                </c:pt>
                <c:pt idx="3">
                  <c:v>Provider peak body</c:v>
                </c:pt>
                <c:pt idx="4">
                  <c:v>Consumer peak body</c:v>
                </c:pt>
                <c:pt idx="5">
                  <c:v>Consumer, carer or family member</c:v>
                </c:pt>
              </c:strCache>
            </c:strRef>
          </c:cat>
          <c:val>
            <c:numRef>
              <c:f>q17_1!$N$15:$S$15</c:f>
              <c:numCache>
                <c:formatCode>0%</c:formatCode>
                <c:ptCount val="6"/>
                <c:pt idx="0">
                  <c:v>0.23</c:v>
                </c:pt>
                <c:pt idx="1">
                  <c:v>0.19335347432024169</c:v>
                </c:pt>
                <c:pt idx="2">
                  <c:v>0.14541387024608501</c:v>
                </c:pt>
                <c:pt idx="3">
                  <c:v>0.25</c:v>
                </c:pt>
                <c:pt idx="4">
                  <c:v>0.30434782608695654</c:v>
                </c:pt>
                <c:pt idx="5">
                  <c:v>0.26197183098591548</c:v>
                </c:pt>
              </c:numCache>
            </c:numRef>
          </c:val>
          <c:extLst>
            <c:ext xmlns:c16="http://schemas.microsoft.com/office/drawing/2014/chart" uri="{C3380CC4-5D6E-409C-BE32-E72D297353CC}">
              <c16:uniqueId val="{0000000A-4FA1-457C-B597-297BBB3F2CCB}"/>
            </c:ext>
          </c:extLst>
        </c:ser>
        <c:ser>
          <c:idx val="4"/>
          <c:order val="4"/>
          <c:tx>
            <c:strRef>
              <c:f>q17_1!$M$16</c:f>
              <c:strCache>
                <c:ptCount val="1"/>
                <c:pt idx="0">
                  <c:v>Not at all</c:v>
                </c:pt>
              </c:strCache>
            </c:strRef>
          </c:tx>
          <c:spPr>
            <a:solidFill>
              <a:srgbClr val="6D2077"/>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F818-4C7A-9661-6BE2C9DE1729}"/>
                </c:ext>
              </c:extLst>
            </c:dLbl>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q17_1!$N$11:$S$11</c:f>
              <c:strCache>
                <c:ptCount val="6"/>
                <c:pt idx="0">
                  <c:v>Other</c:v>
                </c:pt>
                <c:pt idx="1">
                  <c:v>Aged care workers/Health professionals</c:v>
                </c:pt>
                <c:pt idx="2">
                  <c:v>Aged care service provider</c:v>
                </c:pt>
                <c:pt idx="3">
                  <c:v>Provider peak body</c:v>
                </c:pt>
                <c:pt idx="4">
                  <c:v>Consumer peak body</c:v>
                </c:pt>
                <c:pt idx="5">
                  <c:v>Consumer, carer or family member</c:v>
                </c:pt>
              </c:strCache>
            </c:strRef>
          </c:cat>
          <c:val>
            <c:numRef>
              <c:f>q17_1!$N$16:$S$16</c:f>
              <c:numCache>
                <c:formatCode>0%</c:formatCode>
                <c:ptCount val="6"/>
                <c:pt idx="0">
                  <c:v>0.11</c:v>
                </c:pt>
                <c:pt idx="1">
                  <c:v>0.19335347432024169</c:v>
                </c:pt>
                <c:pt idx="2">
                  <c:v>7.1588366890380312E-2</c:v>
                </c:pt>
                <c:pt idx="3">
                  <c:v>0</c:v>
                </c:pt>
                <c:pt idx="4">
                  <c:v>0.13043478260869565</c:v>
                </c:pt>
                <c:pt idx="5">
                  <c:v>0.21408450704225351</c:v>
                </c:pt>
              </c:numCache>
            </c:numRef>
          </c:val>
          <c:extLst>
            <c:ext xmlns:c16="http://schemas.microsoft.com/office/drawing/2014/chart" uri="{C3380CC4-5D6E-409C-BE32-E72D297353CC}">
              <c16:uniqueId val="{0000000B-4FA1-457C-B597-297BBB3F2CCB}"/>
            </c:ext>
          </c:extLst>
        </c:ser>
        <c:dLbls>
          <c:dLblPos val="ctr"/>
          <c:showLegendKey val="0"/>
          <c:showVal val="1"/>
          <c:showCatName val="0"/>
          <c:showSerName val="0"/>
          <c:showPercent val="0"/>
          <c:showBubbleSize val="0"/>
        </c:dLbls>
        <c:gapWidth val="50"/>
        <c:overlap val="100"/>
        <c:axId val="563250016"/>
        <c:axId val="563255008"/>
      </c:barChart>
      <c:catAx>
        <c:axId val="563250016"/>
        <c:scaling>
          <c:orientation val="minMax"/>
        </c:scaling>
        <c:delete val="0"/>
        <c:axPos val="l"/>
        <c:numFmt formatCode="General" sourceLinked="1"/>
        <c:majorTickMark val="none"/>
        <c:minorTickMark val="none"/>
        <c:tickLblPos val="nextTo"/>
        <c:spPr>
          <a:noFill/>
          <a:ln w="9525" cap="flat" cmpd="sng" algn="ctr">
            <a:solidFill>
              <a:srgbClr val="000000"/>
            </a:solidFill>
            <a:round/>
          </a:ln>
          <a:effectLst/>
        </c:spPr>
        <c:txPr>
          <a:bodyPr rot="-60000000" vert="horz"/>
          <a:lstStyle/>
          <a:p>
            <a:pPr>
              <a:defRPr/>
            </a:pPr>
            <a:endParaRPr lang="en-US"/>
          </a:p>
        </c:txPr>
        <c:crossAx val="563255008"/>
        <c:crosses val="autoZero"/>
        <c:auto val="1"/>
        <c:lblAlgn val="ctr"/>
        <c:lblOffset val="100"/>
        <c:noMultiLvlLbl val="0"/>
      </c:catAx>
      <c:valAx>
        <c:axId val="563255008"/>
        <c:scaling>
          <c:orientation val="minMax"/>
          <c:max val="1"/>
        </c:scaling>
        <c:delete val="0"/>
        <c:axPos val="b"/>
        <c:numFmt formatCode="0%" sourceLinked="1"/>
        <c:majorTickMark val="none"/>
        <c:minorTickMark val="none"/>
        <c:tickLblPos val="nextTo"/>
        <c:spPr>
          <a:noFill/>
          <a:ln>
            <a:noFill/>
          </a:ln>
          <a:effectLst/>
        </c:spPr>
        <c:txPr>
          <a:bodyPr rot="-60000000" vert="horz"/>
          <a:lstStyle/>
          <a:p>
            <a:pPr>
              <a:defRPr/>
            </a:pPr>
            <a:endParaRPr lang="en-US"/>
          </a:p>
        </c:txPr>
        <c:crossAx val="563250016"/>
        <c:crosses val="autoZero"/>
        <c:crossBetween val="between"/>
      </c:val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Univers 45 Light" pitchFamily="2"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q17_3!$M$12</c:f>
              <c:strCache>
                <c:ptCount val="1"/>
                <c:pt idx="0">
                  <c:v>A great deal</c:v>
                </c:pt>
              </c:strCache>
            </c:strRef>
          </c:tx>
          <c:spPr>
            <a:solidFill>
              <a:srgbClr val="00338D"/>
            </a:solidFill>
            <a:ln>
              <a:noFill/>
            </a:ln>
            <a:effectLst/>
          </c:spPr>
          <c:invertIfNegative val="0"/>
          <c:dLbls>
            <c:dLbl>
              <c:idx val="1"/>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EA22-4D39-BC83-8E3DED832A0F}"/>
                </c:ext>
              </c:extLst>
            </c:dLbl>
            <c:dLbl>
              <c:idx val="4"/>
              <c:delete val="1"/>
              <c:extLst>
                <c:ext xmlns:c15="http://schemas.microsoft.com/office/drawing/2012/chart" uri="{CE6537A1-D6FC-4f65-9D91-7224C49458BB}"/>
                <c:ext xmlns:c16="http://schemas.microsoft.com/office/drawing/2014/chart" uri="{C3380CC4-5D6E-409C-BE32-E72D297353CC}">
                  <c16:uniqueId val="{00000001-EA22-4D39-BC83-8E3DED832A0F}"/>
                </c:ext>
              </c:extLst>
            </c:dLbl>
            <c:dLbl>
              <c:idx val="5"/>
              <c:layout>
                <c:manualLayout>
                  <c:x val="1.0893246187363785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A22-4D39-BC83-8E3DED832A0F}"/>
                </c:ext>
              </c:extLst>
            </c:dLbl>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q17_3!$N$11:$S$11</c:f>
              <c:strCache>
                <c:ptCount val="6"/>
                <c:pt idx="0">
                  <c:v>Other</c:v>
                </c:pt>
                <c:pt idx="1">
                  <c:v>Aged care workers/Health professionals</c:v>
                </c:pt>
                <c:pt idx="2">
                  <c:v>Aged care service provider</c:v>
                </c:pt>
                <c:pt idx="3">
                  <c:v>Provider peak body</c:v>
                </c:pt>
                <c:pt idx="4">
                  <c:v>Consumer peak body</c:v>
                </c:pt>
                <c:pt idx="5">
                  <c:v>Consumer, carer or family member</c:v>
                </c:pt>
              </c:strCache>
            </c:strRef>
          </c:cat>
          <c:val>
            <c:numRef>
              <c:f>q17_3!$N$12:$S$12</c:f>
              <c:numCache>
                <c:formatCode>0%</c:formatCode>
                <c:ptCount val="6"/>
                <c:pt idx="0">
                  <c:v>6.1224489795918366E-2</c:v>
                </c:pt>
                <c:pt idx="1">
                  <c:v>6.363636363636363E-2</c:v>
                </c:pt>
                <c:pt idx="2">
                  <c:v>6.25E-2</c:v>
                </c:pt>
                <c:pt idx="3">
                  <c:v>0.05</c:v>
                </c:pt>
                <c:pt idx="4">
                  <c:v>0</c:v>
                </c:pt>
                <c:pt idx="5">
                  <c:v>1.9553072625698324E-2</c:v>
                </c:pt>
              </c:numCache>
            </c:numRef>
          </c:val>
          <c:extLst>
            <c:ext xmlns:c16="http://schemas.microsoft.com/office/drawing/2014/chart" uri="{C3380CC4-5D6E-409C-BE32-E72D297353CC}">
              <c16:uniqueId val="{00000003-EA22-4D39-BC83-8E3DED832A0F}"/>
            </c:ext>
          </c:extLst>
        </c:ser>
        <c:ser>
          <c:idx val="1"/>
          <c:order val="1"/>
          <c:tx>
            <c:strRef>
              <c:f>q17_3!$M$13</c:f>
              <c:strCache>
                <c:ptCount val="1"/>
                <c:pt idx="0">
                  <c:v>A lot</c:v>
                </c:pt>
              </c:strCache>
            </c:strRef>
          </c:tx>
          <c:spPr>
            <a:solidFill>
              <a:srgbClr val="005EB8"/>
            </a:solidFill>
            <a:ln>
              <a:noFill/>
            </a:ln>
            <a:effectLst/>
          </c:spPr>
          <c:invertIfNegative val="0"/>
          <c:dLbls>
            <c:dLbl>
              <c:idx val="0"/>
              <c:layout>
                <c:manualLayout>
                  <c:x val="1.9444444444444393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A22-4D39-BC83-8E3DED832A0F}"/>
                </c:ext>
              </c:extLst>
            </c:dLbl>
            <c:dLbl>
              <c:idx val="1"/>
              <c:layout>
                <c:manualLayout>
                  <c:x val="2.5000000000000001E-2"/>
                  <c:y val="-8.4875562720133283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A22-4D39-BC83-8E3DED832A0F}"/>
                </c:ext>
              </c:extLst>
            </c:dLbl>
            <c:dLbl>
              <c:idx val="4"/>
              <c:layout>
                <c:manualLayout>
                  <c:x val="-7.3977549939664381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A22-4D39-BC83-8E3DED832A0F}"/>
                </c:ext>
              </c:extLst>
            </c:dLbl>
            <c:dLbl>
              <c:idx val="5"/>
              <c:layout>
                <c:manualLayout>
                  <c:x val="2.450980392156862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A22-4D39-BC83-8E3DED832A0F}"/>
                </c:ext>
              </c:extLst>
            </c:dLbl>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q17_3!$N$11:$S$11</c:f>
              <c:strCache>
                <c:ptCount val="6"/>
                <c:pt idx="0">
                  <c:v>Other</c:v>
                </c:pt>
                <c:pt idx="1">
                  <c:v>Aged care workers/Health professionals</c:v>
                </c:pt>
                <c:pt idx="2">
                  <c:v>Aged care service provider</c:v>
                </c:pt>
                <c:pt idx="3">
                  <c:v>Provider peak body</c:v>
                </c:pt>
                <c:pt idx="4">
                  <c:v>Consumer peak body</c:v>
                </c:pt>
                <c:pt idx="5">
                  <c:v>Consumer, carer or family member</c:v>
                </c:pt>
              </c:strCache>
            </c:strRef>
          </c:cat>
          <c:val>
            <c:numRef>
              <c:f>q17_3!$N$13:$S$13</c:f>
              <c:numCache>
                <c:formatCode>0%</c:formatCode>
                <c:ptCount val="6"/>
                <c:pt idx="0">
                  <c:v>0.10204081632653061</c:v>
                </c:pt>
                <c:pt idx="1">
                  <c:v>0.1787878787878788</c:v>
                </c:pt>
                <c:pt idx="2">
                  <c:v>0.25</c:v>
                </c:pt>
                <c:pt idx="3">
                  <c:v>0.05</c:v>
                </c:pt>
                <c:pt idx="4">
                  <c:v>0.17391304347826086</c:v>
                </c:pt>
                <c:pt idx="5">
                  <c:v>0.10893854748603352</c:v>
                </c:pt>
              </c:numCache>
            </c:numRef>
          </c:val>
          <c:extLst>
            <c:ext xmlns:c16="http://schemas.microsoft.com/office/drawing/2014/chart" uri="{C3380CC4-5D6E-409C-BE32-E72D297353CC}">
              <c16:uniqueId val="{00000008-EA22-4D39-BC83-8E3DED832A0F}"/>
            </c:ext>
          </c:extLst>
        </c:ser>
        <c:ser>
          <c:idx val="2"/>
          <c:order val="2"/>
          <c:tx>
            <c:strRef>
              <c:f>q17_3!$M$14</c:f>
              <c:strCache>
                <c:ptCount val="1"/>
                <c:pt idx="0">
                  <c:v>Somewhat</c:v>
                </c:pt>
              </c:strCache>
            </c:strRef>
          </c:tx>
          <c:spPr>
            <a:solidFill>
              <a:srgbClr val="0091DA"/>
            </a:solidFill>
            <a:ln>
              <a:noFill/>
            </a:ln>
            <a:effectLst/>
          </c:spPr>
          <c:invertIfNegative val="0"/>
          <c:dLbls>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q17_3!$N$11:$S$11</c:f>
              <c:strCache>
                <c:ptCount val="6"/>
                <c:pt idx="0">
                  <c:v>Other</c:v>
                </c:pt>
                <c:pt idx="1">
                  <c:v>Aged care workers/Health professionals</c:v>
                </c:pt>
                <c:pt idx="2">
                  <c:v>Aged care service provider</c:v>
                </c:pt>
                <c:pt idx="3">
                  <c:v>Provider peak body</c:v>
                </c:pt>
                <c:pt idx="4">
                  <c:v>Consumer peak body</c:v>
                </c:pt>
                <c:pt idx="5">
                  <c:v>Consumer, carer or family member</c:v>
                </c:pt>
              </c:strCache>
            </c:strRef>
          </c:cat>
          <c:val>
            <c:numRef>
              <c:f>q17_3!$N$14:$S$14</c:f>
              <c:numCache>
                <c:formatCode>0%</c:formatCode>
                <c:ptCount val="6"/>
                <c:pt idx="0">
                  <c:v>0.42857142857142855</c:v>
                </c:pt>
                <c:pt idx="1">
                  <c:v>0.36666666666666664</c:v>
                </c:pt>
                <c:pt idx="2">
                  <c:v>0.42857142857142855</c:v>
                </c:pt>
                <c:pt idx="3">
                  <c:v>0.6</c:v>
                </c:pt>
                <c:pt idx="4">
                  <c:v>0.34782608695652173</c:v>
                </c:pt>
                <c:pt idx="5">
                  <c:v>0.33798882681564246</c:v>
                </c:pt>
              </c:numCache>
            </c:numRef>
          </c:val>
          <c:extLst>
            <c:ext xmlns:c16="http://schemas.microsoft.com/office/drawing/2014/chart" uri="{C3380CC4-5D6E-409C-BE32-E72D297353CC}">
              <c16:uniqueId val="{00000009-EA22-4D39-BC83-8E3DED832A0F}"/>
            </c:ext>
          </c:extLst>
        </c:ser>
        <c:ser>
          <c:idx val="3"/>
          <c:order val="3"/>
          <c:tx>
            <c:strRef>
              <c:f>q17_3!$M$15</c:f>
              <c:strCache>
                <c:ptCount val="1"/>
                <c:pt idx="0">
                  <c:v>Little</c:v>
                </c:pt>
              </c:strCache>
            </c:strRef>
          </c:tx>
          <c:spPr>
            <a:solidFill>
              <a:srgbClr val="00A3A1"/>
            </a:solidFill>
            <a:ln>
              <a:noFill/>
            </a:ln>
            <a:effectLst/>
          </c:spPr>
          <c:invertIfNegative val="0"/>
          <c:dLbls>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q17_3!$N$11:$S$11</c:f>
              <c:strCache>
                <c:ptCount val="6"/>
                <c:pt idx="0">
                  <c:v>Other</c:v>
                </c:pt>
                <c:pt idx="1">
                  <c:v>Aged care workers/Health professionals</c:v>
                </c:pt>
                <c:pt idx="2">
                  <c:v>Aged care service provider</c:v>
                </c:pt>
                <c:pt idx="3">
                  <c:v>Provider peak body</c:v>
                </c:pt>
                <c:pt idx="4">
                  <c:v>Consumer peak body</c:v>
                </c:pt>
                <c:pt idx="5">
                  <c:v>Consumer, carer or family member</c:v>
                </c:pt>
              </c:strCache>
            </c:strRef>
          </c:cat>
          <c:val>
            <c:numRef>
              <c:f>q17_3!$N$15:$S$15</c:f>
              <c:numCache>
                <c:formatCode>0%</c:formatCode>
                <c:ptCount val="6"/>
                <c:pt idx="0">
                  <c:v>0.22448979591836735</c:v>
                </c:pt>
                <c:pt idx="1">
                  <c:v>0.22424242424242424</c:v>
                </c:pt>
                <c:pt idx="2">
                  <c:v>0.16964285714285715</c:v>
                </c:pt>
                <c:pt idx="3">
                  <c:v>0.2</c:v>
                </c:pt>
                <c:pt idx="4">
                  <c:v>0.34782608695652173</c:v>
                </c:pt>
                <c:pt idx="5">
                  <c:v>0.27094972067039108</c:v>
                </c:pt>
              </c:numCache>
            </c:numRef>
          </c:val>
          <c:extLst>
            <c:ext xmlns:c16="http://schemas.microsoft.com/office/drawing/2014/chart" uri="{C3380CC4-5D6E-409C-BE32-E72D297353CC}">
              <c16:uniqueId val="{0000000A-EA22-4D39-BC83-8E3DED832A0F}"/>
            </c:ext>
          </c:extLst>
        </c:ser>
        <c:ser>
          <c:idx val="4"/>
          <c:order val="4"/>
          <c:tx>
            <c:strRef>
              <c:f>q17_3!$M$16</c:f>
              <c:strCache>
                <c:ptCount val="1"/>
                <c:pt idx="0">
                  <c:v>Not at all</c:v>
                </c:pt>
              </c:strCache>
            </c:strRef>
          </c:tx>
          <c:spPr>
            <a:solidFill>
              <a:srgbClr val="6D2077"/>
            </a:solidFill>
            <a:ln>
              <a:noFill/>
            </a:ln>
            <a:effectLst/>
          </c:spPr>
          <c:invertIfNegative val="0"/>
          <c:dLbls>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q17_3!$N$11:$S$11</c:f>
              <c:strCache>
                <c:ptCount val="6"/>
                <c:pt idx="0">
                  <c:v>Other</c:v>
                </c:pt>
                <c:pt idx="1">
                  <c:v>Aged care workers/Health professionals</c:v>
                </c:pt>
                <c:pt idx="2">
                  <c:v>Aged care service provider</c:v>
                </c:pt>
                <c:pt idx="3">
                  <c:v>Provider peak body</c:v>
                </c:pt>
                <c:pt idx="4">
                  <c:v>Consumer peak body</c:v>
                </c:pt>
                <c:pt idx="5">
                  <c:v>Consumer, carer or family member</c:v>
                </c:pt>
              </c:strCache>
            </c:strRef>
          </c:cat>
          <c:val>
            <c:numRef>
              <c:f>q17_3!$N$16:$S$16</c:f>
              <c:numCache>
                <c:formatCode>0%</c:formatCode>
                <c:ptCount val="6"/>
                <c:pt idx="0">
                  <c:v>0.18367346938775511</c:v>
                </c:pt>
                <c:pt idx="1">
                  <c:v>0.16666666666666666</c:v>
                </c:pt>
                <c:pt idx="2">
                  <c:v>8.9285714285714288E-2</c:v>
                </c:pt>
                <c:pt idx="3">
                  <c:v>0.1</c:v>
                </c:pt>
                <c:pt idx="4">
                  <c:v>0.13043478260869565</c:v>
                </c:pt>
                <c:pt idx="5">
                  <c:v>0.26256983240223464</c:v>
                </c:pt>
              </c:numCache>
            </c:numRef>
          </c:val>
          <c:extLst>
            <c:ext xmlns:c16="http://schemas.microsoft.com/office/drawing/2014/chart" uri="{C3380CC4-5D6E-409C-BE32-E72D297353CC}">
              <c16:uniqueId val="{0000000B-EA22-4D39-BC83-8E3DED832A0F}"/>
            </c:ext>
          </c:extLst>
        </c:ser>
        <c:dLbls>
          <c:dLblPos val="ctr"/>
          <c:showLegendKey val="0"/>
          <c:showVal val="1"/>
          <c:showCatName val="0"/>
          <c:showSerName val="0"/>
          <c:showPercent val="0"/>
          <c:showBubbleSize val="0"/>
        </c:dLbls>
        <c:gapWidth val="50"/>
        <c:overlap val="100"/>
        <c:axId val="563250016"/>
        <c:axId val="563255008"/>
      </c:barChart>
      <c:catAx>
        <c:axId val="563250016"/>
        <c:scaling>
          <c:orientation val="minMax"/>
        </c:scaling>
        <c:delete val="0"/>
        <c:axPos val="l"/>
        <c:numFmt formatCode="General" sourceLinked="1"/>
        <c:majorTickMark val="none"/>
        <c:minorTickMark val="none"/>
        <c:tickLblPos val="nextTo"/>
        <c:spPr>
          <a:noFill/>
          <a:ln w="9525" cap="flat" cmpd="sng" algn="ctr">
            <a:solidFill>
              <a:srgbClr val="000000"/>
            </a:solidFill>
            <a:round/>
          </a:ln>
          <a:effectLst/>
        </c:spPr>
        <c:txPr>
          <a:bodyPr rot="-60000000" vert="horz"/>
          <a:lstStyle/>
          <a:p>
            <a:pPr>
              <a:defRPr/>
            </a:pPr>
            <a:endParaRPr lang="en-US"/>
          </a:p>
        </c:txPr>
        <c:crossAx val="563255008"/>
        <c:crosses val="autoZero"/>
        <c:auto val="1"/>
        <c:lblAlgn val="ctr"/>
        <c:lblOffset val="100"/>
        <c:noMultiLvlLbl val="0"/>
      </c:catAx>
      <c:valAx>
        <c:axId val="563255008"/>
        <c:scaling>
          <c:orientation val="minMax"/>
          <c:max val="1"/>
        </c:scaling>
        <c:delete val="0"/>
        <c:axPos val="b"/>
        <c:numFmt formatCode="0%" sourceLinked="1"/>
        <c:majorTickMark val="none"/>
        <c:minorTickMark val="none"/>
        <c:tickLblPos val="nextTo"/>
        <c:spPr>
          <a:noFill/>
          <a:ln>
            <a:noFill/>
          </a:ln>
          <a:effectLst/>
        </c:spPr>
        <c:txPr>
          <a:bodyPr rot="-60000000" vert="horz"/>
          <a:lstStyle/>
          <a:p>
            <a:pPr>
              <a:defRPr/>
            </a:pPr>
            <a:endParaRPr lang="en-US"/>
          </a:p>
        </c:txPr>
        <c:crossAx val="563250016"/>
        <c:crosses val="autoZero"/>
        <c:crossBetween val="between"/>
      </c:val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Univers 45 Light" pitchFamily="2"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q17_2!$M$12</c:f>
              <c:strCache>
                <c:ptCount val="1"/>
                <c:pt idx="0">
                  <c:v>A great deal</c:v>
                </c:pt>
              </c:strCache>
            </c:strRef>
          </c:tx>
          <c:spPr>
            <a:solidFill>
              <a:srgbClr val="00338D"/>
            </a:solidFill>
            <a:ln>
              <a:noFill/>
            </a:ln>
            <a:effectLst/>
          </c:spPr>
          <c:invertIfNegative val="0"/>
          <c:dLbls>
            <c:dLbl>
              <c:idx val="1"/>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8A4E-4966-8327-1D5C01A64C1A}"/>
                </c:ext>
              </c:extLst>
            </c:dLbl>
            <c:dLbl>
              <c:idx val="4"/>
              <c:layout>
                <c:manualLayout>
                  <c:x val="8.169934640522826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A4E-4966-8327-1D5C01A64C1A}"/>
                </c:ext>
              </c:extLst>
            </c:dLbl>
            <c:dLbl>
              <c:idx val="5"/>
              <c:layout>
                <c:manualLayout>
                  <c:x val="1.0893246187363785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A4E-4966-8327-1D5C01A64C1A}"/>
                </c:ext>
              </c:extLst>
            </c:dLbl>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q17_2!$N$11:$S$11</c:f>
              <c:strCache>
                <c:ptCount val="6"/>
                <c:pt idx="0">
                  <c:v>Other</c:v>
                </c:pt>
                <c:pt idx="1">
                  <c:v>Aged care workers/Health professionals</c:v>
                </c:pt>
                <c:pt idx="2">
                  <c:v>Aged care service provider</c:v>
                </c:pt>
                <c:pt idx="3">
                  <c:v>Provider peak body</c:v>
                </c:pt>
                <c:pt idx="4">
                  <c:v>Consumer peak body</c:v>
                </c:pt>
                <c:pt idx="5">
                  <c:v>Consumer, carer or family member</c:v>
                </c:pt>
              </c:strCache>
            </c:strRef>
          </c:cat>
          <c:val>
            <c:numRef>
              <c:f>q17_2!$N$12:$S$12</c:f>
              <c:numCache>
                <c:formatCode>0%</c:formatCode>
                <c:ptCount val="6"/>
                <c:pt idx="0">
                  <c:v>6.0606060606060608E-2</c:v>
                </c:pt>
                <c:pt idx="1">
                  <c:v>7.8549848942598186E-2</c:v>
                </c:pt>
                <c:pt idx="2">
                  <c:v>7.847533632286996E-2</c:v>
                </c:pt>
                <c:pt idx="3">
                  <c:v>0.05</c:v>
                </c:pt>
                <c:pt idx="4">
                  <c:v>4.3478260869565216E-2</c:v>
                </c:pt>
                <c:pt idx="5">
                  <c:v>3.081232492997199E-2</c:v>
                </c:pt>
              </c:numCache>
            </c:numRef>
          </c:val>
          <c:extLst>
            <c:ext xmlns:c16="http://schemas.microsoft.com/office/drawing/2014/chart" uri="{C3380CC4-5D6E-409C-BE32-E72D297353CC}">
              <c16:uniqueId val="{00000003-8A4E-4966-8327-1D5C01A64C1A}"/>
            </c:ext>
          </c:extLst>
        </c:ser>
        <c:ser>
          <c:idx val="1"/>
          <c:order val="1"/>
          <c:tx>
            <c:strRef>
              <c:f>q17_2!$M$13</c:f>
              <c:strCache>
                <c:ptCount val="1"/>
                <c:pt idx="0">
                  <c:v>A lot</c:v>
                </c:pt>
              </c:strCache>
            </c:strRef>
          </c:tx>
          <c:spPr>
            <a:solidFill>
              <a:srgbClr val="005EB8"/>
            </a:solidFill>
            <a:ln>
              <a:noFill/>
            </a:ln>
            <a:effectLst/>
          </c:spPr>
          <c:invertIfNegative val="0"/>
          <c:dLbls>
            <c:dLbl>
              <c:idx val="0"/>
              <c:layout>
                <c:manualLayout>
                  <c:x val="1.9444444444444393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A4E-4966-8327-1D5C01A64C1A}"/>
                </c:ext>
              </c:extLst>
            </c:dLbl>
            <c:dLbl>
              <c:idx val="1"/>
              <c:layout>
                <c:manualLayout>
                  <c:x val="2.5000000000000001E-2"/>
                  <c:y val="-8.4875562720133283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A4E-4966-8327-1D5C01A64C1A}"/>
                </c:ext>
              </c:extLst>
            </c:dLbl>
            <c:dLbl>
              <c:idx val="4"/>
              <c:layout>
                <c:manualLayout>
                  <c:x val="1.906318082788671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A4E-4966-8327-1D5C01A64C1A}"/>
                </c:ext>
              </c:extLst>
            </c:dLbl>
            <c:dLbl>
              <c:idx val="5"/>
              <c:layout>
                <c:manualLayout>
                  <c:x val="2.450980392156862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A4E-4966-8327-1D5C01A64C1A}"/>
                </c:ext>
              </c:extLst>
            </c:dLbl>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q17_2!$N$11:$S$11</c:f>
              <c:strCache>
                <c:ptCount val="6"/>
                <c:pt idx="0">
                  <c:v>Other</c:v>
                </c:pt>
                <c:pt idx="1">
                  <c:v>Aged care workers/Health professionals</c:v>
                </c:pt>
                <c:pt idx="2">
                  <c:v>Aged care service provider</c:v>
                </c:pt>
                <c:pt idx="3">
                  <c:v>Provider peak body</c:v>
                </c:pt>
                <c:pt idx="4">
                  <c:v>Consumer peak body</c:v>
                </c:pt>
                <c:pt idx="5">
                  <c:v>Consumer, carer or family member</c:v>
                </c:pt>
              </c:strCache>
            </c:strRef>
          </c:cat>
          <c:val>
            <c:numRef>
              <c:f>q17_2!$N$13:$S$13</c:f>
              <c:numCache>
                <c:formatCode>0%</c:formatCode>
                <c:ptCount val="6"/>
                <c:pt idx="0">
                  <c:v>0.15151515151515152</c:v>
                </c:pt>
                <c:pt idx="1">
                  <c:v>0.25377643504531722</c:v>
                </c:pt>
                <c:pt idx="2">
                  <c:v>0.32062780269058294</c:v>
                </c:pt>
                <c:pt idx="3">
                  <c:v>0.15</c:v>
                </c:pt>
                <c:pt idx="4">
                  <c:v>0.13043478260869565</c:v>
                </c:pt>
                <c:pt idx="5">
                  <c:v>0.10644257703081232</c:v>
                </c:pt>
              </c:numCache>
            </c:numRef>
          </c:val>
          <c:extLst>
            <c:ext xmlns:c16="http://schemas.microsoft.com/office/drawing/2014/chart" uri="{C3380CC4-5D6E-409C-BE32-E72D297353CC}">
              <c16:uniqueId val="{00000008-8A4E-4966-8327-1D5C01A64C1A}"/>
            </c:ext>
          </c:extLst>
        </c:ser>
        <c:ser>
          <c:idx val="2"/>
          <c:order val="2"/>
          <c:tx>
            <c:strRef>
              <c:f>q17_2!$M$14</c:f>
              <c:strCache>
                <c:ptCount val="1"/>
                <c:pt idx="0">
                  <c:v>Somewhat</c:v>
                </c:pt>
              </c:strCache>
            </c:strRef>
          </c:tx>
          <c:spPr>
            <a:solidFill>
              <a:srgbClr val="0091DA"/>
            </a:solidFill>
            <a:ln>
              <a:noFill/>
            </a:ln>
            <a:effectLst/>
          </c:spPr>
          <c:invertIfNegative val="0"/>
          <c:dLbls>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q17_2!$N$11:$S$11</c:f>
              <c:strCache>
                <c:ptCount val="6"/>
                <c:pt idx="0">
                  <c:v>Other</c:v>
                </c:pt>
                <c:pt idx="1">
                  <c:v>Aged care workers/Health professionals</c:v>
                </c:pt>
                <c:pt idx="2">
                  <c:v>Aged care service provider</c:v>
                </c:pt>
                <c:pt idx="3">
                  <c:v>Provider peak body</c:v>
                </c:pt>
                <c:pt idx="4">
                  <c:v>Consumer peak body</c:v>
                </c:pt>
                <c:pt idx="5">
                  <c:v>Consumer, carer or family member</c:v>
                </c:pt>
              </c:strCache>
            </c:strRef>
          </c:cat>
          <c:val>
            <c:numRef>
              <c:f>q17_2!$N$14:$S$14</c:f>
              <c:numCache>
                <c:formatCode>0%</c:formatCode>
                <c:ptCount val="6"/>
                <c:pt idx="0">
                  <c:v>0.41414141414141414</c:v>
                </c:pt>
                <c:pt idx="1">
                  <c:v>0.34441087613293053</c:v>
                </c:pt>
                <c:pt idx="2">
                  <c:v>0.37892376681614348</c:v>
                </c:pt>
                <c:pt idx="3">
                  <c:v>0.6</c:v>
                </c:pt>
                <c:pt idx="4">
                  <c:v>0.47826086956521741</c:v>
                </c:pt>
                <c:pt idx="5">
                  <c:v>0.34453781512605042</c:v>
                </c:pt>
              </c:numCache>
            </c:numRef>
          </c:val>
          <c:extLst>
            <c:ext xmlns:c16="http://schemas.microsoft.com/office/drawing/2014/chart" uri="{C3380CC4-5D6E-409C-BE32-E72D297353CC}">
              <c16:uniqueId val="{00000009-8A4E-4966-8327-1D5C01A64C1A}"/>
            </c:ext>
          </c:extLst>
        </c:ser>
        <c:ser>
          <c:idx val="3"/>
          <c:order val="3"/>
          <c:tx>
            <c:strRef>
              <c:f>q17_2!$M$15</c:f>
              <c:strCache>
                <c:ptCount val="1"/>
                <c:pt idx="0">
                  <c:v>Little</c:v>
                </c:pt>
              </c:strCache>
            </c:strRef>
          </c:tx>
          <c:spPr>
            <a:solidFill>
              <a:srgbClr val="00A3A1"/>
            </a:solidFill>
            <a:ln>
              <a:noFill/>
            </a:ln>
            <a:effectLst/>
          </c:spPr>
          <c:invertIfNegative val="0"/>
          <c:dLbls>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q17_2!$N$11:$S$11</c:f>
              <c:strCache>
                <c:ptCount val="6"/>
                <c:pt idx="0">
                  <c:v>Other</c:v>
                </c:pt>
                <c:pt idx="1">
                  <c:v>Aged care workers/Health professionals</c:v>
                </c:pt>
                <c:pt idx="2">
                  <c:v>Aged care service provider</c:v>
                </c:pt>
                <c:pt idx="3">
                  <c:v>Provider peak body</c:v>
                </c:pt>
                <c:pt idx="4">
                  <c:v>Consumer peak body</c:v>
                </c:pt>
                <c:pt idx="5">
                  <c:v>Consumer, carer or family member</c:v>
                </c:pt>
              </c:strCache>
            </c:strRef>
          </c:cat>
          <c:val>
            <c:numRef>
              <c:f>q17_2!$N$15:$S$15</c:f>
              <c:numCache>
                <c:formatCode>0%</c:formatCode>
                <c:ptCount val="6"/>
                <c:pt idx="0">
                  <c:v>0.27272727272727271</c:v>
                </c:pt>
                <c:pt idx="1">
                  <c:v>0.19335347432024169</c:v>
                </c:pt>
                <c:pt idx="2">
                  <c:v>0.15919282511210761</c:v>
                </c:pt>
                <c:pt idx="3">
                  <c:v>0.15</c:v>
                </c:pt>
                <c:pt idx="4">
                  <c:v>0.21739130434782608</c:v>
                </c:pt>
                <c:pt idx="5">
                  <c:v>0.30532212885154064</c:v>
                </c:pt>
              </c:numCache>
            </c:numRef>
          </c:val>
          <c:extLst>
            <c:ext xmlns:c16="http://schemas.microsoft.com/office/drawing/2014/chart" uri="{C3380CC4-5D6E-409C-BE32-E72D297353CC}">
              <c16:uniqueId val="{0000000A-8A4E-4966-8327-1D5C01A64C1A}"/>
            </c:ext>
          </c:extLst>
        </c:ser>
        <c:ser>
          <c:idx val="4"/>
          <c:order val="4"/>
          <c:tx>
            <c:strRef>
              <c:f>q17_2!$M$16</c:f>
              <c:strCache>
                <c:ptCount val="1"/>
                <c:pt idx="0">
                  <c:v>Not at all</c:v>
                </c:pt>
              </c:strCache>
            </c:strRef>
          </c:tx>
          <c:spPr>
            <a:solidFill>
              <a:srgbClr val="6D2077"/>
            </a:solidFill>
            <a:ln>
              <a:noFill/>
            </a:ln>
            <a:effectLst/>
          </c:spPr>
          <c:invertIfNegative val="0"/>
          <c:dLbls>
            <c:spPr>
              <a:noFill/>
              <a:ln>
                <a:noFill/>
              </a:ln>
              <a:effectLst/>
            </c:spPr>
            <c:txPr>
              <a:bodyPr rot="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q17_2!$N$11:$S$11</c:f>
              <c:strCache>
                <c:ptCount val="6"/>
                <c:pt idx="0">
                  <c:v>Other</c:v>
                </c:pt>
                <c:pt idx="1">
                  <c:v>Aged care workers/Health professionals</c:v>
                </c:pt>
                <c:pt idx="2">
                  <c:v>Aged care service provider</c:v>
                </c:pt>
                <c:pt idx="3">
                  <c:v>Provider peak body</c:v>
                </c:pt>
                <c:pt idx="4">
                  <c:v>Consumer peak body</c:v>
                </c:pt>
                <c:pt idx="5">
                  <c:v>Consumer, carer or family member</c:v>
                </c:pt>
              </c:strCache>
            </c:strRef>
          </c:cat>
          <c:val>
            <c:numRef>
              <c:f>q17_2!$N$16:$S$16</c:f>
              <c:numCache>
                <c:formatCode>0%</c:formatCode>
                <c:ptCount val="6"/>
                <c:pt idx="0">
                  <c:v>0.10101010101010101</c:v>
                </c:pt>
                <c:pt idx="1">
                  <c:v>0.12990936555891239</c:v>
                </c:pt>
                <c:pt idx="2">
                  <c:v>6.2780269058295965E-2</c:v>
                </c:pt>
                <c:pt idx="3">
                  <c:v>0.05</c:v>
                </c:pt>
                <c:pt idx="4">
                  <c:v>0.13043478260869565</c:v>
                </c:pt>
                <c:pt idx="5">
                  <c:v>0.21288515406162464</c:v>
                </c:pt>
              </c:numCache>
            </c:numRef>
          </c:val>
          <c:extLst>
            <c:ext xmlns:c16="http://schemas.microsoft.com/office/drawing/2014/chart" uri="{C3380CC4-5D6E-409C-BE32-E72D297353CC}">
              <c16:uniqueId val="{0000000B-8A4E-4966-8327-1D5C01A64C1A}"/>
            </c:ext>
          </c:extLst>
        </c:ser>
        <c:dLbls>
          <c:dLblPos val="ctr"/>
          <c:showLegendKey val="0"/>
          <c:showVal val="1"/>
          <c:showCatName val="0"/>
          <c:showSerName val="0"/>
          <c:showPercent val="0"/>
          <c:showBubbleSize val="0"/>
        </c:dLbls>
        <c:gapWidth val="50"/>
        <c:overlap val="100"/>
        <c:axId val="563250016"/>
        <c:axId val="563255008"/>
      </c:barChart>
      <c:catAx>
        <c:axId val="563250016"/>
        <c:scaling>
          <c:orientation val="minMax"/>
        </c:scaling>
        <c:delete val="0"/>
        <c:axPos val="l"/>
        <c:numFmt formatCode="General" sourceLinked="1"/>
        <c:majorTickMark val="none"/>
        <c:minorTickMark val="none"/>
        <c:tickLblPos val="nextTo"/>
        <c:spPr>
          <a:noFill/>
          <a:ln w="9525" cap="flat" cmpd="sng" algn="ctr">
            <a:solidFill>
              <a:srgbClr val="000000"/>
            </a:solidFill>
            <a:round/>
          </a:ln>
          <a:effectLst/>
        </c:spPr>
        <c:txPr>
          <a:bodyPr rot="-60000000" vert="horz"/>
          <a:lstStyle/>
          <a:p>
            <a:pPr>
              <a:defRPr/>
            </a:pPr>
            <a:endParaRPr lang="en-US"/>
          </a:p>
        </c:txPr>
        <c:crossAx val="563255008"/>
        <c:crosses val="autoZero"/>
        <c:auto val="1"/>
        <c:lblAlgn val="ctr"/>
        <c:lblOffset val="100"/>
        <c:noMultiLvlLbl val="0"/>
      </c:catAx>
      <c:valAx>
        <c:axId val="563255008"/>
        <c:scaling>
          <c:orientation val="minMax"/>
          <c:max val="1"/>
        </c:scaling>
        <c:delete val="0"/>
        <c:axPos val="b"/>
        <c:numFmt formatCode="0%" sourceLinked="1"/>
        <c:majorTickMark val="none"/>
        <c:minorTickMark val="none"/>
        <c:tickLblPos val="nextTo"/>
        <c:spPr>
          <a:noFill/>
          <a:ln>
            <a:noFill/>
          </a:ln>
          <a:effectLst/>
        </c:spPr>
        <c:txPr>
          <a:bodyPr rot="-60000000" vert="horz"/>
          <a:lstStyle/>
          <a:p>
            <a:pPr>
              <a:defRPr/>
            </a:pPr>
            <a:endParaRPr lang="en-US"/>
          </a:p>
        </c:txPr>
        <c:crossAx val="563250016"/>
        <c:crosses val="autoZero"/>
        <c:crossBetween val="between"/>
      </c:val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Univers 45 Light" pitchFamily="2"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'q23, 29, 35, 43, 49, 55, 62, 68'!$L$7</c:f>
              <c:strCache>
                <c:ptCount val="1"/>
                <c:pt idx="0">
                  <c:v>Agree</c:v>
                </c:pt>
              </c:strCache>
            </c:strRef>
          </c:tx>
          <c:spPr>
            <a:solidFill>
              <a:srgbClr val="00338D"/>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'q23, 29, 35, 43, 49, 55, 62, 68'!$M$6:$T$6</c:f>
              <c:strCache>
                <c:ptCount val="8"/>
                <c:pt idx="0">
                  <c:v>QS 8 </c:v>
                </c:pt>
                <c:pt idx="1">
                  <c:v>QS 7</c:v>
                </c:pt>
                <c:pt idx="2">
                  <c:v>QS 6</c:v>
                </c:pt>
                <c:pt idx="3">
                  <c:v>QS 5 </c:v>
                </c:pt>
                <c:pt idx="4">
                  <c:v>QS 4 </c:v>
                </c:pt>
                <c:pt idx="5">
                  <c:v>QS 3 </c:v>
                </c:pt>
                <c:pt idx="6">
                  <c:v>QS 2 </c:v>
                </c:pt>
                <c:pt idx="7">
                  <c:v>QS 1 </c:v>
                </c:pt>
              </c:strCache>
            </c:strRef>
          </c:cat>
          <c:val>
            <c:numRef>
              <c:f>'q23, 29, 35, 43, 49, 55, 62, 68'!$M$7:$T$7</c:f>
              <c:numCache>
                <c:formatCode>0%</c:formatCode>
                <c:ptCount val="8"/>
                <c:pt idx="0">
                  <c:v>0.36507936507936506</c:v>
                </c:pt>
                <c:pt idx="1">
                  <c:v>0.29761904761904762</c:v>
                </c:pt>
                <c:pt idx="2">
                  <c:v>0.37246963562753038</c:v>
                </c:pt>
                <c:pt idx="3">
                  <c:v>0.36994219653179189</c:v>
                </c:pt>
                <c:pt idx="4">
                  <c:v>0.43377483443708609</c:v>
                </c:pt>
                <c:pt idx="5">
                  <c:v>0.3592814371257485</c:v>
                </c:pt>
                <c:pt idx="6">
                  <c:v>0.46644295302013422</c:v>
                </c:pt>
                <c:pt idx="7">
                  <c:v>0.43640897755610975</c:v>
                </c:pt>
              </c:numCache>
            </c:numRef>
          </c:val>
          <c:extLst>
            <c:ext xmlns:c16="http://schemas.microsoft.com/office/drawing/2014/chart" uri="{C3380CC4-5D6E-409C-BE32-E72D297353CC}">
              <c16:uniqueId val="{00000000-0D59-42E0-9772-3EEC664837AB}"/>
            </c:ext>
          </c:extLst>
        </c:ser>
        <c:ser>
          <c:idx val="1"/>
          <c:order val="1"/>
          <c:tx>
            <c:strRef>
              <c:f>'q23, 29, 35, 43, 49, 55, 62, 68'!$L$8</c:f>
              <c:strCache>
                <c:ptCount val="1"/>
                <c:pt idx="0">
                  <c:v>Neither agree nor disagree</c:v>
                </c:pt>
              </c:strCache>
            </c:strRef>
          </c:tx>
          <c:spPr>
            <a:solidFill>
              <a:srgbClr val="005EB8"/>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'q23, 29, 35, 43, 49, 55, 62, 68'!$M$6:$T$6</c:f>
              <c:strCache>
                <c:ptCount val="8"/>
                <c:pt idx="0">
                  <c:v>QS 8 </c:v>
                </c:pt>
                <c:pt idx="1">
                  <c:v>QS 7</c:v>
                </c:pt>
                <c:pt idx="2">
                  <c:v>QS 6</c:v>
                </c:pt>
                <c:pt idx="3">
                  <c:v>QS 5 </c:v>
                </c:pt>
                <c:pt idx="4">
                  <c:v>QS 4 </c:v>
                </c:pt>
                <c:pt idx="5">
                  <c:v>QS 3 </c:v>
                </c:pt>
                <c:pt idx="6">
                  <c:v>QS 2 </c:v>
                </c:pt>
                <c:pt idx="7">
                  <c:v>QS 1 </c:v>
                </c:pt>
              </c:strCache>
            </c:strRef>
          </c:cat>
          <c:val>
            <c:numRef>
              <c:f>'q23, 29, 35, 43, 49, 55, 62, 68'!$M$8:$T$8</c:f>
              <c:numCache>
                <c:formatCode>0%</c:formatCode>
                <c:ptCount val="8"/>
                <c:pt idx="0">
                  <c:v>0.27777777777777779</c:v>
                </c:pt>
                <c:pt idx="1">
                  <c:v>0.29365079365079366</c:v>
                </c:pt>
                <c:pt idx="2">
                  <c:v>0.24696356275303644</c:v>
                </c:pt>
                <c:pt idx="3">
                  <c:v>0.33526011560693642</c:v>
                </c:pt>
                <c:pt idx="4">
                  <c:v>0.27814569536423839</c:v>
                </c:pt>
                <c:pt idx="5">
                  <c:v>0.31437125748502992</c:v>
                </c:pt>
                <c:pt idx="6">
                  <c:v>0.26845637583892618</c:v>
                </c:pt>
                <c:pt idx="7">
                  <c:v>0.30423940149625933</c:v>
                </c:pt>
              </c:numCache>
            </c:numRef>
          </c:val>
          <c:extLst>
            <c:ext xmlns:c16="http://schemas.microsoft.com/office/drawing/2014/chart" uri="{C3380CC4-5D6E-409C-BE32-E72D297353CC}">
              <c16:uniqueId val="{00000001-0D59-42E0-9772-3EEC664837AB}"/>
            </c:ext>
          </c:extLst>
        </c:ser>
        <c:ser>
          <c:idx val="2"/>
          <c:order val="2"/>
          <c:tx>
            <c:strRef>
              <c:f>'q23, 29, 35, 43, 49, 55, 62, 68'!$L$9</c:f>
              <c:strCache>
                <c:ptCount val="1"/>
                <c:pt idx="0">
                  <c:v>Disagree</c:v>
                </c:pt>
              </c:strCache>
            </c:strRef>
          </c:tx>
          <c:spPr>
            <a:solidFill>
              <a:srgbClr val="0091DA"/>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'q23, 29, 35, 43, 49, 55, 62, 68'!$M$6:$T$6</c:f>
              <c:strCache>
                <c:ptCount val="8"/>
                <c:pt idx="0">
                  <c:v>QS 8 </c:v>
                </c:pt>
                <c:pt idx="1">
                  <c:v>QS 7</c:v>
                </c:pt>
                <c:pt idx="2">
                  <c:v>QS 6</c:v>
                </c:pt>
                <c:pt idx="3">
                  <c:v>QS 5 </c:v>
                </c:pt>
                <c:pt idx="4">
                  <c:v>QS 4 </c:v>
                </c:pt>
                <c:pt idx="5">
                  <c:v>QS 3 </c:v>
                </c:pt>
                <c:pt idx="6">
                  <c:v>QS 2 </c:v>
                </c:pt>
                <c:pt idx="7">
                  <c:v>QS 1 </c:v>
                </c:pt>
              </c:strCache>
            </c:strRef>
          </c:cat>
          <c:val>
            <c:numRef>
              <c:f>'q23, 29, 35, 43, 49, 55, 62, 68'!$M$9:$T$9</c:f>
              <c:numCache>
                <c:formatCode>0%</c:formatCode>
                <c:ptCount val="8"/>
                <c:pt idx="0">
                  <c:v>0.35714285714285715</c:v>
                </c:pt>
                <c:pt idx="1">
                  <c:v>0.40873015873015872</c:v>
                </c:pt>
                <c:pt idx="2">
                  <c:v>0.38056680161943318</c:v>
                </c:pt>
                <c:pt idx="3">
                  <c:v>0.2947976878612717</c:v>
                </c:pt>
                <c:pt idx="4">
                  <c:v>0.28807947019867547</c:v>
                </c:pt>
                <c:pt idx="5">
                  <c:v>0.32634730538922158</c:v>
                </c:pt>
                <c:pt idx="6">
                  <c:v>0.2651006711409396</c:v>
                </c:pt>
                <c:pt idx="7">
                  <c:v>0.25935162094763092</c:v>
                </c:pt>
              </c:numCache>
            </c:numRef>
          </c:val>
          <c:extLst>
            <c:ext xmlns:c16="http://schemas.microsoft.com/office/drawing/2014/chart" uri="{C3380CC4-5D6E-409C-BE32-E72D297353CC}">
              <c16:uniqueId val="{00000002-0D59-42E0-9772-3EEC664837AB}"/>
            </c:ext>
          </c:extLst>
        </c:ser>
        <c:ser>
          <c:idx val="3"/>
          <c:order val="3"/>
          <c:tx>
            <c:strRef>
              <c:f>'q23, 29, 35, 43, 49, 55, 62, 68'!$L$10</c:f>
              <c:strCache>
                <c:ptCount val="1"/>
                <c:pt idx="0">
                  <c:v>Total</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'q23, 29, 35, 43, 49, 55, 62, 68'!$M$6:$T$6</c:f>
              <c:strCache>
                <c:ptCount val="8"/>
                <c:pt idx="0">
                  <c:v>QS 8 </c:v>
                </c:pt>
                <c:pt idx="1">
                  <c:v>QS 7</c:v>
                </c:pt>
                <c:pt idx="2">
                  <c:v>QS 6</c:v>
                </c:pt>
                <c:pt idx="3">
                  <c:v>QS 5 </c:v>
                </c:pt>
                <c:pt idx="4">
                  <c:v>QS 4 </c:v>
                </c:pt>
                <c:pt idx="5">
                  <c:v>QS 3 </c:v>
                </c:pt>
                <c:pt idx="6">
                  <c:v>QS 2 </c:v>
                </c:pt>
                <c:pt idx="7">
                  <c:v>QS 1 </c:v>
                </c:pt>
              </c:strCache>
            </c:strRef>
          </c:cat>
          <c:val>
            <c:numRef>
              <c:f>'q23, 29, 35, 43, 49, 55, 62, 68'!$M$10:$T$10</c:f>
              <c:numCache>
                <c:formatCode>0%</c:formatCode>
                <c:ptCount val="8"/>
                <c:pt idx="0">
                  <c:v>1</c:v>
                </c:pt>
                <c:pt idx="1">
                  <c:v>1</c:v>
                </c:pt>
                <c:pt idx="2">
                  <c:v>1</c:v>
                </c:pt>
                <c:pt idx="3">
                  <c:v>1</c:v>
                </c:pt>
                <c:pt idx="4">
                  <c:v>1</c:v>
                </c:pt>
                <c:pt idx="5">
                  <c:v>1</c:v>
                </c:pt>
                <c:pt idx="6">
                  <c:v>1</c:v>
                </c:pt>
                <c:pt idx="7">
                  <c:v>1</c:v>
                </c:pt>
              </c:numCache>
            </c:numRef>
          </c:val>
          <c:extLst>
            <c:ext xmlns:c16="http://schemas.microsoft.com/office/drawing/2014/chart" uri="{C3380CC4-5D6E-409C-BE32-E72D297353CC}">
              <c16:uniqueId val="{00000003-0D59-42E0-9772-3EEC664837AB}"/>
            </c:ext>
          </c:extLst>
        </c:ser>
        <c:dLbls>
          <c:dLblPos val="ctr"/>
          <c:showLegendKey val="0"/>
          <c:showVal val="1"/>
          <c:showCatName val="0"/>
          <c:showSerName val="0"/>
          <c:showPercent val="0"/>
          <c:showBubbleSize val="0"/>
        </c:dLbls>
        <c:gapWidth val="50"/>
        <c:overlap val="100"/>
        <c:axId val="1287593808"/>
        <c:axId val="1469182816"/>
      </c:barChart>
      <c:catAx>
        <c:axId val="1287593808"/>
        <c:scaling>
          <c:orientation val="minMax"/>
        </c:scaling>
        <c:delete val="0"/>
        <c:axPos val="l"/>
        <c:numFmt formatCode="General" sourceLinked="1"/>
        <c:majorTickMark val="none"/>
        <c:minorTickMark val="none"/>
        <c:tickLblPos val="nextTo"/>
        <c:spPr>
          <a:noFill/>
          <a:ln w="9525" cap="flat" cmpd="sng" algn="ctr">
            <a:solidFill>
              <a:srgbClr val="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1469182816"/>
        <c:crosses val="autoZero"/>
        <c:auto val="1"/>
        <c:lblAlgn val="ctr"/>
        <c:lblOffset val="100"/>
        <c:noMultiLvlLbl val="0"/>
      </c:catAx>
      <c:valAx>
        <c:axId val="1469182816"/>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1287593808"/>
        <c:crosses val="autoZero"/>
        <c:crossBetween val="between"/>
      </c:valAx>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Univers 45 Light" pitchFamily="2"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bar"/>
        <c:grouping val="stacked"/>
        <c:varyColors val="0"/>
        <c:ser>
          <c:idx val="0"/>
          <c:order val="0"/>
          <c:tx>
            <c:strRef>
              <c:f>'JOHN DATA REQUEST '!$K$10</c:f>
              <c:strCache>
                <c:ptCount val="1"/>
                <c:pt idx="0">
                  <c:v>Yes</c:v>
                </c:pt>
              </c:strCache>
            </c:strRef>
          </c:tx>
          <c:spPr>
            <a:solidFill>
              <a:schemeClr val="tx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'JOHN DATA REQUEST '!$L$9:$N$9</c:f>
              <c:strCache>
                <c:ptCount val="3"/>
                <c:pt idx="0">
                  <c:v>Aged care worker, including volunteer</c:v>
                </c:pt>
                <c:pt idx="1">
                  <c:v>Aged care service provider</c:v>
                </c:pt>
                <c:pt idx="2">
                  <c:v>Consumer, carer or family member</c:v>
                </c:pt>
              </c:strCache>
            </c:strRef>
          </c:cat>
          <c:val>
            <c:numRef>
              <c:f>'JOHN DATA REQUEST '!$L$10:$N$10</c:f>
              <c:numCache>
                <c:formatCode>0%</c:formatCode>
                <c:ptCount val="3"/>
                <c:pt idx="0">
                  <c:v>0.76900584795321636</c:v>
                </c:pt>
                <c:pt idx="1">
                  <c:v>0.72307692307692306</c:v>
                </c:pt>
                <c:pt idx="2">
                  <c:v>0.75989445910290232</c:v>
                </c:pt>
              </c:numCache>
            </c:numRef>
          </c:val>
          <c:extLst>
            <c:ext xmlns:c16="http://schemas.microsoft.com/office/drawing/2014/chart" uri="{C3380CC4-5D6E-409C-BE32-E72D297353CC}">
              <c16:uniqueId val="{00000000-323D-42B8-AA0B-C7BA7C11ECBB}"/>
            </c:ext>
          </c:extLst>
        </c:ser>
        <c:ser>
          <c:idx val="1"/>
          <c:order val="1"/>
          <c:tx>
            <c:strRef>
              <c:f>'JOHN DATA REQUEST '!$K$11</c:f>
              <c:strCache>
                <c:ptCount val="1"/>
                <c:pt idx="0">
                  <c:v>No</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'JOHN DATA REQUEST '!$L$9:$N$9</c:f>
              <c:strCache>
                <c:ptCount val="3"/>
                <c:pt idx="0">
                  <c:v>Aged care worker, including volunteer</c:v>
                </c:pt>
                <c:pt idx="1">
                  <c:v>Aged care service provider</c:v>
                </c:pt>
                <c:pt idx="2">
                  <c:v>Consumer, carer or family member</c:v>
                </c:pt>
              </c:strCache>
            </c:strRef>
          </c:cat>
          <c:val>
            <c:numRef>
              <c:f>'JOHN DATA REQUEST '!$L$11:$N$11</c:f>
              <c:numCache>
                <c:formatCode>0%</c:formatCode>
                <c:ptCount val="3"/>
                <c:pt idx="0">
                  <c:v>0.23099415204678361</c:v>
                </c:pt>
                <c:pt idx="1">
                  <c:v>0.27692307692307694</c:v>
                </c:pt>
                <c:pt idx="2">
                  <c:v>0.24010554089709762</c:v>
                </c:pt>
              </c:numCache>
            </c:numRef>
          </c:val>
          <c:extLst>
            <c:ext xmlns:c16="http://schemas.microsoft.com/office/drawing/2014/chart" uri="{C3380CC4-5D6E-409C-BE32-E72D297353CC}">
              <c16:uniqueId val="{00000001-323D-42B8-AA0B-C7BA7C11ECBB}"/>
            </c:ext>
          </c:extLst>
        </c:ser>
        <c:dLbls>
          <c:dLblPos val="ctr"/>
          <c:showLegendKey val="0"/>
          <c:showVal val="1"/>
          <c:showCatName val="0"/>
          <c:showSerName val="0"/>
          <c:showPercent val="0"/>
          <c:showBubbleSize val="0"/>
        </c:dLbls>
        <c:gapWidth val="50"/>
        <c:overlap val="100"/>
        <c:axId val="2131690799"/>
        <c:axId val="2131683727"/>
      </c:barChart>
      <c:catAx>
        <c:axId val="2131690799"/>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2131683727"/>
        <c:crosses val="autoZero"/>
        <c:auto val="1"/>
        <c:lblAlgn val="ctr"/>
        <c:lblOffset val="100"/>
        <c:noMultiLvlLbl val="0"/>
      </c:catAx>
      <c:valAx>
        <c:axId val="2131683727"/>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Univers 45 Light" pitchFamily="2" charset="0"/>
                <a:ea typeface="+mn-ea"/>
                <a:cs typeface="+mn-cs"/>
              </a:defRPr>
            </a:pPr>
            <a:endParaRPr lang="en-US"/>
          </a:p>
        </c:txPr>
        <c:crossAx val="21316907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Univers 45 Light" pitchFamily="2"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Univers 45 Light" pitchFamily="2"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'q20, 26, 32, 40, 46, 52, 59, 65'!$M$6</c:f>
              <c:strCache>
                <c:ptCount val="1"/>
                <c:pt idx="0">
                  <c:v>Agree</c:v>
                </c:pt>
              </c:strCache>
            </c:strRef>
          </c:tx>
          <c:spPr>
            <a:solidFill>
              <a:srgbClr val="00338D"/>
            </a:solidFill>
            <a:ln>
              <a:noFill/>
            </a:ln>
            <a:effectLst/>
          </c:spPr>
          <c:invertIfNegative val="0"/>
          <c:dPt>
            <c:idx val="7"/>
            <c:invertIfNegative val="0"/>
            <c:bubble3D val="0"/>
            <c:spPr>
              <a:solidFill>
                <a:srgbClr val="00338D"/>
              </a:solidFill>
              <a:ln>
                <a:noFill/>
              </a:ln>
              <a:effectLst/>
            </c:spPr>
            <c:extLst>
              <c:ext xmlns:c16="http://schemas.microsoft.com/office/drawing/2014/chart" uri="{C3380CC4-5D6E-409C-BE32-E72D297353CC}">
                <c16:uniqueId val="{00000000-B7F3-4782-92E0-38C919C43E05}"/>
              </c:ext>
            </c:extLst>
          </c:dPt>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'q20, 26, 32, 40, 46, 52, 59, 65'!$N$5:$U$5</c:f>
              <c:strCache>
                <c:ptCount val="8"/>
                <c:pt idx="0">
                  <c:v>QS 8 </c:v>
                </c:pt>
                <c:pt idx="1">
                  <c:v>QS 7 </c:v>
                </c:pt>
                <c:pt idx="2">
                  <c:v>QS 6 </c:v>
                </c:pt>
                <c:pt idx="3">
                  <c:v>QS 5 </c:v>
                </c:pt>
                <c:pt idx="4">
                  <c:v>QS 4 </c:v>
                </c:pt>
                <c:pt idx="5">
                  <c:v>QS 3 </c:v>
                </c:pt>
                <c:pt idx="6">
                  <c:v>QS 2 </c:v>
                </c:pt>
                <c:pt idx="7">
                  <c:v>QS 1 </c:v>
                </c:pt>
              </c:strCache>
            </c:strRef>
          </c:cat>
          <c:val>
            <c:numRef>
              <c:f>'q20, 26, 32, 40, 46, 52, 59, 65'!$N$6:$U$6</c:f>
              <c:numCache>
                <c:formatCode>0%</c:formatCode>
                <c:ptCount val="8"/>
                <c:pt idx="0">
                  <c:v>0.88571428571428568</c:v>
                </c:pt>
                <c:pt idx="1">
                  <c:v>0.83098591549295775</c:v>
                </c:pt>
                <c:pt idx="2">
                  <c:v>0.89655172413793105</c:v>
                </c:pt>
                <c:pt idx="3">
                  <c:v>0.87912087912087911</c:v>
                </c:pt>
                <c:pt idx="4">
                  <c:v>0.88970588235294112</c:v>
                </c:pt>
                <c:pt idx="5">
                  <c:v>0.81097560975609762</c:v>
                </c:pt>
                <c:pt idx="6">
                  <c:v>0.84768211920529801</c:v>
                </c:pt>
                <c:pt idx="7">
                  <c:v>0.88940092165898621</c:v>
                </c:pt>
              </c:numCache>
            </c:numRef>
          </c:val>
          <c:extLst>
            <c:ext xmlns:c16="http://schemas.microsoft.com/office/drawing/2014/chart" uri="{C3380CC4-5D6E-409C-BE32-E72D297353CC}">
              <c16:uniqueId val="{00000000-6C9B-494F-BA49-5EA0C1542C4A}"/>
            </c:ext>
          </c:extLst>
        </c:ser>
        <c:ser>
          <c:idx val="1"/>
          <c:order val="1"/>
          <c:tx>
            <c:strRef>
              <c:f>'q20, 26, 32, 40, 46, 52, 59, 65'!$M$7</c:f>
              <c:strCache>
                <c:ptCount val="1"/>
                <c:pt idx="0">
                  <c:v>Neither agree nor disagree</c:v>
                </c:pt>
              </c:strCache>
            </c:strRef>
          </c:tx>
          <c:spPr>
            <a:solidFill>
              <a:srgbClr val="005EB8"/>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'q20, 26, 32, 40, 46, 52, 59, 65'!$N$5:$U$5</c:f>
              <c:strCache>
                <c:ptCount val="8"/>
                <c:pt idx="0">
                  <c:v>QS 8 </c:v>
                </c:pt>
                <c:pt idx="1">
                  <c:v>QS 7 </c:v>
                </c:pt>
                <c:pt idx="2">
                  <c:v>QS 6 </c:v>
                </c:pt>
                <c:pt idx="3">
                  <c:v>QS 5 </c:v>
                </c:pt>
                <c:pt idx="4">
                  <c:v>QS 4 </c:v>
                </c:pt>
                <c:pt idx="5">
                  <c:v>QS 3 </c:v>
                </c:pt>
                <c:pt idx="6">
                  <c:v>QS 2 </c:v>
                </c:pt>
                <c:pt idx="7">
                  <c:v>QS 1 </c:v>
                </c:pt>
              </c:strCache>
            </c:strRef>
          </c:cat>
          <c:val>
            <c:numRef>
              <c:f>'q20, 26, 32, 40, 46, 52, 59, 65'!$N$7:$U$7</c:f>
              <c:numCache>
                <c:formatCode>0%</c:formatCode>
                <c:ptCount val="8"/>
                <c:pt idx="0">
                  <c:v>0.05</c:v>
                </c:pt>
                <c:pt idx="1">
                  <c:v>8.4507042253521125E-2</c:v>
                </c:pt>
                <c:pt idx="2">
                  <c:v>5.1724137931034482E-2</c:v>
                </c:pt>
                <c:pt idx="3">
                  <c:v>6.5934065934065936E-2</c:v>
                </c:pt>
                <c:pt idx="4">
                  <c:v>8.0882352941176475E-2</c:v>
                </c:pt>
                <c:pt idx="5">
                  <c:v>0.1402439024390244</c:v>
                </c:pt>
                <c:pt idx="6">
                  <c:v>9.2715231788079472E-2</c:v>
                </c:pt>
                <c:pt idx="7">
                  <c:v>7.3732718894009217E-2</c:v>
                </c:pt>
              </c:numCache>
            </c:numRef>
          </c:val>
          <c:extLst>
            <c:ext xmlns:c16="http://schemas.microsoft.com/office/drawing/2014/chart" uri="{C3380CC4-5D6E-409C-BE32-E72D297353CC}">
              <c16:uniqueId val="{00000001-6C9B-494F-BA49-5EA0C1542C4A}"/>
            </c:ext>
          </c:extLst>
        </c:ser>
        <c:ser>
          <c:idx val="2"/>
          <c:order val="2"/>
          <c:tx>
            <c:strRef>
              <c:f>'q20, 26, 32, 40, 46, 52, 59, 65'!$M$8</c:f>
              <c:strCache>
                <c:ptCount val="1"/>
                <c:pt idx="0">
                  <c:v>Disagree</c:v>
                </c:pt>
              </c:strCache>
            </c:strRef>
          </c:tx>
          <c:spPr>
            <a:solidFill>
              <a:srgbClr val="0091DA"/>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'q20, 26, 32, 40, 46, 52, 59, 65'!$N$5:$U$5</c:f>
              <c:strCache>
                <c:ptCount val="8"/>
                <c:pt idx="0">
                  <c:v>QS 8 </c:v>
                </c:pt>
                <c:pt idx="1">
                  <c:v>QS 7 </c:v>
                </c:pt>
                <c:pt idx="2">
                  <c:v>QS 6 </c:v>
                </c:pt>
                <c:pt idx="3">
                  <c:v>QS 5 </c:v>
                </c:pt>
                <c:pt idx="4">
                  <c:v>QS 4 </c:v>
                </c:pt>
                <c:pt idx="5">
                  <c:v>QS 3 </c:v>
                </c:pt>
                <c:pt idx="6">
                  <c:v>QS 2 </c:v>
                </c:pt>
                <c:pt idx="7">
                  <c:v>QS 1 </c:v>
                </c:pt>
              </c:strCache>
            </c:strRef>
          </c:cat>
          <c:val>
            <c:numRef>
              <c:f>'q20, 26, 32, 40, 46, 52, 59, 65'!$N$8:$U$8</c:f>
              <c:numCache>
                <c:formatCode>0%</c:formatCode>
                <c:ptCount val="8"/>
                <c:pt idx="0">
                  <c:v>6.4285714285714279E-2</c:v>
                </c:pt>
                <c:pt idx="1">
                  <c:v>8.4507042253521125E-2</c:v>
                </c:pt>
                <c:pt idx="2">
                  <c:v>5.1724137931034482E-2</c:v>
                </c:pt>
                <c:pt idx="3">
                  <c:v>5.4945054945054944E-2</c:v>
                </c:pt>
                <c:pt idx="4">
                  <c:v>2.9411764705882353E-2</c:v>
                </c:pt>
                <c:pt idx="5">
                  <c:v>4.878048780487805E-2</c:v>
                </c:pt>
                <c:pt idx="6">
                  <c:v>5.9602649006622516E-2</c:v>
                </c:pt>
                <c:pt idx="7">
                  <c:v>3.6866359447004608E-2</c:v>
                </c:pt>
              </c:numCache>
            </c:numRef>
          </c:val>
          <c:extLst>
            <c:ext xmlns:c16="http://schemas.microsoft.com/office/drawing/2014/chart" uri="{C3380CC4-5D6E-409C-BE32-E72D297353CC}">
              <c16:uniqueId val="{00000002-6C9B-494F-BA49-5EA0C1542C4A}"/>
            </c:ext>
          </c:extLst>
        </c:ser>
        <c:dLbls>
          <c:dLblPos val="ctr"/>
          <c:showLegendKey val="0"/>
          <c:showVal val="1"/>
          <c:showCatName val="0"/>
          <c:showSerName val="0"/>
          <c:showPercent val="0"/>
          <c:showBubbleSize val="0"/>
        </c:dLbls>
        <c:gapWidth val="50"/>
        <c:overlap val="100"/>
        <c:axId val="1481799328"/>
        <c:axId val="1225086832"/>
      </c:barChart>
      <c:catAx>
        <c:axId val="1481799328"/>
        <c:scaling>
          <c:orientation val="minMax"/>
        </c:scaling>
        <c:delete val="0"/>
        <c:axPos val="l"/>
        <c:numFmt formatCode="General" sourceLinked="1"/>
        <c:majorTickMark val="none"/>
        <c:minorTickMark val="none"/>
        <c:tickLblPos val="nextTo"/>
        <c:spPr>
          <a:noFill/>
          <a:ln w="9525" cap="flat" cmpd="sng" algn="ctr">
            <a:solidFill>
              <a:srgbClr val="000000"/>
            </a:solidFill>
            <a:round/>
          </a:ln>
          <a:effectLst/>
        </c:spPr>
        <c:txPr>
          <a:bodyPr rot="-60000000" spcFirstLastPara="1" vertOverflow="ellipsis" vert="horz" wrap="square" anchor="ctr" anchorCtr="1"/>
          <a:lstStyle/>
          <a:p>
            <a:pPr>
              <a:defRPr sz="900" b="0" i="0" u="none" strike="noStrike" kern="1200" baseline="0">
                <a:solidFill>
                  <a:schemeClr val="tx1"/>
                </a:solidFill>
                <a:latin typeface="Univers 45 Light" pitchFamily="2" charset="0"/>
                <a:ea typeface="+mn-ea"/>
                <a:cs typeface="+mn-cs"/>
              </a:defRPr>
            </a:pPr>
            <a:endParaRPr lang="en-US"/>
          </a:p>
        </c:txPr>
        <c:crossAx val="1225086832"/>
        <c:crosses val="autoZero"/>
        <c:auto val="1"/>
        <c:lblAlgn val="ctr"/>
        <c:lblOffset val="100"/>
        <c:noMultiLvlLbl val="0"/>
      </c:catAx>
      <c:valAx>
        <c:axId val="1225086832"/>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Univers 45 Light" pitchFamily="2" charset="0"/>
                <a:ea typeface="+mn-ea"/>
                <a:cs typeface="+mn-cs"/>
              </a:defRPr>
            </a:pPr>
            <a:endParaRPr lang="en-US"/>
          </a:p>
        </c:txPr>
        <c:crossAx val="1481799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Univers 45 Light" pitchFamily="2"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latin typeface="Univers 45 Light" pitchFamily="2"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'JOHN DATA REQUEST '!$K$45</c:f>
              <c:strCache>
                <c:ptCount val="1"/>
                <c:pt idx="0">
                  <c:v>Agree</c:v>
                </c:pt>
              </c:strCache>
            </c:strRef>
          </c:tx>
          <c:spPr>
            <a:solidFill>
              <a:srgbClr val="00338D"/>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'JOHN DATA REQUEST '!$L$44:$S$44</c:f>
              <c:strCache>
                <c:ptCount val="8"/>
                <c:pt idx="0">
                  <c:v>QS 8 </c:v>
                </c:pt>
                <c:pt idx="1">
                  <c:v>QS 7 </c:v>
                </c:pt>
                <c:pt idx="2">
                  <c:v>QS 6 </c:v>
                </c:pt>
                <c:pt idx="3">
                  <c:v>QS 5 </c:v>
                </c:pt>
                <c:pt idx="4">
                  <c:v>QS 4 </c:v>
                </c:pt>
                <c:pt idx="5">
                  <c:v>QS 3 </c:v>
                </c:pt>
                <c:pt idx="6">
                  <c:v>QS 2</c:v>
                </c:pt>
                <c:pt idx="7">
                  <c:v>QS 1 </c:v>
                </c:pt>
              </c:strCache>
            </c:strRef>
          </c:cat>
          <c:val>
            <c:numRef>
              <c:f>'JOHN DATA REQUEST '!$L$45:$S$45</c:f>
              <c:numCache>
                <c:formatCode>0%</c:formatCode>
                <c:ptCount val="8"/>
                <c:pt idx="0">
                  <c:v>0.67808219178082196</c:v>
                </c:pt>
                <c:pt idx="1">
                  <c:v>0.65306122448979587</c:v>
                </c:pt>
                <c:pt idx="2">
                  <c:v>0.73770491803278693</c:v>
                </c:pt>
                <c:pt idx="3">
                  <c:v>0.61855670103092786</c:v>
                </c:pt>
                <c:pt idx="4">
                  <c:v>0.72027972027972031</c:v>
                </c:pt>
                <c:pt idx="5">
                  <c:v>0.62790697674418605</c:v>
                </c:pt>
                <c:pt idx="6">
                  <c:v>0.68387096774193545</c:v>
                </c:pt>
                <c:pt idx="7">
                  <c:v>0.74222222222222223</c:v>
                </c:pt>
              </c:numCache>
            </c:numRef>
          </c:val>
          <c:extLst>
            <c:ext xmlns:c16="http://schemas.microsoft.com/office/drawing/2014/chart" uri="{C3380CC4-5D6E-409C-BE32-E72D297353CC}">
              <c16:uniqueId val="{00000000-9C82-498A-AE96-4429354774AF}"/>
            </c:ext>
          </c:extLst>
        </c:ser>
        <c:ser>
          <c:idx val="1"/>
          <c:order val="1"/>
          <c:tx>
            <c:strRef>
              <c:f>'JOHN DATA REQUEST '!$K$46</c:f>
              <c:strCache>
                <c:ptCount val="1"/>
                <c:pt idx="0">
                  <c:v>Neither agree nor disagree</c:v>
                </c:pt>
              </c:strCache>
            </c:strRef>
          </c:tx>
          <c:spPr>
            <a:solidFill>
              <a:srgbClr val="005EB8"/>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'JOHN DATA REQUEST '!$L$44:$S$44</c:f>
              <c:strCache>
                <c:ptCount val="8"/>
                <c:pt idx="0">
                  <c:v>QS 8 </c:v>
                </c:pt>
                <c:pt idx="1">
                  <c:v>QS 7 </c:v>
                </c:pt>
                <c:pt idx="2">
                  <c:v>QS 6 </c:v>
                </c:pt>
                <c:pt idx="3">
                  <c:v>QS 5 </c:v>
                </c:pt>
                <c:pt idx="4">
                  <c:v>QS 4 </c:v>
                </c:pt>
                <c:pt idx="5">
                  <c:v>QS 3 </c:v>
                </c:pt>
                <c:pt idx="6">
                  <c:v>QS 2</c:v>
                </c:pt>
                <c:pt idx="7">
                  <c:v>QS 1 </c:v>
                </c:pt>
              </c:strCache>
            </c:strRef>
          </c:cat>
          <c:val>
            <c:numRef>
              <c:f>'JOHN DATA REQUEST '!$L$46:$S$46</c:f>
              <c:numCache>
                <c:formatCode>0%</c:formatCode>
                <c:ptCount val="8"/>
                <c:pt idx="0">
                  <c:v>0.17808219178082191</c:v>
                </c:pt>
                <c:pt idx="1">
                  <c:v>0.19047619047619047</c:v>
                </c:pt>
                <c:pt idx="2">
                  <c:v>0.19672131147540983</c:v>
                </c:pt>
                <c:pt idx="3">
                  <c:v>0.26804123711340205</c:v>
                </c:pt>
                <c:pt idx="4">
                  <c:v>0.19580419580419581</c:v>
                </c:pt>
                <c:pt idx="5">
                  <c:v>0.2441860465116279</c:v>
                </c:pt>
                <c:pt idx="6">
                  <c:v>0.18064516129032257</c:v>
                </c:pt>
                <c:pt idx="7">
                  <c:v>0.16444444444444445</c:v>
                </c:pt>
              </c:numCache>
            </c:numRef>
          </c:val>
          <c:extLst>
            <c:ext xmlns:c16="http://schemas.microsoft.com/office/drawing/2014/chart" uri="{C3380CC4-5D6E-409C-BE32-E72D297353CC}">
              <c16:uniqueId val="{00000001-9C82-498A-AE96-4429354774AF}"/>
            </c:ext>
          </c:extLst>
        </c:ser>
        <c:ser>
          <c:idx val="2"/>
          <c:order val="2"/>
          <c:tx>
            <c:strRef>
              <c:f>'JOHN DATA REQUEST '!$K$47</c:f>
              <c:strCache>
                <c:ptCount val="1"/>
                <c:pt idx="0">
                  <c:v>Disagree</c:v>
                </c:pt>
              </c:strCache>
            </c:strRef>
          </c:tx>
          <c:spPr>
            <a:solidFill>
              <a:srgbClr val="0091DA"/>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'JOHN DATA REQUEST '!$L$44:$S$44</c:f>
              <c:strCache>
                <c:ptCount val="8"/>
                <c:pt idx="0">
                  <c:v>QS 8 </c:v>
                </c:pt>
                <c:pt idx="1">
                  <c:v>QS 7 </c:v>
                </c:pt>
                <c:pt idx="2">
                  <c:v>QS 6 </c:v>
                </c:pt>
                <c:pt idx="3">
                  <c:v>QS 5 </c:v>
                </c:pt>
                <c:pt idx="4">
                  <c:v>QS 4 </c:v>
                </c:pt>
                <c:pt idx="5">
                  <c:v>QS 3 </c:v>
                </c:pt>
                <c:pt idx="6">
                  <c:v>QS 2</c:v>
                </c:pt>
                <c:pt idx="7">
                  <c:v>QS 1 </c:v>
                </c:pt>
              </c:strCache>
            </c:strRef>
          </c:cat>
          <c:val>
            <c:numRef>
              <c:f>'JOHN DATA REQUEST '!$L$47:$S$47</c:f>
              <c:numCache>
                <c:formatCode>0%</c:formatCode>
                <c:ptCount val="8"/>
                <c:pt idx="0">
                  <c:v>0.14383561643835616</c:v>
                </c:pt>
                <c:pt idx="1">
                  <c:v>0.15646258503401361</c:v>
                </c:pt>
                <c:pt idx="2">
                  <c:v>6.5573770491803282E-2</c:v>
                </c:pt>
                <c:pt idx="3">
                  <c:v>0.1134020618556701</c:v>
                </c:pt>
                <c:pt idx="4">
                  <c:v>8.3916083916083919E-2</c:v>
                </c:pt>
                <c:pt idx="5">
                  <c:v>0.12790697674418605</c:v>
                </c:pt>
                <c:pt idx="6">
                  <c:v>0.13548387096774195</c:v>
                </c:pt>
                <c:pt idx="7">
                  <c:v>9.3333333333333338E-2</c:v>
                </c:pt>
              </c:numCache>
            </c:numRef>
          </c:val>
          <c:extLst>
            <c:ext xmlns:c16="http://schemas.microsoft.com/office/drawing/2014/chart" uri="{C3380CC4-5D6E-409C-BE32-E72D297353CC}">
              <c16:uniqueId val="{00000002-9C82-498A-AE96-4429354774AF}"/>
            </c:ext>
          </c:extLst>
        </c:ser>
        <c:dLbls>
          <c:dLblPos val="ctr"/>
          <c:showLegendKey val="0"/>
          <c:showVal val="1"/>
          <c:showCatName val="0"/>
          <c:showSerName val="0"/>
          <c:showPercent val="0"/>
          <c:showBubbleSize val="0"/>
        </c:dLbls>
        <c:gapWidth val="50"/>
        <c:overlap val="100"/>
        <c:axId val="1098868767"/>
        <c:axId val="1098867935"/>
      </c:barChart>
      <c:catAx>
        <c:axId val="1098868767"/>
        <c:scaling>
          <c:orientation val="minMax"/>
        </c:scaling>
        <c:delete val="0"/>
        <c:axPos val="l"/>
        <c:numFmt formatCode="General" sourceLinked="1"/>
        <c:majorTickMark val="none"/>
        <c:minorTickMark val="none"/>
        <c:tickLblPos val="nextTo"/>
        <c:spPr>
          <a:noFill/>
          <a:ln w="9525" cap="flat" cmpd="sng" algn="ctr">
            <a:solidFill>
              <a:srgbClr val="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1098867935"/>
        <c:crosses val="autoZero"/>
        <c:auto val="1"/>
        <c:lblAlgn val="ctr"/>
        <c:lblOffset val="100"/>
        <c:noMultiLvlLbl val="0"/>
      </c:catAx>
      <c:valAx>
        <c:axId val="1098867935"/>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10988687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Univers 45 Light" pitchFamily="2"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'q22, 28, 34, 42, 48, 54, 61'!$L$6</c:f>
              <c:strCache>
                <c:ptCount val="1"/>
                <c:pt idx="0">
                  <c:v>Agree</c:v>
                </c:pt>
              </c:strCache>
            </c:strRef>
          </c:tx>
          <c:spPr>
            <a:solidFill>
              <a:srgbClr val="00338D"/>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'q22, 28, 34, 42, 48, 54, 61'!$M$5:$T$5</c:f>
              <c:strCache>
                <c:ptCount val="8"/>
                <c:pt idx="0">
                  <c:v>QS 8 </c:v>
                </c:pt>
                <c:pt idx="1">
                  <c:v>QS 7 </c:v>
                </c:pt>
                <c:pt idx="2">
                  <c:v>QS 6 </c:v>
                </c:pt>
                <c:pt idx="3">
                  <c:v>QS 5 </c:v>
                </c:pt>
                <c:pt idx="4">
                  <c:v>QS 4 </c:v>
                </c:pt>
                <c:pt idx="5">
                  <c:v>QS 3 </c:v>
                </c:pt>
                <c:pt idx="6">
                  <c:v>QS 2 </c:v>
                </c:pt>
                <c:pt idx="7">
                  <c:v>QS 1 </c:v>
                </c:pt>
              </c:strCache>
            </c:strRef>
          </c:cat>
          <c:val>
            <c:numRef>
              <c:f>'q22, 28, 34, 42, 48, 54, 61'!$M$6:$T$6</c:f>
              <c:numCache>
                <c:formatCode>0%</c:formatCode>
                <c:ptCount val="8"/>
                <c:pt idx="0">
                  <c:v>0.61111111111111116</c:v>
                </c:pt>
                <c:pt idx="1">
                  <c:v>0.59599999999999997</c:v>
                </c:pt>
                <c:pt idx="2">
                  <c:v>0.63934426229508201</c:v>
                </c:pt>
                <c:pt idx="3">
                  <c:v>0.60465116279069764</c:v>
                </c:pt>
                <c:pt idx="4">
                  <c:v>0.65116279069767447</c:v>
                </c:pt>
                <c:pt idx="5">
                  <c:v>0.62121212121212122</c:v>
                </c:pt>
                <c:pt idx="6">
                  <c:v>0.60869565217391308</c:v>
                </c:pt>
                <c:pt idx="7">
                  <c:v>0.67839195979899503</c:v>
                </c:pt>
              </c:numCache>
            </c:numRef>
          </c:val>
          <c:extLst>
            <c:ext xmlns:c16="http://schemas.microsoft.com/office/drawing/2014/chart" uri="{C3380CC4-5D6E-409C-BE32-E72D297353CC}">
              <c16:uniqueId val="{00000000-73A9-4804-8684-0F424611F3E4}"/>
            </c:ext>
          </c:extLst>
        </c:ser>
        <c:ser>
          <c:idx val="1"/>
          <c:order val="1"/>
          <c:tx>
            <c:strRef>
              <c:f>'q22, 28, 34, 42, 48, 54, 61'!$L$7</c:f>
              <c:strCache>
                <c:ptCount val="1"/>
                <c:pt idx="0">
                  <c:v>Neither agree nor disagree</c:v>
                </c:pt>
              </c:strCache>
            </c:strRef>
          </c:tx>
          <c:spPr>
            <a:solidFill>
              <a:srgbClr val="005EB8"/>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'q22, 28, 34, 42, 48, 54, 61'!$M$5:$T$5</c:f>
              <c:strCache>
                <c:ptCount val="8"/>
                <c:pt idx="0">
                  <c:v>QS 8 </c:v>
                </c:pt>
                <c:pt idx="1">
                  <c:v>QS 7 </c:v>
                </c:pt>
                <c:pt idx="2">
                  <c:v>QS 6 </c:v>
                </c:pt>
                <c:pt idx="3">
                  <c:v>QS 5 </c:v>
                </c:pt>
                <c:pt idx="4">
                  <c:v>QS 4 </c:v>
                </c:pt>
                <c:pt idx="5">
                  <c:v>QS 3 </c:v>
                </c:pt>
                <c:pt idx="6">
                  <c:v>QS 2 </c:v>
                </c:pt>
                <c:pt idx="7">
                  <c:v>QS 1 </c:v>
                </c:pt>
              </c:strCache>
            </c:strRef>
          </c:cat>
          <c:val>
            <c:numRef>
              <c:f>'q22, 28, 34, 42, 48, 54, 61'!$M$7:$T$7</c:f>
              <c:numCache>
                <c:formatCode>0%</c:formatCode>
                <c:ptCount val="8"/>
                <c:pt idx="0">
                  <c:v>0.19444444444444445</c:v>
                </c:pt>
                <c:pt idx="1">
                  <c:v>0.18</c:v>
                </c:pt>
                <c:pt idx="2">
                  <c:v>0.17622950819672131</c:v>
                </c:pt>
                <c:pt idx="3">
                  <c:v>0.22093023255813954</c:v>
                </c:pt>
                <c:pt idx="4">
                  <c:v>0.17607973421926909</c:v>
                </c:pt>
                <c:pt idx="5">
                  <c:v>0.19696969696969696</c:v>
                </c:pt>
                <c:pt idx="6">
                  <c:v>0.17725752508361203</c:v>
                </c:pt>
                <c:pt idx="7">
                  <c:v>0.16331658291457288</c:v>
                </c:pt>
              </c:numCache>
            </c:numRef>
          </c:val>
          <c:extLst>
            <c:ext xmlns:c16="http://schemas.microsoft.com/office/drawing/2014/chart" uri="{C3380CC4-5D6E-409C-BE32-E72D297353CC}">
              <c16:uniqueId val="{00000001-73A9-4804-8684-0F424611F3E4}"/>
            </c:ext>
          </c:extLst>
        </c:ser>
        <c:ser>
          <c:idx val="2"/>
          <c:order val="2"/>
          <c:tx>
            <c:strRef>
              <c:f>'q22, 28, 34, 42, 48, 54, 61'!$L$8</c:f>
              <c:strCache>
                <c:ptCount val="1"/>
                <c:pt idx="0">
                  <c:v>Disagree</c:v>
                </c:pt>
              </c:strCache>
            </c:strRef>
          </c:tx>
          <c:spPr>
            <a:solidFill>
              <a:srgbClr val="0091DA"/>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'q22, 28, 34, 42, 48, 54, 61'!$M$5:$T$5</c:f>
              <c:strCache>
                <c:ptCount val="8"/>
                <c:pt idx="0">
                  <c:v>QS 8 </c:v>
                </c:pt>
                <c:pt idx="1">
                  <c:v>QS 7 </c:v>
                </c:pt>
                <c:pt idx="2">
                  <c:v>QS 6 </c:v>
                </c:pt>
                <c:pt idx="3">
                  <c:v>QS 5 </c:v>
                </c:pt>
                <c:pt idx="4">
                  <c:v>QS 4 </c:v>
                </c:pt>
                <c:pt idx="5">
                  <c:v>QS 3 </c:v>
                </c:pt>
                <c:pt idx="6">
                  <c:v>QS 2 </c:v>
                </c:pt>
                <c:pt idx="7">
                  <c:v>QS 1 </c:v>
                </c:pt>
              </c:strCache>
            </c:strRef>
          </c:cat>
          <c:val>
            <c:numRef>
              <c:f>'q22, 28, 34, 42, 48, 54, 61'!$M$8:$T$8</c:f>
              <c:numCache>
                <c:formatCode>0%</c:formatCode>
                <c:ptCount val="8"/>
                <c:pt idx="0">
                  <c:v>0.19444444444444445</c:v>
                </c:pt>
                <c:pt idx="1">
                  <c:v>0.224</c:v>
                </c:pt>
                <c:pt idx="2">
                  <c:v>0.18442622950819673</c:v>
                </c:pt>
                <c:pt idx="3">
                  <c:v>0.1744186046511628</c:v>
                </c:pt>
                <c:pt idx="4">
                  <c:v>0.17275747508305647</c:v>
                </c:pt>
                <c:pt idx="5">
                  <c:v>0.18181818181818182</c:v>
                </c:pt>
                <c:pt idx="6">
                  <c:v>0.21404682274247491</c:v>
                </c:pt>
                <c:pt idx="7">
                  <c:v>0.15829145728643215</c:v>
                </c:pt>
              </c:numCache>
            </c:numRef>
          </c:val>
          <c:extLst>
            <c:ext xmlns:c16="http://schemas.microsoft.com/office/drawing/2014/chart" uri="{C3380CC4-5D6E-409C-BE32-E72D297353CC}">
              <c16:uniqueId val="{00000002-73A9-4804-8684-0F424611F3E4}"/>
            </c:ext>
          </c:extLst>
        </c:ser>
        <c:dLbls>
          <c:dLblPos val="ctr"/>
          <c:showLegendKey val="0"/>
          <c:showVal val="1"/>
          <c:showCatName val="0"/>
          <c:showSerName val="0"/>
          <c:showPercent val="0"/>
          <c:showBubbleSize val="0"/>
        </c:dLbls>
        <c:gapWidth val="50"/>
        <c:overlap val="100"/>
        <c:axId val="582700784"/>
        <c:axId val="582689552"/>
      </c:barChart>
      <c:catAx>
        <c:axId val="582700784"/>
        <c:scaling>
          <c:orientation val="minMax"/>
        </c:scaling>
        <c:delete val="0"/>
        <c:axPos val="l"/>
        <c:numFmt formatCode="General" sourceLinked="1"/>
        <c:majorTickMark val="none"/>
        <c:minorTickMark val="none"/>
        <c:tickLblPos val="nextTo"/>
        <c:spPr>
          <a:noFill/>
          <a:ln w="9525" cap="flat" cmpd="sng" algn="ctr">
            <a:solidFill>
              <a:srgbClr val="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582689552"/>
        <c:crosses val="autoZero"/>
        <c:auto val="1"/>
        <c:lblAlgn val="ctr"/>
        <c:lblOffset val="100"/>
        <c:noMultiLvlLbl val="0"/>
      </c:catAx>
      <c:valAx>
        <c:axId val="582689552"/>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582700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Univers 45 Light" pitchFamily="2"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'1.1 q22, 28, 34, 42, 48, 54, 61'!$L$6</c:f>
              <c:strCache>
                <c:ptCount val="1"/>
                <c:pt idx="0">
                  <c:v>Agree</c:v>
                </c:pt>
              </c:strCache>
            </c:strRef>
          </c:tx>
          <c:spPr>
            <a:solidFill>
              <a:srgbClr val="00338D"/>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 q22, 28, 34, 42, 48, 54, 61'!$M$5:$T$5</c:f>
              <c:strCache>
                <c:ptCount val="8"/>
                <c:pt idx="0">
                  <c:v>QS 8 </c:v>
                </c:pt>
                <c:pt idx="1">
                  <c:v>QS 7 </c:v>
                </c:pt>
                <c:pt idx="2">
                  <c:v>QS 6 </c:v>
                </c:pt>
                <c:pt idx="3">
                  <c:v>QS 5 </c:v>
                </c:pt>
                <c:pt idx="4">
                  <c:v>QS 4 </c:v>
                </c:pt>
                <c:pt idx="5">
                  <c:v>QS 3 </c:v>
                </c:pt>
                <c:pt idx="6">
                  <c:v>QS 2 </c:v>
                </c:pt>
                <c:pt idx="7">
                  <c:v>QS 1 </c:v>
                </c:pt>
              </c:strCache>
            </c:strRef>
          </c:cat>
          <c:val>
            <c:numRef>
              <c:f>'1.1 q22, 28, 34, 42, 48, 54, 61'!$M$6:$T$6</c:f>
              <c:numCache>
                <c:formatCode>0%</c:formatCode>
                <c:ptCount val="8"/>
                <c:pt idx="0">
                  <c:v>0.51428571428571423</c:v>
                </c:pt>
                <c:pt idx="1">
                  <c:v>0.569620253164557</c:v>
                </c:pt>
                <c:pt idx="2">
                  <c:v>0.55319148936170215</c:v>
                </c:pt>
                <c:pt idx="3">
                  <c:v>0.62962962962962965</c:v>
                </c:pt>
                <c:pt idx="4">
                  <c:v>0.60869565217391308</c:v>
                </c:pt>
                <c:pt idx="5">
                  <c:v>0.64150943396226412</c:v>
                </c:pt>
                <c:pt idx="6">
                  <c:v>0.61904761904761907</c:v>
                </c:pt>
                <c:pt idx="7">
                  <c:v>0.60317460317460314</c:v>
                </c:pt>
              </c:numCache>
            </c:numRef>
          </c:val>
          <c:extLst>
            <c:ext xmlns:c16="http://schemas.microsoft.com/office/drawing/2014/chart" uri="{C3380CC4-5D6E-409C-BE32-E72D297353CC}">
              <c16:uniqueId val="{00000000-DFE1-4932-AE56-16B924412F60}"/>
            </c:ext>
          </c:extLst>
        </c:ser>
        <c:ser>
          <c:idx val="1"/>
          <c:order val="1"/>
          <c:tx>
            <c:strRef>
              <c:f>'1.1 q22, 28, 34, 42, 48, 54, 61'!$L$7</c:f>
              <c:strCache>
                <c:ptCount val="1"/>
                <c:pt idx="0">
                  <c:v>Neither agree nor disagree</c:v>
                </c:pt>
              </c:strCache>
            </c:strRef>
          </c:tx>
          <c:spPr>
            <a:solidFill>
              <a:srgbClr val="005EB8"/>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 q22, 28, 34, 42, 48, 54, 61'!$M$5:$T$5</c:f>
              <c:strCache>
                <c:ptCount val="8"/>
                <c:pt idx="0">
                  <c:v>QS 8 </c:v>
                </c:pt>
                <c:pt idx="1">
                  <c:v>QS 7 </c:v>
                </c:pt>
                <c:pt idx="2">
                  <c:v>QS 6 </c:v>
                </c:pt>
                <c:pt idx="3">
                  <c:v>QS 5 </c:v>
                </c:pt>
                <c:pt idx="4">
                  <c:v>QS 4 </c:v>
                </c:pt>
                <c:pt idx="5">
                  <c:v>QS 3 </c:v>
                </c:pt>
                <c:pt idx="6">
                  <c:v>QS 2 </c:v>
                </c:pt>
                <c:pt idx="7">
                  <c:v>QS 1 </c:v>
                </c:pt>
              </c:strCache>
            </c:strRef>
          </c:cat>
          <c:val>
            <c:numRef>
              <c:f>'1.1 q22, 28, 34, 42, 48, 54, 61'!$M$7:$T$7</c:f>
              <c:numCache>
                <c:formatCode>0%</c:formatCode>
                <c:ptCount val="8"/>
                <c:pt idx="0">
                  <c:v>0.21428571428571427</c:v>
                </c:pt>
                <c:pt idx="1">
                  <c:v>0.12658227848101267</c:v>
                </c:pt>
                <c:pt idx="2">
                  <c:v>0.13829787234042554</c:v>
                </c:pt>
                <c:pt idx="3">
                  <c:v>0.16666666666666666</c:v>
                </c:pt>
                <c:pt idx="4">
                  <c:v>0.15652173913043479</c:v>
                </c:pt>
                <c:pt idx="5">
                  <c:v>0.15094339622641509</c:v>
                </c:pt>
                <c:pt idx="6">
                  <c:v>0.11428571428571428</c:v>
                </c:pt>
                <c:pt idx="7">
                  <c:v>0.16666666666666666</c:v>
                </c:pt>
              </c:numCache>
            </c:numRef>
          </c:val>
          <c:extLst>
            <c:ext xmlns:c16="http://schemas.microsoft.com/office/drawing/2014/chart" uri="{C3380CC4-5D6E-409C-BE32-E72D297353CC}">
              <c16:uniqueId val="{00000001-DFE1-4932-AE56-16B924412F60}"/>
            </c:ext>
          </c:extLst>
        </c:ser>
        <c:ser>
          <c:idx val="2"/>
          <c:order val="2"/>
          <c:tx>
            <c:strRef>
              <c:f>'1.1 q22, 28, 34, 42, 48, 54, 61'!$L$8</c:f>
              <c:strCache>
                <c:ptCount val="1"/>
                <c:pt idx="0">
                  <c:v>Disagree</c:v>
                </c:pt>
              </c:strCache>
            </c:strRef>
          </c:tx>
          <c:spPr>
            <a:solidFill>
              <a:srgbClr val="0091DA"/>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 q22, 28, 34, 42, 48, 54, 61'!$M$5:$T$5</c:f>
              <c:strCache>
                <c:ptCount val="8"/>
                <c:pt idx="0">
                  <c:v>QS 8 </c:v>
                </c:pt>
                <c:pt idx="1">
                  <c:v>QS 7 </c:v>
                </c:pt>
                <c:pt idx="2">
                  <c:v>QS 6 </c:v>
                </c:pt>
                <c:pt idx="3">
                  <c:v>QS 5 </c:v>
                </c:pt>
                <c:pt idx="4">
                  <c:v>QS 4 </c:v>
                </c:pt>
                <c:pt idx="5">
                  <c:v>QS 3 </c:v>
                </c:pt>
                <c:pt idx="6">
                  <c:v>QS 2 </c:v>
                </c:pt>
                <c:pt idx="7">
                  <c:v>QS 1 </c:v>
                </c:pt>
              </c:strCache>
            </c:strRef>
          </c:cat>
          <c:val>
            <c:numRef>
              <c:f>'1.1 q22, 28, 34, 42, 48, 54, 61'!$M$8:$T$8</c:f>
              <c:numCache>
                <c:formatCode>0%</c:formatCode>
                <c:ptCount val="8"/>
                <c:pt idx="0">
                  <c:v>0.27142857142857141</c:v>
                </c:pt>
                <c:pt idx="1">
                  <c:v>0.30379746835443039</c:v>
                </c:pt>
                <c:pt idx="2">
                  <c:v>0.30851063829787234</c:v>
                </c:pt>
                <c:pt idx="3">
                  <c:v>0.20370370370370369</c:v>
                </c:pt>
                <c:pt idx="4">
                  <c:v>0.23478260869565218</c:v>
                </c:pt>
                <c:pt idx="5">
                  <c:v>0.20754716981132076</c:v>
                </c:pt>
                <c:pt idx="6">
                  <c:v>0.26666666666666666</c:v>
                </c:pt>
                <c:pt idx="7">
                  <c:v>0.23015873015873015</c:v>
                </c:pt>
              </c:numCache>
            </c:numRef>
          </c:val>
          <c:extLst>
            <c:ext xmlns:c16="http://schemas.microsoft.com/office/drawing/2014/chart" uri="{C3380CC4-5D6E-409C-BE32-E72D297353CC}">
              <c16:uniqueId val="{00000002-DFE1-4932-AE56-16B924412F60}"/>
            </c:ext>
          </c:extLst>
        </c:ser>
        <c:dLbls>
          <c:dLblPos val="ctr"/>
          <c:showLegendKey val="0"/>
          <c:showVal val="1"/>
          <c:showCatName val="0"/>
          <c:showSerName val="0"/>
          <c:showPercent val="0"/>
          <c:showBubbleSize val="0"/>
        </c:dLbls>
        <c:gapWidth val="50"/>
        <c:overlap val="100"/>
        <c:axId val="1300981616"/>
        <c:axId val="1469193632"/>
      </c:barChart>
      <c:catAx>
        <c:axId val="1300981616"/>
        <c:scaling>
          <c:orientation val="minMax"/>
        </c:scaling>
        <c:delete val="0"/>
        <c:axPos val="l"/>
        <c:numFmt formatCode="General" sourceLinked="1"/>
        <c:majorTickMark val="none"/>
        <c:minorTickMark val="none"/>
        <c:tickLblPos val="nextTo"/>
        <c:spPr>
          <a:noFill/>
          <a:ln w="9525" cap="flat" cmpd="sng" algn="ctr">
            <a:solidFill>
              <a:srgbClr val="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1469193632"/>
        <c:crosses val="autoZero"/>
        <c:auto val="1"/>
        <c:lblAlgn val="ctr"/>
        <c:lblOffset val="100"/>
        <c:noMultiLvlLbl val="0"/>
      </c:catAx>
      <c:valAx>
        <c:axId val="1469193632"/>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1300981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Univers 45 Light" pitchFamily="2"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'1.3 q22, 28, 34, 42, 48, 54, 61'!$L$6</c:f>
              <c:strCache>
                <c:ptCount val="1"/>
                <c:pt idx="0">
                  <c:v>Agree</c:v>
                </c:pt>
              </c:strCache>
            </c:strRef>
          </c:tx>
          <c:spPr>
            <a:solidFill>
              <a:srgbClr val="00338D"/>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q22, 28, 34, 42, 48, 54, 61'!$M$5:$T$5</c:f>
              <c:strCache>
                <c:ptCount val="8"/>
                <c:pt idx="0">
                  <c:v>QS 8 </c:v>
                </c:pt>
                <c:pt idx="1">
                  <c:v>QS 7 </c:v>
                </c:pt>
                <c:pt idx="2">
                  <c:v>QS 6 </c:v>
                </c:pt>
                <c:pt idx="3">
                  <c:v>QS 5 </c:v>
                </c:pt>
                <c:pt idx="4">
                  <c:v>QS 4 </c:v>
                </c:pt>
                <c:pt idx="5">
                  <c:v>QS 3 </c:v>
                </c:pt>
                <c:pt idx="6">
                  <c:v>QS 2 </c:v>
                </c:pt>
                <c:pt idx="7">
                  <c:v>QS 1 </c:v>
                </c:pt>
              </c:strCache>
            </c:strRef>
          </c:cat>
          <c:val>
            <c:numRef>
              <c:f>'1.3 q22, 28, 34, 42, 48, 54, 61'!$M$6:$T$6</c:f>
              <c:numCache>
                <c:formatCode>0%</c:formatCode>
                <c:ptCount val="8"/>
                <c:pt idx="0">
                  <c:v>0.69387755102040816</c:v>
                </c:pt>
                <c:pt idx="1">
                  <c:v>0.68235294117647061</c:v>
                </c:pt>
                <c:pt idx="2">
                  <c:v>0.78082191780821919</c:v>
                </c:pt>
                <c:pt idx="3">
                  <c:v>0.67272727272727273</c:v>
                </c:pt>
                <c:pt idx="4">
                  <c:v>0.79452054794520544</c:v>
                </c:pt>
                <c:pt idx="5">
                  <c:v>0.63736263736263732</c:v>
                </c:pt>
                <c:pt idx="6">
                  <c:v>0.69072164948453607</c:v>
                </c:pt>
                <c:pt idx="7">
                  <c:v>0.75630252100840334</c:v>
                </c:pt>
              </c:numCache>
            </c:numRef>
          </c:val>
          <c:extLst>
            <c:ext xmlns:c16="http://schemas.microsoft.com/office/drawing/2014/chart" uri="{C3380CC4-5D6E-409C-BE32-E72D297353CC}">
              <c16:uniqueId val="{00000000-1F36-470C-86D4-5CDD324915FD}"/>
            </c:ext>
          </c:extLst>
        </c:ser>
        <c:ser>
          <c:idx val="1"/>
          <c:order val="1"/>
          <c:tx>
            <c:strRef>
              <c:f>'1.3 q22, 28, 34, 42, 48, 54, 61'!$L$7</c:f>
              <c:strCache>
                <c:ptCount val="1"/>
                <c:pt idx="0">
                  <c:v>Neither agree nor disagree</c:v>
                </c:pt>
              </c:strCache>
            </c:strRef>
          </c:tx>
          <c:spPr>
            <a:solidFill>
              <a:srgbClr val="005EB8"/>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q22, 28, 34, 42, 48, 54, 61'!$M$5:$T$5</c:f>
              <c:strCache>
                <c:ptCount val="8"/>
                <c:pt idx="0">
                  <c:v>QS 8 </c:v>
                </c:pt>
                <c:pt idx="1">
                  <c:v>QS 7 </c:v>
                </c:pt>
                <c:pt idx="2">
                  <c:v>QS 6 </c:v>
                </c:pt>
                <c:pt idx="3">
                  <c:v>QS 5 </c:v>
                </c:pt>
                <c:pt idx="4">
                  <c:v>QS 4 </c:v>
                </c:pt>
                <c:pt idx="5">
                  <c:v>QS 3 </c:v>
                </c:pt>
                <c:pt idx="6">
                  <c:v>QS 2 </c:v>
                </c:pt>
                <c:pt idx="7">
                  <c:v>QS 1 </c:v>
                </c:pt>
              </c:strCache>
            </c:strRef>
          </c:cat>
          <c:val>
            <c:numRef>
              <c:f>'1.3 q22, 28, 34, 42, 48, 54, 61'!$M$7:$T$7</c:f>
              <c:numCache>
                <c:formatCode>0%</c:formatCode>
                <c:ptCount val="8"/>
                <c:pt idx="0">
                  <c:v>0.18367346938775511</c:v>
                </c:pt>
                <c:pt idx="1">
                  <c:v>0.18823529411764706</c:v>
                </c:pt>
                <c:pt idx="2">
                  <c:v>0.15068493150684931</c:v>
                </c:pt>
                <c:pt idx="3">
                  <c:v>0.25454545454545452</c:v>
                </c:pt>
                <c:pt idx="4">
                  <c:v>0.13698630136986301</c:v>
                </c:pt>
                <c:pt idx="5">
                  <c:v>0.24175824175824176</c:v>
                </c:pt>
                <c:pt idx="6">
                  <c:v>0.19587628865979381</c:v>
                </c:pt>
                <c:pt idx="7">
                  <c:v>0.16806722689075632</c:v>
                </c:pt>
              </c:numCache>
            </c:numRef>
          </c:val>
          <c:extLst>
            <c:ext xmlns:c16="http://schemas.microsoft.com/office/drawing/2014/chart" uri="{C3380CC4-5D6E-409C-BE32-E72D297353CC}">
              <c16:uniqueId val="{00000001-1F36-470C-86D4-5CDD324915FD}"/>
            </c:ext>
          </c:extLst>
        </c:ser>
        <c:ser>
          <c:idx val="2"/>
          <c:order val="2"/>
          <c:tx>
            <c:strRef>
              <c:f>'1.3 q22, 28, 34, 42, 48, 54, 61'!$L$8</c:f>
              <c:strCache>
                <c:ptCount val="1"/>
                <c:pt idx="0">
                  <c:v>Disagree</c:v>
                </c:pt>
              </c:strCache>
            </c:strRef>
          </c:tx>
          <c:spPr>
            <a:solidFill>
              <a:srgbClr val="0091DA"/>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q22, 28, 34, 42, 48, 54, 61'!$M$5:$T$5</c:f>
              <c:strCache>
                <c:ptCount val="8"/>
                <c:pt idx="0">
                  <c:v>QS 8 </c:v>
                </c:pt>
                <c:pt idx="1">
                  <c:v>QS 7 </c:v>
                </c:pt>
                <c:pt idx="2">
                  <c:v>QS 6 </c:v>
                </c:pt>
                <c:pt idx="3">
                  <c:v>QS 5 </c:v>
                </c:pt>
                <c:pt idx="4">
                  <c:v>QS 4 </c:v>
                </c:pt>
                <c:pt idx="5">
                  <c:v>QS 3 </c:v>
                </c:pt>
                <c:pt idx="6">
                  <c:v>QS 2 </c:v>
                </c:pt>
                <c:pt idx="7">
                  <c:v>QS 1 </c:v>
                </c:pt>
              </c:strCache>
            </c:strRef>
          </c:cat>
          <c:val>
            <c:numRef>
              <c:f>'1.3 q22, 28, 34, 42, 48, 54, 61'!$M$8:$T$8</c:f>
              <c:numCache>
                <c:formatCode>0%</c:formatCode>
                <c:ptCount val="8"/>
                <c:pt idx="0">
                  <c:v>0.12244897959183673</c:v>
                </c:pt>
                <c:pt idx="1">
                  <c:v>0.12941176470588237</c:v>
                </c:pt>
                <c:pt idx="2">
                  <c:v>6.8493150684931503E-2</c:v>
                </c:pt>
                <c:pt idx="3">
                  <c:v>7.2727272727272724E-2</c:v>
                </c:pt>
                <c:pt idx="4">
                  <c:v>6.8493150684931503E-2</c:v>
                </c:pt>
                <c:pt idx="5">
                  <c:v>0.12087912087912088</c:v>
                </c:pt>
                <c:pt idx="6">
                  <c:v>0.1134020618556701</c:v>
                </c:pt>
                <c:pt idx="7">
                  <c:v>7.5630252100840331E-2</c:v>
                </c:pt>
              </c:numCache>
            </c:numRef>
          </c:val>
          <c:extLst>
            <c:ext xmlns:c16="http://schemas.microsoft.com/office/drawing/2014/chart" uri="{C3380CC4-5D6E-409C-BE32-E72D297353CC}">
              <c16:uniqueId val="{00000002-1F36-470C-86D4-5CDD324915FD}"/>
            </c:ext>
          </c:extLst>
        </c:ser>
        <c:dLbls>
          <c:dLblPos val="ctr"/>
          <c:showLegendKey val="0"/>
          <c:showVal val="1"/>
          <c:showCatName val="0"/>
          <c:showSerName val="0"/>
          <c:showPercent val="0"/>
          <c:showBubbleSize val="0"/>
        </c:dLbls>
        <c:gapWidth val="50"/>
        <c:overlap val="100"/>
        <c:axId val="1300981616"/>
        <c:axId val="1469193632"/>
      </c:barChart>
      <c:catAx>
        <c:axId val="1300981616"/>
        <c:scaling>
          <c:orientation val="minMax"/>
        </c:scaling>
        <c:delete val="0"/>
        <c:axPos val="l"/>
        <c:numFmt formatCode="General" sourceLinked="1"/>
        <c:majorTickMark val="none"/>
        <c:minorTickMark val="none"/>
        <c:tickLblPos val="nextTo"/>
        <c:spPr>
          <a:noFill/>
          <a:ln w="9525" cap="flat" cmpd="sng" algn="ctr">
            <a:solidFill>
              <a:srgbClr val="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1469193632"/>
        <c:crosses val="autoZero"/>
        <c:auto val="1"/>
        <c:lblAlgn val="ctr"/>
        <c:lblOffset val="100"/>
        <c:noMultiLvlLbl val="0"/>
      </c:catAx>
      <c:valAx>
        <c:axId val="1469193632"/>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1300981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Univers 45 Light" pitchFamily="2"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'Q24, 30, 36, 44, 50, 57, 63, 70'!$L$7</c:f>
              <c:strCache>
                <c:ptCount val="1"/>
                <c:pt idx="0">
                  <c:v>Agree</c:v>
                </c:pt>
              </c:strCache>
            </c:strRef>
          </c:tx>
          <c:spPr>
            <a:solidFill>
              <a:srgbClr val="00338D"/>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'Q24, 30, 36, 44, 50, 57, 63, 70'!$M$6:$T$6</c:f>
              <c:strCache>
                <c:ptCount val="8"/>
                <c:pt idx="0">
                  <c:v>QS 8 </c:v>
                </c:pt>
                <c:pt idx="1">
                  <c:v>QS 7 </c:v>
                </c:pt>
                <c:pt idx="2">
                  <c:v>QS 6 </c:v>
                </c:pt>
                <c:pt idx="3">
                  <c:v>QS 5 </c:v>
                </c:pt>
                <c:pt idx="4">
                  <c:v>QS 4 </c:v>
                </c:pt>
                <c:pt idx="5">
                  <c:v>QS 3 </c:v>
                </c:pt>
                <c:pt idx="6">
                  <c:v>QS 2 </c:v>
                </c:pt>
                <c:pt idx="7">
                  <c:v>QS 1 </c:v>
                </c:pt>
              </c:strCache>
            </c:strRef>
          </c:cat>
          <c:val>
            <c:numRef>
              <c:f>'Q24, 30, 36, 44, 50, 57, 63, 70'!$M$7:$T$7</c:f>
              <c:numCache>
                <c:formatCode>0%</c:formatCode>
                <c:ptCount val="8"/>
                <c:pt idx="0">
                  <c:v>0.39306358381502893</c:v>
                </c:pt>
                <c:pt idx="1">
                  <c:v>0.77906976744186052</c:v>
                </c:pt>
                <c:pt idx="2">
                  <c:v>0.86486486486486491</c:v>
                </c:pt>
                <c:pt idx="3">
                  <c:v>0.7678571428571429</c:v>
                </c:pt>
                <c:pt idx="4">
                  <c:v>0.81081081081081086</c:v>
                </c:pt>
                <c:pt idx="5">
                  <c:v>0.68085106382978722</c:v>
                </c:pt>
                <c:pt idx="6">
                  <c:v>0.73469387755102045</c:v>
                </c:pt>
                <c:pt idx="7">
                  <c:v>0.78688524590163933</c:v>
                </c:pt>
              </c:numCache>
            </c:numRef>
          </c:val>
          <c:extLst>
            <c:ext xmlns:c16="http://schemas.microsoft.com/office/drawing/2014/chart" uri="{C3380CC4-5D6E-409C-BE32-E72D297353CC}">
              <c16:uniqueId val="{00000000-FF05-4B7F-A3F6-62131C2ABABC}"/>
            </c:ext>
          </c:extLst>
        </c:ser>
        <c:ser>
          <c:idx val="1"/>
          <c:order val="1"/>
          <c:tx>
            <c:strRef>
              <c:f>'Q24, 30, 36, 44, 50, 57, 63, 70'!$L$8</c:f>
              <c:strCache>
                <c:ptCount val="1"/>
                <c:pt idx="0">
                  <c:v>Neither agree nor disagree</c:v>
                </c:pt>
              </c:strCache>
            </c:strRef>
          </c:tx>
          <c:spPr>
            <a:solidFill>
              <a:srgbClr val="005EB8"/>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'Q24, 30, 36, 44, 50, 57, 63, 70'!$M$6:$T$6</c:f>
              <c:strCache>
                <c:ptCount val="8"/>
                <c:pt idx="0">
                  <c:v>QS 8 </c:v>
                </c:pt>
                <c:pt idx="1">
                  <c:v>QS 7 </c:v>
                </c:pt>
                <c:pt idx="2">
                  <c:v>QS 6 </c:v>
                </c:pt>
                <c:pt idx="3">
                  <c:v>QS 5 </c:v>
                </c:pt>
                <c:pt idx="4">
                  <c:v>QS 4 </c:v>
                </c:pt>
                <c:pt idx="5">
                  <c:v>QS 3 </c:v>
                </c:pt>
                <c:pt idx="6">
                  <c:v>QS 2 </c:v>
                </c:pt>
                <c:pt idx="7">
                  <c:v>QS 1 </c:v>
                </c:pt>
              </c:strCache>
            </c:strRef>
          </c:cat>
          <c:val>
            <c:numRef>
              <c:f>'Q24, 30, 36, 44, 50, 57, 63, 70'!$M$8:$T$8</c:f>
              <c:numCache>
                <c:formatCode>0%</c:formatCode>
                <c:ptCount val="8"/>
                <c:pt idx="0">
                  <c:v>4.046242774566474E-2</c:v>
                </c:pt>
                <c:pt idx="1">
                  <c:v>0.13953488372093023</c:v>
                </c:pt>
                <c:pt idx="2">
                  <c:v>8.1081081081081086E-2</c:v>
                </c:pt>
                <c:pt idx="3">
                  <c:v>0.17857142857142858</c:v>
                </c:pt>
                <c:pt idx="4">
                  <c:v>0.10810810810810811</c:v>
                </c:pt>
                <c:pt idx="5">
                  <c:v>0.23404255319148937</c:v>
                </c:pt>
                <c:pt idx="6">
                  <c:v>0.15306122448979592</c:v>
                </c:pt>
                <c:pt idx="7">
                  <c:v>0.16393442622950818</c:v>
                </c:pt>
              </c:numCache>
            </c:numRef>
          </c:val>
          <c:extLst>
            <c:ext xmlns:c16="http://schemas.microsoft.com/office/drawing/2014/chart" uri="{C3380CC4-5D6E-409C-BE32-E72D297353CC}">
              <c16:uniqueId val="{00000001-FF05-4B7F-A3F6-62131C2ABABC}"/>
            </c:ext>
          </c:extLst>
        </c:ser>
        <c:ser>
          <c:idx val="2"/>
          <c:order val="2"/>
          <c:tx>
            <c:strRef>
              <c:f>'Q24, 30, 36, 44, 50, 57, 63, 70'!$L$9</c:f>
              <c:strCache>
                <c:ptCount val="1"/>
                <c:pt idx="0">
                  <c:v>Disagree</c:v>
                </c:pt>
              </c:strCache>
            </c:strRef>
          </c:tx>
          <c:spPr>
            <a:solidFill>
              <a:srgbClr val="0091DA"/>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Univers 45 Ligh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'Q24, 30, 36, 44, 50, 57, 63, 70'!$M$6:$T$6</c:f>
              <c:strCache>
                <c:ptCount val="8"/>
                <c:pt idx="0">
                  <c:v>QS 8 </c:v>
                </c:pt>
                <c:pt idx="1">
                  <c:v>QS 7 </c:v>
                </c:pt>
                <c:pt idx="2">
                  <c:v>QS 6 </c:v>
                </c:pt>
                <c:pt idx="3">
                  <c:v>QS 5 </c:v>
                </c:pt>
                <c:pt idx="4">
                  <c:v>QS 4 </c:v>
                </c:pt>
                <c:pt idx="5">
                  <c:v>QS 3 </c:v>
                </c:pt>
                <c:pt idx="6">
                  <c:v>QS 2 </c:v>
                </c:pt>
                <c:pt idx="7">
                  <c:v>QS 1 </c:v>
                </c:pt>
              </c:strCache>
            </c:strRef>
          </c:cat>
          <c:val>
            <c:numRef>
              <c:f>'Q24, 30, 36, 44, 50, 57, 63, 70'!$M$9:$T$9</c:f>
              <c:numCache>
                <c:formatCode>0%</c:formatCode>
                <c:ptCount val="8"/>
                <c:pt idx="0">
                  <c:v>0.56647398843930641</c:v>
                </c:pt>
                <c:pt idx="1">
                  <c:v>8.1395348837209308E-2</c:v>
                </c:pt>
                <c:pt idx="2">
                  <c:v>5.4054054054054057E-2</c:v>
                </c:pt>
                <c:pt idx="3">
                  <c:v>5.3571428571428568E-2</c:v>
                </c:pt>
                <c:pt idx="4">
                  <c:v>8.1081081081081086E-2</c:v>
                </c:pt>
                <c:pt idx="5">
                  <c:v>8.5106382978723402E-2</c:v>
                </c:pt>
                <c:pt idx="6">
                  <c:v>0.11224489795918367</c:v>
                </c:pt>
                <c:pt idx="7">
                  <c:v>4.9180327868852458E-2</c:v>
                </c:pt>
              </c:numCache>
            </c:numRef>
          </c:val>
          <c:extLst>
            <c:ext xmlns:c16="http://schemas.microsoft.com/office/drawing/2014/chart" uri="{C3380CC4-5D6E-409C-BE32-E72D297353CC}">
              <c16:uniqueId val="{00000002-FF05-4B7F-A3F6-62131C2ABABC}"/>
            </c:ext>
          </c:extLst>
        </c:ser>
        <c:dLbls>
          <c:dLblPos val="ctr"/>
          <c:showLegendKey val="0"/>
          <c:showVal val="1"/>
          <c:showCatName val="0"/>
          <c:showSerName val="0"/>
          <c:showPercent val="0"/>
          <c:showBubbleSize val="0"/>
        </c:dLbls>
        <c:gapWidth val="50"/>
        <c:overlap val="100"/>
        <c:axId val="1452902960"/>
        <c:axId val="1469009344"/>
      </c:barChart>
      <c:catAx>
        <c:axId val="1452902960"/>
        <c:scaling>
          <c:orientation val="minMax"/>
        </c:scaling>
        <c:delete val="0"/>
        <c:axPos val="l"/>
        <c:numFmt formatCode="General" sourceLinked="1"/>
        <c:majorTickMark val="none"/>
        <c:minorTickMark val="none"/>
        <c:tickLblPos val="nextTo"/>
        <c:spPr>
          <a:noFill/>
          <a:ln w="9525" cap="flat" cmpd="sng" algn="ctr">
            <a:solidFill>
              <a:srgbClr val="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1469009344"/>
        <c:crosses val="autoZero"/>
        <c:auto val="1"/>
        <c:lblAlgn val="ctr"/>
        <c:lblOffset val="100"/>
        <c:noMultiLvlLbl val="0"/>
      </c:catAx>
      <c:valAx>
        <c:axId val="1469009344"/>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145290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Univers 45 Light" pitchFamily="2"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690196112476015"/>
          <c:y val="4.7447423502441945E-2"/>
          <c:w val="0.46228771844533767"/>
          <c:h val="0.75911458852453573"/>
        </c:manualLayout>
      </c:layout>
      <c:barChart>
        <c:barDir val="bar"/>
        <c:grouping val="stacked"/>
        <c:varyColors val="0"/>
        <c:ser>
          <c:idx val="0"/>
          <c:order val="0"/>
          <c:tx>
            <c:strRef>
              <c:f>Sheet1!$B$1</c:f>
              <c:strCache>
                <c:ptCount val="1"/>
                <c:pt idx="0">
                  <c:v>Headline Themes</c:v>
                </c:pt>
              </c:strCache>
            </c:strRef>
          </c:tx>
          <c:spPr>
            <a:solidFill>
              <a:schemeClr val="tx2"/>
            </a:solidFill>
            <a:ln>
              <a:noFill/>
            </a:ln>
            <a:effectLst/>
          </c:spPr>
          <c:invertIfNegative val="0"/>
          <c:cat>
            <c:strRef>
              <c:f>Sheet1!$A$2:$A$13</c:f>
              <c:strCache>
                <c:ptCount val="11"/>
                <c:pt idx="0">
                  <c:v>Human Services Standards - Victoria</c:v>
                </c:pt>
                <c:pt idx="1">
                  <c:v>Accreditation Canada International Semi-Residential and Residential Service Standards</c:v>
                </c:pt>
                <c:pt idx="2">
                  <c:v>Human Services Quality Standards - Queensland</c:v>
                </c:pt>
                <c:pt idx="3">
                  <c:v>New Zealand Health and Disability Service Standards</c:v>
                </c:pt>
                <c:pt idx="4">
                  <c:v>Australian Aged Care Quality Standards</c:v>
                </c:pt>
                <c:pt idx="5">
                  <c:v>England Care Quality Commission Regulations</c:v>
                </c:pt>
                <c:pt idx="6">
                  <c:v>NDIS Practice Standards and Quality Indicators</c:v>
                </c:pt>
                <c:pt idx="7">
                  <c:v>USA Joint Commission Accreditation for Nursing Care Centres  </c:v>
                </c:pt>
                <c:pt idx="8">
                  <c:v>Ontario Long-Term Care Homes Regulation </c:v>
                </c:pt>
                <c:pt idx="9">
                  <c:v>National Safety and Quality Health Service (NSQHS) Standards </c:v>
                </c:pt>
                <c:pt idx="10">
                  <c:v>USA Regulation</c:v>
                </c:pt>
              </c:strCache>
            </c:strRef>
          </c:cat>
          <c:val>
            <c:numRef>
              <c:f>Sheet1!$B$2:$B$13</c:f>
              <c:numCache>
                <c:formatCode>General</c:formatCode>
                <c:ptCount val="12"/>
                <c:pt idx="0">
                  <c:v>4</c:v>
                </c:pt>
                <c:pt idx="1">
                  <c:v>5</c:v>
                </c:pt>
                <c:pt idx="2">
                  <c:v>6</c:v>
                </c:pt>
                <c:pt idx="3">
                  <c:v>6</c:v>
                </c:pt>
                <c:pt idx="4">
                  <c:v>8</c:v>
                </c:pt>
                <c:pt idx="5">
                  <c:v>12</c:v>
                </c:pt>
                <c:pt idx="6">
                  <c:v>22</c:v>
                </c:pt>
                <c:pt idx="7">
                  <c:v>14</c:v>
                </c:pt>
                <c:pt idx="8">
                  <c:v>10</c:v>
                </c:pt>
                <c:pt idx="9">
                  <c:v>8</c:v>
                </c:pt>
                <c:pt idx="10">
                  <c:v>22</c:v>
                </c:pt>
              </c:numCache>
            </c:numRef>
          </c:val>
          <c:extLst>
            <c:ext xmlns:c16="http://schemas.microsoft.com/office/drawing/2014/chart" uri="{C3380CC4-5D6E-409C-BE32-E72D297353CC}">
              <c16:uniqueId val="{00000000-16E4-41A0-BEE2-68F80B0F9BA8}"/>
            </c:ext>
          </c:extLst>
        </c:ser>
        <c:ser>
          <c:idx val="1"/>
          <c:order val="1"/>
          <c:tx>
            <c:strRef>
              <c:f>Sheet1!$C$1</c:f>
              <c:strCache>
                <c:ptCount val="1"/>
                <c:pt idx="0">
                  <c:v>Underlying Requirements</c:v>
                </c:pt>
              </c:strCache>
            </c:strRef>
          </c:tx>
          <c:spPr>
            <a:solidFill>
              <a:schemeClr val="accent1"/>
            </a:solidFill>
            <a:ln>
              <a:noFill/>
            </a:ln>
            <a:effectLst/>
          </c:spPr>
          <c:invertIfNegative val="0"/>
          <c:cat>
            <c:strRef>
              <c:f>Sheet1!$A$2:$A$13</c:f>
              <c:strCache>
                <c:ptCount val="11"/>
                <c:pt idx="0">
                  <c:v>Human Services Standards - Victoria</c:v>
                </c:pt>
                <c:pt idx="1">
                  <c:v>Accreditation Canada International Semi-Residential and Residential Service Standards</c:v>
                </c:pt>
                <c:pt idx="2">
                  <c:v>Human Services Quality Standards - Queensland</c:v>
                </c:pt>
                <c:pt idx="3">
                  <c:v>New Zealand Health and Disability Service Standards</c:v>
                </c:pt>
                <c:pt idx="4">
                  <c:v>Australian Aged Care Quality Standards</c:v>
                </c:pt>
                <c:pt idx="5">
                  <c:v>England Care Quality Commission Regulations</c:v>
                </c:pt>
                <c:pt idx="6">
                  <c:v>NDIS Practice Standards and Quality Indicators</c:v>
                </c:pt>
                <c:pt idx="7">
                  <c:v>USA Joint Commission Accreditation for Nursing Care Centres  </c:v>
                </c:pt>
                <c:pt idx="8">
                  <c:v>Ontario Long-Term Care Homes Regulation </c:v>
                </c:pt>
                <c:pt idx="9">
                  <c:v>National Safety and Quality Health Service (NSQHS) Standards </c:v>
                </c:pt>
                <c:pt idx="10">
                  <c:v>USA Regulation</c:v>
                </c:pt>
              </c:strCache>
            </c:strRef>
          </c:cat>
          <c:val>
            <c:numRef>
              <c:f>Sheet1!$C$2:$C$13</c:f>
              <c:numCache>
                <c:formatCode>General</c:formatCode>
                <c:ptCount val="12"/>
                <c:pt idx="0">
                  <c:v>17</c:v>
                </c:pt>
                <c:pt idx="1">
                  <c:v>22</c:v>
                </c:pt>
                <c:pt idx="2">
                  <c:v>29</c:v>
                </c:pt>
                <c:pt idx="3">
                  <c:v>34</c:v>
                </c:pt>
                <c:pt idx="4">
                  <c:v>42</c:v>
                </c:pt>
                <c:pt idx="5">
                  <c:v>49</c:v>
                </c:pt>
                <c:pt idx="6">
                  <c:v>87</c:v>
                </c:pt>
                <c:pt idx="7">
                  <c:v>100</c:v>
                </c:pt>
                <c:pt idx="8">
                  <c:v>112</c:v>
                </c:pt>
                <c:pt idx="9">
                  <c:v>148</c:v>
                </c:pt>
                <c:pt idx="10">
                  <c:v>149</c:v>
                </c:pt>
              </c:numCache>
            </c:numRef>
          </c:val>
          <c:extLst>
            <c:ext xmlns:c16="http://schemas.microsoft.com/office/drawing/2014/chart" uri="{C3380CC4-5D6E-409C-BE32-E72D297353CC}">
              <c16:uniqueId val="{00000001-16E4-41A0-BEE2-68F80B0F9BA8}"/>
            </c:ext>
          </c:extLst>
        </c:ser>
        <c:dLbls>
          <c:showLegendKey val="0"/>
          <c:showVal val="0"/>
          <c:showCatName val="0"/>
          <c:showSerName val="0"/>
          <c:showPercent val="0"/>
          <c:showBubbleSize val="0"/>
        </c:dLbls>
        <c:gapWidth val="50"/>
        <c:overlap val="100"/>
        <c:axId val="638030832"/>
        <c:axId val="507185584"/>
      </c:barChart>
      <c:catAx>
        <c:axId val="638030832"/>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507185584"/>
        <c:crosses val="autoZero"/>
        <c:auto val="1"/>
        <c:lblAlgn val="ctr"/>
        <c:lblOffset val="100"/>
        <c:noMultiLvlLbl val="0"/>
      </c:catAx>
      <c:valAx>
        <c:axId val="5071855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crossAx val="638030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nivers 45 Light"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Univers 45 Light" pitchFamily="2"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KPMG">
      <a:dk1>
        <a:srgbClr val="000000"/>
      </a:dk1>
      <a:lt1>
        <a:sysClr val="window" lastClr="FFFFFF"/>
      </a:lt1>
      <a:dk2>
        <a:srgbClr val="00338D"/>
      </a:dk2>
      <a:lt2>
        <a:srgbClr val="F0F0F0"/>
      </a:lt2>
      <a:accent1>
        <a:srgbClr val="0091DA"/>
      </a:accent1>
      <a:accent2>
        <a:srgbClr val="6D2077"/>
      </a:accent2>
      <a:accent3>
        <a:srgbClr val="005EB8"/>
      </a:accent3>
      <a:accent4>
        <a:srgbClr val="00A3A1"/>
      </a:accent4>
      <a:accent5>
        <a:srgbClr val="EAAA00"/>
      </a:accent5>
      <a:accent6>
        <a:srgbClr val="43B02A"/>
      </a:accent6>
      <a:hlink>
        <a:srgbClr val="0091DA"/>
      </a:hlink>
      <a:folHlink>
        <a:srgbClr val="0091DA"/>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222A59"/>
    </a:accent1>
    <a:accent2>
      <a:srgbClr val="1F4E8C"/>
    </a:accent2>
    <a:accent3>
      <a:srgbClr val="3FA646"/>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222A59"/>
    </a:accent1>
    <a:accent2>
      <a:srgbClr val="1F4E8C"/>
    </a:accent2>
    <a:accent3>
      <a:srgbClr val="3FA646"/>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222A59"/>
    </a:accent1>
    <a:accent2>
      <a:srgbClr val="1F4E8C"/>
    </a:accent2>
    <a:accent3>
      <a:srgbClr val="3FA646"/>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222A59"/>
    </a:accent1>
    <a:accent2>
      <a:srgbClr val="1F4E8C"/>
    </a:accent2>
    <a:accent3>
      <a:srgbClr val="3FA646"/>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222A59"/>
    </a:accent1>
    <a:accent2>
      <a:srgbClr val="1F4E8C"/>
    </a:accent2>
    <a:accent3>
      <a:srgbClr val="3FA646"/>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222A59"/>
    </a:accent1>
    <a:accent2>
      <a:srgbClr val="1F4E8C"/>
    </a:accent2>
    <a:accent3>
      <a:srgbClr val="3FA646"/>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222A59"/>
    </a:accent1>
    <a:accent2>
      <a:srgbClr val="1F4E8C"/>
    </a:accent2>
    <a:accent3>
      <a:srgbClr val="3FA646"/>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222A59"/>
    </a:accent1>
    <a:accent2>
      <a:srgbClr val="1F4E8C"/>
    </a:accent2>
    <a:accent3>
      <a:srgbClr val="3FA646"/>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222A59"/>
    </a:accent1>
    <a:accent2>
      <a:srgbClr val="1F4E8C"/>
    </a:accent2>
    <a:accent3>
      <a:srgbClr val="3FA646"/>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222A59"/>
    </a:accent1>
    <a:accent2>
      <a:srgbClr val="1F4E8C"/>
    </a:accent2>
    <a:accent3>
      <a:srgbClr val="3FA646"/>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222A59"/>
    </a:accent1>
    <a:accent2>
      <a:srgbClr val="1F4E8C"/>
    </a:accent2>
    <a:accent3>
      <a:srgbClr val="3FA646"/>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222A59"/>
    </a:accent1>
    <a:accent2>
      <a:srgbClr val="1F4E8C"/>
    </a:accent2>
    <a:accent3>
      <a:srgbClr val="3FA646"/>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BCF6F257CA4384D8F1ADB45F7376323" ma:contentTypeVersion="6" ma:contentTypeDescription="Create a new document." ma:contentTypeScope="" ma:versionID="a90d23f0c2691faebde8661939f4764a">
  <xsd:schema xmlns:xsd="http://www.w3.org/2001/XMLSchema" xmlns:xs="http://www.w3.org/2001/XMLSchema" xmlns:p="http://schemas.microsoft.com/office/2006/metadata/properties" xmlns:ns2="8cb87ca2-f41e-409a-8976-43e79b16f35a" xmlns:ns3="8088be44-50c1-4a8d-a334-b3889ba01460" targetNamespace="http://schemas.microsoft.com/office/2006/metadata/properties" ma:root="true" ma:fieldsID="fa7e27479a9f587d4a3bce377ef8544a" ns2:_="" ns3:_="">
    <xsd:import namespace="8cb87ca2-f41e-409a-8976-43e79b16f35a"/>
    <xsd:import namespace="8088be44-50c1-4a8d-a334-b3889ba0146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b87ca2-f41e-409a-8976-43e79b16f3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088be44-50c1-4a8d-a334-b3889ba0146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documentManagement>
    <SharedWithUsers xmlns="8088be44-50c1-4a8d-a334-b3889ba01460">
      <UserInfo>
        <DisplayName>Kate Esser</DisplayName>
        <AccountId>63</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6EF1208-794F-4D27-9012-B07206C4F3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b87ca2-f41e-409a-8976-43e79b16f35a"/>
    <ds:schemaRef ds:uri="8088be44-50c1-4a8d-a334-b3889ba014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56B993E-F46D-490B-9FC7-EC2C88ED1669}">
  <ds:schemaRefs>
    <ds:schemaRef ds:uri="http://schemas.openxmlformats.org/officeDocument/2006/bibliography"/>
  </ds:schemaRefs>
</ds:datastoreItem>
</file>

<file path=customXml/itemProps3.xml><?xml version="1.0" encoding="utf-8"?>
<ds:datastoreItem xmlns:ds="http://schemas.openxmlformats.org/officeDocument/2006/customXml" ds:itemID="{223C8F6A-D513-410D-8D21-A9AEA5240034}">
  <ds:schemaRefs>
    <ds:schemaRef ds:uri="8cb87ca2-f41e-409a-8976-43e79b16f35a"/>
    <ds:schemaRef ds:uri="http://schemas.microsoft.com/office/2006/metadata/properties"/>
    <ds:schemaRef ds:uri="http://purl.org/dc/terms/"/>
    <ds:schemaRef ds:uri="http://schemas.microsoft.com/office/2006/documentManagement/types"/>
    <ds:schemaRef ds:uri="8088be44-50c1-4a8d-a334-b3889ba01460"/>
    <ds:schemaRef ds:uri="http://www.w3.org/XML/1998/namespace"/>
    <ds:schemaRef ds:uri="http://purl.org/dc/elements/1.1/"/>
    <ds:schemaRef ds:uri="http://schemas.microsoft.com/office/infopath/2007/PartnerControls"/>
    <ds:schemaRef ds:uri="http://schemas.openxmlformats.org/package/2006/metadata/core-properties"/>
    <ds:schemaRef ds:uri="http://purl.org/dc/dcmitype/"/>
  </ds:schemaRefs>
</ds:datastoreItem>
</file>

<file path=customXml/itemProps4.xml><?xml version="1.0" encoding="utf-8"?>
<ds:datastoreItem xmlns:ds="http://schemas.openxmlformats.org/officeDocument/2006/customXml" ds:itemID="{75726008-FC40-4CD3-A86A-D5510721B04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KPMG Portrait Report Word Template Jan 2021 - Copy.dotx</Template>
  <TotalTime>209</TotalTime>
  <Pages>88</Pages>
  <Words>29712</Words>
  <Characters>178363</Characters>
  <Application>Microsoft Office Word</Application>
  <DocSecurity>0</DocSecurity>
  <Lines>1486</Lines>
  <Paragraphs>415</Paragraphs>
  <ScaleCrop>false</ScaleCrop>
  <HeadingPairs>
    <vt:vector size="2" baseType="variant">
      <vt:variant>
        <vt:lpstr>Title</vt:lpstr>
      </vt:variant>
      <vt:variant>
        <vt:i4>1</vt:i4>
      </vt:variant>
    </vt:vector>
  </HeadingPairs>
  <TitlesOfParts>
    <vt:vector size="1" baseType="lpstr">
      <vt:lpstr>KPMG Portrait Report Word Template Option 2</vt:lpstr>
    </vt:vector>
  </TitlesOfParts>
  <Company/>
  <LinksUpToDate>false</LinksUpToDate>
  <CharactersWithSpaces>207660</CharactersWithSpaces>
  <SharedDoc>false</SharedDoc>
  <HLinks>
    <vt:vector size="642" baseType="variant">
      <vt:variant>
        <vt:i4>5636098</vt:i4>
      </vt:variant>
      <vt:variant>
        <vt:i4>453</vt:i4>
      </vt:variant>
      <vt:variant>
        <vt:i4>0</vt:i4>
      </vt:variant>
      <vt:variant>
        <vt:i4>5</vt:i4>
      </vt:variant>
      <vt:variant>
        <vt:lpwstr>https://www.health.gov.au/initiatives-and-programs/short-term-restorative-care-strc-programme</vt:lpwstr>
      </vt:variant>
      <vt:variant>
        <vt:lpwstr/>
      </vt:variant>
      <vt:variant>
        <vt:i4>1900598</vt:i4>
      </vt:variant>
      <vt:variant>
        <vt:i4>446</vt:i4>
      </vt:variant>
      <vt:variant>
        <vt:i4>0</vt:i4>
      </vt:variant>
      <vt:variant>
        <vt:i4>5</vt:i4>
      </vt:variant>
      <vt:variant>
        <vt:lpwstr/>
      </vt:variant>
      <vt:variant>
        <vt:lpwstr>_Toc85443893</vt:lpwstr>
      </vt:variant>
      <vt:variant>
        <vt:i4>1835062</vt:i4>
      </vt:variant>
      <vt:variant>
        <vt:i4>440</vt:i4>
      </vt:variant>
      <vt:variant>
        <vt:i4>0</vt:i4>
      </vt:variant>
      <vt:variant>
        <vt:i4>5</vt:i4>
      </vt:variant>
      <vt:variant>
        <vt:lpwstr/>
      </vt:variant>
      <vt:variant>
        <vt:lpwstr>_Toc85443892</vt:lpwstr>
      </vt:variant>
      <vt:variant>
        <vt:i4>2031670</vt:i4>
      </vt:variant>
      <vt:variant>
        <vt:i4>434</vt:i4>
      </vt:variant>
      <vt:variant>
        <vt:i4>0</vt:i4>
      </vt:variant>
      <vt:variant>
        <vt:i4>5</vt:i4>
      </vt:variant>
      <vt:variant>
        <vt:lpwstr/>
      </vt:variant>
      <vt:variant>
        <vt:lpwstr>_Toc85443891</vt:lpwstr>
      </vt:variant>
      <vt:variant>
        <vt:i4>1966134</vt:i4>
      </vt:variant>
      <vt:variant>
        <vt:i4>428</vt:i4>
      </vt:variant>
      <vt:variant>
        <vt:i4>0</vt:i4>
      </vt:variant>
      <vt:variant>
        <vt:i4>5</vt:i4>
      </vt:variant>
      <vt:variant>
        <vt:lpwstr/>
      </vt:variant>
      <vt:variant>
        <vt:lpwstr>_Toc85443890</vt:lpwstr>
      </vt:variant>
      <vt:variant>
        <vt:i4>1507383</vt:i4>
      </vt:variant>
      <vt:variant>
        <vt:i4>422</vt:i4>
      </vt:variant>
      <vt:variant>
        <vt:i4>0</vt:i4>
      </vt:variant>
      <vt:variant>
        <vt:i4>5</vt:i4>
      </vt:variant>
      <vt:variant>
        <vt:lpwstr/>
      </vt:variant>
      <vt:variant>
        <vt:lpwstr>_Toc85443889</vt:lpwstr>
      </vt:variant>
      <vt:variant>
        <vt:i4>1441847</vt:i4>
      </vt:variant>
      <vt:variant>
        <vt:i4>416</vt:i4>
      </vt:variant>
      <vt:variant>
        <vt:i4>0</vt:i4>
      </vt:variant>
      <vt:variant>
        <vt:i4>5</vt:i4>
      </vt:variant>
      <vt:variant>
        <vt:lpwstr/>
      </vt:variant>
      <vt:variant>
        <vt:lpwstr>_Toc85443888</vt:lpwstr>
      </vt:variant>
      <vt:variant>
        <vt:i4>1638455</vt:i4>
      </vt:variant>
      <vt:variant>
        <vt:i4>410</vt:i4>
      </vt:variant>
      <vt:variant>
        <vt:i4>0</vt:i4>
      </vt:variant>
      <vt:variant>
        <vt:i4>5</vt:i4>
      </vt:variant>
      <vt:variant>
        <vt:lpwstr/>
      </vt:variant>
      <vt:variant>
        <vt:lpwstr>_Toc85443887</vt:lpwstr>
      </vt:variant>
      <vt:variant>
        <vt:i4>1572919</vt:i4>
      </vt:variant>
      <vt:variant>
        <vt:i4>404</vt:i4>
      </vt:variant>
      <vt:variant>
        <vt:i4>0</vt:i4>
      </vt:variant>
      <vt:variant>
        <vt:i4>5</vt:i4>
      </vt:variant>
      <vt:variant>
        <vt:lpwstr/>
      </vt:variant>
      <vt:variant>
        <vt:lpwstr>_Toc85443886</vt:lpwstr>
      </vt:variant>
      <vt:variant>
        <vt:i4>1769527</vt:i4>
      </vt:variant>
      <vt:variant>
        <vt:i4>398</vt:i4>
      </vt:variant>
      <vt:variant>
        <vt:i4>0</vt:i4>
      </vt:variant>
      <vt:variant>
        <vt:i4>5</vt:i4>
      </vt:variant>
      <vt:variant>
        <vt:lpwstr/>
      </vt:variant>
      <vt:variant>
        <vt:lpwstr>_Toc85443885</vt:lpwstr>
      </vt:variant>
      <vt:variant>
        <vt:i4>1703991</vt:i4>
      </vt:variant>
      <vt:variant>
        <vt:i4>392</vt:i4>
      </vt:variant>
      <vt:variant>
        <vt:i4>0</vt:i4>
      </vt:variant>
      <vt:variant>
        <vt:i4>5</vt:i4>
      </vt:variant>
      <vt:variant>
        <vt:lpwstr/>
      </vt:variant>
      <vt:variant>
        <vt:lpwstr>_Toc85443884</vt:lpwstr>
      </vt:variant>
      <vt:variant>
        <vt:i4>1900599</vt:i4>
      </vt:variant>
      <vt:variant>
        <vt:i4>386</vt:i4>
      </vt:variant>
      <vt:variant>
        <vt:i4>0</vt:i4>
      </vt:variant>
      <vt:variant>
        <vt:i4>5</vt:i4>
      </vt:variant>
      <vt:variant>
        <vt:lpwstr/>
      </vt:variant>
      <vt:variant>
        <vt:lpwstr>_Toc85443883</vt:lpwstr>
      </vt:variant>
      <vt:variant>
        <vt:i4>1835063</vt:i4>
      </vt:variant>
      <vt:variant>
        <vt:i4>380</vt:i4>
      </vt:variant>
      <vt:variant>
        <vt:i4>0</vt:i4>
      </vt:variant>
      <vt:variant>
        <vt:i4>5</vt:i4>
      </vt:variant>
      <vt:variant>
        <vt:lpwstr/>
      </vt:variant>
      <vt:variant>
        <vt:lpwstr>_Toc85443882</vt:lpwstr>
      </vt:variant>
      <vt:variant>
        <vt:i4>2031671</vt:i4>
      </vt:variant>
      <vt:variant>
        <vt:i4>374</vt:i4>
      </vt:variant>
      <vt:variant>
        <vt:i4>0</vt:i4>
      </vt:variant>
      <vt:variant>
        <vt:i4>5</vt:i4>
      </vt:variant>
      <vt:variant>
        <vt:lpwstr/>
      </vt:variant>
      <vt:variant>
        <vt:lpwstr>_Toc85443881</vt:lpwstr>
      </vt:variant>
      <vt:variant>
        <vt:i4>1966135</vt:i4>
      </vt:variant>
      <vt:variant>
        <vt:i4>368</vt:i4>
      </vt:variant>
      <vt:variant>
        <vt:i4>0</vt:i4>
      </vt:variant>
      <vt:variant>
        <vt:i4>5</vt:i4>
      </vt:variant>
      <vt:variant>
        <vt:lpwstr/>
      </vt:variant>
      <vt:variant>
        <vt:lpwstr>_Toc85443880</vt:lpwstr>
      </vt:variant>
      <vt:variant>
        <vt:i4>1507384</vt:i4>
      </vt:variant>
      <vt:variant>
        <vt:i4>362</vt:i4>
      </vt:variant>
      <vt:variant>
        <vt:i4>0</vt:i4>
      </vt:variant>
      <vt:variant>
        <vt:i4>5</vt:i4>
      </vt:variant>
      <vt:variant>
        <vt:lpwstr/>
      </vt:variant>
      <vt:variant>
        <vt:lpwstr>_Toc85443879</vt:lpwstr>
      </vt:variant>
      <vt:variant>
        <vt:i4>1441848</vt:i4>
      </vt:variant>
      <vt:variant>
        <vt:i4>356</vt:i4>
      </vt:variant>
      <vt:variant>
        <vt:i4>0</vt:i4>
      </vt:variant>
      <vt:variant>
        <vt:i4>5</vt:i4>
      </vt:variant>
      <vt:variant>
        <vt:lpwstr/>
      </vt:variant>
      <vt:variant>
        <vt:lpwstr>_Toc85443878</vt:lpwstr>
      </vt:variant>
      <vt:variant>
        <vt:i4>1638456</vt:i4>
      </vt:variant>
      <vt:variant>
        <vt:i4>350</vt:i4>
      </vt:variant>
      <vt:variant>
        <vt:i4>0</vt:i4>
      </vt:variant>
      <vt:variant>
        <vt:i4>5</vt:i4>
      </vt:variant>
      <vt:variant>
        <vt:lpwstr/>
      </vt:variant>
      <vt:variant>
        <vt:lpwstr>_Toc85443877</vt:lpwstr>
      </vt:variant>
      <vt:variant>
        <vt:i4>1572920</vt:i4>
      </vt:variant>
      <vt:variant>
        <vt:i4>344</vt:i4>
      </vt:variant>
      <vt:variant>
        <vt:i4>0</vt:i4>
      </vt:variant>
      <vt:variant>
        <vt:i4>5</vt:i4>
      </vt:variant>
      <vt:variant>
        <vt:lpwstr/>
      </vt:variant>
      <vt:variant>
        <vt:lpwstr>_Toc85443876</vt:lpwstr>
      </vt:variant>
      <vt:variant>
        <vt:i4>1769528</vt:i4>
      </vt:variant>
      <vt:variant>
        <vt:i4>338</vt:i4>
      </vt:variant>
      <vt:variant>
        <vt:i4>0</vt:i4>
      </vt:variant>
      <vt:variant>
        <vt:i4>5</vt:i4>
      </vt:variant>
      <vt:variant>
        <vt:lpwstr/>
      </vt:variant>
      <vt:variant>
        <vt:lpwstr>_Toc85443875</vt:lpwstr>
      </vt:variant>
      <vt:variant>
        <vt:i4>1703992</vt:i4>
      </vt:variant>
      <vt:variant>
        <vt:i4>332</vt:i4>
      </vt:variant>
      <vt:variant>
        <vt:i4>0</vt:i4>
      </vt:variant>
      <vt:variant>
        <vt:i4>5</vt:i4>
      </vt:variant>
      <vt:variant>
        <vt:lpwstr/>
      </vt:variant>
      <vt:variant>
        <vt:lpwstr>_Toc85443874</vt:lpwstr>
      </vt:variant>
      <vt:variant>
        <vt:i4>1900600</vt:i4>
      </vt:variant>
      <vt:variant>
        <vt:i4>326</vt:i4>
      </vt:variant>
      <vt:variant>
        <vt:i4>0</vt:i4>
      </vt:variant>
      <vt:variant>
        <vt:i4>5</vt:i4>
      </vt:variant>
      <vt:variant>
        <vt:lpwstr/>
      </vt:variant>
      <vt:variant>
        <vt:lpwstr>_Toc85443873</vt:lpwstr>
      </vt:variant>
      <vt:variant>
        <vt:i4>1835064</vt:i4>
      </vt:variant>
      <vt:variant>
        <vt:i4>320</vt:i4>
      </vt:variant>
      <vt:variant>
        <vt:i4>0</vt:i4>
      </vt:variant>
      <vt:variant>
        <vt:i4>5</vt:i4>
      </vt:variant>
      <vt:variant>
        <vt:lpwstr/>
      </vt:variant>
      <vt:variant>
        <vt:lpwstr>_Toc85443872</vt:lpwstr>
      </vt:variant>
      <vt:variant>
        <vt:i4>2031672</vt:i4>
      </vt:variant>
      <vt:variant>
        <vt:i4>314</vt:i4>
      </vt:variant>
      <vt:variant>
        <vt:i4>0</vt:i4>
      </vt:variant>
      <vt:variant>
        <vt:i4>5</vt:i4>
      </vt:variant>
      <vt:variant>
        <vt:lpwstr/>
      </vt:variant>
      <vt:variant>
        <vt:lpwstr>_Toc85443871</vt:lpwstr>
      </vt:variant>
      <vt:variant>
        <vt:i4>1966136</vt:i4>
      </vt:variant>
      <vt:variant>
        <vt:i4>308</vt:i4>
      </vt:variant>
      <vt:variant>
        <vt:i4>0</vt:i4>
      </vt:variant>
      <vt:variant>
        <vt:i4>5</vt:i4>
      </vt:variant>
      <vt:variant>
        <vt:lpwstr/>
      </vt:variant>
      <vt:variant>
        <vt:lpwstr>_Toc85443870</vt:lpwstr>
      </vt:variant>
      <vt:variant>
        <vt:i4>1507385</vt:i4>
      </vt:variant>
      <vt:variant>
        <vt:i4>302</vt:i4>
      </vt:variant>
      <vt:variant>
        <vt:i4>0</vt:i4>
      </vt:variant>
      <vt:variant>
        <vt:i4>5</vt:i4>
      </vt:variant>
      <vt:variant>
        <vt:lpwstr/>
      </vt:variant>
      <vt:variant>
        <vt:lpwstr>_Toc85443869</vt:lpwstr>
      </vt:variant>
      <vt:variant>
        <vt:i4>1441849</vt:i4>
      </vt:variant>
      <vt:variant>
        <vt:i4>296</vt:i4>
      </vt:variant>
      <vt:variant>
        <vt:i4>0</vt:i4>
      </vt:variant>
      <vt:variant>
        <vt:i4>5</vt:i4>
      </vt:variant>
      <vt:variant>
        <vt:lpwstr/>
      </vt:variant>
      <vt:variant>
        <vt:lpwstr>_Toc85443868</vt:lpwstr>
      </vt:variant>
      <vt:variant>
        <vt:i4>1638457</vt:i4>
      </vt:variant>
      <vt:variant>
        <vt:i4>290</vt:i4>
      </vt:variant>
      <vt:variant>
        <vt:i4>0</vt:i4>
      </vt:variant>
      <vt:variant>
        <vt:i4>5</vt:i4>
      </vt:variant>
      <vt:variant>
        <vt:lpwstr/>
      </vt:variant>
      <vt:variant>
        <vt:lpwstr>_Toc85443867</vt:lpwstr>
      </vt:variant>
      <vt:variant>
        <vt:i4>1572921</vt:i4>
      </vt:variant>
      <vt:variant>
        <vt:i4>284</vt:i4>
      </vt:variant>
      <vt:variant>
        <vt:i4>0</vt:i4>
      </vt:variant>
      <vt:variant>
        <vt:i4>5</vt:i4>
      </vt:variant>
      <vt:variant>
        <vt:lpwstr/>
      </vt:variant>
      <vt:variant>
        <vt:lpwstr>_Toc85443866</vt:lpwstr>
      </vt:variant>
      <vt:variant>
        <vt:i4>1769529</vt:i4>
      </vt:variant>
      <vt:variant>
        <vt:i4>278</vt:i4>
      </vt:variant>
      <vt:variant>
        <vt:i4>0</vt:i4>
      </vt:variant>
      <vt:variant>
        <vt:i4>5</vt:i4>
      </vt:variant>
      <vt:variant>
        <vt:lpwstr/>
      </vt:variant>
      <vt:variant>
        <vt:lpwstr>_Toc85443865</vt:lpwstr>
      </vt:variant>
      <vt:variant>
        <vt:i4>1703993</vt:i4>
      </vt:variant>
      <vt:variant>
        <vt:i4>272</vt:i4>
      </vt:variant>
      <vt:variant>
        <vt:i4>0</vt:i4>
      </vt:variant>
      <vt:variant>
        <vt:i4>5</vt:i4>
      </vt:variant>
      <vt:variant>
        <vt:lpwstr/>
      </vt:variant>
      <vt:variant>
        <vt:lpwstr>_Toc85443864</vt:lpwstr>
      </vt:variant>
      <vt:variant>
        <vt:i4>1900601</vt:i4>
      </vt:variant>
      <vt:variant>
        <vt:i4>266</vt:i4>
      </vt:variant>
      <vt:variant>
        <vt:i4>0</vt:i4>
      </vt:variant>
      <vt:variant>
        <vt:i4>5</vt:i4>
      </vt:variant>
      <vt:variant>
        <vt:lpwstr/>
      </vt:variant>
      <vt:variant>
        <vt:lpwstr>_Toc85443863</vt:lpwstr>
      </vt:variant>
      <vt:variant>
        <vt:i4>1835065</vt:i4>
      </vt:variant>
      <vt:variant>
        <vt:i4>260</vt:i4>
      </vt:variant>
      <vt:variant>
        <vt:i4>0</vt:i4>
      </vt:variant>
      <vt:variant>
        <vt:i4>5</vt:i4>
      </vt:variant>
      <vt:variant>
        <vt:lpwstr/>
      </vt:variant>
      <vt:variant>
        <vt:lpwstr>_Toc85443862</vt:lpwstr>
      </vt:variant>
      <vt:variant>
        <vt:i4>2031673</vt:i4>
      </vt:variant>
      <vt:variant>
        <vt:i4>254</vt:i4>
      </vt:variant>
      <vt:variant>
        <vt:i4>0</vt:i4>
      </vt:variant>
      <vt:variant>
        <vt:i4>5</vt:i4>
      </vt:variant>
      <vt:variant>
        <vt:lpwstr/>
      </vt:variant>
      <vt:variant>
        <vt:lpwstr>_Toc85443861</vt:lpwstr>
      </vt:variant>
      <vt:variant>
        <vt:i4>1966137</vt:i4>
      </vt:variant>
      <vt:variant>
        <vt:i4>248</vt:i4>
      </vt:variant>
      <vt:variant>
        <vt:i4>0</vt:i4>
      </vt:variant>
      <vt:variant>
        <vt:i4>5</vt:i4>
      </vt:variant>
      <vt:variant>
        <vt:lpwstr/>
      </vt:variant>
      <vt:variant>
        <vt:lpwstr>_Toc85443860</vt:lpwstr>
      </vt:variant>
      <vt:variant>
        <vt:i4>1507386</vt:i4>
      </vt:variant>
      <vt:variant>
        <vt:i4>242</vt:i4>
      </vt:variant>
      <vt:variant>
        <vt:i4>0</vt:i4>
      </vt:variant>
      <vt:variant>
        <vt:i4>5</vt:i4>
      </vt:variant>
      <vt:variant>
        <vt:lpwstr/>
      </vt:variant>
      <vt:variant>
        <vt:lpwstr>_Toc85443859</vt:lpwstr>
      </vt:variant>
      <vt:variant>
        <vt:i4>1441850</vt:i4>
      </vt:variant>
      <vt:variant>
        <vt:i4>236</vt:i4>
      </vt:variant>
      <vt:variant>
        <vt:i4>0</vt:i4>
      </vt:variant>
      <vt:variant>
        <vt:i4>5</vt:i4>
      </vt:variant>
      <vt:variant>
        <vt:lpwstr/>
      </vt:variant>
      <vt:variant>
        <vt:lpwstr>_Toc85443858</vt:lpwstr>
      </vt:variant>
      <vt:variant>
        <vt:i4>1638458</vt:i4>
      </vt:variant>
      <vt:variant>
        <vt:i4>230</vt:i4>
      </vt:variant>
      <vt:variant>
        <vt:i4>0</vt:i4>
      </vt:variant>
      <vt:variant>
        <vt:i4>5</vt:i4>
      </vt:variant>
      <vt:variant>
        <vt:lpwstr/>
      </vt:variant>
      <vt:variant>
        <vt:lpwstr>_Toc85443857</vt:lpwstr>
      </vt:variant>
      <vt:variant>
        <vt:i4>1638460</vt:i4>
      </vt:variant>
      <vt:variant>
        <vt:i4>218</vt:i4>
      </vt:variant>
      <vt:variant>
        <vt:i4>0</vt:i4>
      </vt:variant>
      <vt:variant>
        <vt:i4>5</vt:i4>
      </vt:variant>
      <vt:variant>
        <vt:lpwstr/>
      </vt:variant>
      <vt:variant>
        <vt:lpwstr>_Toc88030247</vt:lpwstr>
      </vt:variant>
      <vt:variant>
        <vt:i4>1572924</vt:i4>
      </vt:variant>
      <vt:variant>
        <vt:i4>212</vt:i4>
      </vt:variant>
      <vt:variant>
        <vt:i4>0</vt:i4>
      </vt:variant>
      <vt:variant>
        <vt:i4>5</vt:i4>
      </vt:variant>
      <vt:variant>
        <vt:lpwstr/>
      </vt:variant>
      <vt:variant>
        <vt:lpwstr>_Toc88030246</vt:lpwstr>
      </vt:variant>
      <vt:variant>
        <vt:i4>1769532</vt:i4>
      </vt:variant>
      <vt:variant>
        <vt:i4>206</vt:i4>
      </vt:variant>
      <vt:variant>
        <vt:i4>0</vt:i4>
      </vt:variant>
      <vt:variant>
        <vt:i4>5</vt:i4>
      </vt:variant>
      <vt:variant>
        <vt:lpwstr/>
      </vt:variant>
      <vt:variant>
        <vt:lpwstr>_Toc88030245</vt:lpwstr>
      </vt:variant>
      <vt:variant>
        <vt:i4>1703996</vt:i4>
      </vt:variant>
      <vt:variant>
        <vt:i4>200</vt:i4>
      </vt:variant>
      <vt:variant>
        <vt:i4>0</vt:i4>
      </vt:variant>
      <vt:variant>
        <vt:i4>5</vt:i4>
      </vt:variant>
      <vt:variant>
        <vt:lpwstr/>
      </vt:variant>
      <vt:variant>
        <vt:lpwstr>_Toc88030244</vt:lpwstr>
      </vt:variant>
      <vt:variant>
        <vt:i4>1900604</vt:i4>
      </vt:variant>
      <vt:variant>
        <vt:i4>194</vt:i4>
      </vt:variant>
      <vt:variant>
        <vt:i4>0</vt:i4>
      </vt:variant>
      <vt:variant>
        <vt:i4>5</vt:i4>
      </vt:variant>
      <vt:variant>
        <vt:lpwstr/>
      </vt:variant>
      <vt:variant>
        <vt:lpwstr>_Toc88030243</vt:lpwstr>
      </vt:variant>
      <vt:variant>
        <vt:i4>1835068</vt:i4>
      </vt:variant>
      <vt:variant>
        <vt:i4>188</vt:i4>
      </vt:variant>
      <vt:variant>
        <vt:i4>0</vt:i4>
      </vt:variant>
      <vt:variant>
        <vt:i4>5</vt:i4>
      </vt:variant>
      <vt:variant>
        <vt:lpwstr/>
      </vt:variant>
      <vt:variant>
        <vt:lpwstr>_Toc88030242</vt:lpwstr>
      </vt:variant>
      <vt:variant>
        <vt:i4>2031676</vt:i4>
      </vt:variant>
      <vt:variant>
        <vt:i4>182</vt:i4>
      </vt:variant>
      <vt:variant>
        <vt:i4>0</vt:i4>
      </vt:variant>
      <vt:variant>
        <vt:i4>5</vt:i4>
      </vt:variant>
      <vt:variant>
        <vt:lpwstr/>
      </vt:variant>
      <vt:variant>
        <vt:lpwstr>_Toc88030241</vt:lpwstr>
      </vt:variant>
      <vt:variant>
        <vt:i4>1966140</vt:i4>
      </vt:variant>
      <vt:variant>
        <vt:i4>176</vt:i4>
      </vt:variant>
      <vt:variant>
        <vt:i4>0</vt:i4>
      </vt:variant>
      <vt:variant>
        <vt:i4>5</vt:i4>
      </vt:variant>
      <vt:variant>
        <vt:lpwstr/>
      </vt:variant>
      <vt:variant>
        <vt:lpwstr>_Toc88030240</vt:lpwstr>
      </vt:variant>
      <vt:variant>
        <vt:i4>1507387</vt:i4>
      </vt:variant>
      <vt:variant>
        <vt:i4>170</vt:i4>
      </vt:variant>
      <vt:variant>
        <vt:i4>0</vt:i4>
      </vt:variant>
      <vt:variant>
        <vt:i4>5</vt:i4>
      </vt:variant>
      <vt:variant>
        <vt:lpwstr/>
      </vt:variant>
      <vt:variant>
        <vt:lpwstr>_Toc88030239</vt:lpwstr>
      </vt:variant>
      <vt:variant>
        <vt:i4>1441851</vt:i4>
      </vt:variant>
      <vt:variant>
        <vt:i4>164</vt:i4>
      </vt:variant>
      <vt:variant>
        <vt:i4>0</vt:i4>
      </vt:variant>
      <vt:variant>
        <vt:i4>5</vt:i4>
      </vt:variant>
      <vt:variant>
        <vt:lpwstr/>
      </vt:variant>
      <vt:variant>
        <vt:lpwstr>_Toc88030238</vt:lpwstr>
      </vt:variant>
      <vt:variant>
        <vt:i4>1638459</vt:i4>
      </vt:variant>
      <vt:variant>
        <vt:i4>158</vt:i4>
      </vt:variant>
      <vt:variant>
        <vt:i4>0</vt:i4>
      </vt:variant>
      <vt:variant>
        <vt:i4>5</vt:i4>
      </vt:variant>
      <vt:variant>
        <vt:lpwstr/>
      </vt:variant>
      <vt:variant>
        <vt:lpwstr>_Toc88030237</vt:lpwstr>
      </vt:variant>
      <vt:variant>
        <vt:i4>1572923</vt:i4>
      </vt:variant>
      <vt:variant>
        <vt:i4>152</vt:i4>
      </vt:variant>
      <vt:variant>
        <vt:i4>0</vt:i4>
      </vt:variant>
      <vt:variant>
        <vt:i4>5</vt:i4>
      </vt:variant>
      <vt:variant>
        <vt:lpwstr/>
      </vt:variant>
      <vt:variant>
        <vt:lpwstr>_Toc88030236</vt:lpwstr>
      </vt:variant>
      <vt:variant>
        <vt:i4>1703995</vt:i4>
      </vt:variant>
      <vt:variant>
        <vt:i4>146</vt:i4>
      </vt:variant>
      <vt:variant>
        <vt:i4>0</vt:i4>
      </vt:variant>
      <vt:variant>
        <vt:i4>5</vt:i4>
      </vt:variant>
      <vt:variant>
        <vt:lpwstr/>
      </vt:variant>
      <vt:variant>
        <vt:lpwstr>_Toc88030234</vt:lpwstr>
      </vt:variant>
      <vt:variant>
        <vt:i4>1900603</vt:i4>
      </vt:variant>
      <vt:variant>
        <vt:i4>140</vt:i4>
      </vt:variant>
      <vt:variant>
        <vt:i4>0</vt:i4>
      </vt:variant>
      <vt:variant>
        <vt:i4>5</vt:i4>
      </vt:variant>
      <vt:variant>
        <vt:lpwstr/>
      </vt:variant>
      <vt:variant>
        <vt:lpwstr>_Toc88030233</vt:lpwstr>
      </vt:variant>
      <vt:variant>
        <vt:i4>1835067</vt:i4>
      </vt:variant>
      <vt:variant>
        <vt:i4>134</vt:i4>
      </vt:variant>
      <vt:variant>
        <vt:i4>0</vt:i4>
      </vt:variant>
      <vt:variant>
        <vt:i4>5</vt:i4>
      </vt:variant>
      <vt:variant>
        <vt:lpwstr/>
      </vt:variant>
      <vt:variant>
        <vt:lpwstr>_Toc88030232</vt:lpwstr>
      </vt:variant>
      <vt:variant>
        <vt:i4>2031675</vt:i4>
      </vt:variant>
      <vt:variant>
        <vt:i4>128</vt:i4>
      </vt:variant>
      <vt:variant>
        <vt:i4>0</vt:i4>
      </vt:variant>
      <vt:variant>
        <vt:i4>5</vt:i4>
      </vt:variant>
      <vt:variant>
        <vt:lpwstr/>
      </vt:variant>
      <vt:variant>
        <vt:lpwstr>_Toc88030231</vt:lpwstr>
      </vt:variant>
      <vt:variant>
        <vt:i4>1966139</vt:i4>
      </vt:variant>
      <vt:variant>
        <vt:i4>122</vt:i4>
      </vt:variant>
      <vt:variant>
        <vt:i4>0</vt:i4>
      </vt:variant>
      <vt:variant>
        <vt:i4>5</vt:i4>
      </vt:variant>
      <vt:variant>
        <vt:lpwstr/>
      </vt:variant>
      <vt:variant>
        <vt:lpwstr>_Toc88030230</vt:lpwstr>
      </vt:variant>
      <vt:variant>
        <vt:i4>1507386</vt:i4>
      </vt:variant>
      <vt:variant>
        <vt:i4>116</vt:i4>
      </vt:variant>
      <vt:variant>
        <vt:i4>0</vt:i4>
      </vt:variant>
      <vt:variant>
        <vt:i4>5</vt:i4>
      </vt:variant>
      <vt:variant>
        <vt:lpwstr/>
      </vt:variant>
      <vt:variant>
        <vt:lpwstr>_Toc88030229</vt:lpwstr>
      </vt:variant>
      <vt:variant>
        <vt:i4>1441850</vt:i4>
      </vt:variant>
      <vt:variant>
        <vt:i4>110</vt:i4>
      </vt:variant>
      <vt:variant>
        <vt:i4>0</vt:i4>
      </vt:variant>
      <vt:variant>
        <vt:i4>5</vt:i4>
      </vt:variant>
      <vt:variant>
        <vt:lpwstr/>
      </vt:variant>
      <vt:variant>
        <vt:lpwstr>_Toc88030228</vt:lpwstr>
      </vt:variant>
      <vt:variant>
        <vt:i4>1638458</vt:i4>
      </vt:variant>
      <vt:variant>
        <vt:i4>104</vt:i4>
      </vt:variant>
      <vt:variant>
        <vt:i4>0</vt:i4>
      </vt:variant>
      <vt:variant>
        <vt:i4>5</vt:i4>
      </vt:variant>
      <vt:variant>
        <vt:lpwstr/>
      </vt:variant>
      <vt:variant>
        <vt:lpwstr>_Toc88030227</vt:lpwstr>
      </vt:variant>
      <vt:variant>
        <vt:i4>1572922</vt:i4>
      </vt:variant>
      <vt:variant>
        <vt:i4>98</vt:i4>
      </vt:variant>
      <vt:variant>
        <vt:i4>0</vt:i4>
      </vt:variant>
      <vt:variant>
        <vt:i4>5</vt:i4>
      </vt:variant>
      <vt:variant>
        <vt:lpwstr/>
      </vt:variant>
      <vt:variant>
        <vt:lpwstr>_Toc88030226</vt:lpwstr>
      </vt:variant>
      <vt:variant>
        <vt:i4>1769530</vt:i4>
      </vt:variant>
      <vt:variant>
        <vt:i4>92</vt:i4>
      </vt:variant>
      <vt:variant>
        <vt:i4>0</vt:i4>
      </vt:variant>
      <vt:variant>
        <vt:i4>5</vt:i4>
      </vt:variant>
      <vt:variant>
        <vt:lpwstr/>
      </vt:variant>
      <vt:variant>
        <vt:lpwstr>_Toc88030225</vt:lpwstr>
      </vt:variant>
      <vt:variant>
        <vt:i4>1703994</vt:i4>
      </vt:variant>
      <vt:variant>
        <vt:i4>86</vt:i4>
      </vt:variant>
      <vt:variant>
        <vt:i4>0</vt:i4>
      </vt:variant>
      <vt:variant>
        <vt:i4>5</vt:i4>
      </vt:variant>
      <vt:variant>
        <vt:lpwstr/>
      </vt:variant>
      <vt:variant>
        <vt:lpwstr>_Toc88030224</vt:lpwstr>
      </vt:variant>
      <vt:variant>
        <vt:i4>1900602</vt:i4>
      </vt:variant>
      <vt:variant>
        <vt:i4>80</vt:i4>
      </vt:variant>
      <vt:variant>
        <vt:i4>0</vt:i4>
      </vt:variant>
      <vt:variant>
        <vt:i4>5</vt:i4>
      </vt:variant>
      <vt:variant>
        <vt:lpwstr/>
      </vt:variant>
      <vt:variant>
        <vt:lpwstr>_Toc88030223</vt:lpwstr>
      </vt:variant>
      <vt:variant>
        <vt:i4>1835066</vt:i4>
      </vt:variant>
      <vt:variant>
        <vt:i4>74</vt:i4>
      </vt:variant>
      <vt:variant>
        <vt:i4>0</vt:i4>
      </vt:variant>
      <vt:variant>
        <vt:i4>5</vt:i4>
      </vt:variant>
      <vt:variant>
        <vt:lpwstr/>
      </vt:variant>
      <vt:variant>
        <vt:lpwstr>_Toc88030222</vt:lpwstr>
      </vt:variant>
      <vt:variant>
        <vt:i4>2031674</vt:i4>
      </vt:variant>
      <vt:variant>
        <vt:i4>68</vt:i4>
      </vt:variant>
      <vt:variant>
        <vt:i4>0</vt:i4>
      </vt:variant>
      <vt:variant>
        <vt:i4>5</vt:i4>
      </vt:variant>
      <vt:variant>
        <vt:lpwstr/>
      </vt:variant>
      <vt:variant>
        <vt:lpwstr>_Toc88030221</vt:lpwstr>
      </vt:variant>
      <vt:variant>
        <vt:i4>1966138</vt:i4>
      </vt:variant>
      <vt:variant>
        <vt:i4>62</vt:i4>
      </vt:variant>
      <vt:variant>
        <vt:i4>0</vt:i4>
      </vt:variant>
      <vt:variant>
        <vt:i4>5</vt:i4>
      </vt:variant>
      <vt:variant>
        <vt:lpwstr/>
      </vt:variant>
      <vt:variant>
        <vt:lpwstr>_Toc88030220</vt:lpwstr>
      </vt:variant>
      <vt:variant>
        <vt:i4>1507385</vt:i4>
      </vt:variant>
      <vt:variant>
        <vt:i4>56</vt:i4>
      </vt:variant>
      <vt:variant>
        <vt:i4>0</vt:i4>
      </vt:variant>
      <vt:variant>
        <vt:i4>5</vt:i4>
      </vt:variant>
      <vt:variant>
        <vt:lpwstr/>
      </vt:variant>
      <vt:variant>
        <vt:lpwstr>_Toc88030219</vt:lpwstr>
      </vt:variant>
      <vt:variant>
        <vt:i4>1441849</vt:i4>
      </vt:variant>
      <vt:variant>
        <vt:i4>50</vt:i4>
      </vt:variant>
      <vt:variant>
        <vt:i4>0</vt:i4>
      </vt:variant>
      <vt:variant>
        <vt:i4>5</vt:i4>
      </vt:variant>
      <vt:variant>
        <vt:lpwstr/>
      </vt:variant>
      <vt:variant>
        <vt:lpwstr>_Toc88030218</vt:lpwstr>
      </vt:variant>
      <vt:variant>
        <vt:i4>1572921</vt:i4>
      </vt:variant>
      <vt:variant>
        <vt:i4>44</vt:i4>
      </vt:variant>
      <vt:variant>
        <vt:i4>0</vt:i4>
      </vt:variant>
      <vt:variant>
        <vt:i4>5</vt:i4>
      </vt:variant>
      <vt:variant>
        <vt:lpwstr/>
      </vt:variant>
      <vt:variant>
        <vt:lpwstr>_Toc88030216</vt:lpwstr>
      </vt:variant>
      <vt:variant>
        <vt:i4>1769529</vt:i4>
      </vt:variant>
      <vt:variant>
        <vt:i4>38</vt:i4>
      </vt:variant>
      <vt:variant>
        <vt:i4>0</vt:i4>
      </vt:variant>
      <vt:variant>
        <vt:i4>5</vt:i4>
      </vt:variant>
      <vt:variant>
        <vt:lpwstr/>
      </vt:variant>
      <vt:variant>
        <vt:lpwstr>_Toc88030215</vt:lpwstr>
      </vt:variant>
      <vt:variant>
        <vt:i4>1703993</vt:i4>
      </vt:variant>
      <vt:variant>
        <vt:i4>32</vt:i4>
      </vt:variant>
      <vt:variant>
        <vt:i4>0</vt:i4>
      </vt:variant>
      <vt:variant>
        <vt:i4>5</vt:i4>
      </vt:variant>
      <vt:variant>
        <vt:lpwstr/>
      </vt:variant>
      <vt:variant>
        <vt:lpwstr>_Toc88030214</vt:lpwstr>
      </vt:variant>
      <vt:variant>
        <vt:i4>1900601</vt:i4>
      </vt:variant>
      <vt:variant>
        <vt:i4>26</vt:i4>
      </vt:variant>
      <vt:variant>
        <vt:i4>0</vt:i4>
      </vt:variant>
      <vt:variant>
        <vt:i4>5</vt:i4>
      </vt:variant>
      <vt:variant>
        <vt:lpwstr/>
      </vt:variant>
      <vt:variant>
        <vt:lpwstr>_Toc88030213</vt:lpwstr>
      </vt:variant>
      <vt:variant>
        <vt:i4>1835065</vt:i4>
      </vt:variant>
      <vt:variant>
        <vt:i4>20</vt:i4>
      </vt:variant>
      <vt:variant>
        <vt:i4>0</vt:i4>
      </vt:variant>
      <vt:variant>
        <vt:i4>5</vt:i4>
      </vt:variant>
      <vt:variant>
        <vt:lpwstr/>
      </vt:variant>
      <vt:variant>
        <vt:lpwstr>_Toc88030212</vt:lpwstr>
      </vt:variant>
      <vt:variant>
        <vt:i4>2031673</vt:i4>
      </vt:variant>
      <vt:variant>
        <vt:i4>14</vt:i4>
      </vt:variant>
      <vt:variant>
        <vt:i4>0</vt:i4>
      </vt:variant>
      <vt:variant>
        <vt:i4>5</vt:i4>
      </vt:variant>
      <vt:variant>
        <vt:lpwstr/>
      </vt:variant>
      <vt:variant>
        <vt:lpwstr>_Toc88030211</vt:lpwstr>
      </vt:variant>
      <vt:variant>
        <vt:i4>1966137</vt:i4>
      </vt:variant>
      <vt:variant>
        <vt:i4>8</vt:i4>
      </vt:variant>
      <vt:variant>
        <vt:i4>0</vt:i4>
      </vt:variant>
      <vt:variant>
        <vt:i4>5</vt:i4>
      </vt:variant>
      <vt:variant>
        <vt:lpwstr/>
      </vt:variant>
      <vt:variant>
        <vt:lpwstr>_Toc88030210</vt:lpwstr>
      </vt:variant>
      <vt:variant>
        <vt:i4>1507384</vt:i4>
      </vt:variant>
      <vt:variant>
        <vt:i4>2</vt:i4>
      </vt:variant>
      <vt:variant>
        <vt:i4>0</vt:i4>
      </vt:variant>
      <vt:variant>
        <vt:i4>5</vt:i4>
      </vt:variant>
      <vt:variant>
        <vt:lpwstr/>
      </vt:variant>
      <vt:variant>
        <vt:lpwstr>_Toc88030209</vt:lpwstr>
      </vt:variant>
      <vt:variant>
        <vt:i4>4587548</vt:i4>
      </vt:variant>
      <vt:variant>
        <vt:i4>6</vt:i4>
      </vt:variant>
      <vt:variant>
        <vt:i4>0</vt:i4>
      </vt:variant>
      <vt:variant>
        <vt:i4>5</vt:i4>
      </vt:variant>
      <vt:variant>
        <vt:lpwstr>https://www.health.gov.au/sites/default/files/documents/2021/08/ninth-report-on-the-funding-and-financing-of-the-aged-care-industry-july-2021.pdf</vt:lpwstr>
      </vt:variant>
      <vt:variant>
        <vt:lpwstr/>
      </vt:variant>
      <vt:variant>
        <vt:i4>2752626</vt:i4>
      </vt:variant>
      <vt:variant>
        <vt:i4>3</vt:i4>
      </vt:variant>
      <vt:variant>
        <vt:i4>0</vt:i4>
      </vt:variant>
      <vt:variant>
        <vt:i4>5</vt:i4>
      </vt:variant>
      <vt:variant>
        <vt:lpwstr>https://www.gen-agedcaredata.gov.au//Topics/Quality-in-aged-care/Residential-Aged-Care-Quality-Indicators-April-to-June</vt:lpwstr>
      </vt:variant>
      <vt:variant>
        <vt:lpwstr/>
      </vt:variant>
      <vt:variant>
        <vt:i4>2097265</vt:i4>
      </vt:variant>
      <vt:variant>
        <vt:i4>0</vt:i4>
      </vt:variant>
      <vt:variant>
        <vt:i4>0</vt:i4>
      </vt:variant>
      <vt:variant>
        <vt:i4>5</vt:i4>
      </vt:variant>
      <vt:variant>
        <vt:lpwstr>https://agedcare.royalcommission.gov.au/system/files/2020-06/RCD.9999.0018.0001.pdf</vt:lpwstr>
      </vt:variant>
      <vt:variant>
        <vt:lpwstr/>
      </vt:variant>
      <vt:variant>
        <vt:i4>4980861</vt:i4>
      </vt:variant>
      <vt:variant>
        <vt:i4>84</vt:i4>
      </vt:variant>
      <vt:variant>
        <vt:i4>0</vt:i4>
      </vt:variant>
      <vt:variant>
        <vt:i4>5</vt:i4>
      </vt:variant>
      <vt:variant>
        <vt:lpwstr>mailto:mwinkels1@kpmg.com.au</vt:lpwstr>
      </vt:variant>
      <vt:variant>
        <vt:lpwstr/>
      </vt:variant>
      <vt:variant>
        <vt:i4>4980861</vt:i4>
      </vt:variant>
      <vt:variant>
        <vt:i4>81</vt:i4>
      </vt:variant>
      <vt:variant>
        <vt:i4>0</vt:i4>
      </vt:variant>
      <vt:variant>
        <vt:i4>5</vt:i4>
      </vt:variant>
      <vt:variant>
        <vt:lpwstr>mailto:mwinkels1@kpmg.com.au</vt:lpwstr>
      </vt:variant>
      <vt:variant>
        <vt:lpwstr/>
      </vt:variant>
      <vt:variant>
        <vt:i4>1441913</vt:i4>
      </vt:variant>
      <vt:variant>
        <vt:i4>78</vt:i4>
      </vt:variant>
      <vt:variant>
        <vt:i4>0</vt:i4>
      </vt:variant>
      <vt:variant>
        <vt:i4>5</vt:i4>
      </vt:variant>
      <vt:variant>
        <vt:lpwstr>mailto:lgale@kpmg.com.au</vt:lpwstr>
      </vt:variant>
      <vt:variant>
        <vt:lpwstr/>
      </vt:variant>
      <vt:variant>
        <vt:i4>4980861</vt:i4>
      </vt:variant>
      <vt:variant>
        <vt:i4>75</vt:i4>
      </vt:variant>
      <vt:variant>
        <vt:i4>0</vt:i4>
      </vt:variant>
      <vt:variant>
        <vt:i4>5</vt:i4>
      </vt:variant>
      <vt:variant>
        <vt:lpwstr>mailto:mwinkels1@kpmg.com.au</vt:lpwstr>
      </vt:variant>
      <vt:variant>
        <vt:lpwstr/>
      </vt:variant>
      <vt:variant>
        <vt:i4>1441913</vt:i4>
      </vt:variant>
      <vt:variant>
        <vt:i4>72</vt:i4>
      </vt:variant>
      <vt:variant>
        <vt:i4>0</vt:i4>
      </vt:variant>
      <vt:variant>
        <vt:i4>5</vt:i4>
      </vt:variant>
      <vt:variant>
        <vt:lpwstr>mailto:lgale@kpmg.com.au</vt:lpwstr>
      </vt:variant>
      <vt:variant>
        <vt:lpwstr/>
      </vt:variant>
      <vt:variant>
        <vt:i4>5177463</vt:i4>
      </vt:variant>
      <vt:variant>
        <vt:i4>69</vt:i4>
      </vt:variant>
      <vt:variant>
        <vt:i4>0</vt:i4>
      </vt:variant>
      <vt:variant>
        <vt:i4>5</vt:i4>
      </vt:variant>
      <vt:variant>
        <vt:lpwstr>mailto:jforrest5@kpmg.com.au</vt:lpwstr>
      </vt:variant>
      <vt:variant>
        <vt:lpwstr/>
      </vt:variant>
      <vt:variant>
        <vt:i4>1441913</vt:i4>
      </vt:variant>
      <vt:variant>
        <vt:i4>66</vt:i4>
      </vt:variant>
      <vt:variant>
        <vt:i4>0</vt:i4>
      </vt:variant>
      <vt:variant>
        <vt:i4>5</vt:i4>
      </vt:variant>
      <vt:variant>
        <vt:lpwstr>mailto:lgale@kpmg.com.au</vt:lpwstr>
      </vt:variant>
      <vt:variant>
        <vt:lpwstr/>
      </vt:variant>
      <vt:variant>
        <vt:i4>5177463</vt:i4>
      </vt:variant>
      <vt:variant>
        <vt:i4>63</vt:i4>
      </vt:variant>
      <vt:variant>
        <vt:i4>0</vt:i4>
      </vt:variant>
      <vt:variant>
        <vt:i4>5</vt:i4>
      </vt:variant>
      <vt:variant>
        <vt:lpwstr>mailto:jforrest5@kpmg.com.au</vt:lpwstr>
      </vt:variant>
      <vt:variant>
        <vt:lpwstr/>
      </vt:variant>
      <vt:variant>
        <vt:i4>4980861</vt:i4>
      </vt:variant>
      <vt:variant>
        <vt:i4>60</vt:i4>
      </vt:variant>
      <vt:variant>
        <vt:i4>0</vt:i4>
      </vt:variant>
      <vt:variant>
        <vt:i4>5</vt:i4>
      </vt:variant>
      <vt:variant>
        <vt:lpwstr>mailto:mwinkels1@kpmg.com.au</vt:lpwstr>
      </vt:variant>
      <vt:variant>
        <vt:lpwstr/>
      </vt:variant>
      <vt:variant>
        <vt:i4>4980861</vt:i4>
      </vt:variant>
      <vt:variant>
        <vt:i4>57</vt:i4>
      </vt:variant>
      <vt:variant>
        <vt:i4>0</vt:i4>
      </vt:variant>
      <vt:variant>
        <vt:i4>5</vt:i4>
      </vt:variant>
      <vt:variant>
        <vt:lpwstr>mailto:mwinkels1@kpmg.com.au</vt:lpwstr>
      </vt:variant>
      <vt:variant>
        <vt:lpwstr/>
      </vt:variant>
      <vt:variant>
        <vt:i4>1441913</vt:i4>
      </vt:variant>
      <vt:variant>
        <vt:i4>54</vt:i4>
      </vt:variant>
      <vt:variant>
        <vt:i4>0</vt:i4>
      </vt:variant>
      <vt:variant>
        <vt:i4>5</vt:i4>
      </vt:variant>
      <vt:variant>
        <vt:lpwstr>mailto:lgale@kpmg.com.au</vt:lpwstr>
      </vt:variant>
      <vt:variant>
        <vt:lpwstr/>
      </vt:variant>
      <vt:variant>
        <vt:i4>4980861</vt:i4>
      </vt:variant>
      <vt:variant>
        <vt:i4>51</vt:i4>
      </vt:variant>
      <vt:variant>
        <vt:i4>0</vt:i4>
      </vt:variant>
      <vt:variant>
        <vt:i4>5</vt:i4>
      </vt:variant>
      <vt:variant>
        <vt:lpwstr>mailto:mwinkels1@kpmg.com.au</vt:lpwstr>
      </vt:variant>
      <vt:variant>
        <vt:lpwstr/>
      </vt:variant>
      <vt:variant>
        <vt:i4>1441913</vt:i4>
      </vt:variant>
      <vt:variant>
        <vt:i4>48</vt:i4>
      </vt:variant>
      <vt:variant>
        <vt:i4>0</vt:i4>
      </vt:variant>
      <vt:variant>
        <vt:i4>5</vt:i4>
      </vt:variant>
      <vt:variant>
        <vt:lpwstr>mailto:lgale@kpmg.com.au</vt:lpwstr>
      </vt:variant>
      <vt:variant>
        <vt:lpwstr/>
      </vt:variant>
      <vt:variant>
        <vt:i4>4980861</vt:i4>
      </vt:variant>
      <vt:variant>
        <vt:i4>45</vt:i4>
      </vt:variant>
      <vt:variant>
        <vt:i4>0</vt:i4>
      </vt:variant>
      <vt:variant>
        <vt:i4>5</vt:i4>
      </vt:variant>
      <vt:variant>
        <vt:lpwstr>mailto:mwinkels1@kpmg.com.au</vt:lpwstr>
      </vt:variant>
      <vt:variant>
        <vt:lpwstr/>
      </vt:variant>
      <vt:variant>
        <vt:i4>1441913</vt:i4>
      </vt:variant>
      <vt:variant>
        <vt:i4>42</vt:i4>
      </vt:variant>
      <vt:variant>
        <vt:i4>0</vt:i4>
      </vt:variant>
      <vt:variant>
        <vt:i4>5</vt:i4>
      </vt:variant>
      <vt:variant>
        <vt:lpwstr>mailto:lgale@kpmg.com.au</vt:lpwstr>
      </vt:variant>
      <vt:variant>
        <vt:lpwstr/>
      </vt:variant>
      <vt:variant>
        <vt:i4>1441913</vt:i4>
      </vt:variant>
      <vt:variant>
        <vt:i4>39</vt:i4>
      </vt:variant>
      <vt:variant>
        <vt:i4>0</vt:i4>
      </vt:variant>
      <vt:variant>
        <vt:i4>5</vt:i4>
      </vt:variant>
      <vt:variant>
        <vt:lpwstr>mailto:lgale@kpmg.com.au</vt:lpwstr>
      </vt:variant>
      <vt:variant>
        <vt:lpwstr/>
      </vt:variant>
      <vt:variant>
        <vt:i4>1835083</vt:i4>
      </vt:variant>
      <vt:variant>
        <vt:i4>36</vt:i4>
      </vt:variant>
      <vt:variant>
        <vt:i4>0</vt:i4>
      </vt:variant>
      <vt:variant>
        <vt:i4>5</vt:i4>
      </vt:variant>
      <vt:variant>
        <vt:lpwstr>https://www.agedcarequality.gov.au/news-centre/newsletter</vt:lpwstr>
      </vt:variant>
      <vt:variant>
        <vt:lpwstr/>
      </vt:variant>
      <vt:variant>
        <vt:i4>1441913</vt:i4>
      </vt:variant>
      <vt:variant>
        <vt:i4>33</vt:i4>
      </vt:variant>
      <vt:variant>
        <vt:i4>0</vt:i4>
      </vt:variant>
      <vt:variant>
        <vt:i4>5</vt:i4>
      </vt:variant>
      <vt:variant>
        <vt:lpwstr>mailto:lgale@kpmg.com.au</vt:lpwstr>
      </vt:variant>
      <vt:variant>
        <vt:lpwstr/>
      </vt:variant>
      <vt:variant>
        <vt:i4>4980861</vt:i4>
      </vt:variant>
      <vt:variant>
        <vt:i4>30</vt:i4>
      </vt:variant>
      <vt:variant>
        <vt:i4>0</vt:i4>
      </vt:variant>
      <vt:variant>
        <vt:i4>5</vt:i4>
      </vt:variant>
      <vt:variant>
        <vt:lpwstr>mailto:mwinkels1@kpmg.com.au</vt:lpwstr>
      </vt:variant>
      <vt:variant>
        <vt:lpwstr/>
      </vt:variant>
      <vt:variant>
        <vt:i4>1441913</vt:i4>
      </vt:variant>
      <vt:variant>
        <vt:i4>27</vt:i4>
      </vt:variant>
      <vt:variant>
        <vt:i4>0</vt:i4>
      </vt:variant>
      <vt:variant>
        <vt:i4>5</vt:i4>
      </vt:variant>
      <vt:variant>
        <vt:lpwstr>mailto:lgale@kpmg.com.au</vt:lpwstr>
      </vt:variant>
      <vt:variant>
        <vt:lpwstr/>
      </vt:variant>
      <vt:variant>
        <vt:i4>1441913</vt:i4>
      </vt:variant>
      <vt:variant>
        <vt:i4>24</vt:i4>
      </vt:variant>
      <vt:variant>
        <vt:i4>0</vt:i4>
      </vt:variant>
      <vt:variant>
        <vt:i4>5</vt:i4>
      </vt:variant>
      <vt:variant>
        <vt:lpwstr>mailto:lgale@kpmg.com.au</vt:lpwstr>
      </vt:variant>
      <vt:variant>
        <vt:lpwstr/>
      </vt:variant>
      <vt:variant>
        <vt:i4>4980861</vt:i4>
      </vt:variant>
      <vt:variant>
        <vt:i4>21</vt:i4>
      </vt:variant>
      <vt:variant>
        <vt:i4>0</vt:i4>
      </vt:variant>
      <vt:variant>
        <vt:i4>5</vt:i4>
      </vt:variant>
      <vt:variant>
        <vt:lpwstr>mailto:mwinkels1@kpmg.com.au</vt:lpwstr>
      </vt:variant>
      <vt:variant>
        <vt:lpwstr/>
      </vt:variant>
      <vt:variant>
        <vt:i4>7405574</vt:i4>
      </vt:variant>
      <vt:variant>
        <vt:i4>18</vt:i4>
      </vt:variant>
      <vt:variant>
        <vt:i4>0</vt:i4>
      </vt:variant>
      <vt:variant>
        <vt:i4>5</vt:i4>
      </vt:variant>
      <vt:variant>
        <vt:lpwstr>mailto:lhaylen@kpmg.com.au</vt:lpwstr>
      </vt:variant>
      <vt:variant>
        <vt:lpwstr/>
      </vt:variant>
      <vt:variant>
        <vt:i4>1441913</vt:i4>
      </vt:variant>
      <vt:variant>
        <vt:i4>15</vt:i4>
      </vt:variant>
      <vt:variant>
        <vt:i4>0</vt:i4>
      </vt:variant>
      <vt:variant>
        <vt:i4>5</vt:i4>
      </vt:variant>
      <vt:variant>
        <vt:lpwstr>mailto:lgale@kpmg.com.au</vt:lpwstr>
      </vt:variant>
      <vt:variant>
        <vt:lpwstr/>
      </vt:variant>
      <vt:variant>
        <vt:i4>4980861</vt:i4>
      </vt:variant>
      <vt:variant>
        <vt:i4>12</vt:i4>
      </vt:variant>
      <vt:variant>
        <vt:i4>0</vt:i4>
      </vt:variant>
      <vt:variant>
        <vt:i4>5</vt:i4>
      </vt:variant>
      <vt:variant>
        <vt:lpwstr>mailto:mwinkels1@kpmg.com.au</vt:lpwstr>
      </vt:variant>
      <vt:variant>
        <vt:lpwstr/>
      </vt:variant>
      <vt:variant>
        <vt:i4>4980861</vt:i4>
      </vt:variant>
      <vt:variant>
        <vt:i4>9</vt:i4>
      </vt:variant>
      <vt:variant>
        <vt:i4>0</vt:i4>
      </vt:variant>
      <vt:variant>
        <vt:i4>5</vt:i4>
      </vt:variant>
      <vt:variant>
        <vt:lpwstr>mailto:mwinkels1@kpmg.com.au</vt:lpwstr>
      </vt:variant>
      <vt:variant>
        <vt:lpwstr/>
      </vt:variant>
      <vt:variant>
        <vt:i4>4980861</vt:i4>
      </vt:variant>
      <vt:variant>
        <vt:i4>6</vt:i4>
      </vt:variant>
      <vt:variant>
        <vt:i4>0</vt:i4>
      </vt:variant>
      <vt:variant>
        <vt:i4>5</vt:i4>
      </vt:variant>
      <vt:variant>
        <vt:lpwstr>mailto:mwinkels1@kpmg.com.au</vt:lpwstr>
      </vt:variant>
      <vt:variant>
        <vt:lpwstr/>
      </vt:variant>
      <vt:variant>
        <vt:i4>720914</vt:i4>
      </vt:variant>
      <vt:variant>
        <vt:i4>3</vt:i4>
      </vt:variant>
      <vt:variant>
        <vt:i4>0</vt:i4>
      </vt:variant>
      <vt:variant>
        <vt:i4>5</vt:i4>
      </vt:variant>
      <vt:variant>
        <vt:lpwstr>https://www.agedcarequality.gov.au/resources/guidance-and-resources-providers-support-aged-care-quality-standards</vt:lpwstr>
      </vt:variant>
      <vt:variant>
        <vt:lpwstr/>
      </vt:variant>
      <vt:variant>
        <vt:i4>4718602</vt:i4>
      </vt:variant>
      <vt:variant>
        <vt:i4>0</vt:i4>
      </vt:variant>
      <vt:variant>
        <vt:i4>0</vt:i4>
      </vt:variant>
      <vt:variant>
        <vt:i4>5</vt:i4>
      </vt:variant>
      <vt:variant>
        <vt:lpwstr>https://www.agedcarequality.gov.au/providers/standards/background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Evaluation of the Aged Care Quality Standards – Evaluation report</dc:title>
  <dc:subject>Aged care</dc:subject>
  <dc:creator>Australian Government Department of Health and Aged Care</dc:creator>
  <cp:keywords>ACQS</cp:keywords>
  <dc:description>-</dc:description>
  <cp:lastModifiedBy>MCCAY, Meryl</cp:lastModifiedBy>
  <cp:revision>12</cp:revision>
  <cp:lastPrinted>2021-11-18T03:42:00Z</cp:lastPrinted>
  <dcterms:created xsi:type="dcterms:W3CDTF">2022-09-06T09:08:00Z</dcterms:created>
  <dcterms:modified xsi:type="dcterms:W3CDTF">2022-09-07T03:15:00Z</dcterms:modified>
</cp:coreProperties>
</file>