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ustralian Government logo"/>
        <w:tblDescription w:val="Australian Government logo"/>
      </w:tblPr>
      <w:tblGrid>
        <w:gridCol w:w="6306"/>
        <w:gridCol w:w="3901"/>
      </w:tblGrid>
      <w:tr w:rsidR="003A7D03" w:rsidRPr="00A02C7D" w14:paraId="686BD0DA" w14:textId="77777777" w:rsidTr="00E21B48">
        <w:trPr>
          <w:tblHeader/>
        </w:trPr>
        <w:tc>
          <w:tcPr>
            <w:tcW w:w="6096" w:type="dxa"/>
          </w:tcPr>
          <w:p w14:paraId="25CA8687" w14:textId="77777777" w:rsidR="003A7D03" w:rsidRPr="00A02C7D" w:rsidRDefault="003A7D03" w:rsidP="003A7D03">
            <w:pPr>
              <w:autoSpaceDE w:val="0"/>
              <w:autoSpaceDN w:val="0"/>
              <w:adjustRightInd w:val="0"/>
              <w:rPr>
                <w:rFonts w:cstheme="minorHAnsi"/>
                <w:sz w:val="12"/>
                <w:szCs w:val="12"/>
              </w:rPr>
            </w:pPr>
            <w:bookmarkStart w:id="0" w:name="_Toc234306067"/>
            <w:r w:rsidRPr="00A02C7D">
              <w:rPr>
                <w:rFonts w:cstheme="minorHAnsi"/>
                <w:noProof/>
                <w:sz w:val="12"/>
                <w:szCs w:val="12"/>
              </w:rPr>
              <w:drawing>
                <wp:inline distT="0" distB="0" distL="0" distR="0" wp14:anchorId="54EE0757" wp14:editId="4A9C6B2F">
                  <wp:extent cx="3859619" cy="928100"/>
                  <wp:effectExtent l="0" t="0" r="7620" b="5715"/>
                  <wp:docPr id="3" name="Picture 3" descr="Logo"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inline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4623" cy="936517"/>
                          </a:xfrm>
                          <a:prstGeom prst="rect">
                            <a:avLst/>
                          </a:prstGeom>
                        </pic:spPr>
                      </pic:pic>
                    </a:graphicData>
                  </a:graphic>
                </wp:inline>
              </w:drawing>
            </w:r>
          </w:p>
        </w:tc>
        <w:tc>
          <w:tcPr>
            <w:tcW w:w="4111" w:type="dxa"/>
          </w:tcPr>
          <w:p w14:paraId="6597BDEF" w14:textId="77777777" w:rsidR="003A7D03" w:rsidRPr="00A02C7D" w:rsidRDefault="003A7D03" w:rsidP="003A7D03">
            <w:pPr>
              <w:keepNext/>
              <w:tabs>
                <w:tab w:val="left" w:pos="6301"/>
              </w:tabs>
              <w:spacing w:after="120"/>
              <w:jc w:val="right"/>
              <w:outlineLvl w:val="0"/>
              <w:rPr>
                <w:rFonts w:cs="Arial"/>
                <w:b/>
                <w:caps/>
                <w:color w:val="000000" w:themeColor="text1"/>
                <w:sz w:val="32"/>
                <w:szCs w:val="28"/>
              </w:rPr>
            </w:pPr>
            <w:r w:rsidRPr="00A02C7D">
              <w:rPr>
                <w:rFonts w:cs="Arial"/>
                <w:b/>
                <w:caps/>
                <w:color w:val="000000" w:themeColor="text1"/>
                <w:sz w:val="32"/>
                <w:szCs w:val="28"/>
              </w:rPr>
              <w:t>Australian Influenza</w:t>
            </w:r>
          </w:p>
          <w:p w14:paraId="095E7250" w14:textId="77777777" w:rsidR="003A7D03" w:rsidRPr="00A02C7D" w:rsidRDefault="003A7D03" w:rsidP="003A7D03">
            <w:pPr>
              <w:keepNext/>
              <w:tabs>
                <w:tab w:val="left" w:pos="6301"/>
              </w:tabs>
              <w:spacing w:after="120"/>
              <w:jc w:val="right"/>
              <w:outlineLvl w:val="0"/>
              <w:rPr>
                <w:rFonts w:cs="Arial"/>
                <w:b/>
                <w:caps/>
                <w:color w:val="000000" w:themeColor="text1"/>
                <w:sz w:val="32"/>
                <w:szCs w:val="28"/>
              </w:rPr>
            </w:pPr>
            <w:r w:rsidRPr="00A02C7D">
              <w:rPr>
                <w:rFonts w:cs="Arial"/>
                <w:b/>
                <w:caps/>
                <w:color w:val="000000" w:themeColor="text1"/>
                <w:sz w:val="32"/>
                <w:szCs w:val="28"/>
              </w:rPr>
              <w:t>Surveillance Report</w:t>
            </w:r>
          </w:p>
          <w:p w14:paraId="07541D8A" w14:textId="77777777" w:rsidR="003A7D03" w:rsidRPr="00A02C7D" w:rsidRDefault="003A7D03" w:rsidP="003A7D03">
            <w:pPr>
              <w:jc w:val="right"/>
              <w:rPr>
                <w:rFonts w:cstheme="minorHAnsi"/>
                <w:b/>
                <w:bCs/>
                <w:i/>
                <w:iCs/>
                <w:color w:val="000000"/>
                <w:sz w:val="8"/>
                <w:szCs w:val="8"/>
              </w:rPr>
            </w:pPr>
          </w:p>
          <w:p w14:paraId="40FDECA2" w14:textId="77777777" w:rsidR="003A7D03" w:rsidRPr="00A02C7D" w:rsidRDefault="003A7D03" w:rsidP="00FB1B6C">
            <w:pPr>
              <w:autoSpaceDE w:val="0"/>
              <w:autoSpaceDN w:val="0"/>
              <w:adjustRightInd w:val="0"/>
              <w:jc w:val="right"/>
              <w:rPr>
                <w:rFonts w:cstheme="minorHAnsi"/>
                <w:sz w:val="12"/>
                <w:szCs w:val="12"/>
              </w:rPr>
            </w:pPr>
            <w:bookmarkStart w:id="1" w:name="Start"/>
            <w:bookmarkEnd w:id="1"/>
          </w:p>
        </w:tc>
      </w:tr>
    </w:tbl>
    <w:p w14:paraId="0B381869" w14:textId="77777777" w:rsidR="003A7D03" w:rsidRPr="00A02C7D" w:rsidRDefault="003A7D03" w:rsidP="003A7D03">
      <w:pPr>
        <w:jc w:val="both"/>
        <w:rPr>
          <w:rFonts w:cstheme="minorHAnsi"/>
        </w:rPr>
      </w:pPr>
      <w:r w:rsidRPr="00A02C7D">
        <w:rPr>
          <w:rFonts w:cstheme="minorHAnsi"/>
        </w:rPr>
        <w:t>The Department of Health acknowledges the providers of the many sources of data used in this report and greatly appreciates their contribution.</w:t>
      </w:r>
    </w:p>
    <w:bookmarkEnd w:id="0"/>
    <w:p w14:paraId="020D2620" w14:textId="77777777" w:rsidR="003A7D03" w:rsidRPr="00A02C7D" w:rsidRDefault="003A7D03" w:rsidP="00DE0B10">
      <w:pPr>
        <w:pStyle w:val="Heading1"/>
        <w:jc w:val="left"/>
        <w:rPr>
          <w:bCs/>
        </w:rPr>
      </w:pPr>
      <w:r w:rsidRPr="00A02C7D">
        <w:rPr>
          <w:bCs/>
        </w:rPr>
        <w:t xml:space="preserve">Data Considerations </w:t>
      </w:r>
      <w:r w:rsidR="007A487B" w:rsidRPr="00A02C7D">
        <w:rPr>
          <w:bCs/>
        </w:rPr>
        <w:t xml:space="preserve">for the </w:t>
      </w:r>
      <w:r w:rsidR="00360708" w:rsidRPr="00A02C7D">
        <w:rPr>
          <w:bCs/>
        </w:rPr>
        <w:t>Australian Influenza Surveillance Report</w:t>
      </w:r>
      <w:r w:rsidR="00A02C7D" w:rsidRPr="00A02C7D">
        <w:rPr>
          <w:bCs/>
        </w:rPr>
        <w:t>, 201</w:t>
      </w:r>
      <w:r w:rsidR="00621A07">
        <w:rPr>
          <w:bCs/>
        </w:rPr>
        <w:t>8</w:t>
      </w:r>
    </w:p>
    <w:p w14:paraId="4D7C5305" w14:textId="77777777" w:rsidR="003A7D03" w:rsidRPr="00A02C7D" w:rsidRDefault="003A7D03" w:rsidP="008E69C9">
      <w:pPr>
        <w:spacing w:after="240"/>
        <w:rPr>
          <w:rFonts w:cstheme="minorHAnsi"/>
          <w:b/>
          <w:bCs/>
          <w:i/>
          <w:iCs/>
          <w:szCs w:val="22"/>
        </w:rPr>
      </w:pPr>
      <w:r w:rsidRPr="00A02C7D">
        <w:rPr>
          <w:rFonts w:cstheme="minorHAnsi"/>
          <w:b/>
          <w:bCs/>
          <w:i/>
          <w:iCs/>
          <w:szCs w:val="22"/>
        </w:rPr>
        <w:t>The information in this report is reliant on the surveillance sources available to the Department of Health.</w:t>
      </w:r>
      <w:r w:rsidR="00861258" w:rsidRPr="00A02C7D">
        <w:t xml:space="preserve"> </w:t>
      </w:r>
      <w:r w:rsidR="00861258" w:rsidRPr="00A02C7D">
        <w:rPr>
          <w:rFonts w:cstheme="minorHAnsi"/>
          <w:b/>
          <w:bCs/>
          <w:i/>
          <w:iCs/>
          <w:szCs w:val="22"/>
        </w:rPr>
        <w:t>As access to sources vary throughout the season, this report will draw on available information.</w:t>
      </w:r>
    </w:p>
    <w:p w14:paraId="3589C5E7" w14:textId="77777777" w:rsidR="003A7D03" w:rsidRPr="00A02C7D" w:rsidRDefault="003A7D03" w:rsidP="003A7D03">
      <w:r w:rsidRPr="00A02C7D">
        <w:rPr>
          <w:rFonts w:cstheme="minorHAnsi"/>
        </w:rPr>
        <w:t>This report aims to increase awareness of influenza activity in Australia by providing an analysis of the various surveillance data sources throughout Australia.</w:t>
      </w:r>
      <w:r w:rsidR="00DC1EE5" w:rsidRPr="00A02C7D">
        <w:rPr>
          <w:rFonts w:cstheme="minorHAnsi"/>
        </w:rPr>
        <w:t xml:space="preserve"> </w:t>
      </w:r>
      <w:r w:rsidRPr="00A02C7D">
        <w:rPr>
          <w:rFonts w:cstheme="minorHAnsi"/>
        </w:rPr>
        <w:t xml:space="preserve">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report please contact the </w:t>
      </w:r>
      <w:hyperlink r:id="rId9" w:history="1">
        <w:r w:rsidRPr="00A02C7D">
          <w:rPr>
            <w:rFonts w:cstheme="minorHAnsi"/>
            <w:color w:val="0000FF"/>
            <w:u w:val="single"/>
          </w:rPr>
          <w:t>Influenza Surveillance Team</w:t>
        </w:r>
      </w:hyperlink>
      <w:r w:rsidRPr="00A02C7D">
        <w:rPr>
          <w:rFonts w:cstheme="minorHAnsi"/>
        </w:rPr>
        <w:t xml:space="preserve"> </w:t>
      </w:r>
      <w:r w:rsidRPr="00A02C7D">
        <w:t>(</w:t>
      </w:r>
      <w:hyperlink r:id="rId10" w:history="1">
        <w:r w:rsidR="00360708" w:rsidRPr="00A02C7D">
          <w:rPr>
            <w:rStyle w:val="Hyperlink"/>
            <w:lang w:eastAsia="en-US"/>
          </w:rPr>
          <w:t>flu@health.gov.au</w:t>
        </w:r>
      </w:hyperlink>
      <w:r w:rsidRPr="00A02C7D">
        <w:t>).</w:t>
      </w:r>
      <w:r w:rsidR="00360708" w:rsidRPr="00A02C7D">
        <w:t xml:space="preserve"> </w:t>
      </w:r>
    </w:p>
    <w:p w14:paraId="017A0CA8" w14:textId="77777777" w:rsidR="00AD5C29" w:rsidRPr="004E2C06" w:rsidRDefault="007B2D6F" w:rsidP="00AD5C29">
      <w:pPr>
        <w:pStyle w:val="Heading2"/>
      </w:pPr>
      <w:r w:rsidRPr="004E2C06">
        <w:t xml:space="preserve">1. </w:t>
      </w:r>
      <w:r w:rsidR="00AD5C29" w:rsidRPr="004E2C06">
        <w:t>Geographic Spread of Influenza Activity</w:t>
      </w:r>
    </w:p>
    <w:p w14:paraId="4244456C" w14:textId="77777777" w:rsidR="00AD5C29" w:rsidRPr="004E2C06" w:rsidRDefault="00AD5C29" w:rsidP="00AD5C29">
      <w:pPr>
        <w:rPr>
          <w:rFonts w:cstheme="minorHAnsi"/>
          <w:sz w:val="2"/>
          <w:lang w:eastAsia="en-US"/>
        </w:rPr>
      </w:pPr>
    </w:p>
    <w:p w14:paraId="50282982" w14:textId="77777777" w:rsidR="00AD5C29" w:rsidRPr="004E2C06" w:rsidRDefault="00AD5C29" w:rsidP="00AD5C29">
      <w:pPr>
        <w:pStyle w:val="Heading3"/>
      </w:pPr>
      <w:r w:rsidRPr="004E2C06">
        <w:t>Current activity</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056"/>
        <w:gridCol w:w="621"/>
        <w:gridCol w:w="3544"/>
      </w:tblGrid>
      <w:tr w:rsidR="003A7D03" w:rsidRPr="004E2C06" w14:paraId="49F97AA6" w14:textId="77777777" w:rsidTr="00E21B48">
        <w:trPr>
          <w:trHeight w:val="197"/>
        </w:trPr>
        <w:tc>
          <w:tcPr>
            <w:tcW w:w="1560" w:type="dxa"/>
            <w:tcBorders>
              <w:top w:val="single" w:sz="4" w:space="0" w:color="auto"/>
              <w:left w:val="single" w:sz="4" w:space="0" w:color="auto"/>
              <w:bottom w:val="single" w:sz="4" w:space="0" w:color="auto"/>
              <w:right w:val="single" w:sz="4" w:space="0" w:color="auto"/>
            </w:tcBorders>
            <w:shd w:val="clear" w:color="auto" w:fill="000000"/>
          </w:tcPr>
          <w:p w14:paraId="2FCD4D66" w14:textId="77777777" w:rsidR="003A7D03" w:rsidRPr="004E2C06" w:rsidRDefault="003A7D03" w:rsidP="003A7D03">
            <w:r w:rsidRPr="004E2C06">
              <w:t>Activity level</w:t>
            </w:r>
          </w:p>
        </w:tc>
        <w:tc>
          <w:tcPr>
            <w:tcW w:w="4056" w:type="dxa"/>
            <w:tcBorders>
              <w:top w:val="single" w:sz="4" w:space="0" w:color="auto"/>
              <w:left w:val="single" w:sz="4" w:space="0" w:color="auto"/>
              <w:bottom w:val="single" w:sz="4" w:space="0" w:color="auto"/>
              <w:right w:val="single" w:sz="4" w:space="0" w:color="auto"/>
            </w:tcBorders>
            <w:shd w:val="clear" w:color="auto" w:fill="000000"/>
          </w:tcPr>
          <w:p w14:paraId="721F0E7B" w14:textId="77777777" w:rsidR="003A7D03" w:rsidRPr="004E2C06" w:rsidRDefault="003A7D03" w:rsidP="003A7D03">
            <w:r w:rsidRPr="004E2C06">
              <w:t>Laboratory notifications</w:t>
            </w:r>
          </w:p>
        </w:tc>
        <w:tc>
          <w:tcPr>
            <w:tcW w:w="621" w:type="dxa"/>
            <w:tcBorders>
              <w:top w:val="single" w:sz="4" w:space="0" w:color="auto"/>
              <w:left w:val="single" w:sz="4" w:space="0" w:color="auto"/>
              <w:bottom w:val="single" w:sz="4" w:space="0" w:color="auto"/>
              <w:right w:val="single" w:sz="4" w:space="0" w:color="auto"/>
            </w:tcBorders>
            <w:shd w:val="clear" w:color="auto" w:fill="000000"/>
          </w:tcPr>
          <w:p w14:paraId="2C7B6904" w14:textId="77777777" w:rsidR="003A7D03" w:rsidRPr="004E2C06" w:rsidRDefault="003A7D03" w:rsidP="003A7D03"/>
        </w:tc>
        <w:tc>
          <w:tcPr>
            <w:tcW w:w="3544" w:type="dxa"/>
            <w:tcBorders>
              <w:top w:val="single" w:sz="4" w:space="0" w:color="auto"/>
              <w:left w:val="single" w:sz="4" w:space="0" w:color="auto"/>
              <w:bottom w:val="single" w:sz="4" w:space="0" w:color="auto"/>
              <w:right w:val="single" w:sz="4" w:space="0" w:color="auto"/>
            </w:tcBorders>
            <w:shd w:val="clear" w:color="auto" w:fill="000000"/>
          </w:tcPr>
          <w:p w14:paraId="15787A53" w14:textId="77777777" w:rsidR="003A7D03" w:rsidRPr="004E2C06" w:rsidRDefault="003A7D03" w:rsidP="003A7D03">
            <w:r w:rsidRPr="004E2C06">
              <w:t>Influenza outbreaks</w:t>
            </w:r>
          </w:p>
        </w:tc>
      </w:tr>
      <w:tr w:rsidR="003A7D03" w:rsidRPr="004E2C06" w14:paraId="56541215" w14:textId="77777777" w:rsidTr="00E21B48">
        <w:trPr>
          <w:trHeight w:val="395"/>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02E30A80" w14:textId="77777777" w:rsidR="003A7D03" w:rsidRPr="004E2C06" w:rsidRDefault="003A7D03" w:rsidP="003A7D03">
            <w:pPr>
              <w:rPr>
                <w:sz w:val="20"/>
              </w:rPr>
            </w:pPr>
            <w:r w:rsidRPr="004E2C06">
              <w:rPr>
                <w:sz w:val="20"/>
              </w:rPr>
              <w:t>Sporadic</w:t>
            </w:r>
          </w:p>
        </w:tc>
        <w:tc>
          <w:tcPr>
            <w:tcW w:w="4056" w:type="dxa"/>
            <w:tcBorders>
              <w:top w:val="single" w:sz="4" w:space="0" w:color="auto"/>
              <w:left w:val="single" w:sz="4" w:space="0" w:color="auto"/>
              <w:bottom w:val="single" w:sz="4" w:space="0" w:color="auto"/>
              <w:right w:val="single" w:sz="4" w:space="0" w:color="auto"/>
            </w:tcBorders>
            <w:shd w:val="clear" w:color="auto" w:fill="auto"/>
          </w:tcPr>
          <w:p w14:paraId="5B167BF5" w14:textId="77777777" w:rsidR="003A7D03" w:rsidRPr="004E2C06" w:rsidRDefault="003A7D03" w:rsidP="003A7D03">
            <w:pPr>
              <w:rPr>
                <w:sz w:val="20"/>
              </w:rPr>
            </w:pPr>
            <w:r w:rsidRPr="004E2C06">
              <w:rPr>
                <w:sz w:val="20"/>
              </w:rPr>
              <w:t>Small numbers of lab confirmed influenza detections, not above expected background level</w:t>
            </w:r>
            <w:r w:rsidRPr="004E2C06">
              <w:rPr>
                <w:sz w:val="20"/>
                <w:vertAlign w:val="superscript"/>
              </w:rPr>
              <w:t>+</w:t>
            </w:r>
            <w:r w:rsidRPr="004E2C06">
              <w:rPr>
                <w:sz w:val="20"/>
              </w:rPr>
              <w:t>.</w:t>
            </w:r>
          </w:p>
        </w:tc>
        <w:tc>
          <w:tcPr>
            <w:tcW w:w="621" w:type="dxa"/>
            <w:tcBorders>
              <w:top w:val="single" w:sz="4" w:space="0" w:color="auto"/>
              <w:left w:val="single" w:sz="4" w:space="0" w:color="auto"/>
              <w:bottom w:val="single" w:sz="4" w:space="0" w:color="auto"/>
              <w:right w:val="single" w:sz="4" w:space="0" w:color="auto"/>
            </w:tcBorders>
            <w:shd w:val="clear" w:color="auto" w:fill="auto"/>
          </w:tcPr>
          <w:p w14:paraId="089E4D56" w14:textId="77777777" w:rsidR="003A7D03" w:rsidRPr="004E2C06" w:rsidRDefault="003A7D03" w:rsidP="003A7D03">
            <w:pPr>
              <w:rPr>
                <w:sz w:val="20"/>
              </w:rPr>
            </w:pPr>
            <w:r w:rsidRPr="004E2C06">
              <w:rPr>
                <w:sz w:val="20"/>
              </w:rPr>
              <w:t>AND</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C0992DE" w14:textId="77777777" w:rsidR="003A7D03" w:rsidRPr="004E2C06" w:rsidRDefault="003A7D03" w:rsidP="003A7D03">
            <w:pPr>
              <w:rPr>
                <w:sz w:val="20"/>
              </w:rPr>
            </w:pPr>
            <w:r w:rsidRPr="004E2C06">
              <w:rPr>
                <w:sz w:val="20"/>
              </w:rPr>
              <w:t>No outbreaks.</w:t>
            </w:r>
          </w:p>
        </w:tc>
      </w:tr>
      <w:tr w:rsidR="003A7D03" w:rsidRPr="004E2C06" w14:paraId="2613EB7C" w14:textId="77777777" w:rsidTr="00E21B48">
        <w:trPr>
          <w:trHeight w:val="614"/>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2469BBF" w14:textId="77777777" w:rsidR="003A7D03" w:rsidRPr="004E2C06" w:rsidRDefault="003A7D03" w:rsidP="003A7D03">
            <w:pPr>
              <w:rPr>
                <w:sz w:val="20"/>
              </w:rPr>
            </w:pPr>
            <w:r w:rsidRPr="004E2C06">
              <w:rPr>
                <w:sz w:val="20"/>
              </w:rPr>
              <w:t>Localised</w:t>
            </w:r>
          </w:p>
        </w:tc>
        <w:tc>
          <w:tcPr>
            <w:tcW w:w="4056" w:type="dxa"/>
            <w:tcBorders>
              <w:top w:val="single" w:sz="4" w:space="0" w:color="auto"/>
              <w:left w:val="single" w:sz="4" w:space="0" w:color="auto"/>
              <w:bottom w:val="single" w:sz="4" w:space="0" w:color="auto"/>
              <w:right w:val="single" w:sz="4" w:space="0" w:color="auto"/>
            </w:tcBorders>
            <w:shd w:val="clear" w:color="auto" w:fill="auto"/>
          </w:tcPr>
          <w:p w14:paraId="19D1F2B6" w14:textId="77777777" w:rsidR="003A7D03" w:rsidRPr="004E2C06" w:rsidRDefault="003A7D03" w:rsidP="003A7D03">
            <w:pPr>
              <w:rPr>
                <w:sz w:val="20"/>
              </w:rPr>
            </w:pPr>
            <w:r w:rsidRPr="004E2C06">
              <w:rPr>
                <w:sz w:val="20"/>
              </w:rPr>
              <w:t>Lab confirmed influenza detections above background level</w:t>
            </w:r>
            <w:r w:rsidRPr="004E2C06">
              <w:rPr>
                <w:sz w:val="20"/>
                <w:vertAlign w:val="superscript"/>
              </w:rPr>
              <w:t>++</w:t>
            </w:r>
            <w:r w:rsidRPr="004E2C06">
              <w:rPr>
                <w:sz w:val="20"/>
              </w:rPr>
              <w:t xml:space="preserve"> in less than 50% of the influenza surveillance region</w:t>
            </w:r>
            <w:r w:rsidRPr="004E2C06">
              <w:rPr>
                <w:sz w:val="20"/>
                <w:vertAlign w:val="superscript"/>
              </w:rPr>
              <w:t>*</w:t>
            </w:r>
            <w:r w:rsidRPr="004E2C06">
              <w:rPr>
                <w:sz w:val="20"/>
              </w:rPr>
              <w:t>.</w:t>
            </w:r>
          </w:p>
        </w:tc>
        <w:tc>
          <w:tcPr>
            <w:tcW w:w="621" w:type="dxa"/>
            <w:tcBorders>
              <w:top w:val="single" w:sz="4" w:space="0" w:color="auto"/>
              <w:left w:val="single" w:sz="4" w:space="0" w:color="auto"/>
              <w:bottom w:val="single" w:sz="4" w:space="0" w:color="auto"/>
              <w:right w:val="single" w:sz="4" w:space="0" w:color="auto"/>
            </w:tcBorders>
            <w:shd w:val="clear" w:color="auto" w:fill="auto"/>
          </w:tcPr>
          <w:p w14:paraId="26590191" w14:textId="77777777" w:rsidR="003A7D03" w:rsidRPr="004E2C06" w:rsidRDefault="003A7D03" w:rsidP="003A7D03">
            <w:pPr>
              <w:rPr>
                <w:sz w:val="20"/>
              </w:rPr>
            </w:pPr>
            <w:r w:rsidRPr="004E2C06">
              <w:rPr>
                <w:sz w:val="20"/>
              </w:rPr>
              <w:t>OR</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F9DDC29" w14:textId="77777777" w:rsidR="003A7D03" w:rsidRPr="004E2C06" w:rsidRDefault="003A7D03" w:rsidP="003A7D03">
            <w:pPr>
              <w:rPr>
                <w:sz w:val="20"/>
              </w:rPr>
            </w:pPr>
            <w:r w:rsidRPr="004E2C06">
              <w:rPr>
                <w:sz w:val="20"/>
              </w:rPr>
              <w:t>Single outbreak only.</w:t>
            </w:r>
          </w:p>
        </w:tc>
      </w:tr>
      <w:tr w:rsidR="003A7D03" w:rsidRPr="004E2C06" w14:paraId="59F4F21D" w14:textId="77777777" w:rsidTr="00E21B48">
        <w:trPr>
          <w:trHeight w:val="602"/>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653DBEAC" w14:textId="77777777" w:rsidR="003A7D03" w:rsidRPr="004E2C06" w:rsidRDefault="003A7D03" w:rsidP="003A7D03">
            <w:pPr>
              <w:rPr>
                <w:sz w:val="20"/>
              </w:rPr>
            </w:pPr>
            <w:r w:rsidRPr="004E2C06">
              <w:rPr>
                <w:sz w:val="20"/>
              </w:rPr>
              <w:t>Regional</w:t>
            </w:r>
          </w:p>
        </w:tc>
        <w:tc>
          <w:tcPr>
            <w:tcW w:w="4056" w:type="dxa"/>
            <w:tcBorders>
              <w:top w:val="single" w:sz="4" w:space="0" w:color="auto"/>
              <w:left w:val="single" w:sz="4" w:space="0" w:color="auto"/>
              <w:bottom w:val="single" w:sz="4" w:space="0" w:color="auto"/>
              <w:right w:val="single" w:sz="4" w:space="0" w:color="auto"/>
            </w:tcBorders>
            <w:shd w:val="clear" w:color="auto" w:fill="auto"/>
          </w:tcPr>
          <w:p w14:paraId="0CC8C965" w14:textId="77777777" w:rsidR="003A7D03" w:rsidRPr="004E2C06" w:rsidRDefault="003A7D03" w:rsidP="003A7D03">
            <w:pPr>
              <w:rPr>
                <w:sz w:val="20"/>
              </w:rPr>
            </w:pPr>
            <w:r w:rsidRPr="004E2C06">
              <w:rPr>
                <w:sz w:val="20"/>
              </w:rPr>
              <w:t>Significant</w:t>
            </w:r>
            <w:r w:rsidRPr="004E2C06">
              <w:rPr>
                <w:sz w:val="20"/>
                <w:vertAlign w:val="superscript"/>
              </w:rPr>
              <w:t>+++</w:t>
            </w:r>
            <w:r w:rsidRPr="004E2C06">
              <w:rPr>
                <w:sz w:val="20"/>
              </w:rPr>
              <w:t xml:space="preserve"> numbers of lab confirmed influenza detections above background level in less than 50% of the influenza surveillance region</w:t>
            </w:r>
            <w:r w:rsidRPr="004E2C06">
              <w:rPr>
                <w:sz w:val="20"/>
                <w:vertAlign w:val="superscript"/>
              </w:rPr>
              <w:t>*</w:t>
            </w:r>
            <w:r w:rsidRPr="004E2C06">
              <w:rPr>
                <w:sz w:val="20"/>
              </w:rPr>
              <w:t>.</w:t>
            </w:r>
          </w:p>
        </w:tc>
        <w:tc>
          <w:tcPr>
            <w:tcW w:w="621" w:type="dxa"/>
            <w:tcBorders>
              <w:top w:val="single" w:sz="4" w:space="0" w:color="auto"/>
              <w:left w:val="single" w:sz="4" w:space="0" w:color="auto"/>
              <w:bottom w:val="single" w:sz="4" w:space="0" w:color="auto"/>
              <w:right w:val="single" w:sz="4" w:space="0" w:color="auto"/>
            </w:tcBorders>
            <w:shd w:val="clear" w:color="auto" w:fill="auto"/>
          </w:tcPr>
          <w:p w14:paraId="0DE2D34E" w14:textId="77777777" w:rsidR="003A7D03" w:rsidRPr="004E2C06" w:rsidRDefault="003A7D03" w:rsidP="003A7D03">
            <w:pPr>
              <w:rPr>
                <w:sz w:val="20"/>
              </w:rPr>
            </w:pPr>
            <w:r w:rsidRPr="004E2C06">
              <w:rPr>
                <w:sz w:val="20"/>
              </w:rPr>
              <w:t>OR</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1D0FFDF" w14:textId="77777777" w:rsidR="003A7D03" w:rsidRPr="004E2C06" w:rsidRDefault="003A7D03" w:rsidP="003A7D03">
            <w:pPr>
              <w:rPr>
                <w:sz w:val="20"/>
              </w:rPr>
            </w:pPr>
            <w:r w:rsidRPr="004E2C06">
              <w:rPr>
                <w:sz w:val="20"/>
              </w:rPr>
              <w:t>&gt;1 outbreaks occurring in less than 50% of the influenza surveillance region</w:t>
            </w:r>
            <w:r w:rsidRPr="004E2C06">
              <w:rPr>
                <w:sz w:val="20"/>
                <w:vertAlign w:val="superscript"/>
              </w:rPr>
              <w:t xml:space="preserve"> **</w:t>
            </w:r>
            <w:r w:rsidRPr="004E2C06">
              <w:rPr>
                <w:sz w:val="20"/>
              </w:rPr>
              <w:t>.</w:t>
            </w:r>
          </w:p>
        </w:tc>
      </w:tr>
      <w:tr w:rsidR="003A7D03" w:rsidRPr="004E2C06" w14:paraId="2E408003" w14:textId="77777777" w:rsidTr="00E21B48">
        <w:trPr>
          <w:trHeight w:val="614"/>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24F93627" w14:textId="77777777" w:rsidR="003A7D03" w:rsidRPr="004E2C06" w:rsidRDefault="003A7D03" w:rsidP="003A7D03">
            <w:pPr>
              <w:rPr>
                <w:sz w:val="20"/>
              </w:rPr>
            </w:pPr>
            <w:r w:rsidRPr="004E2C06">
              <w:rPr>
                <w:sz w:val="20"/>
              </w:rPr>
              <w:t xml:space="preserve">Widespread </w:t>
            </w:r>
          </w:p>
        </w:tc>
        <w:tc>
          <w:tcPr>
            <w:tcW w:w="4056" w:type="dxa"/>
            <w:tcBorders>
              <w:top w:val="single" w:sz="4" w:space="0" w:color="auto"/>
              <w:left w:val="single" w:sz="4" w:space="0" w:color="auto"/>
              <w:bottom w:val="single" w:sz="4" w:space="0" w:color="auto"/>
              <w:right w:val="single" w:sz="4" w:space="0" w:color="auto"/>
            </w:tcBorders>
            <w:shd w:val="clear" w:color="auto" w:fill="auto"/>
          </w:tcPr>
          <w:p w14:paraId="079F3410" w14:textId="77777777" w:rsidR="003A7D03" w:rsidRPr="004E2C06" w:rsidRDefault="003A7D03" w:rsidP="003A7D03">
            <w:pPr>
              <w:rPr>
                <w:sz w:val="20"/>
              </w:rPr>
            </w:pPr>
            <w:r w:rsidRPr="004E2C06">
              <w:rPr>
                <w:sz w:val="20"/>
              </w:rPr>
              <w:t>Significant</w:t>
            </w:r>
            <w:r w:rsidRPr="004E2C06">
              <w:rPr>
                <w:sz w:val="20"/>
                <w:vertAlign w:val="superscript"/>
              </w:rPr>
              <w:t>+++</w:t>
            </w:r>
            <w:r w:rsidRPr="004E2C06">
              <w:rPr>
                <w:sz w:val="20"/>
              </w:rPr>
              <w:t xml:space="preserve"> numbers of lab confirmed influenza detections above background level in equal to or greater than 50% of the influenza surveillance region</w:t>
            </w:r>
            <w:r w:rsidRPr="004E2C06">
              <w:rPr>
                <w:sz w:val="20"/>
                <w:vertAlign w:val="superscript"/>
              </w:rPr>
              <w:t>*</w:t>
            </w:r>
            <w:r w:rsidRPr="004E2C06">
              <w:rPr>
                <w:sz w:val="20"/>
              </w:rPr>
              <w:t>.</w:t>
            </w:r>
          </w:p>
        </w:tc>
        <w:tc>
          <w:tcPr>
            <w:tcW w:w="621" w:type="dxa"/>
            <w:tcBorders>
              <w:top w:val="single" w:sz="4" w:space="0" w:color="auto"/>
              <w:left w:val="single" w:sz="4" w:space="0" w:color="auto"/>
              <w:bottom w:val="single" w:sz="4" w:space="0" w:color="auto"/>
              <w:right w:val="single" w:sz="4" w:space="0" w:color="auto"/>
            </w:tcBorders>
            <w:shd w:val="clear" w:color="auto" w:fill="auto"/>
          </w:tcPr>
          <w:p w14:paraId="019CFEA4" w14:textId="77777777" w:rsidR="003A7D03" w:rsidRPr="004E2C06" w:rsidRDefault="003A7D03" w:rsidP="003A7D03">
            <w:pPr>
              <w:rPr>
                <w:sz w:val="20"/>
              </w:rPr>
            </w:pPr>
            <w:r w:rsidRPr="004E2C06">
              <w:rPr>
                <w:sz w:val="20"/>
              </w:rPr>
              <w:t>OR</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EE18F39" w14:textId="77777777" w:rsidR="003A7D03" w:rsidRPr="004E2C06" w:rsidRDefault="003A7D03" w:rsidP="003A7D03">
            <w:pPr>
              <w:rPr>
                <w:sz w:val="20"/>
              </w:rPr>
            </w:pPr>
            <w:r w:rsidRPr="004E2C06">
              <w:rPr>
                <w:sz w:val="20"/>
              </w:rPr>
              <w:t>&gt;1 outbreaks occurring in equal to or greater than 50% of the influenza surveillance region</w:t>
            </w:r>
            <w:r w:rsidRPr="004E2C06">
              <w:rPr>
                <w:sz w:val="20"/>
                <w:vertAlign w:val="superscript"/>
              </w:rPr>
              <w:t xml:space="preserve"> **</w:t>
            </w:r>
            <w:r w:rsidRPr="004E2C06">
              <w:rPr>
                <w:sz w:val="20"/>
              </w:rPr>
              <w:t>.</w:t>
            </w:r>
          </w:p>
        </w:tc>
      </w:tr>
    </w:tbl>
    <w:p w14:paraId="7B7BAD4E" w14:textId="77777777" w:rsidR="003A7D03" w:rsidRPr="004E2C06" w:rsidRDefault="003A7D03" w:rsidP="003A7D03">
      <w:pPr>
        <w:rPr>
          <w:sz w:val="20"/>
        </w:rPr>
      </w:pPr>
      <w:r w:rsidRPr="004E2C06">
        <w:rPr>
          <w:sz w:val="20"/>
        </w:rPr>
        <w:t>+</w:t>
      </w:r>
      <w:r w:rsidRPr="004E2C06">
        <w:rPr>
          <w:sz w:val="20"/>
        </w:rPr>
        <w:tab/>
        <w:t>Expected background level - defined by jurisdictional epidemiologists; represents the expected low level influenza activity that occurs outside of jurisdictional seasonal activity and is the baseline against which comparisons of change can be based.</w:t>
      </w:r>
    </w:p>
    <w:p w14:paraId="52B48EB5" w14:textId="77777777" w:rsidR="003A7D03" w:rsidRPr="004E2C06" w:rsidRDefault="003A7D03" w:rsidP="003A7D03">
      <w:pPr>
        <w:rPr>
          <w:sz w:val="20"/>
        </w:rPr>
      </w:pPr>
      <w:r w:rsidRPr="004E2C06">
        <w:rPr>
          <w:sz w:val="20"/>
        </w:rPr>
        <w:t>++</w:t>
      </w:r>
      <w:r w:rsidRPr="004E2C06">
        <w:rPr>
          <w:sz w:val="20"/>
        </w:rPr>
        <w:tab/>
        <w:t>Above background level - above the expected background level</w:t>
      </w:r>
      <w:r w:rsidRPr="004E2C06">
        <w:rPr>
          <w:sz w:val="20"/>
          <w:vertAlign w:val="superscript"/>
        </w:rPr>
        <w:t>+</w:t>
      </w:r>
      <w:r w:rsidRPr="004E2C06">
        <w:rPr>
          <w:sz w:val="20"/>
        </w:rPr>
        <w:t xml:space="preserve"> threshold as defined by jurisdictional</w:t>
      </w:r>
      <w:r w:rsidRPr="004E2C06" w:rsidDel="00B675B3">
        <w:rPr>
          <w:sz w:val="20"/>
        </w:rPr>
        <w:t xml:space="preserve"> </w:t>
      </w:r>
      <w:r w:rsidRPr="004E2C06">
        <w:rPr>
          <w:sz w:val="20"/>
        </w:rPr>
        <w:t>epidemiologists.</w:t>
      </w:r>
    </w:p>
    <w:p w14:paraId="73D39BE1" w14:textId="77777777" w:rsidR="003A7D03" w:rsidRPr="004E2C06" w:rsidRDefault="003A7D03" w:rsidP="003A7D03">
      <w:pPr>
        <w:rPr>
          <w:sz w:val="20"/>
        </w:rPr>
      </w:pPr>
      <w:r w:rsidRPr="004E2C06">
        <w:rPr>
          <w:sz w:val="20"/>
        </w:rPr>
        <w:t>*</w:t>
      </w:r>
      <w:r w:rsidRPr="004E2C06">
        <w:rPr>
          <w:sz w:val="20"/>
        </w:rPr>
        <w:tab/>
        <w:t>Influenza surveillance region within the jurisdiction/area as defined by jurisdictional epidemiologists.</w:t>
      </w:r>
    </w:p>
    <w:p w14:paraId="180FF6AF" w14:textId="77777777" w:rsidR="00360708" w:rsidRPr="004E2C06" w:rsidRDefault="00360708" w:rsidP="00360708">
      <w:pPr>
        <w:rPr>
          <w:sz w:val="20"/>
        </w:rPr>
      </w:pPr>
      <w:r w:rsidRPr="004E2C06">
        <w:rPr>
          <w:sz w:val="20"/>
        </w:rPr>
        <w:t xml:space="preserve">** </w:t>
      </w:r>
      <w:r w:rsidRPr="004E2C06">
        <w:rPr>
          <w:sz w:val="20"/>
        </w:rPr>
        <w:tab/>
        <w:t>Areas to be subdivisions of the NT (2 regions), WA (3 regions) and QLD (3 regions) that reflect significant climatic differences within those jurisdictions that result in differences in the timing of seasonal flu activity on a regular basis.</w:t>
      </w:r>
    </w:p>
    <w:p w14:paraId="37775970" w14:textId="77777777" w:rsidR="003A7D03" w:rsidRPr="004E2C06" w:rsidRDefault="003A7D03" w:rsidP="003A7D03">
      <w:pPr>
        <w:rPr>
          <w:sz w:val="20"/>
        </w:rPr>
      </w:pPr>
      <w:r w:rsidRPr="004E2C06">
        <w:rPr>
          <w:sz w:val="20"/>
        </w:rPr>
        <w:t>+++</w:t>
      </w:r>
      <w:r w:rsidRPr="004E2C06">
        <w:rPr>
          <w:sz w:val="20"/>
        </w:rPr>
        <w:tab/>
        <w:t>Significant numbers - a second threshold to be determined by the jurisdictional epidemiologists to indicate the level is significantly above the expected background level</w:t>
      </w:r>
      <w:r w:rsidRPr="004E2C06">
        <w:rPr>
          <w:sz w:val="20"/>
          <w:vertAlign w:val="superscript"/>
        </w:rPr>
        <w:t>+</w:t>
      </w:r>
      <w:r w:rsidRPr="004E2C06">
        <w:rPr>
          <w:sz w:val="20"/>
        </w:rPr>
        <w:t>.</w:t>
      </w:r>
    </w:p>
    <w:p w14:paraId="78AEEA90" w14:textId="77777777" w:rsidR="003A7D03" w:rsidRPr="004E2C06" w:rsidRDefault="003A7D03" w:rsidP="00AD5C29">
      <w:pPr>
        <w:pStyle w:val="Heading3"/>
      </w:pPr>
      <w:r w:rsidRPr="004E2C06">
        <w:t>Change in activity level</w:t>
      </w:r>
    </w:p>
    <w:p w14:paraId="69697E16" w14:textId="77777777" w:rsidR="003A7D03" w:rsidRPr="004E2C06" w:rsidRDefault="003A7D03" w:rsidP="003A7D03">
      <w:pPr>
        <w:spacing w:after="120"/>
        <w:rPr>
          <w:sz w:val="20"/>
        </w:rPr>
      </w:pPr>
      <w:r w:rsidRPr="004E2C06">
        <w:rPr>
          <w:sz w:val="20"/>
        </w:rPr>
        <w:t xml:space="preserve">The change in influenza activity level is based on a comparison of the activity level identified in the current reporting period with the previous period. </w:t>
      </w:r>
    </w:p>
    <w:p w14:paraId="0F1701DD" w14:textId="77777777" w:rsidR="003A7D03" w:rsidRPr="00B54CF8" w:rsidRDefault="003A7D03" w:rsidP="00AD5C29">
      <w:pPr>
        <w:pStyle w:val="Heading3"/>
      </w:pPr>
      <w:r w:rsidRPr="004E2C06">
        <w:t>Syndromic Surveillance Activity</w:t>
      </w:r>
    </w:p>
    <w:tbl>
      <w:tblPr>
        <w:tblW w:w="8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4"/>
      </w:tblGrid>
      <w:tr w:rsidR="003A7D03" w:rsidRPr="00B54CF8" w14:paraId="5CB893F7" w14:textId="77777777" w:rsidTr="00E21B48">
        <w:trPr>
          <w:trHeight w:val="280"/>
        </w:trPr>
        <w:tc>
          <w:tcPr>
            <w:tcW w:w="8504" w:type="dxa"/>
            <w:tcBorders>
              <w:top w:val="single" w:sz="4" w:space="0" w:color="auto"/>
              <w:left w:val="single" w:sz="4" w:space="0" w:color="auto"/>
              <w:bottom w:val="single" w:sz="4" w:space="0" w:color="auto"/>
              <w:right w:val="single" w:sz="4" w:space="0" w:color="auto"/>
            </w:tcBorders>
            <w:shd w:val="clear" w:color="auto" w:fill="000000"/>
          </w:tcPr>
          <w:p w14:paraId="00AF3608" w14:textId="77777777" w:rsidR="003A7D03" w:rsidRPr="00B54CF8" w:rsidRDefault="003A7D03" w:rsidP="003A7D03">
            <w:r w:rsidRPr="00B54CF8">
              <w:t>Syndromic surveillance systems*</w:t>
            </w:r>
          </w:p>
        </w:tc>
      </w:tr>
      <w:tr w:rsidR="003A7D03" w:rsidRPr="00B54CF8" w14:paraId="24C4EC8B" w14:textId="77777777" w:rsidTr="00E21B48">
        <w:trPr>
          <w:trHeight w:val="280"/>
        </w:trPr>
        <w:tc>
          <w:tcPr>
            <w:tcW w:w="8504" w:type="dxa"/>
            <w:tcBorders>
              <w:top w:val="single" w:sz="4" w:space="0" w:color="auto"/>
              <w:left w:val="single" w:sz="4" w:space="0" w:color="auto"/>
              <w:bottom w:val="single" w:sz="4" w:space="0" w:color="auto"/>
              <w:right w:val="single" w:sz="4" w:space="0" w:color="auto"/>
            </w:tcBorders>
            <w:shd w:val="clear" w:color="auto" w:fill="auto"/>
          </w:tcPr>
          <w:p w14:paraId="30115A60" w14:textId="77777777" w:rsidR="003A7D03" w:rsidRPr="00B54CF8" w:rsidRDefault="003A7D03" w:rsidP="003A7D03">
            <w:r w:rsidRPr="00B54CF8">
              <w:t>Evidence of increase in ILI via syndromic surveillance systems</w:t>
            </w:r>
          </w:p>
        </w:tc>
      </w:tr>
      <w:tr w:rsidR="003A7D03" w:rsidRPr="00B54CF8" w14:paraId="484016BA" w14:textId="77777777" w:rsidTr="00E21B48">
        <w:trPr>
          <w:trHeight w:val="294"/>
        </w:trPr>
        <w:tc>
          <w:tcPr>
            <w:tcW w:w="8504" w:type="dxa"/>
            <w:tcBorders>
              <w:top w:val="single" w:sz="4" w:space="0" w:color="auto"/>
              <w:left w:val="single" w:sz="4" w:space="0" w:color="auto"/>
              <w:bottom w:val="single" w:sz="4" w:space="0" w:color="auto"/>
              <w:right w:val="single" w:sz="4" w:space="0" w:color="auto"/>
            </w:tcBorders>
            <w:shd w:val="clear" w:color="auto" w:fill="auto"/>
          </w:tcPr>
          <w:p w14:paraId="31B357E7" w14:textId="77777777" w:rsidR="003A7D03" w:rsidRPr="00B54CF8" w:rsidRDefault="003A7D03" w:rsidP="003A7D03">
            <w:r w:rsidRPr="00B54CF8">
              <w:t>Evidence of unchanged activity in ILI via syndromic surveillance systems</w:t>
            </w:r>
          </w:p>
        </w:tc>
      </w:tr>
      <w:tr w:rsidR="003A7D03" w:rsidRPr="00B54CF8" w14:paraId="7B4E6D65" w14:textId="77777777" w:rsidTr="00E21B48">
        <w:trPr>
          <w:trHeight w:val="294"/>
        </w:trPr>
        <w:tc>
          <w:tcPr>
            <w:tcW w:w="8504" w:type="dxa"/>
            <w:tcBorders>
              <w:top w:val="single" w:sz="4" w:space="0" w:color="auto"/>
              <w:left w:val="single" w:sz="4" w:space="0" w:color="auto"/>
              <w:bottom w:val="single" w:sz="4" w:space="0" w:color="auto"/>
              <w:right w:val="single" w:sz="4" w:space="0" w:color="auto"/>
            </w:tcBorders>
            <w:shd w:val="clear" w:color="auto" w:fill="auto"/>
          </w:tcPr>
          <w:p w14:paraId="5DB4C74B" w14:textId="77777777" w:rsidR="003A7D03" w:rsidRPr="00B54CF8" w:rsidRDefault="003A7D03" w:rsidP="003A7D03">
            <w:r w:rsidRPr="00B54CF8">
              <w:t>Evidence of a decrease in ILI via syndromic surveillance systems</w:t>
            </w:r>
          </w:p>
        </w:tc>
      </w:tr>
    </w:tbl>
    <w:p w14:paraId="0AC7C424" w14:textId="77777777" w:rsidR="003A7D03" w:rsidRPr="00B54CF8" w:rsidRDefault="003A7D03" w:rsidP="003A7D03">
      <w:pPr>
        <w:rPr>
          <w:sz w:val="20"/>
        </w:rPr>
      </w:pPr>
      <w:r w:rsidRPr="00B54CF8">
        <w:rPr>
          <w:sz w:val="20"/>
        </w:rPr>
        <w:t>* Syndromic surveillance systems include GP ILI sentinel surveillance, ED ILI surveillance and</w:t>
      </w:r>
      <w:r w:rsidR="00AD5C29" w:rsidRPr="00B54CF8">
        <w:rPr>
          <w:sz w:val="20"/>
        </w:rPr>
        <w:t xml:space="preserve"> </w:t>
      </w:r>
      <w:proofErr w:type="spellStart"/>
      <w:r w:rsidR="00AD5C29" w:rsidRPr="00B54CF8">
        <w:rPr>
          <w:sz w:val="20"/>
        </w:rPr>
        <w:t>Flu</w:t>
      </w:r>
      <w:r w:rsidRPr="00B54CF8">
        <w:rPr>
          <w:sz w:val="20"/>
        </w:rPr>
        <w:t>tracking</w:t>
      </w:r>
      <w:proofErr w:type="spellEnd"/>
      <w:r w:rsidRPr="00B54CF8">
        <w:rPr>
          <w:sz w:val="20"/>
        </w:rPr>
        <w:t>. The activity indicated by ILI based syndromic surveillance systems may be due to a variety of respiratory viruses. Therefore the report should indicate if other evidence suggests that the increase is suspected to be influenza activity or due to another respiratory pathogen. Syndromic surveillance is reported on a jurisdiction wide basis only.</w:t>
      </w:r>
    </w:p>
    <w:p w14:paraId="2CBC43B7" w14:textId="77777777" w:rsidR="007B2D6F" w:rsidRPr="00A02C7D" w:rsidRDefault="007B2D6F" w:rsidP="007B2D6F">
      <w:pPr>
        <w:pStyle w:val="Heading2"/>
      </w:pPr>
      <w:r w:rsidRPr="00B54CF8">
        <w:lastRenderedPageBreak/>
        <w:t>2. Laboratory Confirmed Influenza Activity</w:t>
      </w:r>
    </w:p>
    <w:p w14:paraId="4D7E8485" w14:textId="77777777" w:rsidR="00DC1EE5" w:rsidRPr="00A02C7D" w:rsidRDefault="00DC1EE5" w:rsidP="00DC1EE5">
      <w:pPr>
        <w:rPr>
          <w:sz w:val="2"/>
          <w:szCs w:val="2"/>
        </w:rPr>
      </w:pPr>
    </w:p>
    <w:p w14:paraId="09AEAF45" w14:textId="77777777" w:rsidR="007B2D6F" w:rsidRPr="00A02C7D" w:rsidRDefault="007B2D6F" w:rsidP="007B2D6F">
      <w:pPr>
        <w:pStyle w:val="Heading3"/>
      </w:pPr>
      <w:r w:rsidRPr="00A02C7D">
        <w:t>S</w:t>
      </w:r>
      <w:r w:rsidR="004E2C06">
        <w:t>entinel Laboratory Surveillance</w:t>
      </w:r>
    </w:p>
    <w:p w14:paraId="0D86B273" w14:textId="77777777" w:rsidR="007B2D6F" w:rsidRPr="00A02C7D" w:rsidRDefault="007B2D6F" w:rsidP="007B2D6F">
      <w:pPr>
        <w:autoSpaceDE w:val="0"/>
        <w:autoSpaceDN w:val="0"/>
        <w:adjustRightInd w:val="0"/>
        <w:rPr>
          <w:rFonts w:cs="Arial"/>
          <w:sz w:val="20"/>
          <w:lang w:eastAsia="en-US"/>
        </w:rPr>
      </w:pPr>
      <w:r w:rsidRPr="00ED6C07">
        <w:rPr>
          <w:rFonts w:cs="Arial"/>
          <w:sz w:val="20"/>
          <w:lang w:eastAsia="en-US"/>
        </w:rPr>
        <w:t xml:space="preserve">Laboratory testing data are provided fortnightly from PathWest (WA), VIDRL (VIC), Pathology West ICPMR (NSW), </w:t>
      </w:r>
      <w:r w:rsidR="00A02C7D" w:rsidRPr="00ED6C07">
        <w:rPr>
          <w:rFonts w:cs="Arial"/>
          <w:sz w:val="20"/>
          <w:lang w:eastAsia="en-US"/>
        </w:rPr>
        <w:t xml:space="preserve">SA Pathology (SA) </w:t>
      </w:r>
      <w:r w:rsidRPr="00ED6C07">
        <w:rPr>
          <w:rFonts w:cs="Arial"/>
          <w:sz w:val="20"/>
          <w:lang w:eastAsia="en-US"/>
        </w:rPr>
        <w:t>and Tasmanian public hospital laboratory PCR testing results. For Tasmania, the PCR results represent testing at a major public hospital laboratory</w:t>
      </w:r>
      <w:r w:rsidR="00ED6C07" w:rsidRPr="00ED6C07">
        <w:rPr>
          <w:rFonts w:cs="Arial"/>
          <w:sz w:val="20"/>
          <w:lang w:eastAsia="en-US"/>
        </w:rPr>
        <w:t>, which also accepts referred specimens from all departments of emergency medicine and hospital inpatients from across the state, and a private pathology company</w:t>
      </w:r>
      <w:r w:rsidRPr="00ED6C07">
        <w:rPr>
          <w:rFonts w:cs="Arial"/>
          <w:sz w:val="20"/>
          <w:lang w:eastAsia="en-US"/>
        </w:rPr>
        <w:t>.</w:t>
      </w:r>
      <w:r w:rsidR="00A02C7D" w:rsidRPr="00ED6C07">
        <w:rPr>
          <w:rFonts w:cs="Arial"/>
          <w:sz w:val="20"/>
          <w:lang w:eastAsia="en-US"/>
        </w:rPr>
        <w:t xml:space="preserve"> For South Australia, laboratory surveillance data includes results from specimens collected through</w:t>
      </w:r>
      <w:r w:rsidR="004E2C06" w:rsidRPr="00ED6C07">
        <w:rPr>
          <w:rFonts w:cs="Arial"/>
          <w:sz w:val="20"/>
          <w:lang w:eastAsia="en-US"/>
        </w:rPr>
        <w:t xml:space="preserve"> general practice</w:t>
      </w:r>
      <w:r w:rsidR="00A02C7D" w:rsidRPr="00ED6C07">
        <w:rPr>
          <w:rFonts w:cs="Arial"/>
          <w:sz w:val="20"/>
          <w:lang w:eastAsia="en-US"/>
        </w:rPr>
        <w:t xml:space="preserve"> syndromic surveillance at a national level.</w:t>
      </w:r>
      <w:r w:rsidR="00A02C7D" w:rsidRPr="00A02C7D">
        <w:rPr>
          <w:rFonts w:cs="Arial"/>
          <w:sz w:val="20"/>
          <w:lang w:eastAsia="en-US"/>
        </w:rPr>
        <w:t xml:space="preserve"> </w:t>
      </w:r>
    </w:p>
    <w:p w14:paraId="0378AB17" w14:textId="77777777" w:rsidR="007B2D6F" w:rsidRPr="00B54CF8" w:rsidRDefault="00DC1EE5" w:rsidP="007B2D6F">
      <w:pPr>
        <w:pStyle w:val="Heading3"/>
      </w:pPr>
      <w:r w:rsidRPr="00B54CF8">
        <w:t>Notifications of Influenza to Health Departments</w:t>
      </w:r>
    </w:p>
    <w:p w14:paraId="47484581" w14:textId="77777777" w:rsidR="007B2D6F" w:rsidRPr="00B54CF8" w:rsidRDefault="007B2D6F" w:rsidP="00DC1EE5">
      <w:pPr>
        <w:rPr>
          <w:sz w:val="20"/>
          <w:lang w:eastAsia="en-US"/>
        </w:rPr>
      </w:pPr>
      <w:r w:rsidRPr="00B54CF8">
        <w:rPr>
          <w:sz w:val="20"/>
          <w:lang w:eastAsia="en-US"/>
        </w:rPr>
        <w:t xml:space="preserve">Laboratory confirmed influenza (all types) is notifiable under public health legislation in all jurisdictions in Australia. Confirmed cases of influenza are notified through the </w:t>
      </w:r>
      <w:r w:rsidR="00DC1EE5" w:rsidRPr="00B54CF8">
        <w:rPr>
          <w:sz w:val="20"/>
          <w:lang w:eastAsia="en-US"/>
        </w:rPr>
        <w:t>National Notifiable Diseases Surveillance System (</w:t>
      </w:r>
      <w:r w:rsidRPr="00B54CF8">
        <w:rPr>
          <w:sz w:val="20"/>
          <w:lang w:eastAsia="en-US"/>
        </w:rPr>
        <w:t>NNDSS</w:t>
      </w:r>
      <w:r w:rsidR="00DC1EE5" w:rsidRPr="00B54CF8">
        <w:rPr>
          <w:sz w:val="20"/>
          <w:lang w:eastAsia="en-US"/>
        </w:rPr>
        <w:t>)</w:t>
      </w:r>
      <w:r w:rsidRPr="00B54CF8">
        <w:rPr>
          <w:sz w:val="20"/>
          <w:lang w:eastAsia="en-US"/>
        </w:rPr>
        <w:t xml:space="preserve"> by all jurisdictions. The national case definition is available from the </w:t>
      </w:r>
      <w:hyperlink w:history="1">
        <w:r w:rsidR="004E2C06" w:rsidRPr="00941475">
          <w:rPr>
            <w:rStyle w:val="Hyperlink"/>
            <w:sz w:val="20"/>
            <w:lang w:eastAsia="en-US"/>
          </w:rPr>
          <w:t>Department of Health’s website</w:t>
        </w:r>
      </w:hyperlink>
      <w:r w:rsidRPr="00B54CF8">
        <w:rPr>
          <w:sz w:val="20"/>
          <w:lang w:eastAsia="en-US"/>
        </w:rPr>
        <w:t xml:space="preserve"> (</w:t>
      </w:r>
      <w:r w:rsidRPr="00B54CF8">
        <w:rPr>
          <w:rFonts w:cstheme="minorHAnsi"/>
          <w:sz w:val="20"/>
          <w:lang w:eastAsia="en-US"/>
        </w:rPr>
        <w:t xml:space="preserve">www.health.gov.au/internet/main/publishing.nsf/Content/cda-surveil-nndss-casedefs-cd_flu.htm). </w:t>
      </w:r>
      <w:r w:rsidRPr="00B54CF8">
        <w:rPr>
          <w:sz w:val="20"/>
          <w:lang w:eastAsia="en-US"/>
        </w:rPr>
        <w:t xml:space="preserve">Analyses of Australian notifications are based on the diagnosis date, which is the earliest of the onset date, specimen date or notification date. </w:t>
      </w:r>
    </w:p>
    <w:p w14:paraId="3A9F4FE3" w14:textId="77777777" w:rsidR="00DC1EE5" w:rsidRPr="00B54CF8" w:rsidRDefault="00DC1EE5" w:rsidP="00DC1EE5">
      <w:pPr>
        <w:rPr>
          <w:sz w:val="20"/>
          <w:lang w:eastAsia="en-US"/>
        </w:rPr>
      </w:pPr>
      <w:r w:rsidRPr="00B54CF8">
        <w:rPr>
          <w:sz w:val="20"/>
          <w:lang w:eastAsia="en-US"/>
        </w:rPr>
        <w:t>In interpreting these data it is important to note that changes in notifications over time may not solely reflect changes in disease incidence. Changes in testing policies; screening programs including the preferential testing of high risk populations; the use of less invasive and more sensitive diagnostic tests; and periodic awareness campaigns, may influence the number of notifications that occur annually.</w:t>
      </w:r>
    </w:p>
    <w:p w14:paraId="0CC89222" w14:textId="77777777" w:rsidR="0012188D" w:rsidRPr="00A02C7D" w:rsidRDefault="0012188D" w:rsidP="0012188D">
      <w:pPr>
        <w:pStyle w:val="Heading2"/>
      </w:pPr>
      <w:r w:rsidRPr="00A02C7D">
        <w:t>3. Influenza-like Illness Activity</w:t>
      </w:r>
    </w:p>
    <w:p w14:paraId="059ACD97" w14:textId="77777777" w:rsidR="0012188D" w:rsidRPr="00A02C7D" w:rsidRDefault="0012188D" w:rsidP="0012188D">
      <w:pPr>
        <w:rPr>
          <w:sz w:val="2"/>
          <w:szCs w:val="2"/>
        </w:rPr>
      </w:pPr>
    </w:p>
    <w:p w14:paraId="1ECDC5EA" w14:textId="77777777" w:rsidR="0012188D" w:rsidRPr="00A02C7D" w:rsidRDefault="0012188D" w:rsidP="0012188D">
      <w:pPr>
        <w:pStyle w:val="Heading3"/>
      </w:pPr>
      <w:r w:rsidRPr="00A02C7D">
        <w:t>Community Level Surveillance</w:t>
      </w:r>
    </w:p>
    <w:p w14:paraId="572E745A" w14:textId="77777777" w:rsidR="003A7D03" w:rsidRDefault="003A7D03" w:rsidP="003A7D03">
      <w:pPr>
        <w:spacing w:after="120"/>
        <w:rPr>
          <w:sz w:val="20"/>
        </w:rPr>
      </w:pPr>
      <w:proofErr w:type="spellStart"/>
      <w:r w:rsidRPr="00A02C7D">
        <w:rPr>
          <w:sz w:val="20"/>
        </w:rPr>
        <w:t>FluTracking</w:t>
      </w:r>
      <w:proofErr w:type="spellEnd"/>
      <w:r w:rsidRPr="00A02C7D">
        <w:rPr>
          <w:sz w:val="20"/>
        </w:rPr>
        <w:t xml:space="preserve"> is a project of the University of Newcastle, the Hunter New England Area Health Service and the Hunter Medical Research Institute. </w:t>
      </w:r>
      <w:proofErr w:type="spellStart"/>
      <w:r w:rsidRPr="00A02C7D">
        <w:rPr>
          <w:sz w:val="20"/>
        </w:rPr>
        <w:t>FluTracking</w:t>
      </w:r>
      <w:proofErr w:type="spellEnd"/>
      <w:r w:rsidRPr="00A02C7D">
        <w:rPr>
          <w:sz w:val="20"/>
        </w:rPr>
        <w:t xml:space="preserve"> is an online health surveillance system to detect epidemics of influenza. It involves participants from around Australia completing a simple online weekly survey, which collects data on the rate of ILI-related symptoms and health</w:t>
      </w:r>
      <w:r w:rsidR="000A7AE3">
        <w:rPr>
          <w:sz w:val="20"/>
        </w:rPr>
        <w:t xml:space="preserve">care </w:t>
      </w:r>
      <w:r w:rsidRPr="00A02C7D">
        <w:rPr>
          <w:sz w:val="20"/>
        </w:rPr>
        <w:t xml:space="preserve">seeking behaviour in communities. For further information refer to the </w:t>
      </w:r>
      <w:hyperlink r:id="rId11" w:history="1">
        <w:r w:rsidRPr="00A02C7D">
          <w:rPr>
            <w:color w:val="0000FF"/>
            <w:sz w:val="20"/>
            <w:u w:val="single"/>
          </w:rPr>
          <w:t>FluTracking website</w:t>
        </w:r>
      </w:hyperlink>
      <w:r w:rsidRPr="00A02C7D">
        <w:rPr>
          <w:sz w:val="20"/>
        </w:rPr>
        <w:t xml:space="preserve"> (www.flutracking.net). </w:t>
      </w:r>
    </w:p>
    <w:p w14:paraId="2C329270" w14:textId="77777777" w:rsidR="00DB21C3" w:rsidRDefault="00DB21C3" w:rsidP="003A7D03">
      <w:pPr>
        <w:spacing w:after="120"/>
        <w:rPr>
          <w:sz w:val="20"/>
        </w:rPr>
      </w:pPr>
      <w:r w:rsidRPr="00DB21C3">
        <w:rPr>
          <w:sz w:val="20"/>
        </w:rPr>
        <w:t xml:space="preserve">The National Health Call Centre Network (NHCCN) provides a nationally consistent approach for telephone based health advice to the community through registered nurses and is supported by electronic decision support algorithms. Data collected through the NHCCN is provided to the Department to enable monitoring of the number and proportion of calls relating to predefined patient guidelines. These guidelines have been grouped to create an influenza-like illness syndrome to enable monitoring of community disease activity. These data currently do not include Queensland or Victoria. For further information refer to the </w:t>
      </w:r>
      <w:hyperlink r:id="rId12" w:history="1">
        <w:r w:rsidRPr="00937E3C">
          <w:rPr>
            <w:rStyle w:val="Hyperlink"/>
            <w:sz w:val="20"/>
          </w:rPr>
          <w:t>HealthDirect website</w:t>
        </w:r>
      </w:hyperlink>
      <w:r w:rsidRPr="00DB21C3">
        <w:rPr>
          <w:sz w:val="20"/>
        </w:rPr>
        <w:t xml:space="preserve"> (</w:t>
      </w:r>
      <w:r w:rsidRPr="00937E3C">
        <w:rPr>
          <w:sz w:val="20"/>
        </w:rPr>
        <w:t>www.healthdirect.org.au</w:t>
      </w:r>
      <w:r w:rsidRPr="00DB21C3">
        <w:rPr>
          <w:sz w:val="20"/>
        </w:rPr>
        <w:t>).</w:t>
      </w:r>
      <w:r>
        <w:rPr>
          <w:sz w:val="20"/>
        </w:rPr>
        <w:t xml:space="preserve"> </w:t>
      </w:r>
    </w:p>
    <w:p w14:paraId="2B28A230" w14:textId="77777777" w:rsidR="003A7D03" w:rsidRPr="00A02C7D" w:rsidRDefault="003A7D03" w:rsidP="00CA3F8A">
      <w:pPr>
        <w:pStyle w:val="Heading3"/>
      </w:pPr>
      <w:r w:rsidRPr="00A02C7D">
        <w:t>Sentine</w:t>
      </w:r>
      <w:r w:rsidR="00CA3F8A" w:rsidRPr="00A02C7D">
        <w:t xml:space="preserve">l General Practice Surveillance </w:t>
      </w:r>
    </w:p>
    <w:p w14:paraId="50E2DA90" w14:textId="77777777" w:rsidR="00EB28E2" w:rsidRPr="00A02C7D" w:rsidRDefault="00EB28E2" w:rsidP="00EB28E2">
      <w:pPr>
        <w:autoSpaceDE w:val="0"/>
        <w:autoSpaceDN w:val="0"/>
        <w:adjustRightInd w:val="0"/>
        <w:spacing w:after="120"/>
        <w:rPr>
          <w:rFonts w:cs="Arial"/>
          <w:sz w:val="20"/>
          <w:lang w:eastAsia="en-US"/>
        </w:rPr>
      </w:pPr>
      <w:r w:rsidRPr="00A02C7D">
        <w:rPr>
          <w:rFonts w:cs="Arial"/>
          <w:sz w:val="20"/>
          <w:lang w:eastAsia="en-US"/>
        </w:rPr>
        <w:t>Sentinel ILI surveillance in Australian general practices since 2010 has consisted of two main general practitioner schemes, the Australian Sentinel Practices Research Network (ASPREN) (</w:t>
      </w:r>
      <w:r w:rsidR="00A02C7D" w:rsidRPr="00A02C7D">
        <w:rPr>
          <w:rFonts w:cs="Arial"/>
          <w:sz w:val="20"/>
          <w:lang w:eastAsia="en-US"/>
        </w:rPr>
        <w:t>including the</w:t>
      </w:r>
      <w:r w:rsidRPr="00A02C7D">
        <w:rPr>
          <w:rFonts w:cs="Arial"/>
          <w:sz w:val="20"/>
          <w:lang w:eastAsia="en-US"/>
        </w:rPr>
        <w:t xml:space="preserve"> Sentinel Practitioners Network of Western Australia, SPN</w:t>
      </w:r>
      <w:r w:rsidR="005D0C54" w:rsidRPr="00A02C7D">
        <w:rPr>
          <w:rFonts w:cs="Arial"/>
          <w:sz w:val="20"/>
          <w:lang w:eastAsia="en-US"/>
        </w:rPr>
        <w:t>(</w:t>
      </w:r>
      <w:r w:rsidRPr="00A02C7D">
        <w:rPr>
          <w:rFonts w:cs="Arial"/>
          <w:sz w:val="20"/>
          <w:lang w:eastAsia="en-US"/>
        </w:rPr>
        <w:t>WA</w:t>
      </w:r>
      <w:r w:rsidR="005D0C54" w:rsidRPr="00A02C7D">
        <w:rPr>
          <w:rFonts w:cs="Arial"/>
          <w:sz w:val="20"/>
          <w:lang w:eastAsia="en-US"/>
        </w:rPr>
        <w:t>)</w:t>
      </w:r>
      <w:r w:rsidR="00A02C7D" w:rsidRPr="00A02C7D">
        <w:rPr>
          <w:rFonts w:cs="Arial"/>
          <w:sz w:val="20"/>
          <w:lang w:eastAsia="en-US"/>
        </w:rPr>
        <w:t xml:space="preserve"> which was incorporated into ASPREN in 2016</w:t>
      </w:r>
      <w:r w:rsidRPr="00A02C7D">
        <w:rPr>
          <w:rFonts w:cs="Arial"/>
          <w:sz w:val="20"/>
          <w:lang w:eastAsia="en-US"/>
        </w:rPr>
        <w:t>) and the Victorian Sentinel Practice Influenza Network (</w:t>
      </w:r>
      <w:proofErr w:type="spellStart"/>
      <w:r w:rsidRPr="00A02C7D">
        <w:rPr>
          <w:rFonts w:cs="Arial"/>
          <w:sz w:val="20"/>
          <w:lang w:eastAsia="en-US"/>
        </w:rPr>
        <w:t>VicSPIN</w:t>
      </w:r>
      <w:proofErr w:type="spellEnd"/>
      <w:r w:rsidRPr="00A02C7D">
        <w:rPr>
          <w:rFonts w:cs="Arial"/>
          <w:sz w:val="20"/>
          <w:lang w:eastAsia="en-US"/>
        </w:rPr>
        <w:t>). The national case definition for ILI is presentation with fever, cough and fatigue.</w:t>
      </w:r>
    </w:p>
    <w:p w14:paraId="29E798F6" w14:textId="77777777" w:rsidR="00EB28E2" w:rsidRPr="00905F89" w:rsidRDefault="004E2C06" w:rsidP="004962CA">
      <w:pPr>
        <w:autoSpaceDE w:val="0"/>
        <w:autoSpaceDN w:val="0"/>
        <w:adjustRightInd w:val="0"/>
        <w:spacing w:after="120"/>
        <w:rPr>
          <w:rFonts w:cs="Arial"/>
          <w:sz w:val="20"/>
          <w:lang w:eastAsia="en-US"/>
        </w:rPr>
      </w:pPr>
      <w:r>
        <w:rPr>
          <w:rFonts w:cs="Arial"/>
          <w:sz w:val="20"/>
          <w:lang w:eastAsia="en-US"/>
        </w:rPr>
        <w:t>A</w:t>
      </w:r>
      <w:r w:rsidRPr="004E2C06">
        <w:rPr>
          <w:rFonts w:cs="Arial"/>
          <w:sz w:val="20"/>
          <w:lang w:eastAsia="en-US"/>
        </w:rPr>
        <w:t>SPREN currently has sentinel GPs who report ILI presentation rates in all states and territories</w:t>
      </w:r>
      <w:r w:rsidR="00A923D5">
        <w:rPr>
          <w:rFonts w:cs="Arial"/>
          <w:sz w:val="20"/>
          <w:lang w:eastAsia="en-US"/>
        </w:rPr>
        <w:t xml:space="preserve"> throughout the year</w:t>
      </w:r>
      <w:r w:rsidRPr="004E2C06">
        <w:rPr>
          <w:rFonts w:cs="Arial"/>
          <w:sz w:val="20"/>
          <w:lang w:eastAsia="en-US"/>
        </w:rPr>
        <w:t xml:space="preserve">. Practitioners from Victoria are under-represented in ASPREN as </w:t>
      </w:r>
      <w:r>
        <w:rPr>
          <w:rFonts w:cs="Arial"/>
          <w:sz w:val="20"/>
          <w:lang w:eastAsia="en-US"/>
        </w:rPr>
        <w:t>Victoria</w:t>
      </w:r>
      <w:r w:rsidRPr="004E2C06">
        <w:rPr>
          <w:rFonts w:cs="Arial"/>
          <w:sz w:val="20"/>
          <w:lang w:eastAsia="en-US"/>
        </w:rPr>
        <w:t xml:space="preserve"> administers a j</w:t>
      </w:r>
      <w:r w:rsidR="00AE6177">
        <w:rPr>
          <w:rFonts w:cs="Arial"/>
          <w:sz w:val="20"/>
          <w:lang w:eastAsia="en-US"/>
        </w:rPr>
        <w:t xml:space="preserve">urisdictionally-focused system, </w:t>
      </w:r>
      <w:proofErr w:type="spellStart"/>
      <w:r w:rsidRPr="004E2C06">
        <w:rPr>
          <w:rFonts w:cs="Arial"/>
          <w:sz w:val="20"/>
          <w:lang w:eastAsia="en-US"/>
        </w:rPr>
        <w:t>VicSPIN</w:t>
      </w:r>
      <w:proofErr w:type="spellEnd"/>
      <w:r w:rsidRPr="004E2C06">
        <w:rPr>
          <w:rFonts w:cs="Arial"/>
          <w:sz w:val="20"/>
          <w:lang w:eastAsia="en-US"/>
        </w:rPr>
        <w:t xml:space="preserve">. </w:t>
      </w:r>
      <w:r w:rsidR="00A923D5" w:rsidRPr="00A923D5">
        <w:rPr>
          <w:rFonts w:cs="Arial"/>
          <w:sz w:val="20"/>
          <w:lang w:eastAsia="en-US"/>
        </w:rPr>
        <w:t>Aggregated d</w:t>
      </w:r>
      <w:r w:rsidRPr="00A923D5">
        <w:rPr>
          <w:rFonts w:cs="Arial"/>
          <w:sz w:val="20"/>
          <w:lang w:eastAsia="en-US"/>
        </w:rPr>
        <w:t xml:space="preserve">ata from </w:t>
      </w:r>
      <w:proofErr w:type="spellStart"/>
      <w:r w:rsidRPr="00A923D5">
        <w:rPr>
          <w:rFonts w:cs="Arial"/>
          <w:sz w:val="20"/>
          <w:lang w:eastAsia="en-US"/>
        </w:rPr>
        <w:t>VicSPIN</w:t>
      </w:r>
      <w:proofErr w:type="spellEnd"/>
      <w:r w:rsidRPr="00A923D5">
        <w:rPr>
          <w:rFonts w:cs="Arial"/>
          <w:sz w:val="20"/>
          <w:lang w:eastAsia="en-US"/>
        </w:rPr>
        <w:t xml:space="preserve"> is </w:t>
      </w:r>
      <w:r w:rsidR="00A923D5" w:rsidRPr="00A923D5">
        <w:rPr>
          <w:rFonts w:cs="Arial"/>
          <w:sz w:val="20"/>
          <w:lang w:eastAsia="en-US"/>
        </w:rPr>
        <w:t xml:space="preserve">collated with </w:t>
      </w:r>
      <w:r w:rsidRPr="00A923D5">
        <w:rPr>
          <w:rFonts w:cs="Arial"/>
          <w:sz w:val="20"/>
          <w:lang w:eastAsia="en-US"/>
        </w:rPr>
        <w:t>ASPREN</w:t>
      </w:r>
      <w:r w:rsidR="00A923D5" w:rsidRPr="00A923D5">
        <w:rPr>
          <w:rFonts w:cs="Arial"/>
          <w:sz w:val="20"/>
          <w:lang w:eastAsia="en-US"/>
        </w:rPr>
        <w:t xml:space="preserve"> data</w:t>
      </w:r>
      <w:r w:rsidR="00A923D5">
        <w:rPr>
          <w:rFonts w:cs="Arial"/>
          <w:sz w:val="20"/>
          <w:lang w:eastAsia="en-US"/>
        </w:rPr>
        <w:t xml:space="preserve"> as it is available</w:t>
      </w:r>
      <w:r w:rsidR="00905F89">
        <w:rPr>
          <w:rFonts w:cs="Arial"/>
          <w:sz w:val="20"/>
          <w:lang w:eastAsia="en-US"/>
        </w:rPr>
        <w:t xml:space="preserve"> week to week</w:t>
      </w:r>
      <w:r w:rsidRPr="004E2C06">
        <w:rPr>
          <w:rFonts w:cs="Arial"/>
          <w:sz w:val="20"/>
          <w:lang w:eastAsia="en-US"/>
        </w:rPr>
        <w:t>.</w:t>
      </w:r>
      <w:r w:rsidR="00EB28E2" w:rsidRPr="00335309">
        <w:rPr>
          <w:rFonts w:cs="Arial"/>
          <w:sz w:val="20"/>
          <w:lang w:eastAsia="en-US"/>
        </w:rPr>
        <w:t xml:space="preserve"> </w:t>
      </w:r>
      <w:r w:rsidR="004962CA">
        <w:rPr>
          <w:rFonts w:cs="Arial"/>
          <w:sz w:val="20"/>
          <w:lang w:eastAsia="en-US"/>
        </w:rPr>
        <w:t xml:space="preserve">While ASPREN operates year-round, </w:t>
      </w:r>
      <w:proofErr w:type="spellStart"/>
      <w:r w:rsidR="00EB28E2" w:rsidRPr="00335309">
        <w:rPr>
          <w:rFonts w:cs="Arial"/>
          <w:sz w:val="20"/>
          <w:lang w:eastAsia="en-US"/>
        </w:rPr>
        <w:t>VicSPIN</w:t>
      </w:r>
      <w:proofErr w:type="spellEnd"/>
      <w:r w:rsidR="00EB28E2" w:rsidRPr="00335309">
        <w:rPr>
          <w:rFonts w:cs="Arial"/>
          <w:sz w:val="20"/>
          <w:lang w:eastAsia="en-US"/>
        </w:rPr>
        <w:t xml:space="preserve"> operates</w:t>
      </w:r>
      <w:r w:rsidR="004962CA">
        <w:rPr>
          <w:rFonts w:cs="Arial"/>
          <w:sz w:val="20"/>
          <w:lang w:eastAsia="en-US"/>
        </w:rPr>
        <w:t xml:space="preserve"> during the period from week 18 to week 44</w:t>
      </w:r>
      <w:r w:rsidR="00EB28E2" w:rsidRPr="00335309">
        <w:rPr>
          <w:rFonts w:cs="Arial"/>
          <w:sz w:val="20"/>
          <w:lang w:eastAsia="en-US"/>
        </w:rPr>
        <w:t xml:space="preserve">. As jurisdictions joined ASPREN at different times and the number of GPs reporting has changed over time, the </w:t>
      </w:r>
      <w:r w:rsidR="00EB28E2" w:rsidRPr="00905F89">
        <w:rPr>
          <w:rFonts w:cs="Arial"/>
          <w:sz w:val="20"/>
          <w:lang w:eastAsia="en-US"/>
        </w:rPr>
        <w:t xml:space="preserve">representativeness of sentinel general practice ILI surveillance data in </w:t>
      </w:r>
      <w:r w:rsidR="00AE6177">
        <w:rPr>
          <w:rFonts w:cs="Arial"/>
          <w:sz w:val="20"/>
          <w:lang w:eastAsia="en-US"/>
        </w:rPr>
        <w:t xml:space="preserve">2018 </w:t>
      </w:r>
      <w:r w:rsidR="00EB28E2" w:rsidRPr="00905F89">
        <w:rPr>
          <w:rFonts w:cs="Arial"/>
          <w:sz w:val="20"/>
          <w:lang w:eastAsia="en-US"/>
        </w:rPr>
        <w:t>may be different from that of previous years.</w:t>
      </w:r>
    </w:p>
    <w:p w14:paraId="34E3D642" w14:textId="77777777" w:rsidR="004850E0" w:rsidRDefault="00335309" w:rsidP="00EB28E2">
      <w:pPr>
        <w:autoSpaceDE w:val="0"/>
        <w:autoSpaceDN w:val="0"/>
        <w:adjustRightInd w:val="0"/>
        <w:spacing w:after="120"/>
        <w:rPr>
          <w:rFonts w:cs="Arial"/>
          <w:sz w:val="20"/>
          <w:lang w:eastAsia="en-US"/>
        </w:rPr>
      </w:pPr>
      <w:r w:rsidRPr="00905F89">
        <w:rPr>
          <w:rFonts w:cs="Arial"/>
          <w:sz w:val="20"/>
          <w:lang w:eastAsia="en-US"/>
        </w:rPr>
        <w:t>For the 201</w:t>
      </w:r>
      <w:r w:rsidR="007328FF">
        <w:rPr>
          <w:rFonts w:cs="Arial"/>
          <w:sz w:val="20"/>
          <w:lang w:eastAsia="en-US"/>
        </w:rPr>
        <w:t>8</w:t>
      </w:r>
      <w:r w:rsidRPr="00905F89">
        <w:rPr>
          <w:rFonts w:cs="Arial"/>
          <w:sz w:val="20"/>
          <w:lang w:eastAsia="en-US"/>
        </w:rPr>
        <w:t xml:space="preserve"> calendar year, </w:t>
      </w:r>
      <w:r w:rsidR="004850E0">
        <w:rPr>
          <w:rFonts w:cs="Arial"/>
          <w:sz w:val="20"/>
          <w:lang w:eastAsia="en-US"/>
        </w:rPr>
        <w:t>ASPREN sentinel GPs will swab patients presenting with ILI according to the following protocol, whi</w:t>
      </w:r>
      <w:r w:rsidR="000A7AE3">
        <w:rPr>
          <w:rFonts w:cs="Arial"/>
          <w:sz w:val="20"/>
          <w:lang w:eastAsia="en-US"/>
        </w:rPr>
        <w:t xml:space="preserve">lst not exceeding a cap of 2800 </w:t>
      </w:r>
      <w:r w:rsidR="004850E0">
        <w:rPr>
          <w:rFonts w:cs="Arial"/>
          <w:sz w:val="20"/>
          <w:lang w:eastAsia="en-US"/>
        </w:rPr>
        <w:t>swab tests:</w:t>
      </w:r>
    </w:p>
    <w:p w14:paraId="239F60FE" w14:textId="77777777" w:rsidR="004850E0" w:rsidRDefault="004850E0" w:rsidP="004850E0">
      <w:pPr>
        <w:pStyle w:val="ListParagraph"/>
        <w:numPr>
          <w:ilvl w:val="0"/>
          <w:numId w:val="41"/>
        </w:numPr>
        <w:autoSpaceDE w:val="0"/>
        <w:autoSpaceDN w:val="0"/>
        <w:adjustRightInd w:val="0"/>
        <w:spacing w:after="120"/>
        <w:rPr>
          <w:rFonts w:cs="Arial"/>
          <w:sz w:val="20"/>
          <w:lang w:eastAsia="en-US"/>
        </w:rPr>
      </w:pPr>
      <w:r>
        <w:rPr>
          <w:rFonts w:cs="Arial"/>
          <w:sz w:val="20"/>
          <w:lang w:eastAsia="en-US"/>
        </w:rPr>
        <w:t>swabbing all consenting patients with ILI aged 65 years and older; and</w:t>
      </w:r>
    </w:p>
    <w:p w14:paraId="3458C0E6" w14:textId="77777777" w:rsidR="004850E0" w:rsidRDefault="004850E0" w:rsidP="004850E0">
      <w:pPr>
        <w:pStyle w:val="ListParagraph"/>
        <w:numPr>
          <w:ilvl w:val="0"/>
          <w:numId w:val="41"/>
        </w:numPr>
        <w:autoSpaceDE w:val="0"/>
        <w:autoSpaceDN w:val="0"/>
        <w:adjustRightInd w:val="0"/>
        <w:spacing w:after="120"/>
        <w:rPr>
          <w:rFonts w:cs="Arial"/>
          <w:sz w:val="20"/>
          <w:lang w:eastAsia="en-US"/>
        </w:rPr>
      </w:pPr>
      <w:r>
        <w:rPr>
          <w:rFonts w:cs="Arial"/>
          <w:sz w:val="20"/>
          <w:lang w:eastAsia="en-US"/>
        </w:rPr>
        <w:t xml:space="preserve">a systematic sample of the first three ILI patients aged less than 65 years during the influenza season, and the first ILI patient aged less than 65 years in the off-season. </w:t>
      </w:r>
    </w:p>
    <w:p w14:paraId="4BECFC1D" w14:textId="77777777" w:rsidR="00EB28E2" w:rsidRPr="004850E0" w:rsidRDefault="004850E0" w:rsidP="004850E0">
      <w:pPr>
        <w:autoSpaceDE w:val="0"/>
        <w:autoSpaceDN w:val="0"/>
        <w:adjustRightInd w:val="0"/>
        <w:spacing w:after="120"/>
        <w:rPr>
          <w:rFonts w:cs="Arial"/>
          <w:sz w:val="20"/>
          <w:lang w:eastAsia="en-US"/>
        </w:rPr>
      </w:pPr>
      <w:r>
        <w:rPr>
          <w:rFonts w:cs="Arial"/>
          <w:sz w:val="20"/>
          <w:lang w:eastAsia="en-US"/>
        </w:rPr>
        <w:t xml:space="preserve">This </w:t>
      </w:r>
      <w:r w:rsidR="000A7AE3">
        <w:rPr>
          <w:rFonts w:cs="Arial"/>
          <w:sz w:val="20"/>
          <w:lang w:eastAsia="en-US"/>
        </w:rPr>
        <w:t xml:space="preserve">is </w:t>
      </w:r>
      <w:r>
        <w:rPr>
          <w:rFonts w:cs="Arial"/>
          <w:sz w:val="20"/>
          <w:lang w:eastAsia="en-US"/>
        </w:rPr>
        <w:t>compared to</w:t>
      </w:r>
      <w:r w:rsidRPr="004850E0">
        <w:rPr>
          <w:rFonts w:cs="Arial"/>
          <w:sz w:val="20"/>
          <w:lang w:eastAsia="en-US"/>
        </w:rPr>
        <w:t xml:space="preserve"> </w:t>
      </w:r>
      <w:r w:rsidR="000A7AE3">
        <w:rPr>
          <w:rFonts w:cs="Arial"/>
          <w:sz w:val="20"/>
          <w:lang w:eastAsia="en-US"/>
        </w:rPr>
        <w:t>a 37%</w:t>
      </w:r>
      <w:r w:rsidR="00EB28E2" w:rsidRPr="004850E0">
        <w:rPr>
          <w:rFonts w:cs="Arial"/>
          <w:sz w:val="20"/>
          <w:lang w:eastAsia="en-US"/>
        </w:rPr>
        <w:t xml:space="preserve"> </w:t>
      </w:r>
      <w:r w:rsidR="000A7AE3">
        <w:rPr>
          <w:rFonts w:cs="Arial"/>
          <w:sz w:val="20"/>
          <w:lang w:eastAsia="en-US"/>
        </w:rPr>
        <w:t xml:space="preserve">swab testing rate </w:t>
      </w:r>
      <w:r w:rsidR="00EB28E2" w:rsidRPr="004850E0">
        <w:rPr>
          <w:rFonts w:cs="Arial"/>
          <w:sz w:val="20"/>
          <w:lang w:eastAsia="en-US"/>
        </w:rPr>
        <w:t xml:space="preserve">of </w:t>
      </w:r>
      <w:r w:rsidR="00EB28E2" w:rsidRPr="000A7AE3">
        <w:rPr>
          <w:rFonts w:cs="Arial"/>
          <w:sz w:val="20"/>
          <w:u w:val="single"/>
          <w:lang w:eastAsia="en-US"/>
        </w:rPr>
        <w:t>all</w:t>
      </w:r>
      <w:r w:rsidR="00EB28E2" w:rsidRPr="004850E0">
        <w:rPr>
          <w:rFonts w:cs="Arial"/>
          <w:sz w:val="20"/>
          <w:lang w:eastAsia="en-US"/>
        </w:rPr>
        <w:t xml:space="preserve"> ILI patients presenting to ASPREN sentinel GPs </w:t>
      </w:r>
      <w:r>
        <w:rPr>
          <w:rFonts w:cs="Arial"/>
          <w:sz w:val="20"/>
          <w:lang w:eastAsia="en-US"/>
        </w:rPr>
        <w:t>in 2017</w:t>
      </w:r>
      <w:r w:rsidR="000A7AE3">
        <w:rPr>
          <w:rFonts w:cs="Arial"/>
          <w:sz w:val="20"/>
          <w:lang w:eastAsia="en-US"/>
        </w:rPr>
        <w:t>.</w:t>
      </w:r>
      <w:r w:rsidR="00EB28E2" w:rsidRPr="004850E0">
        <w:rPr>
          <w:rFonts w:cs="Arial"/>
          <w:sz w:val="20"/>
          <w:lang w:eastAsia="en-US"/>
        </w:rPr>
        <w:t xml:space="preserve"> Samples are tested for a range of respiratory viruses including influenza A, influenza B, rhinovirus, respiratory syncytial virus, parainfluenza, adenovirus, human metapneumovirus, </w:t>
      </w:r>
      <w:r w:rsidR="00EB28E2" w:rsidRPr="004850E0">
        <w:rPr>
          <w:rFonts w:cs="Arial"/>
          <w:i/>
          <w:sz w:val="20"/>
          <w:lang w:eastAsia="en-US"/>
        </w:rPr>
        <w:t>Mycoplasma pneumonia</w:t>
      </w:r>
      <w:r w:rsidR="00EB28E2" w:rsidRPr="004850E0">
        <w:rPr>
          <w:rFonts w:cs="Arial"/>
          <w:sz w:val="20"/>
          <w:lang w:eastAsia="en-US"/>
        </w:rPr>
        <w:t xml:space="preserve"> and </w:t>
      </w:r>
      <w:r w:rsidR="00EB28E2" w:rsidRPr="004850E0">
        <w:rPr>
          <w:rFonts w:cs="Arial"/>
          <w:i/>
          <w:sz w:val="20"/>
          <w:lang w:eastAsia="en-US"/>
        </w:rPr>
        <w:t>Bordetella pertussis</w:t>
      </w:r>
      <w:r w:rsidR="00EB28E2" w:rsidRPr="004850E0">
        <w:rPr>
          <w:rFonts w:cs="Arial"/>
          <w:sz w:val="20"/>
          <w:lang w:eastAsia="en-US"/>
        </w:rPr>
        <w:t xml:space="preserve">. </w:t>
      </w:r>
    </w:p>
    <w:p w14:paraId="5D90C617" w14:textId="77777777" w:rsidR="00EB28E2" w:rsidRDefault="00EB28E2" w:rsidP="003A7D03">
      <w:pPr>
        <w:autoSpaceDE w:val="0"/>
        <w:autoSpaceDN w:val="0"/>
        <w:adjustRightInd w:val="0"/>
        <w:spacing w:after="120"/>
        <w:rPr>
          <w:rFonts w:cs="Arial"/>
          <w:sz w:val="20"/>
          <w:lang w:eastAsia="en-US"/>
        </w:rPr>
      </w:pPr>
      <w:r w:rsidRPr="00335309">
        <w:rPr>
          <w:rFonts w:cs="Arial"/>
          <w:sz w:val="20"/>
          <w:lang w:eastAsia="en-US"/>
        </w:rPr>
        <w:t xml:space="preserve">Further information on ASPREN is available at the </w:t>
      </w:r>
      <w:hyperlink r:id="rId13" w:history="1">
        <w:r w:rsidRPr="00335309">
          <w:rPr>
            <w:rStyle w:val="Hyperlink"/>
            <w:rFonts w:cs="Arial"/>
            <w:sz w:val="20"/>
            <w:lang w:eastAsia="en-US"/>
          </w:rPr>
          <w:t>ASPREN website</w:t>
        </w:r>
      </w:hyperlink>
      <w:r w:rsidRPr="00335309">
        <w:rPr>
          <w:rFonts w:cs="Arial"/>
          <w:sz w:val="20"/>
          <w:lang w:eastAsia="en-US"/>
        </w:rPr>
        <w:t xml:space="preserve"> (www.dmac.adelaide.edu.au/aspren) and information regarding the VIDRL coordinated sentinel GP ILI surveillance program is available at from the </w:t>
      </w:r>
      <w:hyperlink r:id="rId14" w:history="1">
        <w:r w:rsidRPr="00335309">
          <w:rPr>
            <w:rStyle w:val="Hyperlink"/>
            <w:rFonts w:cs="Arial"/>
            <w:sz w:val="20"/>
            <w:lang w:eastAsia="en-US"/>
          </w:rPr>
          <w:t>VIDRL website</w:t>
        </w:r>
      </w:hyperlink>
      <w:r w:rsidRPr="00335309">
        <w:rPr>
          <w:rFonts w:cs="Arial"/>
          <w:sz w:val="20"/>
          <w:lang w:eastAsia="en-US"/>
        </w:rPr>
        <w:t xml:space="preserve"> (</w:t>
      </w:r>
      <w:r w:rsidR="00905F89" w:rsidRPr="00937E3C">
        <w:rPr>
          <w:rFonts w:cs="Arial"/>
          <w:sz w:val="20"/>
          <w:lang w:eastAsia="en-US"/>
        </w:rPr>
        <w:t>www.victorianflusurveillance.com.au</w:t>
      </w:r>
      <w:r w:rsidRPr="00335309">
        <w:rPr>
          <w:rFonts w:cs="Arial"/>
          <w:sz w:val="20"/>
          <w:lang w:eastAsia="en-US"/>
        </w:rPr>
        <w:t>).</w:t>
      </w:r>
    </w:p>
    <w:p w14:paraId="160C4D3B" w14:textId="77777777" w:rsidR="00905F89" w:rsidRDefault="00905F89" w:rsidP="003A7D03">
      <w:pPr>
        <w:autoSpaceDE w:val="0"/>
        <w:autoSpaceDN w:val="0"/>
        <w:adjustRightInd w:val="0"/>
        <w:spacing w:after="120"/>
        <w:rPr>
          <w:rFonts w:cs="Arial"/>
          <w:sz w:val="20"/>
          <w:lang w:eastAsia="en-US"/>
        </w:rPr>
      </w:pPr>
    </w:p>
    <w:p w14:paraId="70FB80FC" w14:textId="77777777" w:rsidR="00905F89" w:rsidRPr="00335309" w:rsidRDefault="00905F89" w:rsidP="003A7D03">
      <w:pPr>
        <w:autoSpaceDE w:val="0"/>
        <w:autoSpaceDN w:val="0"/>
        <w:adjustRightInd w:val="0"/>
        <w:spacing w:after="120"/>
        <w:rPr>
          <w:rFonts w:cs="Arial"/>
          <w:sz w:val="20"/>
          <w:lang w:eastAsia="en-US"/>
        </w:rPr>
      </w:pPr>
    </w:p>
    <w:p w14:paraId="7B90385B" w14:textId="77777777" w:rsidR="0012188D" w:rsidRPr="00335309" w:rsidRDefault="0012188D" w:rsidP="0012188D">
      <w:pPr>
        <w:pStyle w:val="Heading2"/>
      </w:pPr>
      <w:r w:rsidRPr="00335309">
        <w:t>4. Hospitalisations</w:t>
      </w:r>
    </w:p>
    <w:p w14:paraId="66CF0227" w14:textId="77777777" w:rsidR="0012188D" w:rsidRPr="00335309" w:rsidRDefault="0012188D" w:rsidP="0012188D">
      <w:pPr>
        <w:rPr>
          <w:sz w:val="2"/>
          <w:szCs w:val="2"/>
        </w:rPr>
      </w:pPr>
    </w:p>
    <w:p w14:paraId="2E927F31" w14:textId="77777777" w:rsidR="0012188D" w:rsidRPr="00335309" w:rsidRDefault="0012188D" w:rsidP="0012188D">
      <w:pPr>
        <w:pStyle w:val="Heading3"/>
      </w:pPr>
      <w:r w:rsidRPr="00335309">
        <w:t>Sentinel Hospital Surveillance</w:t>
      </w:r>
    </w:p>
    <w:p w14:paraId="4526394A" w14:textId="77777777" w:rsidR="003A7D03" w:rsidRPr="00335309" w:rsidRDefault="003A7D03" w:rsidP="003A7D03">
      <w:pPr>
        <w:autoSpaceDE w:val="0"/>
        <w:autoSpaceDN w:val="0"/>
        <w:adjustRightInd w:val="0"/>
        <w:rPr>
          <w:rFonts w:cs="Arial"/>
          <w:sz w:val="20"/>
          <w:lang w:eastAsia="en-US"/>
        </w:rPr>
      </w:pPr>
      <w:r w:rsidRPr="00335309">
        <w:rPr>
          <w:rFonts w:cs="Arial"/>
          <w:sz w:val="20"/>
          <w:lang w:eastAsia="en-US"/>
        </w:rPr>
        <w:t>The Influenza Complications Alert Network (</w:t>
      </w:r>
      <w:proofErr w:type="spellStart"/>
      <w:r w:rsidRPr="00335309">
        <w:rPr>
          <w:rFonts w:cs="Arial"/>
          <w:sz w:val="20"/>
          <w:lang w:eastAsia="en-US"/>
        </w:rPr>
        <w:t>FluCAN</w:t>
      </w:r>
      <w:proofErr w:type="spellEnd"/>
      <w:r w:rsidRPr="00335309">
        <w:rPr>
          <w:rFonts w:cs="Arial"/>
          <w:sz w:val="20"/>
          <w:lang w:eastAsia="en-US"/>
        </w:rPr>
        <w:t>) sentinel hospital system monitors influenza hospitalisations at the following sites:</w:t>
      </w:r>
    </w:p>
    <w:p w14:paraId="6670B874" w14:textId="77777777" w:rsidR="003A7D03" w:rsidRPr="00335309" w:rsidRDefault="003A7D03" w:rsidP="003A7D03">
      <w:pPr>
        <w:numPr>
          <w:ilvl w:val="0"/>
          <w:numId w:val="17"/>
        </w:numPr>
        <w:autoSpaceDE w:val="0"/>
        <w:autoSpaceDN w:val="0"/>
        <w:adjustRightInd w:val="0"/>
        <w:rPr>
          <w:rFonts w:cs="Arial"/>
          <w:sz w:val="20"/>
          <w:lang w:eastAsia="en-US"/>
        </w:rPr>
      </w:pPr>
      <w:r w:rsidRPr="00335309">
        <w:rPr>
          <w:rFonts w:cs="Arial"/>
          <w:sz w:val="20"/>
          <w:lang w:eastAsia="en-US"/>
        </w:rPr>
        <w:t>Australian Capital Territory – the Canberra Hospital and Calvary Hospital;</w:t>
      </w:r>
    </w:p>
    <w:p w14:paraId="0D611B8D" w14:textId="77777777" w:rsidR="003A7D03" w:rsidRPr="00905F89" w:rsidRDefault="003A7D03" w:rsidP="003A7D03">
      <w:pPr>
        <w:numPr>
          <w:ilvl w:val="0"/>
          <w:numId w:val="17"/>
        </w:numPr>
        <w:autoSpaceDE w:val="0"/>
        <w:autoSpaceDN w:val="0"/>
        <w:adjustRightInd w:val="0"/>
        <w:rPr>
          <w:rFonts w:cs="Arial"/>
          <w:sz w:val="20"/>
          <w:lang w:eastAsia="en-US"/>
        </w:rPr>
      </w:pPr>
      <w:r w:rsidRPr="00905F89">
        <w:rPr>
          <w:rFonts w:cs="Arial"/>
          <w:sz w:val="20"/>
          <w:lang w:eastAsia="en-US"/>
        </w:rPr>
        <w:t>New South Wales – John Hunter Hospital, Westmead Hospital and Children’s Hospital at Westmead*;</w:t>
      </w:r>
    </w:p>
    <w:p w14:paraId="616AA8CB" w14:textId="77777777" w:rsidR="003A7D03" w:rsidRPr="00905F89" w:rsidRDefault="003A7D03" w:rsidP="003A7D03">
      <w:pPr>
        <w:numPr>
          <w:ilvl w:val="0"/>
          <w:numId w:val="17"/>
        </w:numPr>
        <w:autoSpaceDE w:val="0"/>
        <w:autoSpaceDN w:val="0"/>
        <w:adjustRightInd w:val="0"/>
        <w:rPr>
          <w:rFonts w:cs="Arial"/>
          <w:sz w:val="20"/>
          <w:lang w:eastAsia="en-US"/>
        </w:rPr>
      </w:pPr>
      <w:r w:rsidRPr="00905F89">
        <w:rPr>
          <w:rFonts w:cs="Arial"/>
          <w:sz w:val="20"/>
          <w:lang w:eastAsia="en-US"/>
        </w:rPr>
        <w:t>Northern Territory – Alice Springs Hospital</w:t>
      </w:r>
      <w:r w:rsidR="00335309" w:rsidRPr="00905F89">
        <w:rPr>
          <w:rFonts w:cs="Arial"/>
          <w:sz w:val="20"/>
          <w:lang w:eastAsia="en-US"/>
        </w:rPr>
        <w:t xml:space="preserve"> and Royal Darwin Hospital*</w:t>
      </w:r>
      <w:r w:rsidR="00335309" w:rsidRPr="00905F89">
        <w:rPr>
          <w:rFonts w:cs="Arial"/>
          <w:sz w:val="20"/>
          <w:vertAlign w:val="superscript"/>
          <w:lang w:eastAsia="en-US"/>
        </w:rPr>
        <w:t>#</w:t>
      </w:r>
      <w:r w:rsidR="00335309" w:rsidRPr="00905F89">
        <w:rPr>
          <w:rFonts w:cs="Arial"/>
          <w:sz w:val="20"/>
          <w:lang w:eastAsia="en-US"/>
        </w:rPr>
        <w:t>;</w:t>
      </w:r>
    </w:p>
    <w:p w14:paraId="53DA52E7" w14:textId="77777777" w:rsidR="003A7D03" w:rsidRPr="00905F89" w:rsidRDefault="003A7D03" w:rsidP="003A7D03">
      <w:pPr>
        <w:numPr>
          <w:ilvl w:val="0"/>
          <w:numId w:val="17"/>
        </w:numPr>
        <w:autoSpaceDE w:val="0"/>
        <w:autoSpaceDN w:val="0"/>
        <w:adjustRightInd w:val="0"/>
        <w:rPr>
          <w:rFonts w:cs="Arial"/>
          <w:sz w:val="20"/>
          <w:lang w:eastAsia="en-US"/>
        </w:rPr>
      </w:pPr>
      <w:r w:rsidRPr="00905F89">
        <w:rPr>
          <w:rFonts w:cs="Arial"/>
          <w:sz w:val="20"/>
          <w:lang w:eastAsia="en-US"/>
        </w:rPr>
        <w:t>Queensland – the Mater Hospital, Princess Alexandra Hospital</w:t>
      </w:r>
      <w:r w:rsidR="00335309" w:rsidRPr="00905F89">
        <w:rPr>
          <w:rFonts w:cs="Arial"/>
          <w:sz w:val="20"/>
          <w:lang w:eastAsia="en-US"/>
        </w:rPr>
        <w:t xml:space="preserve">, </w:t>
      </w:r>
      <w:r w:rsidRPr="00905F89">
        <w:rPr>
          <w:rFonts w:cs="Arial"/>
          <w:sz w:val="20"/>
          <w:lang w:eastAsia="en-US"/>
        </w:rPr>
        <w:t>Cairns Base Hospital</w:t>
      </w:r>
      <w:r w:rsidR="00335309" w:rsidRPr="00905F89">
        <w:rPr>
          <w:rFonts w:cs="Arial"/>
          <w:sz w:val="20"/>
          <w:lang w:eastAsia="en-US"/>
        </w:rPr>
        <w:t xml:space="preserve"> and </w:t>
      </w:r>
      <w:r w:rsidR="00A0769F" w:rsidRPr="00905F89">
        <w:rPr>
          <w:rFonts w:cs="Arial"/>
          <w:sz w:val="20"/>
          <w:lang w:eastAsia="en-US"/>
        </w:rPr>
        <w:t>Lady Cilento Children’s Hospital</w:t>
      </w:r>
      <w:r w:rsidR="00335309" w:rsidRPr="00905F89">
        <w:rPr>
          <w:rFonts w:cs="Arial"/>
          <w:sz w:val="20"/>
          <w:lang w:eastAsia="en-US"/>
        </w:rPr>
        <w:t>*</w:t>
      </w:r>
      <w:r w:rsidR="00335309" w:rsidRPr="00905F89">
        <w:rPr>
          <w:rFonts w:cs="Arial"/>
          <w:sz w:val="20"/>
          <w:vertAlign w:val="superscript"/>
          <w:lang w:eastAsia="en-US"/>
        </w:rPr>
        <w:t>#</w:t>
      </w:r>
      <w:r w:rsidRPr="00905F89">
        <w:rPr>
          <w:rFonts w:cs="Arial"/>
          <w:sz w:val="20"/>
          <w:lang w:eastAsia="en-US"/>
        </w:rPr>
        <w:t>;</w:t>
      </w:r>
    </w:p>
    <w:p w14:paraId="79AB5BFB" w14:textId="77777777" w:rsidR="003A7D03" w:rsidRPr="00905F89" w:rsidRDefault="003A7D03" w:rsidP="003A7D03">
      <w:pPr>
        <w:numPr>
          <w:ilvl w:val="0"/>
          <w:numId w:val="17"/>
        </w:numPr>
        <w:autoSpaceDE w:val="0"/>
        <w:autoSpaceDN w:val="0"/>
        <w:adjustRightInd w:val="0"/>
        <w:rPr>
          <w:rFonts w:cs="Arial"/>
          <w:sz w:val="20"/>
          <w:lang w:eastAsia="en-US"/>
        </w:rPr>
      </w:pPr>
      <w:r w:rsidRPr="00905F89">
        <w:rPr>
          <w:rFonts w:cs="Arial"/>
          <w:sz w:val="20"/>
          <w:lang w:eastAsia="en-US"/>
        </w:rPr>
        <w:t>South Australia – Royal Adelaide Hospital</w:t>
      </w:r>
      <w:r w:rsidR="00A0769F" w:rsidRPr="00905F89">
        <w:rPr>
          <w:rFonts w:cs="Arial"/>
          <w:sz w:val="20"/>
          <w:lang w:eastAsia="en-US"/>
        </w:rPr>
        <w:t xml:space="preserve"> and Women and Children’s Hospital Adelaide</w:t>
      </w:r>
      <w:r w:rsidR="00A0769F" w:rsidRPr="00905F89">
        <w:rPr>
          <w:rFonts w:cs="Arial"/>
          <w:sz w:val="20"/>
          <w:vertAlign w:val="superscript"/>
          <w:lang w:eastAsia="en-US"/>
        </w:rPr>
        <w:t>*#</w:t>
      </w:r>
      <w:r w:rsidRPr="00905F89">
        <w:rPr>
          <w:rFonts w:cs="Arial"/>
          <w:sz w:val="20"/>
          <w:lang w:eastAsia="en-US"/>
        </w:rPr>
        <w:t>;</w:t>
      </w:r>
    </w:p>
    <w:p w14:paraId="3DF493E3" w14:textId="77777777" w:rsidR="003A7D03" w:rsidRPr="00905F89" w:rsidRDefault="003A7D03" w:rsidP="003A7D03">
      <w:pPr>
        <w:numPr>
          <w:ilvl w:val="0"/>
          <w:numId w:val="17"/>
        </w:numPr>
        <w:autoSpaceDE w:val="0"/>
        <w:autoSpaceDN w:val="0"/>
        <w:adjustRightInd w:val="0"/>
        <w:rPr>
          <w:rFonts w:cs="Arial"/>
          <w:sz w:val="20"/>
          <w:lang w:eastAsia="en-US"/>
        </w:rPr>
      </w:pPr>
      <w:r w:rsidRPr="00905F89">
        <w:rPr>
          <w:rFonts w:cs="Arial"/>
          <w:sz w:val="20"/>
          <w:lang w:eastAsia="en-US"/>
        </w:rPr>
        <w:t>Tasmania – Royal Hobart Hospital;</w:t>
      </w:r>
    </w:p>
    <w:p w14:paraId="6ADA2DED" w14:textId="77777777" w:rsidR="003A7D03" w:rsidRPr="00905F89" w:rsidRDefault="003A7D03" w:rsidP="003A7D03">
      <w:pPr>
        <w:numPr>
          <w:ilvl w:val="0"/>
          <w:numId w:val="17"/>
        </w:numPr>
        <w:autoSpaceDE w:val="0"/>
        <w:autoSpaceDN w:val="0"/>
        <w:adjustRightInd w:val="0"/>
        <w:rPr>
          <w:rFonts w:cs="Arial"/>
          <w:sz w:val="20"/>
          <w:lang w:eastAsia="en-US"/>
        </w:rPr>
      </w:pPr>
      <w:r w:rsidRPr="00905F89">
        <w:rPr>
          <w:rFonts w:cs="Arial"/>
          <w:sz w:val="20"/>
          <w:lang w:eastAsia="en-US"/>
        </w:rPr>
        <w:t xml:space="preserve">Victoria – Geelong University Hospital, Royal Melbourne Hospital, Monash Medical </w:t>
      </w:r>
      <w:r w:rsidR="00335309" w:rsidRPr="00905F89">
        <w:rPr>
          <w:rFonts w:cs="Arial"/>
          <w:sz w:val="20"/>
          <w:lang w:eastAsia="en-US"/>
        </w:rPr>
        <w:t>Centre, Alfred</w:t>
      </w:r>
      <w:r w:rsidRPr="00905F89">
        <w:rPr>
          <w:rFonts w:cs="Arial"/>
          <w:sz w:val="20"/>
          <w:lang w:eastAsia="en-US"/>
        </w:rPr>
        <w:t xml:space="preserve"> Hospital</w:t>
      </w:r>
      <w:r w:rsidR="00A0769F" w:rsidRPr="00905F89">
        <w:rPr>
          <w:rFonts w:cs="Arial"/>
          <w:sz w:val="20"/>
          <w:lang w:eastAsia="en-US"/>
        </w:rPr>
        <w:t xml:space="preserve"> and</w:t>
      </w:r>
      <w:r w:rsidRPr="00905F89">
        <w:rPr>
          <w:rFonts w:cs="Arial"/>
          <w:sz w:val="20"/>
          <w:lang w:eastAsia="en-US"/>
        </w:rPr>
        <w:t xml:space="preserve"> </w:t>
      </w:r>
      <w:r w:rsidR="00335309" w:rsidRPr="00905F89">
        <w:rPr>
          <w:rFonts w:cs="Arial"/>
          <w:sz w:val="20"/>
          <w:lang w:eastAsia="en-US"/>
        </w:rPr>
        <w:t>Monash Children’s Hospital*</w:t>
      </w:r>
      <w:r w:rsidR="00335309" w:rsidRPr="00905F89">
        <w:rPr>
          <w:rFonts w:cs="Arial"/>
          <w:sz w:val="20"/>
          <w:vertAlign w:val="superscript"/>
          <w:lang w:eastAsia="en-US"/>
        </w:rPr>
        <w:t>#</w:t>
      </w:r>
      <w:r w:rsidR="00335309" w:rsidRPr="00905F89">
        <w:rPr>
          <w:rFonts w:cs="Arial"/>
          <w:sz w:val="20"/>
          <w:lang w:eastAsia="en-US"/>
        </w:rPr>
        <w:t>;</w:t>
      </w:r>
    </w:p>
    <w:p w14:paraId="4F20BB5B" w14:textId="77777777" w:rsidR="003A7D03" w:rsidRPr="00905F89" w:rsidRDefault="003A7D03" w:rsidP="003A7D03">
      <w:pPr>
        <w:numPr>
          <w:ilvl w:val="0"/>
          <w:numId w:val="17"/>
        </w:numPr>
        <w:autoSpaceDE w:val="0"/>
        <w:autoSpaceDN w:val="0"/>
        <w:adjustRightInd w:val="0"/>
        <w:rPr>
          <w:rFonts w:cs="Arial"/>
          <w:sz w:val="20"/>
          <w:lang w:eastAsia="en-US"/>
        </w:rPr>
      </w:pPr>
      <w:r w:rsidRPr="00905F89">
        <w:rPr>
          <w:rFonts w:cs="Arial"/>
          <w:sz w:val="20"/>
          <w:lang w:eastAsia="en-US"/>
        </w:rPr>
        <w:t>Western Australia – Royal Perth Hospital and Princess Margaret Hospital*.</w:t>
      </w:r>
    </w:p>
    <w:p w14:paraId="35C07F61" w14:textId="77777777" w:rsidR="003A7D03" w:rsidRPr="00905F89" w:rsidRDefault="003A7D03" w:rsidP="003A7D03">
      <w:pPr>
        <w:autoSpaceDE w:val="0"/>
        <w:autoSpaceDN w:val="0"/>
        <w:adjustRightInd w:val="0"/>
        <w:rPr>
          <w:rFonts w:cs="Arial"/>
          <w:sz w:val="20"/>
          <w:lang w:eastAsia="en-US"/>
        </w:rPr>
      </w:pPr>
      <w:r w:rsidRPr="00905F89">
        <w:rPr>
          <w:rFonts w:cs="Arial"/>
          <w:sz w:val="20"/>
          <w:lang w:eastAsia="en-US"/>
        </w:rPr>
        <w:t>*=Paediatric hospital site</w:t>
      </w:r>
    </w:p>
    <w:p w14:paraId="34E3869A" w14:textId="77777777" w:rsidR="00335309" w:rsidRPr="00335309" w:rsidRDefault="00335309" w:rsidP="003A7D03">
      <w:pPr>
        <w:autoSpaceDE w:val="0"/>
        <w:autoSpaceDN w:val="0"/>
        <w:adjustRightInd w:val="0"/>
        <w:rPr>
          <w:rFonts w:cs="Arial"/>
          <w:sz w:val="20"/>
          <w:lang w:eastAsia="en-US"/>
        </w:rPr>
      </w:pPr>
      <w:r w:rsidRPr="00AE6177">
        <w:rPr>
          <w:rFonts w:cs="Arial"/>
          <w:sz w:val="20"/>
          <w:vertAlign w:val="superscript"/>
          <w:lang w:eastAsia="en-US"/>
        </w:rPr>
        <w:t>#</w:t>
      </w:r>
      <w:r w:rsidRPr="00AE6177">
        <w:rPr>
          <w:rFonts w:cs="Arial"/>
          <w:sz w:val="20"/>
          <w:vertAlign w:val="subscript"/>
          <w:lang w:eastAsia="en-US"/>
        </w:rPr>
        <w:t xml:space="preserve"> </w:t>
      </w:r>
      <w:r w:rsidRPr="00AE6177">
        <w:rPr>
          <w:rFonts w:cs="Arial"/>
          <w:sz w:val="20"/>
          <w:lang w:eastAsia="en-US"/>
        </w:rPr>
        <w:t xml:space="preserve">= </w:t>
      </w:r>
      <w:r w:rsidR="00AE6177">
        <w:rPr>
          <w:rFonts w:cs="Arial"/>
          <w:sz w:val="20"/>
          <w:lang w:eastAsia="en-US"/>
        </w:rPr>
        <w:t>Additional sentinel sites in 2018</w:t>
      </w:r>
      <w:r w:rsidRPr="00AE6177">
        <w:rPr>
          <w:rFonts w:cs="Arial"/>
          <w:sz w:val="20"/>
          <w:lang w:eastAsia="en-US"/>
        </w:rPr>
        <w:t xml:space="preserve">. </w:t>
      </w:r>
      <w:proofErr w:type="gramStart"/>
      <w:r w:rsidRPr="00AE6177">
        <w:rPr>
          <w:rFonts w:cs="Arial"/>
          <w:sz w:val="20"/>
          <w:lang w:eastAsia="en-US"/>
        </w:rPr>
        <w:t>In order to</w:t>
      </w:r>
      <w:proofErr w:type="gramEnd"/>
      <w:r w:rsidRPr="00AE6177">
        <w:rPr>
          <w:rFonts w:cs="Arial"/>
          <w:sz w:val="20"/>
          <w:lang w:eastAsia="en-US"/>
        </w:rPr>
        <w:t xml:space="preserve"> maintain consistency with previous years data, </w:t>
      </w:r>
      <w:r w:rsidR="004962CA" w:rsidRPr="00AE6177">
        <w:rPr>
          <w:rFonts w:cs="Arial"/>
          <w:sz w:val="20"/>
          <w:lang w:eastAsia="en-US"/>
        </w:rPr>
        <w:t>these</w:t>
      </w:r>
      <w:r w:rsidRPr="00AE6177">
        <w:rPr>
          <w:rFonts w:cs="Arial"/>
          <w:sz w:val="20"/>
          <w:lang w:eastAsia="en-US"/>
        </w:rPr>
        <w:t xml:space="preserve"> data will </w:t>
      </w:r>
      <w:r w:rsidR="00AE6177">
        <w:rPr>
          <w:rFonts w:cs="Arial"/>
          <w:sz w:val="20"/>
          <w:lang w:eastAsia="en-US"/>
        </w:rPr>
        <w:t xml:space="preserve">not </w:t>
      </w:r>
      <w:r w:rsidRPr="00AE6177">
        <w:rPr>
          <w:rFonts w:cs="Arial"/>
          <w:sz w:val="20"/>
          <w:lang w:eastAsia="en-US"/>
        </w:rPr>
        <w:t xml:space="preserve">be included in </w:t>
      </w:r>
      <w:r w:rsidR="00AE6177">
        <w:rPr>
          <w:rFonts w:cs="Arial"/>
          <w:sz w:val="20"/>
          <w:lang w:eastAsia="en-US"/>
        </w:rPr>
        <w:t xml:space="preserve">the routine fortnightly reports. </w:t>
      </w:r>
      <w:r>
        <w:rPr>
          <w:rFonts w:cs="Arial"/>
          <w:sz w:val="20"/>
          <w:lang w:eastAsia="en-US"/>
        </w:rPr>
        <w:t xml:space="preserve"> </w:t>
      </w:r>
    </w:p>
    <w:p w14:paraId="17AF9E09" w14:textId="77777777" w:rsidR="003A7D03" w:rsidRPr="00335309" w:rsidRDefault="003A7D03" w:rsidP="003A7D03">
      <w:pPr>
        <w:autoSpaceDE w:val="0"/>
        <w:autoSpaceDN w:val="0"/>
        <w:adjustRightInd w:val="0"/>
        <w:rPr>
          <w:rFonts w:cs="Arial"/>
          <w:sz w:val="20"/>
          <w:lang w:eastAsia="en-US"/>
        </w:rPr>
      </w:pPr>
      <w:r w:rsidRPr="00335309">
        <w:rPr>
          <w:rFonts w:cs="Arial"/>
          <w:sz w:val="20"/>
          <w:lang w:eastAsia="en-US"/>
        </w:rPr>
        <w:t xml:space="preserve">Influenza counts are based on active surveillance at each site for admissions with PCR-confirmed influenza in adults. Some adjustments may be made in previous periods as test results become available. ICU status is as determined at the time of admission and does not include patients subsequently transferred to ICU. Dates listed as date of admission except for patients where date of test is more than 7 days after admission. </w:t>
      </w:r>
    </w:p>
    <w:p w14:paraId="474E7BD0" w14:textId="77777777" w:rsidR="0012188D" w:rsidRPr="00950360" w:rsidRDefault="0012188D" w:rsidP="0012188D">
      <w:pPr>
        <w:pStyle w:val="Heading3"/>
      </w:pPr>
      <w:r w:rsidRPr="00950360">
        <w:t>Paediatric Severe Complications of Influenza</w:t>
      </w:r>
    </w:p>
    <w:p w14:paraId="28F0AB69" w14:textId="77777777" w:rsidR="00B54CF8" w:rsidRDefault="00950360" w:rsidP="0012188D">
      <w:pPr>
        <w:autoSpaceDE w:val="0"/>
        <w:autoSpaceDN w:val="0"/>
        <w:adjustRightInd w:val="0"/>
        <w:rPr>
          <w:rFonts w:cs="Arial"/>
          <w:sz w:val="20"/>
          <w:lang w:eastAsia="en-US"/>
        </w:rPr>
      </w:pPr>
      <w:r w:rsidRPr="00950360">
        <w:rPr>
          <w:rFonts w:cs="Arial"/>
          <w:sz w:val="20"/>
          <w:lang w:eastAsia="en-US"/>
        </w:rPr>
        <w:t>The Australian Paediatric Surveillance Unit (APSU</w:t>
      </w:r>
      <w:r>
        <w:rPr>
          <w:rFonts w:cs="Arial"/>
          <w:sz w:val="20"/>
          <w:lang w:eastAsia="en-US"/>
        </w:rPr>
        <w:t>) is an acti</w:t>
      </w:r>
      <w:r w:rsidRPr="00950360">
        <w:rPr>
          <w:rFonts w:cs="Arial"/>
          <w:sz w:val="20"/>
          <w:lang w:eastAsia="en-US"/>
        </w:rPr>
        <w:t>ve surveillance mechanism f</w:t>
      </w:r>
      <w:r>
        <w:rPr>
          <w:rFonts w:cs="Arial"/>
          <w:sz w:val="20"/>
          <w:lang w:eastAsia="en-US"/>
        </w:rPr>
        <w:t>o</w:t>
      </w:r>
      <w:r w:rsidRPr="00950360">
        <w:rPr>
          <w:rFonts w:cs="Arial"/>
          <w:sz w:val="20"/>
          <w:lang w:eastAsia="en-US"/>
        </w:rPr>
        <w:t>r prospective, national identification and study of childre</w:t>
      </w:r>
      <w:r>
        <w:rPr>
          <w:rFonts w:cs="Arial"/>
          <w:sz w:val="20"/>
          <w:lang w:eastAsia="en-US"/>
        </w:rPr>
        <w:t>n less</w:t>
      </w:r>
      <w:r w:rsidRPr="00950360">
        <w:rPr>
          <w:rFonts w:cs="Arial"/>
          <w:sz w:val="20"/>
          <w:lang w:eastAsia="en-US"/>
        </w:rPr>
        <w:t xml:space="preserve"> than 15 years of age newly diagnosed with uncommon conditions. </w:t>
      </w:r>
      <w:r w:rsidR="004962CA">
        <w:rPr>
          <w:rFonts w:cs="Arial"/>
          <w:sz w:val="20"/>
          <w:lang w:eastAsia="en-US"/>
        </w:rPr>
        <w:t>‘</w:t>
      </w:r>
      <w:r w:rsidR="00B54CF8" w:rsidRPr="00950360">
        <w:rPr>
          <w:rFonts w:cs="Arial"/>
          <w:sz w:val="20"/>
          <w:lang w:eastAsia="en-US"/>
        </w:rPr>
        <w:t>Complications arising from infection</w:t>
      </w:r>
      <w:r w:rsidR="00B54CF8">
        <w:rPr>
          <w:rFonts w:cs="Arial"/>
          <w:sz w:val="20"/>
          <w:lang w:eastAsia="en-US"/>
        </w:rPr>
        <w:t xml:space="preserve"> with</w:t>
      </w:r>
      <w:r w:rsidR="00B54CF8" w:rsidRPr="00950360">
        <w:rPr>
          <w:rFonts w:cs="Arial"/>
          <w:sz w:val="20"/>
          <w:lang w:eastAsia="en-US"/>
        </w:rPr>
        <w:t xml:space="preserve"> influenza</w:t>
      </w:r>
      <w:r w:rsidR="004962CA">
        <w:rPr>
          <w:rFonts w:cs="Arial"/>
          <w:sz w:val="20"/>
          <w:lang w:eastAsia="en-US"/>
        </w:rPr>
        <w:t>’</w:t>
      </w:r>
      <w:r w:rsidR="00B54CF8" w:rsidRPr="00950360">
        <w:rPr>
          <w:rFonts w:cs="Arial"/>
          <w:sz w:val="20"/>
          <w:lang w:eastAsia="en-US"/>
        </w:rPr>
        <w:t xml:space="preserve"> was added to the APSU data collection in 2007. </w:t>
      </w:r>
      <w:r w:rsidR="00634EBE" w:rsidRPr="00950360">
        <w:rPr>
          <w:rFonts w:cs="Arial"/>
          <w:sz w:val="20"/>
          <w:lang w:eastAsia="en-US"/>
        </w:rPr>
        <w:t>APSU report</w:t>
      </w:r>
      <w:r w:rsidR="00634EBE">
        <w:rPr>
          <w:rFonts w:cs="Arial"/>
          <w:sz w:val="20"/>
          <w:lang w:eastAsia="en-US"/>
        </w:rPr>
        <w:t>s</w:t>
      </w:r>
      <w:r w:rsidR="00634EBE" w:rsidRPr="00950360">
        <w:rPr>
          <w:rFonts w:cs="Arial"/>
          <w:sz w:val="20"/>
          <w:lang w:eastAsia="en-US"/>
        </w:rPr>
        <w:t xml:space="preserve"> cases of children hospitalised with severe compl</w:t>
      </w:r>
      <w:r w:rsidR="00634EBE">
        <w:rPr>
          <w:rFonts w:cs="Arial"/>
          <w:sz w:val="20"/>
          <w:lang w:eastAsia="en-US"/>
        </w:rPr>
        <w:t>ications of influenza to the Dep</w:t>
      </w:r>
      <w:r w:rsidR="00634EBE" w:rsidRPr="00950360">
        <w:rPr>
          <w:rFonts w:cs="Arial"/>
          <w:sz w:val="20"/>
          <w:lang w:eastAsia="en-US"/>
        </w:rPr>
        <w:t xml:space="preserve">artment on a weekly basis between July and September each year. </w:t>
      </w:r>
    </w:p>
    <w:p w14:paraId="33ECB49C" w14:textId="77777777" w:rsidR="00950360" w:rsidRPr="00950360" w:rsidRDefault="00B54CF8" w:rsidP="0012188D">
      <w:pPr>
        <w:autoSpaceDE w:val="0"/>
        <w:autoSpaceDN w:val="0"/>
        <w:adjustRightInd w:val="0"/>
        <w:rPr>
          <w:rFonts w:cs="Arial"/>
          <w:sz w:val="20"/>
          <w:lang w:eastAsia="en-US"/>
        </w:rPr>
      </w:pPr>
      <w:r>
        <w:rPr>
          <w:rFonts w:cs="Arial"/>
          <w:sz w:val="20"/>
          <w:lang w:eastAsia="en-US"/>
        </w:rPr>
        <w:t>Data are</w:t>
      </w:r>
      <w:r w:rsidR="00950360" w:rsidRPr="00950360">
        <w:rPr>
          <w:rFonts w:cs="Arial"/>
          <w:sz w:val="20"/>
          <w:lang w:eastAsia="en-US"/>
        </w:rPr>
        <w:t xml:space="preserve"> collected </w:t>
      </w:r>
      <w:r>
        <w:rPr>
          <w:rFonts w:cs="Arial"/>
          <w:sz w:val="20"/>
          <w:lang w:eastAsia="en-US"/>
        </w:rPr>
        <w:t xml:space="preserve">through report cards distributed </w:t>
      </w:r>
      <w:r w:rsidR="00634EBE">
        <w:rPr>
          <w:rFonts w:cs="Arial"/>
          <w:sz w:val="20"/>
          <w:lang w:eastAsia="en-US"/>
        </w:rPr>
        <w:t xml:space="preserve">monthly to </w:t>
      </w:r>
      <w:r w:rsidRPr="00950360">
        <w:rPr>
          <w:rFonts w:cs="Arial"/>
          <w:sz w:val="20"/>
          <w:lang w:eastAsia="en-US"/>
        </w:rPr>
        <w:t>approximately</w:t>
      </w:r>
      <w:r>
        <w:rPr>
          <w:rFonts w:cs="Arial"/>
          <w:sz w:val="20"/>
          <w:lang w:eastAsia="en-US"/>
        </w:rPr>
        <w:t xml:space="preserve"> 1,</w:t>
      </w:r>
      <w:r w:rsidR="00634EBE">
        <w:rPr>
          <w:rFonts w:cs="Arial"/>
          <w:sz w:val="20"/>
          <w:lang w:eastAsia="en-US"/>
        </w:rPr>
        <w:t>5</w:t>
      </w:r>
      <w:r>
        <w:rPr>
          <w:rFonts w:cs="Arial"/>
          <w:sz w:val="20"/>
          <w:lang w:eastAsia="en-US"/>
        </w:rPr>
        <w:t>0</w:t>
      </w:r>
      <w:r w:rsidR="00950360">
        <w:rPr>
          <w:rFonts w:cs="Arial"/>
          <w:sz w:val="20"/>
          <w:lang w:eastAsia="en-US"/>
        </w:rPr>
        <w:t>0 paediatr</w:t>
      </w:r>
      <w:r w:rsidR="00950360" w:rsidRPr="00950360">
        <w:rPr>
          <w:rFonts w:cs="Arial"/>
          <w:sz w:val="20"/>
          <w:lang w:eastAsia="en-US"/>
        </w:rPr>
        <w:t>i</w:t>
      </w:r>
      <w:r w:rsidR="00950360">
        <w:rPr>
          <w:rFonts w:cs="Arial"/>
          <w:sz w:val="20"/>
          <w:lang w:eastAsia="en-US"/>
        </w:rPr>
        <w:t>cians an</w:t>
      </w:r>
      <w:r w:rsidR="00950360" w:rsidRPr="00950360">
        <w:rPr>
          <w:rFonts w:cs="Arial"/>
          <w:sz w:val="20"/>
          <w:lang w:eastAsia="en-US"/>
        </w:rPr>
        <w:t>d</w:t>
      </w:r>
      <w:r w:rsidR="00950360">
        <w:rPr>
          <w:rFonts w:cs="Arial"/>
          <w:sz w:val="20"/>
          <w:lang w:eastAsia="en-US"/>
        </w:rPr>
        <w:t xml:space="preserve"> other child health clinicia</w:t>
      </w:r>
      <w:r w:rsidR="00950360" w:rsidRPr="00950360">
        <w:rPr>
          <w:rFonts w:cs="Arial"/>
          <w:sz w:val="20"/>
          <w:lang w:eastAsia="en-US"/>
        </w:rPr>
        <w:t>ns</w:t>
      </w:r>
      <w:r>
        <w:rPr>
          <w:rFonts w:cs="Arial"/>
          <w:sz w:val="20"/>
          <w:lang w:eastAsia="en-US"/>
        </w:rPr>
        <w:t xml:space="preserve"> nationally. These report</w:t>
      </w:r>
      <w:r w:rsidR="00950360">
        <w:rPr>
          <w:rFonts w:cs="Arial"/>
          <w:sz w:val="20"/>
          <w:lang w:eastAsia="en-US"/>
        </w:rPr>
        <w:t xml:space="preserve"> card</w:t>
      </w:r>
      <w:r>
        <w:rPr>
          <w:rFonts w:cs="Arial"/>
          <w:sz w:val="20"/>
          <w:lang w:eastAsia="en-US"/>
        </w:rPr>
        <w:t>s list</w:t>
      </w:r>
      <w:r w:rsidR="00950360">
        <w:rPr>
          <w:rFonts w:cs="Arial"/>
          <w:sz w:val="20"/>
          <w:lang w:eastAsia="en-US"/>
        </w:rPr>
        <w:t xml:space="preserve"> conditions currently </w:t>
      </w:r>
      <w:r>
        <w:rPr>
          <w:rFonts w:cs="Arial"/>
          <w:sz w:val="20"/>
          <w:lang w:eastAsia="en-US"/>
        </w:rPr>
        <w:t>being studied through the APSU, and c</w:t>
      </w:r>
      <w:r w:rsidR="00950360">
        <w:rPr>
          <w:rFonts w:cs="Arial"/>
          <w:sz w:val="20"/>
          <w:lang w:eastAsia="en-US"/>
        </w:rPr>
        <w:t>linicians are asked to report newly diagnosed</w:t>
      </w:r>
      <w:r w:rsidR="004962CA">
        <w:rPr>
          <w:rFonts w:cs="Arial"/>
          <w:sz w:val="20"/>
          <w:lang w:eastAsia="en-US"/>
        </w:rPr>
        <w:t xml:space="preserve"> cases</w:t>
      </w:r>
      <w:r w:rsidR="00950360">
        <w:rPr>
          <w:rFonts w:cs="Arial"/>
          <w:sz w:val="20"/>
          <w:lang w:eastAsia="en-US"/>
        </w:rPr>
        <w:t xml:space="preserve"> and to provide details on</w:t>
      </w:r>
      <w:r w:rsidR="00950360" w:rsidRPr="00950360">
        <w:rPr>
          <w:rFonts w:cs="Arial"/>
          <w:sz w:val="20"/>
          <w:lang w:eastAsia="en-US"/>
        </w:rPr>
        <w:t xml:space="preserve"> demographics, </w:t>
      </w:r>
      <w:r>
        <w:rPr>
          <w:rFonts w:cs="Arial"/>
          <w:sz w:val="20"/>
          <w:lang w:eastAsia="en-US"/>
        </w:rPr>
        <w:t>diagnosis, treatments and short</w:t>
      </w:r>
      <w:r>
        <w:rPr>
          <w:rFonts w:cs="Arial"/>
          <w:sz w:val="20"/>
          <w:lang w:eastAsia="en-US"/>
        </w:rPr>
        <w:noBreakHyphen/>
      </w:r>
      <w:r w:rsidR="00950360" w:rsidRPr="00950360">
        <w:rPr>
          <w:rFonts w:cs="Arial"/>
          <w:sz w:val="20"/>
          <w:lang w:eastAsia="en-US"/>
        </w:rPr>
        <w:t xml:space="preserve">term outcomes. </w:t>
      </w:r>
    </w:p>
    <w:p w14:paraId="1AD999DE" w14:textId="77777777" w:rsidR="00501C00" w:rsidRPr="00C22334" w:rsidRDefault="00501C00" w:rsidP="004962CA">
      <w:pPr>
        <w:pStyle w:val="Heading2"/>
        <w:tabs>
          <w:tab w:val="left" w:pos="6506"/>
        </w:tabs>
      </w:pPr>
      <w:r w:rsidRPr="00C22334">
        <w:t>5. Deaths Associated with Influenza and Pneumonia</w:t>
      </w:r>
      <w:r w:rsidR="004962CA">
        <w:tab/>
      </w:r>
    </w:p>
    <w:p w14:paraId="28F0A148" w14:textId="77777777" w:rsidR="00501C00" w:rsidRPr="00C22334" w:rsidRDefault="00501C00" w:rsidP="00501C00">
      <w:pPr>
        <w:rPr>
          <w:sz w:val="2"/>
          <w:szCs w:val="2"/>
        </w:rPr>
      </w:pPr>
    </w:p>
    <w:p w14:paraId="32681382" w14:textId="77777777" w:rsidR="00501C00" w:rsidRPr="00C22334" w:rsidRDefault="00501C00" w:rsidP="00501C00">
      <w:pPr>
        <w:pStyle w:val="Heading3"/>
      </w:pPr>
      <w:r w:rsidRPr="00C22334">
        <w:t>Nationally Notified Influenza Associated Deaths</w:t>
      </w:r>
    </w:p>
    <w:p w14:paraId="5DC13F96" w14:textId="77777777" w:rsidR="003A7D03" w:rsidRPr="00C22334" w:rsidRDefault="003A7D03" w:rsidP="003A7D03">
      <w:pPr>
        <w:autoSpaceDE w:val="0"/>
        <w:autoSpaceDN w:val="0"/>
        <w:adjustRightInd w:val="0"/>
        <w:rPr>
          <w:rFonts w:cs="Arial"/>
          <w:sz w:val="20"/>
          <w:lang w:eastAsia="en-US"/>
        </w:rPr>
      </w:pPr>
      <w:r w:rsidRPr="00C22334">
        <w:rPr>
          <w:rFonts w:cs="Arial"/>
          <w:sz w:val="20"/>
          <w:lang w:eastAsia="en-US"/>
        </w:rPr>
        <w:t>Nationally reported influenza associated deaths are notified by jurisdictions to the NNDSS, which is maintained by the Department of Health. Notifications of influenza associated deaths are likely to underestimate the true number of influenza associated deaths occurring in the community.</w:t>
      </w:r>
    </w:p>
    <w:p w14:paraId="59B143C5" w14:textId="77777777" w:rsidR="00501C00" w:rsidRPr="00C22334" w:rsidRDefault="00501C00" w:rsidP="00501C00">
      <w:pPr>
        <w:pStyle w:val="Heading3"/>
        <w:tabs>
          <w:tab w:val="left" w:pos="6519"/>
        </w:tabs>
      </w:pPr>
      <w:r w:rsidRPr="00C22334">
        <w:t>New South Wales Influenza and Pneumonia Death Registrations</w:t>
      </w:r>
      <w:r w:rsidRPr="00C22334">
        <w:tab/>
      </w:r>
    </w:p>
    <w:p w14:paraId="0081B416" w14:textId="77777777" w:rsidR="00501C00" w:rsidRPr="00C22334" w:rsidRDefault="00501C00" w:rsidP="00501C00">
      <w:pPr>
        <w:autoSpaceDE w:val="0"/>
        <w:autoSpaceDN w:val="0"/>
        <w:adjustRightInd w:val="0"/>
        <w:rPr>
          <w:rFonts w:cs="Arial"/>
          <w:sz w:val="20"/>
          <w:lang w:eastAsia="en-US"/>
        </w:rPr>
      </w:pPr>
      <w:r w:rsidRPr="00C22334">
        <w:rPr>
          <w:rFonts w:cs="Arial"/>
          <w:sz w:val="20"/>
          <w:lang w:eastAsia="en-US"/>
        </w:rPr>
        <w:t xml:space="preserve">The number of deaths mentioning “Pneumonia or influenza” is reported as a rate per 100,000 NSW populations. Using the NSW population provides a more stable and reliable denominator than deaths from all causes. This is because pneumonia and influenza are known to contribute to increases in deaths from non-respiratory illnesses, such as deaths due to ischaemic heart disease. As the number of these deaths will increase with rises in influenza activity, the actual effect of influenza on mortality rates will be obscured if all-cause mortality is used as the denominator. This limitation is avoided by using the NSW population, which is relatively constant throughout the year, as the denominator. </w:t>
      </w:r>
    </w:p>
    <w:p w14:paraId="0AE66977" w14:textId="77777777" w:rsidR="00501C00" w:rsidRPr="00C22334" w:rsidRDefault="00501C00" w:rsidP="00501C00">
      <w:pPr>
        <w:autoSpaceDE w:val="0"/>
        <w:autoSpaceDN w:val="0"/>
        <w:adjustRightInd w:val="0"/>
        <w:rPr>
          <w:rFonts w:cs="Arial"/>
          <w:sz w:val="20"/>
          <w:lang w:eastAsia="en-US"/>
        </w:rPr>
      </w:pPr>
      <w:r w:rsidRPr="00C22334">
        <w:rPr>
          <w:rFonts w:cs="Arial"/>
          <w:sz w:val="20"/>
          <w:lang w:eastAsia="en-US"/>
        </w:rPr>
        <w:t xml:space="preserve">Deaths referred to a coroner during the reporting period may not be available for analysis. Deaths in younger people may be more likely to require a coronial inquest. Therefore influenza-related deaths in younger people may be under-represented in these data. </w:t>
      </w:r>
    </w:p>
    <w:p w14:paraId="4468B9EC" w14:textId="77777777" w:rsidR="003A7D03" w:rsidRPr="00C22334" w:rsidRDefault="00501C00" w:rsidP="00501C00">
      <w:pPr>
        <w:autoSpaceDE w:val="0"/>
        <w:autoSpaceDN w:val="0"/>
        <w:adjustRightInd w:val="0"/>
        <w:rPr>
          <w:rFonts w:cs="Arial"/>
          <w:sz w:val="20"/>
          <w:lang w:eastAsia="en-US"/>
        </w:rPr>
      </w:pPr>
      <w:r w:rsidRPr="00C22334">
        <w:rPr>
          <w:rFonts w:cs="Arial"/>
          <w:sz w:val="20"/>
          <w:lang w:eastAsia="en-US"/>
        </w:rPr>
        <w:t>The interval between death and death data availability is usually at least 7 days, and so these data are several weeks behind reports from emergency departments and laboratories. In addition, previous weekly rates may also change due to longer delays in reporting some deaths.</w:t>
      </w:r>
    </w:p>
    <w:p w14:paraId="00B160DA" w14:textId="77777777" w:rsidR="00501C00" w:rsidRPr="00094437" w:rsidRDefault="00501C00" w:rsidP="00501C00">
      <w:pPr>
        <w:pStyle w:val="Heading2"/>
      </w:pPr>
      <w:r w:rsidRPr="00094437">
        <w:t>6. Virological Surveillance</w:t>
      </w:r>
    </w:p>
    <w:p w14:paraId="2FDD395A" w14:textId="77777777" w:rsidR="003A7D03" w:rsidRPr="0060471B" w:rsidRDefault="003A7D03" w:rsidP="003A7D03">
      <w:pPr>
        <w:autoSpaceDE w:val="0"/>
        <w:autoSpaceDN w:val="0"/>
        <w:adjustRightInd w:val="0"/>
        <w:rPr>
          <w:rFonts w:cs="Arial"/>
          <w:sz w:val="20"/>
          <w:lang w:eastAsia="en-US"/>
        </w:rPr>
      </w:pPr>
      <w:r w:rsidRPr="00094437">
        <w:rPr>
          <w:rFonts w:cs="Arial"/>
          <w:sz w:val="20"/>
          <w:lang w:eastAsia="en-US"/>
        </w:rPr>
        <w:t>Data on Australian influenza viruses are provided weekly to the Department from the WHO Collaborating Centre for Reference &amp; Research on Influenza based in Melbourne, Australia.</w:t>
      </w:r>
      <w:r w:rsidRPr="0060471B">
        <w:rPr>
          <w:rFonts w:cs="Arial"/>
          <w:sz w:val="20"/>
          <w:lang w:eastAsia="en-US"/>
        </w:rPr>
        <w:t xml:space="preserve"> </w:t>
      </w:r>
    </w:p>
    <w:sectPr w:rsidR="003A7D03" w:rsidRPr="0060471B" w:rsidSect="00E21B48">
      <w:footerReference w:type="default" r:id="rId15"/>
      <w:endnotePr>
        <w:numFmt w:val="decimal"/>
      </w:endnotePr>
      <w:pgSz w:w="11906" w:h="16838" w:code="9"/>
      <w:pgMar w:top="567" w:right="991" w:bottom="284" w:left="993" w:header="567" w:footer="27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B8C51" w14:textId="77777777" w:rsidR="002C110B" w:rsidRDefault="002C110B" w:rsidP="00DF33E1">
      <w:r>
        <w:separator/>
      </w:r>
    </w:p>
  </w:endnote>
  <w:endnote w:type="continuationSeparator" w:id="0">
    <w:p w14:paraId="01C6FFE6" w14:textId="77777777" w:rsidR="002C110B" w:rsidRDefault="002C110B" w:rsidP="00DF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00EC" w14:textId="77777777" w:rsidR="00950360" w:rsidRPr="00E47A73" w:rsidRDefault="00950360" w:rsidP="00E21B48">
    <w:pPr>
      <w:pBdr>
        <w:top w:val="single" w:sz="4" w:space="1" w:color="auto"/>
      </w:pBdr>
      <w:jc w:val="right"/>
      <w:rPr>
        <w:sz w:val="16"/>
        <w:szCs w:val="16"/>
      </w:rPr>
    </w:pPr>
    <w:r w:rsidRPr="00E47A73">
      <w:rPr>
        <w:sz w:val="16"/>
        <w:szCs w:val="16"/>
      </w:rPr>
      <w:fldChar w:fldCharType="begin"/>
    </w:r>
    <w:r w:rsidRPr="00E47A73">
      <w:rPr>
        <w:sz w:val="16"/>
        <w:szCs w:val="16"/>
      </w:rPr>
      <w:instrText xml:space="preserve"> PAGE </w:instrText>
    </w:r>
    <w:r w:rsidRPr="00E47A73">
      <w:rPr>
        <w:sz w:val="16"/>
        <w:szCs w:val="16"/>
      </w:rPr>
      <w:fldChar w:fldCharType="separate"/>
    </w:r>
    <w:r w:rsidR="0077156E">
      <w:rPr>
        <w:noProof/>
        <w:sz w:val="16"/>
        <w:szCs w:val="16"/>
      </w:rPr>
      <w:t>1</w:t>
    </w:r>
    <w:r w:rsidRPr="00E47A73">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8D2AC" w14:textId="77777777" w:rsidR="002C110B" w:rsidRDefault="002C110B" w:rsidP="00DF33E1">
      <w:r>
        <w:separator/>
      </w:r>
    </w:p>
  </w:footnote>
  <w:footnote w:type="continuationSeparator" w:id="0">
    <w:p w14:paraId="5ADF9E22" w14:textId="77777777" w:rsidR="002C110B" w:rsidRDefault="002C110B" w:rsidP="00DF3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A1B"/>
    <w:multiLevelType w:val="multilevel"/>
    <w:tmpl w:val="DB06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34D6E"/>
    <w:multiLevelType w:val="multilevel"/>
    <w:tmpl w:val="6426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E73D0"/>
    <w:multiLevelType w:val="multilevel"/>
    <w:tmpl w:val="67D4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B49F3"/>
    <w:multiLevelType w:val="multilevel"/>
    <w:tmpl w:val="6462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2027AA"/>
    <w:multiLevelType w:val="hybridMultilevel"/>
    <w:tmpl w:val="CB7E5A00"/>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0BD04A04"/>
    <w:multiLevelType w:val="hybridMultilevel"/>
    <w:tmpl w:val="6B38D5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CB77A10"/>
    <w:multiLevelType w:val="multilevel"/>
    <w:tmpl w:val="04BC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326FD3"/>
    <w:multiLevelType w:val="hybridMultilevel"/>
    <w:tmpl w:val="9E4C4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5622EF"/>
    <w:multiLevelType w:val="multilevel"/>
    <w:tmpl w:val="CECE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3A2863"/>
    <w:multiLevelType w:val="multilevel"/>
    <w:tmpl w:val="17DA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883251"/>
    <w:multiLevelType w:val="multilevel"/>
    <w:tmpl w:val="2BFA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9E24B0"/>
    <w:multiLevelType w:val="hybridMultilevel"/>
    <w:tmpl w:val="7840A900"/>
    <w:lvl w:ilvl="0" w:tplc="7C12306E">
      <w:start w:val="1"/>
      <w:numFmt w:val="lowerRoman"/>
      <w:lvlText w:val="(%1)"/>
      <w:lvlJc w:val="left"/>
      <w:pPr>
        <w:ind w:left="1080" w:hanging="72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9E0BF8"/>
    <w:multiLevelType w:val="multilevel"/>
    <w:tmpl w:val="C3B8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53354C"/>
    <w:multiLevelType w:val="multilevel"/>
    <w:tmpl w:val="B78E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14600F"/>
    <w:multiLevelType w:val="multilevel"/>
    <w:tmpl w:val="BD64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475843"/>
    <w:multiLevelType w:val="multilevel"/>
    <w:tmpl w:val="A942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0F58C8"/>
    <w:multiLevelType w:val="hybridMultilevel"/>
    <w:tmpl w:val="81D65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14656F"/>
    <w:multiLevelType w:val="multilevel"/>
    <w:tmpl w:val="5D80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565B25"/>
    <w:multiLevelType w:val="multilevel"/>
    <w:tmpl w:val="C62C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8C4C72"/>
    <w:multiLevelType w:val="multilevel"/>
    <w:tmpl w:val="EAAC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E10140"/>
    <w:multiLevelType w:val="multilevel"/>
    <w:tmpl w:val="5E46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E476C0"/>
    <w:multiLevelType w:val="hybridMultilevel"/>
    <w:tmpl w:val="CD62C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C11778"/>
    <w:multiLevelType w:val="hybridMultilevel"/>
    <w:tmpl w:val="B2783AA2"/>
    <w:lvl w:ilvl="0" w:tplc="6AEE9522">
      <w:numFmt w:val="bullet"/>
      <w:lvlText w:val="•"/>
      <w:lvlJc w:val="left"/>
      <w:pPr>
        <w:ind w:left="930" w:hanging="57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D023D3"/>
    <w:multiLevelType w:val="multilevel"/>
    <w:tmpl w:val="437C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A201B9"/>
    <w:multiLevelType w:val="multilevel"/>
    <w:tmpl w:val="9916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03090B"/>
    <w:multiLevelType w:val="multilevel"/>
    <w:tmpl w:val="44CC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6B69DA"/>
    <w:multiLevelType w:val="multilevel"/>
    <w:tmpl w:val="3BD8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6B6FE9"/>
    <w:multiLevelType w:val="hybridMultilevel"/>
    <w:tmpl w:val="187ED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532F18"/>
    <w:multiLevelType w:val="multilevel"/>
    <w:tmpl w:val="EA2C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910D6E"/>
    <w:multiLevelType w:val="multilevel"/>
    <w:tmpl w:val="CE1A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B217AC"/>
    <w:multiLevelType w:val="multilevel"/>
    <w:tmpl w:val="B9AA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8C498F"/>
    <w:multiLevelType w:val="multilevel"/>
    <w:tmpl w:val="5FE2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58647C"/>
    <w:multiLevelType w:val="multilevel"/>
    <w:tmpl w:val="6528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F47610"/>
    <w:multiLevelType w:val="hybridMultilevel"/>
    <w:tmpl w:val="E830F8A2"/>
    <w:lvl w:ilvl="0" w:tplc="B3323D9E">
      <w:numFmt w:val="bullet"/>
      <w:lvlText w:val=""/>
      <w:lvlJc w:val="left"/>
      <w:pPr>
        <w:ind w:left="-938" w:hanging="570"/>
      </w:pPr>
      <w:rPr>
        <w:rFonts w:ascii="Symbol" w:eastAsiaTheme="minorEastAsia" w:hAnsi="Symbol" w:cstheme="minorBidi" w:hint="default"/>
      </w:rPr>
    </w:lvl>
    <w:lvl w:ilvl="1" w:tplc="0C090003" w:tentative="1">
      <w:start w:val="1"/>
      <w:numFmt w:val="bullet"/>
      <w:lvlText w:val="o"/>
      <w:lvlJc w:val="left"/>
      <w:pPr>
        <w:ind w:left="-428" w:hanging="360"/>
      </w:pPr>
      <w:rPr>
        <w:rFonts w:ascii="Courier New" w:hAnsi="Courier New" w:cs="Courier New" w:hint="default"/>
      </w:rPr>
    </w:lvl>
    <w:lvl w:ilvl="2" w:tplc="0C090005" w:tentative="1">
      <w:start w:val="1"/>
      <w:numFmt w:val="bullet"/>
      <w:lvlText w:val=""/>
      <w:lvlJc w:val="left"/>
      <w:pPr>
        <w:ind w:left="292" w:hanging="360"/>
      </w:pPr>
      <w:rPr>
        <w:rFonts w:ascii="Wingdings" w:hAnsi="Wingdings" w:hint="default"/>
      </w:rPr>
    </w:lvl>
    <w:lvl w:ilvl="3" w:tplc="0C090001" w:tentative="1">
      <w:start w:val="1"/>
      <w:numFmt w:val="bullet"/>
      <w:lvlText w:val=""/>
      <w:lvlJc w:val="left"/>
      <w:pPr>
        <w:ind w:left="1012" w:hanging="360"/>
      </w:pPr>
      <w:rPr>
        <w:rFonts w:ascii="Symbol" w:hAnsi="Symbol" w:hint="default"/>
      </w:rPr>
    </w:lvl>
    <w:lvl w:ilvl="4" w:tplc="0C090003" w:tentative="1">
      <w:start w:val="1"/>
      <w:numFmt w:val="bullet"/>
      <w:lvlText w:val="o"/>
      <w:lvlJc w:val="left"/>
      <w:pPr>
        <w:ind w:left="1732" w:hanging="360"/>
      </w:pPr>
      <w:rPr>
        <w:rFonts w:ascii="Courier New" w:hAnsi="Courier New" w:cs="Courier New" w:hint="default"/>
      </w:rPr>
    </w:lvl>
    <w:lvl w:ilvl="5" w:tplc="0C090005" w:tentative="1">
      <w:start w:val="1"/>
      <w:numFmt w:val="bullet"/>
      <w:lvlText w:val=""/>
      <w:lvlJc w:val="left"/>
      <w:pPr>
        <w:ind w:left="2452" w:hanging="360"/>
      </w:pPr>
      <w:rPr>
        <w:rFonts w:ascii="Wingdings" w:hAnsi="Wingdings" w:hint="default"/>
      </w:rPr>
    </w:lvl>
    <w:lvl w:ilvl="6" w:tplc="0C090001" w:tentative="1">
      <w:start w:val="1"/>
      <w:numFmt w:val="bullet"/>
      <w:lvlText w:val=""/>
      <w:lvlJc w:val="left"/>
      <w:pPr>
        <w:ind w:left="3172" w:hanging="360"/>
      </w:pPr>
      <w:rPr>
        <w:rFonts w:ascii="Symbol" w:hAnsi="Symbol" w:hint="default"/>
      </w:rPr>
    </w:lvl>
    <w:lvl w:ilvl="7" w:tplc="0C090003" w:tentative="1">
      <w:start w:val="1"/>
      <w:numFmt w:val="bullet"/>
      <w:lvlText w:val="o"/>
      <w:lvlJc w:val="left"/>
      <w:pPr>
        <w:ind w:left="3892" w:hanging="360"/>
      </w:pPr>
      <w:rPr>
        <w:rFonts w:ascii="Courier New" w:hAnsi="Courier New" w:cs="Courier New" w:hint="default"/>
      </w:rPr>
    </w:lvl>
    <w:lvl w:ilvl="8" w:tplc="0C090005" w:tentative="1">
      <w:start w:val="1"/>
      <w:numFmt w:val="bullet"/>
      <w:lvlText w:val=""/>
      <w:lvlJc w:val="left"/>
      <w:pPr>
        <w:ind w:left="4612" w:hanging="360"/>
      </w:pPr>
      <w:rPr>
        <w:rFonts w:ascii="Wingdings" w:hAnsi="Wingdings" w:hint="default"/>
      </w:rPr>
    </w:lvl>
  </w:abstractNum>
  <w:abstractNum w:abstractNumId="35" w15:restartNumberingAfterBreak="0">
    <w:nsid w:val="6CA957D2"/>
    <w:multiLevelType w:val="hybridMultilevel"/>
    <w:tmpl w:val="D6529B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56C1253"/>
    <w:multiLevelType w:val="multilevel"/>
    <w:tmpl w:val="380C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3776BD"/>
    <w:multiLevelType w:val="multilevel"/>
    <w:tmpl w:val="EB58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A449B"/>
    <w:multiLevelType w:val="multilevel"/>
    <w:tmpl w:val="7820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8F64AC"/>
    <w:multiLevelType w:val="hybridMultilevel"/>
    <w:tmpl w:val="EB780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40"/>
  </w:num>
  <w:num w:numId="3">
    <w:abstractNumId w:val="12"/>
  </w:num>
  <w:num w:numId="4">
    <w:abstractNumId w:val="4"/>
  </w:num>
  <w:num w:numId="5">
    <w:abstractNumId w:val="29"/>
  </w:num>
  <w:num w:numId="6">
    <w:abstractNumId w:val="16"/>
  </w:num>
  <w:num w:numId="7">
    <w:abstractNumId w:val="28"/>
  </w:num>
  <w:num w:numId="8">
    <w:abstractNumId w:val="0"/>
  </w:num>
  <w:num w:numId="9">
    <w:abstractNumId w:val="26"/>
  </w:num>
  <w:num w:numId="10">
    <w:abstractNumId w:val="33"/>
  </w:num>
  <w:num w:numId="11">
    <w:abstractNumId w:val="10"/>
  </w:num>
  <w:num w:numId="12">
    <w:abstractNumId w:val="37"/>
  </w:num>
  <w:num w:numId="13">
    <w:abstractNumId w:val="24"/>
  </w:num>
  <w:num w:numId="14">
    <w:abstractNumId w:val="30"/>
  </w:num>
  <w:num w:numId="15">
    <w:abstractNumId w:val="32"/>
  </w:num>
  <w:num w:numId="16">
    <w:abstractNumId w:val="39"/>
  </w:num>
  <w:num w:numId="17">
    <w:abstractNumId w:val="23"/>
  </w:num>
  <w:num w:numId="18">
    <w:abstractNumId w:val="9"/>
  </w:num>
  <w:num w:numId="19">
    <w:abstractNumId w:val="8"/>
  </w:num>
  <w:num w:numId="20">
    <w:abstractNumId w:val="36"/>
  </w:num>
  <w:num w:numId="21">
    <w:abstractNumId w:val="19"/>
  </w:num>
  <w:num w:numId="22">
    <w:abstractNumId w:val="2"/>
  </w:num>
  <w:num w:numId="23">
    <w:abstractNumId w:val="5"/>
  </w:num>
  <w:num w:numId="24">
    <w:abstractNumId w:val="14"/>
  </w:num>
  <w:num w:numId="25">
    <w:abstractNumId w:val="20"/>
  </w:num>
  <w:num w:numId="26">
    <w:abstractNumId w:val="1"/>
  </w:num>
  <w:num w:numId="27">
    <w:abstractNumId w:val="11"/>
  </w:num>
  <w:num w:numId="28">
    <w:abstractNumId w:val="31"/>
  </w:num>
  <w:num w:numId="29">
    <w:abstractNumId w:val="18"/>
  </w:num>
  <w:num w:numId="30">
    <w:abstractNumId w:val="34"/>
  </w:num>
  <w:num w:numId="31">
    <w:abstractNumId w:val="38"/>
  </w:num>
  <w:num w:numId="32">
    <w:abstractNumId w:val="25"/>
  </w:num>
  <w:num w:numId="33">
    <w:abstractNumId w:val="15"/>
  </w:num>
  <w:num w:numId="34">
    <w:abstractNumId w:val="3"/>
  </w:num>
  <w:num w:numId="35">
    <w:abstractNumId w:val="21"/>
  </w:num>
  <w:num w:numId="36">
    <w:abstractNumId w:val="27"/>
  </w:num>
  <w:num w:numId="37">
    <w:abstractNumId w:val="22"/>
  </w:num>
  <w:num w:numId="38">
    <w:abstractNumId w:val="17"/>
  </w:num>
  <w:num w:numId="39">
    <w:abstractNumId w:val="13"/>
  </w:num>
  <w:num w:numId="40">
    <w:abstractNumId w:val="6"/>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3E1"/>
    <w:rsid w:val="00000AFE"/>
    <w:rsid w:val="000029AE"/>
    <w:rsid w:val="00012418"/>
    <w:rsid w:val="00017405"/>
    <w:rsid w:val="00021778"/>
    <w:rsid w:val="00025FAC"/>
    <w:rsid w:val="00031619"/>
    <w:rsid w:val="00035381"/>
    <w:rsid w:val="00035631"/>
    <w:rsid w:val="00043D52"/>
    <w:rsid w:val="0005122B"/>
    <w:rsid w:val="00054E47"/>
    <w:rsid w:val="00062EE9"/>
    <w:rsid w:val="000634ED"/>
    <w:rsid w:val="00066D0D"/>
    <w:rsid w:val="00081607"/>
    <w:rsid w:val="0008425A"/>
    <w:rsid w:val="00093ED5"/>
    <w:rsid w:val="00094437"/>
    <w:rsid w:val="0009773F"/>
    <w:rsid w:val="000A7AE3"/>
    <w:rsid w:val="000B1CA9"/>
    <w:rsid w:val="000B5EC2"/>
    <w:rsid w:val="000C507B"/>
    <w:rsid w:val="000E4AA3"/>
    <w:rsid w:val="000F0C7A"/>
    <w:rsid w:val="00103E85"/>
    <w:rsid w:val="0012188D"/>
    <w:rsid w:val="00121A78"/>
    <w:rsid w:val="001316AE"/>
    <w:rsid w:val="00144B60"/>
    <w:rsid w:val="00145BBC"/>
    <w:rsid w:val="001467CE"/>
    <w:rsid w:val="00154CC0"/>
    <w:rsid w:val="00155583"/>
    <w:rsid w:val="00155D3D"/>
    <w:rsid w:val="00161E00"/>
    <w:rsid w:val="00161ED2"/>
    <w:rsid w:val="001620AE"/>
    <w:rsid w:val="001653D1"/>
    <w:rsid w:val="00173807"/>
    <w:rsid w:val="00184C02"/>
    <w:rsid w:val="001854B3"/>
    <w:rsid w:val="00193EBF"/>
    <w:rsid w:val="001948C0"/>
    <w:rsid w:val="00196801"/>
    <w:rsid w:val="001A1B50"/>
    <w:rsid w:val="001A4F66"/>
    <w:rsid w:val="001B3443"/>
    <w:rsid w:val="001B4B69"/>
    <w:rsid w:val="001E0C81"/>
    <w:rsid w:val="001E2372"/>
    <w:rsid w:val="001E3D8F"/>
    <w:rsid w:val="001F44FD"/>
    <w:rsid w:val="00201A53"/>
    <w:rsid w:val="002119C8"/>
    <w:rsid w:val="00222E0C"/>
    <w:rsid w:val="00225988"/>
    <w:rsid w:val="0023533E"/>
    <w:rsid w:val="0023706F"/>
    <w:rsid w:val="0024150A"/>
    <w:rsid w:val="00246299"/>
    <w:rsid w:val="00261676"/>
    <w:rsid w:val="002663A1"/>
    <w:rsid w:val="00270E57"/>
    <w:rsid w:val="00271ABE"/>
    <w:rsid w:val="00276234"/>
    <w:rsid w:val="00282632"/>
    <w:rsid w:val="002843D9"/>
    <w:rsid w:val="002901AE"/>
    <w:rsid w:val="002A3F3D"/>
    <w:rsid w:val="002B51FE"/>
    <w:rsid w:val="002B6863"/>
    <w:rsid w:val="002C110B"/>
    <w:rsid w:val="002C7BA4"/>
    <w:rsid w:val="002E2904"/>
    <w:rsid w:val="002E2B64"/>
    <w:rsid w:val="002E577E"/>
    <w:rsid w:val="00301C79"/>
    <w:rsid w:val="0030786C"/>
    <w:rsid w:val="00307BF6"/>
    <w:rsid w:val="00310860"/>
    <w:rsid w:val="00332A4B"/>
    <w:rsid w:val="00335309"/>
    <w:rsid w:val="00335D30"/>
    <w:rsid w:val="00360708"/>
    <w:rsid w:val="00363312"/>
    <w:rsid w:val="00364123"/>
    <w:rsid w:val="003668D1"/>
    <w:rsid w:val="00366C57"/>
    <w:rsid w:val="003673F1"/>
    <w:rsid w:val="00367AA1"/>
    <w:rsid w:val="00383E92"/>
    <w:rsid w:val="00385FF3"/>
    <w:rsid w:val="00387448"/>
    <w:rsid w:val="00394325"/>
    <w:rsid w:val="003A7D03"/>
    <w:rsid w:val="003B122A"/>
    <w:rsid w:val="003B7DB3"/>
    <w:rsid w:val="003D1F83"/>
    <w:rsid w:val="003D3570"/>
    <w:rsid w:val="003E07E6"/>
    <w:rsid w:val="003E140D"/>
    <w:rsid w:val="00420336"/>
    <w:rsid w:val="004267CA"/>
    <w:rsid w:val="00426F5B"/>
    <w:rsid w:val="00431CB3"/>
    <w:rsid w:val="004467B1"/>
    <w:rsid w:val="00452D8A"/>
    <w:rsid w:val="004531B4"/>
    <w:rsid w:val="00456274"/>
    <w:rsid w:val="004850E0"/>
    <w:rsid w:val="004867E2"/>
    <w:rsid w:val="00487620"/>
    <w:rsid w:val="00492B88"/>
    <w:rsid w:val="0049371C"/>
    <w:rsid w:val="00493E6E"/>
    <w:rsid w:val="00494945"/>
    <w:rsid w:val="004962CA"/>
    <w:rsid w:val="00497863"/>
    <w:rsid w:val="004A4EDE"/>
    <w:rsid w:val="004A794E"/>
    <w:rsid w:val="004B1171"/>
    <w:rsid w:val="004C6388"/>
    <w:rsid w:val="004E07C9"/>
    <w:rsid w:val="004E196B"/>
    <w:rsid w:val="004E2C06"/>
    <w:rsid w:val="004E3631"/>
    <w:rsid w:val="004E6EDD"/>
    <w:rsid w:val="004F1657"/>
    <w:rsid w:val="004F2B50"/>
    <w:rsid w:val="004F34BD"/>
    <w:rsid w:val="004F69B3"/>
    <w:rsid w:val="00501BB7"/>
    <w:rsid w:val="00501C00"/>
    <w:rsid w:val="00502240"/>
    <w:rsid w:val="00502E91"/>
    <w:rsid w:val="005138EE"/>
    <w:rsid w:val="00527F50"/>
    <w:rsid w:val="00531198"/>
    <w:rsid w:val="00540AF8"/>
    <w:rsid w:val="005449A9"/>
    <w:rsid w:val="00553591"/>
    <w:rsid w:val="005545BC"/>
    <w:rsid w:val="00557648"/>
    <w:rsid w:val="00567C43"/>
    <w:rsid w:val="005728E6"/>
    <w:rsid w:val="005768BB"/>
    <w:rsid w:val="00580CF7"/>
    <w:rsid w:val="005847AD"/>
    <w:rsid w:val="00596E37"/>
    <w:rsid w:val="005977BF"/>
    <w:rsid w:val="005A1DD5"/>
    <w:rsid w:val="005B3A24"/>
    <w:rsid w:val="005B5D66"/>
    <w:rsid w:val="005D00DC"/>
    <w:rsid w:val="005D0C54"/>
    <w:rsid w:val="005D5737"/>
    <w:rsid w:val="005D57E2"/>
    <w:rsid w:val="005E110F"/>
    <w:rsid w:val="005E3552"/>
    <w:rsid w:val="005E7789"/>
    <w:rsid w:val="005F2F70"/>
    <w:rsid w:val="0060471B"/>
    <w:rsid w:val="00605FCB"/>
    <w:rsid w:val="006155BF"/>
    <w:rsid w:val="00621A07"/>
    <w:rsid w:val="00626D59"/>
    <w:rsid w:val="00634EBE"/>
    <w:rsid w:val="00650871"/>
    <w:rsid w:val="0068665D"/>
    <w:rsid w:val="00687FAC"/>
    <w:rsid w:val="0069005F"/>
    <w:rsid w:val="0069470E"/>
    <w:rsid w:val="0069594A"/>
    <w:rsid w:val="00695F7A"/>
    <w:rsid w:val="006C0669"/>
    <w:rsid w:val="006C5347"/>
    <w:rsid w:val="006E1FD9"/>
    <w:rsid w:val="006E479B"/>
    <w:rsid w:val="006E78FE"/>
    <w:rsid w:val="006F268E"/>
    <w:rsid w:val="006F5BEE"/>
    <w:rsid w:val="00704C50"/>
    <w:rsid w:val="0070642C"/>
    <w:rsid w:val="00714C41"/>
    <w:rsid w:val="007328FF"/>
    <w:rsid w:val="0073435B"/>
    <w:rsid w:val="00735085"/>
    <w:rsid w:val="00741BBE"/>
    <w:rsid w:val="00743B8E"/>
    <w:rsid w:val="00743DB6"/>
    <w:rsid w:val="00752794"/>
    <w:rsid w:val="007555B1"/>
    <w:rsid w:val="00763311"/>
    <w:rsid w:val="007665E2"/>
    <w:rsid w:val="00770244"/>
    <w:rsid w:val="00771201"/>
    <w:rsid w:val="0077156E"/>
    <w:rsid w:val="007735DC"/>
    <w:rsid w:val="00774CD1"/>
    <w:rsid w:val="00785BE7"/>
    <w:rsid w:val="00785FAE"/>
    <w:rsid w:val="007A200A"/>
    <w:rsid w:val="007A3F4F"/>
    <w:rsid w:val="007A487B"/>
    <w:rsid w:val="007B2D6F"/>
    <w:rsid w:val="007B32A9"/>
    <w:rsid w:val="007C17F7"/>
    <w:rsid w:val="007D6721"/>
    <w:rsid w:val="007E2BA3"/>
    <w:rsid w:val="007E2FB0"/>
    <w:rsid w:val="007E41B3"/>
    <w:rsid w:val="007F5659"/>
    <w:rsid w:val="0081234D"/>
    <w:rsid w:val="008153C7"/>
    <w:rsid w:val="008219B2"/>
    <w:rsid w:val="0082255C"/>
    <w:rsid w:val="00822F89"/>
    <w:rsid w:val="008264EB"/>
    <w:rsid w:val="00830C30"/>
    <w:rsid w:val="0083101A"/>
    <w:rsid w:val="008400B5"/>
    <w:rsid w:val="00840AEC"/>
    <w:rsid w:val="00850023"/>
    <w:rsid w:val="00861258"/>
    <w:rsid w:val="00863B06"/>
    <w:rsid w:val="00892298"/>
    <w:rsid w:val="00894240"/>
    <w:rsid w:val="00895033"/>
    <w:rsid w:val="008952C6"/>
    <w:rsid w:val="008A17FA"/>
    <w:rsid w:val="008B6E7F"/>
    <w:rsid w:val="008C0CC3"/>
    <w:rsid w:val="008C7534"/>
    <w:rsid w:val="008D2310"/>
    <w:rsid w:val="008D54C5"/>
    <w:rsid w:val="008D73D5"/>
    <w:rsid w:val="008E1B7B"/>
    <w:rsid w:val="008E43E4"/>
    <w:rsid w:val="008E5DDF"/>
    <w:rsid w:val="008E69C9"/>
    <w:rsid w:val="008E7A32"/>
    <w:rsid w:val="008F12BE"/>
    <w:rsid w:val="008F1D6B"/>
    <w:rsid w:val="008F349E"/>
    <w:rsid w:val="00900988"/>
    <w:rsid w:val="00905F89"/>
    <w:rsid w:val="00914908"/>
    <w:rsid w:val="009162DD"/>
    <w:rsid w:val="00922240"/>
    <w:rsid w:val="00922F74"/>
    <w:rsid w:val="0092639A"/>
    <w:rsid w:val="00927946"/>
    <w:rsid w:val="00930DDE"/>
    <w:rsid w:val="0093148D"/>
    <w:rsid w:val="00933420"/>
    <w:rsid w:val="00937E3C"/>
    <w:rsid w:val="00940F52"/>
    <w:rsid w:val="00943FAF"/>
    <w:rsid w:val="009468F7"/>
    <w:rsid w:val="00950360"/>
    <w:rsid w:val="00953E83"/>
    <w:rsid w:val="00960077"/>
    <w:rsid w:val="009735D8"/>
    <w:rsid w:val="009762C6"/>
    <w:rsid w:val="00983186"/>
    <w:rsid w:val="00986571"/>
    <w:rsid w:val="00986B4E"/>
    <w:rsid w:val="009A3DCC"/>
    <w:rsid w:val="009B7486"/>
    <w:rsid w:val="009C145B"/>
    <w:rsid w:val="009C396B"/>
    <w:rsid w:val="009C64A5"/>
    <w:rsid w:val="009D21A8"/>
    <w:rsid w:val="009D3E93"/>
    <w:rsid w:val="009D738B"/>
    <w:rsid w:val="009D7927"/>
    <w:rsid w:val="009E5498"/>
    <w:rsid w:val="009F19AB"/>
    <w:rsid w:val="00A01636"/>
    <w:rsid w:val="00A02C7D"/>
    <w:rsid w:val="00A03721"/>
    <w:rsid w:val="00A0769F"/>
    <w:rsid w:val="00A24AEC"/>
    <w:rsid w:val="00A2704D"/>
    <w:rsid w:val="00A40CCF"/>
    <w:rsid w:val="00A50531"/>
    <w:rsid w:val="00A616F4"/>
    <w:rsid w:val="00A61828"/>
    <w:rsid w:val="00A923D5"/>
    <w:rsid w:val="00A95046"/>
    <w:rsid w:val="00A96DE2"/>
    <w:rsid w:val="00AA4F57"/>
    <w:rsid w:val="00AB3481"/>
    <w:rsid w:val="00AB4F43"/>
    <w:rsid w:val="00AC0CA7"/>
    <w:rsid w:val="00AC24A9"/>
    <w:rsid w:val="00AC7770"/>
    <w:rsid w:val="00AD043E"/>
    <w:rsid w:val="00AD3C6D"/>
    <w:rsid w:val="00AD5C29"/>
    <w:rsid w:val="00AD6343"/>
    <w:rsid w:val="00AE0A94"/>
    <w:rsid w:val="00AE6177"/>
    <w:rsid w:val="00AF7478"/>
    <w:rsid w:val="00B01F59"/>
    <w:rsid w:val="00B0237B"/>
    <w:rsid w:val="00B0328B"/>
    <w:rsid w:val="00B04FBB"/>
    <w:rsid w:val="00B13A57"/>
    <w:rsid w:val="00B171A6"/>
    <w:rsid w:val="00B220E9"/>
    <w:rsid w:val="00B24E4D"/>
    <w:rsid w:val="00B348B9"/>
    <w:rsid w:val="00B34E6C"/>
    <w:rsid w:val="00B42851"/>
    <w:rsid w:val="00B50585"/>
    <w:rsid w:val="00B534BC"/>
    <w:rsid w:val="00B54CF8"/>
    <w:rsid w:val="00B56CFE"/>
    <w:rsid w:val="00B614D7"/>
    <w:rsid w:val="00B83F8D"/>
    <w:rsid w:val="00B938BB"/>
    <w:rsid w:val="00BB23EC"/>
    <w:rsid w:val="00BB680C"/>
    <w:rsid w:val="00BC5247"/>
    <w:rsid w:val="00BC5985"/>
    <w:rsid w:val="00BD2B27"/>
    <w:rsid w:val="00BD60E1"/>
    <w:rsid w:val="00BE00D6"/>
    <w:rsid w:val="00C056D1"/>
    <w:rsid w:val="00C1375A"/>
    <w:rsid w:val="00C16551"/>
    <w:rsid w:val="00C16782"/>
    <w:rsid w:val="00C20BA8"/>
    <w:rsid w:val="00C22334"/>
    <w:rsid w:val="00C3449C"/>
    <w:rsid w:val="00C35AD0"/>
    <w:rsid w:val="00C36925"/>
    <w:rsid w:val="00C647B1"/>
    <w:rsid w:val="00C64B69"/>
    <w:rsid w:val="00C6763A"/>
    <w:rsid w:val="00C67642"/>
    <w:rsid w:val="00C73B79"/>
    <w:rsid w:val="00C76567"/>
    <w:rsid w:val="00C86487"/>
    <w:rsid w:val="00C90F8A"/>
    <w:rsid w:val="00C93C76"/>
    <w:rsid w:val="00C96C91"/>
    <w:rsid w:val="00CA16DD"/>
    <w:rsid w:val="00CA3F8A"/>
    <w:rsid w:val="00CB371C"/>
    <w:rsid w:val="00CB3941"/>
    <w:rsid w:val="00CB5B1A"/>
    <w:rsid w:val="00CC0941"/>
    <w:rsid w:val="00CC0E85"/>
    <w:rsid w:val="00CC3ECD"/>
    <w:rsid w:val="00CC64B6"/>
    <w:rsid w:val="00CD307F"/>
    <w:rsid w:val="00CE13EA"/>
    <w:rsid w:val="00CF04F2"/>
    <w:rsid w:val="00D0464E"/>
    <w:rsid w:val="00D049AF"/>
    <w:rsid w:val="00D11B57"/>
    <w:rsid w:val="00D1307E"/>
    <w:rsid w:val="00D173B2"/>
    <w:rsid w:val="00D25FB9"/>
    <w:rsid w:val="00D31136"/>
    <w:rsid w:val="00D37F7E"/>
    <w:rsid w:val="00D47BF5"/>
    <w:rsid w:val="00D50A38"/>
    <w:rsid w:val="00D528F8"/>
    <w:rsid w:val="00D5385D"/>
    <w:rsid w:val="00D57281"/>
    <w:rsid w:val="00D61AEC"/>
    <w:rsid w:val="00D665A1"/>
    <w:rsid w:val="00D67A57"/>
    <w:rsid w:val="00D71374"/>
    <w:rsid w:val="00D75A12"/>
    <w:rsid w:val="00D96F49"/>
    <w:rsid w:val="00DA0B9B"/>
    <w:rsid w:val="00DA3471"/>
    <w:rsid w:val="00DA4174"/>
    <w:rsid w:val="00DA564F"/>
    <w:rsid w:val="00DB204F"/>
    <w:rsid w:val="00DB21C3"/>
    <w:rsid w:val="00DB485F"/>
    <w:rsid w:val="00DC1EE5"/>
    <w:rsid w:val="00DC1F3B"/>
    <w:rsid w:val="00DC2C17"/>
    <w:rsid w:val="00DC34BA"/>
    <w:rsid w:val="00DC621D"/>
    <w:rsid w:val="00DD0FB3"/>
    <w:rsid w:val="00DD2684"/>
    <w:rsid w:val="00DD6B7E"/>
    <w:rsid w:val="00DD76E6"/>
    <w:rsid w:val="00DE0B10"/>
    <w:rsid w:val="00DE33EF"/>
    <w:rsid w:val="00DF33E1"/>
    <w:rsid w:val="00E0061B"/>
    <w:rsid w:val="00E04B0A"/>
    <w:rsid w:val="00E14183"/>
    <w:rsid w:val="00E17C9B"/>
    <w:rsid w:val="00E2057F"/>
    <w:rsid w:val="00E21B48"/>
    <w:rsid w:val="00E22357"/>
    <w:rsid w:val="00E34566"/>
    <w:rsid w:val="00E41EED"/>
    <w:rsid w:val="00E44B31"/>
    <w:rsid w:val="00E45B1E"/>
    <w:rsid w:val="00E740E2"/>
    <w:rsid w:val="00E74B5F"/>
    <w:rsid w:val="00E76C31"/>
    <w:rsid w:val="00E81088"/>
    <w:rsid w:val="00E84E0E"/>
    <w:rsid w:val="00E8626C"/>
    <w:rsid w:val="00EB28E2"/>
    <w:rsid w:val="00EB3AC5"/>
    <w:rsid w:val="00EB50E8"/>
    <w:rsid w:val="00EB77DF"/>
    <w:rsid w:val="00EC325B"/>
    <w:rsid w:val="00EC39A0"/>
    <w:rsid w:val="00EC3B17"/>
    <w:rsid w:val="00EC7AEA"/>
    <w:rsid w:val="00ED0FB6"/>
    <w:rsid w:val="00ED6C07"/>
    <w:rsid w:val="00EE5022"/>
    <w:rsid w:val="00EF0092"/>
    <w:rsid w:val="00EF5FE4"/>
    <w:rsid w:val="00F04B16"/>
    <w:rsid w:val="00F055A6"/>
    <w:rsid w:val="00F073C8"/>
    <w:rsid w:val="00F104E9"/>
    <w:rsid w:val="00F14EA4"/>
    <w:rsid w:val="00F441F3"/>
    <w:rsid w:val="00F51912"/>
    <w:rsid w:val="00F56224"/>
    <w:rsid w:val="00F64B0E"/>
    <w:rsid w:val="00F66EE9"/>
    <w:rsid w:val="00F73013"/>
    <w:rsid w:val="00F7423A"/>
    <w:rsid w:val="00F844F8"/>
    <w:rsid w:val="00F92908"/>
    <w:rsid w:val="00FA1DE8"/>
    <w:rsid w:val="00FA2411"/>
    <w:rsid w:val="00FA2799"/>
    <w:rsid w:val="00FB1AE3"/>
    <w:rsid w:val="00FB1B6C"/>
    <w:rsid w:val="00FB6CF1"/>
    <w:rsid w:val="00FD61E6"/>
    <w:rsid w:val="00FE6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0F23E"/>
  <w15:docId w15:val="{7955A512-51A2-40E1-A92C-364DDCB4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B10"/>
    <w:rPr>
      <w:rFonts w:asciiTheme="minorHAnsi" w:hAnsiTheme="minorHAnsi"/>
      <w:sz w:val="22"/>
    </w:rPr>
  </w:style>
  <w:style w:type="paragraph" w:styleId="Heading1">
    <w:name w:val="heading 1"/>
    <w:basedOn w:val="Normal"/>
    <w:next w:val="Normal"/>
    <w:link w:val="Heading1Char"/>
    <w:qFormat/>
    <w:rsid w:val="00C86487"/>
    <w:pPr>
      <w:keepNext/>
      <w:shd w:val="clear" w:color="auto" w:fill="4F81BD" w:themeFill="accent1"/>
      <w:autoSpaceDE w:val="0"/>
      <w:autoSpaceDN w:val="0"/>
      <w:adjustRightInd w:val="0"/>
      <w:spacing w:before="120"/>
      <w:jc w:val="center"/>
      <w:outlineLvl w:val="0"/>
    </w:pPr>
    <w:rPr>
      <w:rFonts w:cs="Arial"/>
      <w:b/>
      <w:color w:val="FFFFFF" w:themeColor="background1"/>
      <w:sz w:val="28"/>
      <w:szCs w:val="28"/>
      <w:lang w:eastAsia="en-US"/>
    </w:rPr>
  </w:style>
  <w:style w:type="paragraph" w:styleId="Heading2">
    <w:name w:val="heading 2"/>
    <w:basedOn w:val="Normal"/>
    <w:next w:val="Normal"/>
    <w:link w:val="Heading2Char"/>
    <w:qFormat/>
    <w:rsid w:val="00AD5C29"/>
    <w:pPr>
      <w:keepNext/>
      <w:shd w:val="clear" w:color="auto" w:fill="B8CCE4" w:themeFill="accent1" w:themeFillTint="66"/>
      <w:spacing w:before="120"/>
      <w:outlineLvl w:val="1"/>
    </w:pPr>
    <w:rPr>
      <w:rFonts w:cs="Arial"/>
      <w:b/>
      <w:sz w:val="28"/>
      <w:szCs w:val="24"/>
    </w:rPr>
  </w:style>
  <w:style w:type="paragraph" w:styleId="Heading3">
    <w:name w:val="heading 3"/>
    <w:basedOn w:val="Normal"/>
    <w:next w:val="Normal"/>
    <w:link w:val="Heading3Char"/>
    <w:qFormat/>
    <w:rsid w:val="00AD5C29"/>
    <w:pPr>
      <w:keepNext/>
      <w:shd w:val="clear" w:color="auto" w:fill="DBE5F1" w:themeFill="accent1" w:themeFillTint="33"/>
      <w:spacing w:before="120"/>
      <w:outlineLvl w:val="2"/>
    </w:pPr>
    <w:rPr>
      <w:rFonts w:cstheme="minorHAnsi"/>
      <w:b/>
      <w:sz w:val="28"/>
      <w:szCs w:val="22"/>
    </w:rPr>
  </w:style>
  <w:style w:type="paragraph" w:styleId="Heading4">
    <w:name w:val="heading 4"/>
    <w:basedOn w:val="Normal"/>
    <w:next w:val="Normal"/>
    <w:link w:val="Heading4Char"/>
    <w:qFormat/>
    <w:rsid w:val="00CB5B1A"/>
    <w:pPr>
      <w:keepNext/>
      <w:spacing w:before="240" w:after="60"/>
      <w:outlineLvl w:val="3"/>
    </w:pPr>
    <w:rPr>
      <w:b/>
      <w:bCs/>
      <w:i/>
      <w:sz w:val="26"/>
      <w:szCs w:val="28"/>
    </w:rPr>
  </w:style>
  <w:style w:type="paragraph" w:styleId="Heading5">
    <w:name w:val="heading 5"/>
    <w:basedOn w:val="Normal"/>
    <w:next w:val="Normal"/>
    <w:link w:val="Heading5Char"/>
    <w:qFormat/>
    <w:rsid w:val="00CB5B1A"/>
    <w:pPr>
      <w:spacing w:before="240" w:after="60"/>
      <w:outlineLvl w:val="4"/>
    </w:pPr>
    <w:rPr>
      <w:b/>
      <w:bCs/>
      <w:iCs/>
      <w:sz w:val="26"/>
      <w:szCs w:val="26"/>
    </w:rPr>
  </w:style>
  <w:style w:type="paragraph" w:styleId="Heading6">
    <w:name w:val="heading 6"/>
    <w:basedOn w:val="Normal"/>
    <w:next w:val="Normal"/>
    <w:link w:val="Heading6Char"/>
    <w:qFormat/>
    <w:rsid w:val="00CB5B1A"/>
    <w:pPr>
      <w:spacing w:before="240" w:after="60"/>
      <w:outlineLvl w:val="5"/>
    </w:pPr>
    <w:rPr>
      <w:b/>
      <w:bCs/>
      <w:i/>
      <w:szCs w:val="22"/>
    </w:rPr>
  </w:style>
  <w:style w:type="paragraph" w:styleId="Heading7">
    <w:name w:val="heading 7"/>
    <w:basedOn w:val="Normal"/>
    <w:next w:val="Normal"/>
    <w:link w:val="Heading7Char1"/>
    <w:autoRedefine/>
    <w:rsid w:val="00DF33E1"/>
    <w:pPr>
      <w:ind w:left="709" w:hanging="709"/>
      <w:jc w:val="right"/>
      <w:outlineLvl w:val="6"/>
    </w:pPr>
    <w:rPr>
      <w:rFonts w:cs="Arial"/>
      <w:sz w:val="16"/>
      <w:szCs w:val="16"/>
    </w:rPr>
  </w:style>
  <w:style w:type="paragraph" w:styleId="Heading8">
    <w:name w:val="heading 8"/>
    <w:basedOn w:val="BodyText"/>
    <w:next w:val="Normal"/>
    <w:link w:val="Heading8Char"/>
    <w:autoRedefine/>
    <w:qFormat/>
    <w:rsid w:val="00DF33E1"/>
    <w:pPr>
      <w:keepNext/>
      <w:numPr>
        <w:numId w:val="2"/>
      </w:numPr>
      <w:ind w:left="284" w:hanging="284"/>
      <w:outlineLvl w:val="7"/>
    </w:pPr>
    <w:rPr>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aliases w:val="Footnote Char"/>
    <w:basedOn w:val="DefaultParagraphFont"/>
    <w:semiHidden/>
    <w:rsid w:val="00DF33E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DF33E1"/>
    <w:rPr>
      <w:rFonts w:asciiTheme="minorHAnsi" w:hAnsiTheme="minorHAnsi" w:cs="Arial"/>
      <w:b/>
      <w:szCs w:val="24"/>
      <w:lang w:eastAsia="en-US"/>
    </w:rPr>
  </w:style>
  <w:style w:type="character" w:customStyle="1" w:styleId="Heading1Char">
    <w:name w:val="Heading 1 Char"/>
    <w:link w:val="Heading1"/>
    <w:locked/>
    <w:rsid w:val="00C86487"/>
    <w:rPr>
      <w:rFonts w:asciiTheme="minorHAnsi" w:hAnsiTheme="minorHAnsi" w:cs="Arial"/>
      <w:b/>
      <w:color w:val="FFFFFF" w:themeColor="background1"/>
      <w:sz w:val="28"/>
      <w:szCs w:val="28"/>
      <w:shd w:val="clear" w:color="auto" w:fill="4F81BD" w:themeFill="accent1"/>
      <w:lang w:eastAsia="en-US"/>
    </w:rPr>
  </w:style>
  <w:style w:type="paragraph" w:styleId="BodyText">
    <w:name w:val="Body Text"/>
    <w:basedOn w:val="Normal"/>
    <w:link w:val="BodyTextChar"/>
    <w:rsid w:val="00DF33E1"/>
    <w:pPr>
      <w:autoSpaceDE w:val="0"/>
      <w:autoSpaceDN w:val="0"/>
      <w:adjustRightInd w:val="0"/>
    </w:pPr>
    <w:rPr>
      <w:rFonts w:cs="Arial"/>
      <w:szCs w:val="22"/>
      <w:lang w:eastAsia="en-US"/>
    </w:rPr>
  </w:style>
  <w:style w:type="character" w:customStyle="1" w:styleId="BodyTextChar">
    <w:name w:val="Body Text Char"/>
    <w:basedOn w:val="DefaultParagraphFont"/>
    <w:link w:val="BodyText"/>
    <w:rsid w:val="00DF33E1"/>
    <w:rPr>
      <w:rFonts w:asciiTheme="minorHAnsi" w:hAnsiTheme="minorHAnsi" w:cs="Arial"/>
      <w:sz w:val="22"/>
      <w:szCs w:val="22"/>
      <w:lang w:eastAsia="en-US"/>
    </w:rPr>
  </w:style>
  <w:style w:type="character" w:customStyle="1" w:styleId="Heading2Char">
    <w:name w:val="Heading 2 Char"/>
    <w:link w:val="Heading2"/>
    <w:locked/>
    <w:rsid w:val="00AD5C29"/>
    <w:rPr>
      <w:rFonts w:asciiTheme="minorHAnsi" w:hAnsiTheme="minorHAnsi" w:cs="Arial"/>
      <w:b/>
      <w:sz w:val="28"/>
      <w:szCs w:val="24"/>
      <w:shd w:val="clear" w:color="auto" w:fill="B8CCE4" w:themeFill="accent1" w:themeFillTint="66"/>
    </w:rPr>
  </w:style>
  <w:style w:type="character" w:customStyle="1" w:styleId="Heading3Char">
    <w:name w:val="Heading 3 Char"/>
    <w:link w:val="Heading3"/>
    <w:locked/>
    <w:rsid w:val="00AD5C29"/>
    <w:rPr>
      <w:rFonts w:asciiTheme="minorHAnsi" w:hAnsiTheme="minorHAnsi" w:cstheme="minorHAnsi"/>
      <w:b/>
      <w:sz w:val="28"/>
      <w:szCs w:val="22"/>
      <w:shd w:val="clear" w:color="auto" w:fill="DBE5F1" w:themeFill="accent1" w:themeFillTint="33"/>
    </w:rPr>
  </w:style>
  <w:style w:type="character" w:customStyle="1" w:styleId="Heading4Char">
    <w:name w:val="Heading 4 Char"/>
    <w:link w:val="Heading4"/>
    <w:locked/>
    <w:rsid w:val="00DF33E1"/>
    <w:rPr>
      <w:b/>
      <w:bCs/>
      <w:i/>
      <w:sz w:val="26"/>
      <w:szCs w:val="28"/>
      <w:lang w:eastAsia="en-US"/>
    </w:rPr>
  </w:style>
  <w:style w:type="character" w:customStyle="1" w:styleId="Heading5Char">
    <w:name w:val="Heading 5 Char"/>
    <w:link w:val="Heading5"/>
    <w:locked/>
    <w:rsid w:val="00DF33E1"/>
    <w:rPr>
      <w:b/>
      <w:bCs/>
      <w:iCs/>
      <w:sz w:val="26"/>
      <w:szCs w:val="26"/>
      <w:lang w:eastAsia="en-US"/>
    </w:rPr>
  </w:style>
  <w:style w:type="character" w:customStyle="1" w:styleId="Heading6Char">
    <w:name w:val="Heading 6 Char"/>
    <w:link w:val="Heading6"/>
    <w:locked/>
    <w:rsid w:val="00DF33E1"/>
    <w:rPr>
      <w:b/>
      <w:bCs/>
      <w:i/>
      <w:sz w:val="22"/>
      <w:szCs w:val="22"/>
      <w:lang w:eastAsia="en-US"/>
    </w:rPr>
  </w:style>
  <w:style w:type="character" w:customStyle="1" w:styleId="Heading7Char1">
    <w:name w:val="Heading 7 Char1"/>
    <w:link w:val="Heading7"/>
    <w:locked/>
    <w:rsid w:val="00DF33E1"/>
    <w:rPr>
      <w:rFonts w:asciiTheme="minorHAnsi" w:hAnsiTheme="minorHAnsi" w:cs="Arial"/>
      <w:sz w:val="16"/>
      <w:szCs w:val="16"/>
    </w:rPr>
  </w:style>
  <w:style w:type="paragraph" w:styleId="BalloonText">
    <w:name w:val="Balloon Text"/>
    <w:basedOn w:val="Normal"/>
    <w:link w:val="BalloonTextChar"/>
    <w:rsid w:val="00DF33E1"/>
    <w:rPr>
      <w:rFonts w:ascii="Tahoma" w:hAnsi="Tahoma" w:cs="Tahoma"/>
      <w:sz w:val="16"/>
      <w:szCs w:val="16"/>
    </w:rPr>
  </w:style>
  <w:style w:type="character" w:customStyle="1" w:styleId="BalloonTextChar">
    <w:name w:val="Balloon Text Char"/>
    <w:basedOn w:val="DefaultParagraphFont"/>
    <w:link w:val="BalloonText"/>
    <w:rsid w:val="00DF33E1"/>
    <w:rPr>
      <w:rFonts w:ascii="Tahoma" w:hAnsi="Tahoma" w:cs="Tahoma"/>
      <w:sz w:val="16"/>
      <w:szCs w:val="16"/>
    </w:rPr>
  </w:style>
  <w:style w:type="paragraph" w:styleId="TOC2">
    <w:name w:val="toc 2"/>
    <w:basedOn w:val="Normal"/>
    <w:next w:val="Normal"/>
    <w:autoRedefine/>
    <w:rsid w:val="00DF33E1"/>
    <w:pPr>
      <w:ind w:left="240"/>
    </w:pPr>
    <w:rPr>
      <w:rFonts w:ascii="Calibri" w:hAnsi="Calibri"/>
      <w:b/>
    </w:rPr>
  </w:style>
  <w:style w:type="paragraph" w:styleId="TOC3">
    <w:name w:val="toc 3"/>
    <w:basedOn w:val="Normal"/>
    <w:next w:val="Normal"/>
    <w:autoRedefine/>
    <w:rsid w:val="00DF33E1"/>
    <w:pPr>
      <w:ind w:left="480"/>
    </w:pPr>
    <w:rPr>
      <w:rFonts w:ascii="Calibri" w:hAnsi="Calibri"/>
    </w:rPr>
  </w:style>
  <w:style w:type="paragraph" w:styleId="Footer">
    <w:name w:val="footer"/>
    <w:basedOn w:val="Normal"/>
    <w:link w:val="FooterChar"/>
    <w:rsid w:val="00DF33E1"/>
    <w:pPr>
      <w:tabs>
        <w:tab w:val="center" w:pos="4153"/>
        <w:tab w:val="right" w:pos="8306"/>
      </w:tabs>
    </w:pPr>
  </w:style>
  <w:style w:type="character" w:customStyle="1" w:styleId="FooterChar">
    <w:name w:val="Footer Char"/>
    <w:basedOn w:val="DefaultParagraphFont"/>
    <w:link w:val="Footer"/>
    <w:rsid w:val="00DF33E1"/>
    <w:rPr>
      <w:rFonts w:asciiTheme="minorHAnsi" w:hAnsiTheme="minorHAnsi"/>
      <w:sz w:val="22"/>
    </w:rPr>
  </w:style>
  <w:style w:type="table" w:styleId="TableGrid">
    <w:name w:val="Table Grid"/>
    <w:basedOn w:val="TableNormal"/>
    <w:rsid w:val="00DF33E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B32A9"/>
    <w:pPr>
      <w:keepNext/>
      <w:spacing w:before="120"/>
    </w:pPr>
    <w:rPr>
      <w:b/>
      <w:bCs/>
      <w:sz w:val="20"/>
    </w:rPr>
  </w:style>
  <w:style w:type="paragraph" w:styleId="EndnoteText">
    <w:name w:val="endnote text"/>
    <w:basedOn w:val="Normal"/>
    <w:link w:val="EndnoteTextChar"/>
    <w:rsid w:val="00DF33E1"/>
    <w:pPr>
      <w:tabs>
        <w:tab w:val="left" w:pos="340"/>
      </w:tabs>
      <w:spacing w:after="120"/>
      <w:ind w:left="340" w:hanging="340"/>
    </w:pPr>
  </w:style>
  <w:style w:type="character" w:customStyle="1" w:styleId="EndnoteTextChar">
    <w:name w:val="Endnote Text Char"/>
    <w:basedOn w:val="DefaultParagraphFont"/>
    <w:link w:val="EndnoteText"/>
    <w:rsid w:val="00DF33E1"/>
    <w:rPr>
      <w:rFonts w:asciiTheme="minorHAnsi" w:hAnsiTheme="minorHAnsi"/>
      <w:sz w:val="22"/>
    </w:rPr>
  </w:style>
  <w:style w:type="character" w:styleId="EndnoteReference">
    <w:name w:val="endnote reference"/>
    <w:rsid w:val="00DF33E1"/>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6E1FD9"/>
    <w:pPr>
      <w:spacing w:after="120"/>
      <w:jc w:val="right"/>
    </w:pPr>
    <w:rPr>
      <w:sz w:val="20"/>
    </w:rPr>
  </w:style>
  <w:style w:type="character" w:customStyle="1" w:styleId="FootnoteTextChar">
    <w:name w:val="Footnote Text Char"/>
    <w:basedOn w:val="DefaultParagraphFont"/>
    <w:link w:val="FootnoteText"/>
    <w:uiPriority w:val="99"/>
    <w:rsid w:val="006E1FD9"/>
    <w:rPr>
      <w:rFonts w:asciiTheme="minorHAnsi" w:hAnsiTheme="minorHAnsi"/>
    </w:rPr>
  </w:style>
  <w:style w:type="character" w:styleId="FollowedHyperlink">
    <w:name w:val="FollowedHyperlink"/>
    <w:rsid w:val="00DF33E1"/>
    <w:rPr>
      <w:rFonts w:ascii="Arial" w:hAnsi="Arial" w:cs="Arial"/>
      <w:color w:val="008080"/>
      <w:sz w:val="22"/>
      <w:szCs w:val="22"/>
      <w:u w:val="single"/>
      <w:lang w:val="en-AU" w:eastAsia="en-US" w:bidi="ar-SA"/>
    </w:rPr>
  </w:style>
  <w:style w:type="paragraph" w:styleId="TOC4">
    <w:name w:val="toc 4"/>
    <w:basedOn w:val="Normal"/>
    <w:next w:val="Normal"/>
    <w:autoRedefine/>
    <w:rsid w:val="00DF33E1"/>
    <w:pPr>
      <w:ind w:left="720"/>
    </w:pPr>
    <w:rPr>
      <w:rFonts w:ascii="Calibri" w:hAnsi="Calibri"/>
    </w:rPr>
  </w:style>
  <w:style w:type="paragraph" w:customStyle="1" w:styleId="aligncenter1">
    <w:name w:val="aligncenter1"/>
    <w:basedOn w:val="Normal"/>
    <w:rsid w:val="00DF33E1"/>
    <w:pPr>
      <w:spacing w:after="81"/>
      <w:jc w:val="center"/>
    </w:pPr>
    <w:rPr>
      <w:rFonts w:ascii="Verdana" w:hAnsi="Verdana"/>
      <w:color w:val="464646"/>
      <w:szCs w:val="24"/>
      <w:lang w:val="en-US" w:eastAsia="en-US"/>
    </w:rPr>
  </w:style>
  <w:style w:type="character" w:customStyle="1" w:styleId="titre1">
    <w:name w:val="titre1"/>
    <w:rsid w:val="00DF33E1"/>
    <w:rPr>
      <w:rFonts w:ascii="Arial" w:hAnsi="Arial" w:cs="Arial"/>
      <w:b/>
      <w:bCs/>
      <w:color w:val="9E0B0E"/>
      <w:sz w:val="23"/>
      <w:szCs w:val="23"/>
      <w:lang w:val="en-AU" w:eastAsia="en-US" w:bidi="ar-SA"/>
    </w:rPr>
  </w:style>
  <w:style w:type="character" w:styleId="CommentReference">
    <w:name w:val="annotation reference"/>
    <w:rsid w:val="00DF33E1"/>
    <w:rPr>
      <w:rFonts w:ascii="Arial" w:hAnsi="Arial" w:cs="Arial"/>
      <w:sz w:val="16"/>
      <w:szCs w:val="16"/>
      <w:lang w:val="en-AU" w:eastAsia="en-US" w:bidi="ar-SA"/>
    </w:rPr>
  </w:style>
  <w:style w:type="paragraph" w:styleId="CommentText">
    <w:name w:val="annotation text"/>
    <w:basedOn w:val="Normal"/>
    <w:link w:val="CommentTextChar"/>
    <w:rsid w:val="00DF33E1"/>
  </w:style>
  <w:style w:type="character" w:customStyle="1" w:styleId="CommentTextChar">
    <w:name w:val="Comment Text Char"/>
    <w:basedOn w:val="DefaultParagraphFont"/>
    <w:link w:val="CommentText"/>
    <w:rsid w:val="00DF33E1"/>
    <w:rPr>
      <w:rFonts w:asciiTheme="minorHAnsi" w:hAnsiTheme="minorHAnsi"/>
      <w:sz w:val="22"/>
    </w:rPr>
  </w:style>
  <w:style w:type="paragraph" w:styleId="CommentSubject">
    <w:name w:val="annotation subject"/>
    <w:basedOn w:val="CommentText"/>
    <w:next w:val="CommentText"/>
    <w:link w:val="CommentSubjectChar"/>
    <w:rsid w:val="00DF33E1"/>
    <w:rPr>
      <w:b/>
      <w:bCs/>
    </w:rPr>
  </w:style>
  <w:style w:type="character" w:customStyle="1" w:styleId="CommentSubjectChar">
    <w:name w:val="Comment Subject Char"/>
    <w:basedOn w:val="CommentTextChar"/>
    <w:link w:val="CommentSubject"/>
    <w:rsid w:val="00DF33E1"/>
    <w:rPr>
      <w:rFonts w:asciiTheme="minorHAnsi" w:hAnsiTheme="minorHAnsi"/>
      <w:b/>
      <w:bCs/>
      <w:sz w:val="22"/>
    </w:rPr>
  </w:style>
  <w:style w:type="paragraph" w:styleId="BodyText2">
    <w:name w:val="Body Text 2"/>
    <w:basedOn w:val="Normal"/>
    <w:link w:val="BodyText2Char"/>
    <w:rsid w:val="00DF33E1"/>
    <w:pPr>
      <w:spacing w:after="120" w:line="480" w:lineRule="auto"/>
    </w:pPr>
    <w:rPr>
      <w:szCs w:val="24"/>
    </w:rPr>
  </w:style>
  <w:style w:type="character" w:customStyle="1" w:styleId="BodyText2Char">
    <w:name w:val="Body Text 2 Char"/>
    <w:basedOn w:val="DefaultParagraphFont"/>
    <w:link w:val="BodyText2"/>
    <w:rsid w:val="00DF33E1"/>
    <w:rPr>
      <w:rFonts w:asciiTheme="minorHAnsi" w:hAnsiTheme="minorHAnsi"/>
      <w:sz w:val="22"/>
      <w:szCs w:val="24"/>
    </w:rPr>
  </w:style>
  <w:style w:type="paragraph" w:customStyle="1" w:styleId="DefaultParagraphFontPara">
    <w:name w:val="Default Paragraph Font Para"/>
    <w:basedOn w:val="Normal"/>
    <w:rsid w:val="00DF33E1"/>
    <w:pPr>
      <w:spacing w:after="60"/>
    </w:pPr>
    <w:rPr>
      <w:rFonts w:cs="Arial"/>
      <w:szCs w:val="22"/>
      <w:lang w:eastAsia="en-US"/>
    </w:rPr>
  </w:style>
  <w:style w:type="paragraph" w:styleId="Title">
    <w:name w:val="Title"/>
    <w:basedOn w:val="Normal"/>
    <w:link w:val="TitleChar"/>
    <w:qFormat/>
    <w:rsid w:val="00DF33E1"/>
    <w:pPr>
      <w:jc w:val="center"/>
    </w:pPr>
    <w:rPr>
      <w:b/>
      <w:lang w:eastAsia="en-US"/>
    </w:rPr>
  </w:style>
  <w:style w:type="character" w:customStyle="1" w:styleId="TitleChar">
    <w:name w:val="Title Char"/>
    <w:basedOn w:val="DefaultParagraphFont"/>
    <w:link w:val="Title"/>
    <w:rsid w:val="00DF33E1"/>
    <w:rPr>
      <w:rFonts w:asciiTheme="minorHAnsi" w:hAnsiTheme="minorHAnsi"/>
      <w:b/>
      <w:sz w:val="22"/>
      <w:lang w:eastAsia="en-US"/>
    </w:rPr>
  </w:style>
  <w:style w:type="paragraph" w:customStyle="1" w:styleId="Default">
    <w:name w:val="Default"/>
    <w:rsid w:val="00DF33E1"/>
    <w:pPr>
      <w:autoSpaceDE w:val="0"/>
      <w:autoSpaceDN w:val="0"/>
      <w:adjustRightInd w:val="0"/>
    </w:pPr>
    <w:rPr>
      <w:rFonts w:ascii="Arial" w:hAnsi="Arial" w:cs="Arial"/>
      <w:color w:val="000000"/>
      <w:sz w:val="24"/>
      <w:szCs w:val="24"/>
      <w:lang w:val="en-US" w:eastAsia="en-US"/>
    </w:rPr>
  </w:style>
  <w:style w:type="paragraph" w:styleId="ListBullet">
    <w:name w:val="List Bullet"/>
    <w:basedOn w:val="Normal"/>
    <w:rsid w:val="00DF33E1"/>
    <w:pPr>
      <w:tabs>
        <w:tab w:val="num" w:pos="720"/>
      </w:tabs>
      <w:spacing w:after="60"/>
      <w:ind w:left="720" w:right="28" w:hanging="360"/>
    </w:pPr>
    <w:rPr>
      <w:rFonts w:cs="Arial"/>
      <w:szCs w:val="22"/>
    </w:rPr>
  </w:style>
  <w:style w:type="paragraph" w:styleId="ListBullet2">
    <w:name w:val="List Bullet 2"/>
    <w:basedOn w:val="Normal"/>
    <w:rsid w:val="00DF33E1"/>
    <w:pPr>
      <w:tabs>
        <w:tab w:val="left" w:pos="993"/>
        <w:tab w:val="num" w:pos="1800"/>
      </w:tabs>
      <w:spacing w:after="60"/>
      <w:ind w:left="1800" w:right="28" w:hanging="360"/>
    </w:pPr>
    <w:rPr>
      <w:rFonts w:cs="Arial"/>
      <w:szCs w:val="22"/>
    </w:rPr>
  </w:style>
  <w:style w:type="paragraph" w:styleId="ListBullet3">
    <w:name w:val="List Bullet 3"/>
    <w:basedOn w:val="Normal"/>
    <w:rsid w:val="00DF33E1"/>
    <w:pPr>
      <w:tabs>
        <w:tab w:val="left" w:pos="993"/>
        <w:tab w:val="num" w:pos="2040"/>
      </w:tabs>
      <w:spacing w:after="60"/>
      <w:ind w:left="2040" w:right="28" w:hanging="360"/>
    </w:pPr>
    <w:rPr>
      <w:rFonts w:cs="Arial"/>
      <w:szCs w:val="22"/>
    </w:rPr>
  </w:style>
  <w:style w:type="paragraph" w:styleId="ListContinue2">
    <w:name w:val="List Continue 2"/>
    <w:basedOn w:val="Normal"/>
    <w:rsid w:val="00DF33E1"/>
    <w:pPr>
      <w:spacing w:after="120"/>
      <w:ind w:left="566"/>
    </w:pPr>
  </w:style>
  <w:style w:type="paragraph" w:styleId="ListBullet4">
    <w:name w:val="List Bullet 4"/>
    <w:basedOn w:val="BodyText"/>
    <w:rsid w:val="00DF33E1"/>
    <w:pPr>
      <w:numPr>
        <w:numId w:val="1"/>
      </w:numPr>
    </w:pPr>
    <w:rPr>
      <w:color w:val="000000"/>
      <w:sz w:val="18"/>
      <w:szCs w:val="18"/>
    </w:rPr>
  </w:style>
  <w:style w:type="paragraph" w:styleId="ListParagraph">
    <w:name w:val="List Paragraph"/>
    <w:basedOn w:val="Normal"/>
    <w:uiPriority w:val="34"/>
    <w:qFormat/>
    <w:rsid w:val="00DF33E1"/>
    <w:pPr>
      <w:ind w:left="720"/>
      <w:contextualSpacing/>
    </w:pPr>
  </w:style>
  <w:style w:type="paragraph" w:styleId="Revision">
    <w:name w:val="Revision"/>
    <w:hidden/>
    <w:uiPriority w:val="99"/>
    <w:semiHidden/>
    <w:rsid w:val="00DF33E1"/>
    <w:rPr>
      <w:rFonts w:asciiTheme="minorHAnsi" w:hAnsiTheme="minorHAnsi"/>
      <w:sz w:val="22"/>
    </w:rPr>
  </w:style>
  <w:style w:type="character" w:customStyle="1" w:styleId="apple-converted-space">
    <w:name w:val="apple-converted-space"/>
    <w:rsid w:val="00DF33E1"/>
  </w:style>
  <w:style w:type="character" w:styleId="Hyperlink">
    <w:name w:val="Hyperlink"/>
    <w:basedOn w:val="DefaultParagraphFont"/>
    <w:qFormat/>
    <w:rsid w:val="00EC7AEA"/>
    <w:rPr>
      <w:color w:val="0000FF" w:themeColor="hyperlink"/>
      <w:u w:val="single"/>
    </w:rPr>
  </w:style>
  <w:style w:type="character" w:styleId="FootnoteReference">
    <w:name w:val="footnote reference"/>
    <w:basedOn w:val="DefaultParagraphFont"/>
    <w:uiPriority w:val="99"/>
    <w:rsid w:val="00C90F8A"/>
    <w:rPr>
      <w:vertAlign w:val="superscript"/>
    </w:rPr>
  </w:style>
  <w:style w:type="character" w:customStyle="1" w:styleId="st1">
    <w:name w:val="st1"/>
    <w:basedOn w:val="DefaultParagraphFont"/>
    <w:rsid w:val="008F1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5286">
      <w:bodyDiv w:val="1"/>
      <w:marLeft w:val="0"/>
      <w:marRight w:val="0"/>
      <w:marTop w:val="0"/>
      <w:marBottom w:val="0"/>
      <w:divBdr>
        <w:top w:val="none" w:sz="0" w:space="0" w:color="auto"/>
        <w:left w:val="none" w:sz="0" w:space="0" w:color="auto"/>
        <w:bottom w:val="none" w:sz="0" w:space="0" w:color="auto"/>
        <w:right w:val="none" w:sz="0" w:space="0" w:color="auto"/>
      </w:divBdr>
    </w:div>
    <w:div w:id="242379767">
      <w:bodyDiv w:val="1"/>
      <w:marLeft w:val="0"/>
      <w:marRight w:val="0"/>
      <w:marTop w:val="0"/>
      <w:marBottom w:val="0"/>
      <w:divBdr>
        <w:top w:val="none" w:sz="0" w:space="0" w:color="auto"/>
        <w:left w:val="none" w:sz="0" w:space="0" w:color="auto"/>
        <w:bottom w:val="none" w:sz="0" w:space="0" w:color="auto"/>
        <w:right w:val="none" w:sz="0" w:space="0" w:color="auto"/>
      </w:divBdr>
    </w:div>
    <w:div w:id="299844475">
      <w:bodyDiv w:val="1"/>
      <w:marLeft w:val="0"/>
      <w:marRight w:val="0"/>
      <w:marTop w:val="0"/>
      <w:marBottom w:val="0"/>
      <w:divBdr>
        <w:top w:val="none" w:sz="0" w:space="0" w:color="auto"/>
        <w:left w:val="none" w:sz="0" w:space="0" w:color="auto"/>
        <w:bottom w:val="none" w:sz="0" w:space="0" w:color="auto"/>
        <w:right w:val="none" w:sz="0" w:space="0" w:color="auto"/>
      </w:divBdr>
      <w:divsChild>
        <w:div w:id="715129483">
          <w:marLeft w:val="0"/>
          <w:marRight w:val="0"/>
          <w:marTop w:val="0"/>
          <w:marBottom w:val="0"/>
          <w:divBdr>
            <w:top w:val="none" w:sz="0" w:space="0" w:color="auto"/>
            <w:left w:val="none" w:sz="0" w:space="0" w:color="auto"/>
            <w:bottom w:val="none" w:sz="0" w:space="0" w:color="auto"/>
            <w:right w:val="none" w:sz="0" w:space="0" w:color="auto"/>
          </w:divBdr>
          <w:divsChild>
            <w:div w:id="1209340947">
              <w:marLeft w:val="0"/>
              <w:marRight w:val="0"/>
              <w:marTop w:val="0"/>
              <w:marBottom w:val="0"/>
              <w:divBdr>
                <w:top w:val="none" w:sz="0" w:space="0" w:color="auto"/>
                <w:left w:val="none" w:sz="0" w:space="0" w:color="auto"/>
                <w:bottom w:val="none" w:sz="0" w:space="0" w:color="auto"/>
                <w:right w:val="none" w:sz="0" w:space="0" w:color="auto"/>
              </w:divBdr>
              <w:divsChild>
                <w:div w:id="1532067153">
                  <w:marLeft w:val="0"/>
                  <w:marRight w:val="0"/>
                  <w:marTop w:val="0"/>
                  <w:marBottom w:val="0"/>
                  <w:divBdr>
                    <w:top w:val="none" w:sz="0" w:space="0" w:color="auto"/>
                    <w:left w:val="none" w:sz="0" w:space="0" w:color="auto"/>
                    <w:bottom w:val="none" w:sz="0" w:space="0" w:color="auto"/>
                    <w:right w:val="none" w:sz="0" w:space="0" w:color="auto"/>
                  </w:divBdr>
                  <w:divsChild>
                    <w:div w:id="1071273485">
                      <w:marLeft w:val="0"/>
                      <w:marRight w:val="0"/>
                      <w:marTop w:val="0"/>
                      <w:marBottom w:val="0"/>
                      <w:divBdr>
                        <w:top w:val="none" w:sz="0" w:space="0" w:color="auto"/>
                        <w:left w:val="none" w:sz="0" w:space="0" w:color="auto"/>
                        <w:bottom w:val="none" w:sz="0" w:space="0" w:color="auto"/>
                        <w:right w:val="none" w:sz="0" w:space="0" w:color="auto"/>
                      </w:divBdr>
                      <w:divsChild>
                        <w:div w:id="8348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277682">
      <w:bodyDiv w:val="1"/>
      <w:marLeft w:val="0"/>
      <w:marRight w:val="0"/>
      <w:marTop w:val="0"/>
      <w:marBottom w:val="0"/>
      <w:divBdr>
        <w:top w:val="none" w:sz="0" w:space="0" w:color="auto"/>
        <w:left w:val="none" w:sz="0" w:space="0" w:color="auto"/>
        <w:bottom w:val="none" w:sz="0" w:space="0" w:color="auto"/>
        <w:right w:val="none" w:sz="0" w:space="0" w:color="auto"/>
      </w:divBdr>
    </w:div>
    <w:div w:id="573665688">
      <w:bodyDiv w:val="1"/>
      <w:marLeft w:val="0"/>
      <w:marRight w:val="0"/>
      <w:marTop w:val="0"/>
      <w:marBottom w:val="0"/>
      <w:divBdr>
        <w:top w:val="none" w:sz="0" w:space="0" w:color="auto"/>
        <w:left w:val="none" w:sz="0" w:space="0" w:color="auto"/>
        <w:bottom w:val="none" w:sz="0" w:space="0" w:color="auto"/>
        <w:right w:val="none" w:sz="0" w:space="0" w:color="auto"/>
      </w:divBdr>
      <w:divsChild>
        <w:div w:id="715619124">
          <w:marLeft w:val="0"/>
          <w:marRight w:val="0"/>
          <w:marTop w:val="0"/>
          <w:marBottom w:val="0"/>
          <w:divBdr>
            <w:top w:val="none" w:sz="0" w:space="0" w:color="auto"/>
            <w:left w:val="none" w:sz="0" w:space="0" w:color="auto"/>
            <w:bottom w:val="none" w:sz="0" w:space="0" w:color="auto"/>
            <w:right w:val="none" w:sz="0" w:space="0" w:color="auto"/>
          </w:divBdr>
          <w:divsChild>
            <w:div w:id="92479841">
              <w:marLeft w:val="0"/>
              <w:marRight w:val="0"/>
              <w:marTop w:val="0"/>
              <w:marBottom w:val="0"/>
              <w:divBdr>
                <w:top w:val="none" w:sz="0" w:space="0" w:color="auto"/>
                <w:left w:val="none" w:sz="0" w:space="0" w:color="auto"/>
                <w:bottom w:val="none" w:sz="0" w:space="0" w:color="auto"/>
                <w:right w:val="none" w:sz="0" w:space="0" w:color="auto"/>
              </w:divBdr>
              <w:divsChild>
                <w:div w:id="1555849840">
                  <w:marLeft w:val="0"/>
                  <w:marRight w:val="0"/>
                  <w:marTop w:val="0"/>
                  <w:marBottom w:val="0"/>
                  <w:divBdr>
                    <w:top w:val="none" w:sz="0" w:space="0" w:color="auto"/>
                    <w:left w:val="none" w:sz="0" w:space="0" w:color="auto"/>
                    <w:bottom w:val="none" w:sz="0" w:space="0" w:color="auto"/>
                    <w:right w:val="none" w:sz="0" w:space="0" w:color="auto"/>
                  </w:divBdr>
                  <w:divsChild>
                    <w:div w:id="281620736">
                      <w:marLeft w:val="0"/>
                      <w:marRight w:val="0"/>
                      <w:marTop w:val="0"/>
                      <w:marBottom w:val="0"/>
                      <w:divBdr>
                        <w:top w:val="none" w:sz="0" w:space="0" w:color="auto"/>
                        <w:left w:val="none" w:sz="0" w:space="0" w:color="auto"/>
                        <w:bottom w:val="none" w:sz="0" w:space="0" w:color="auto"/>
                        <w:right w:val="none" w:sz="0" w:space="0" w:color="auto"/>
                      </w:divBdr>
                      <w:divsChild>
                        <w:div w:id="81102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78927">
      <w:bodyDiv w:val="1"/>
      <w:marLeft w:val="0"/>
      <w:marRight w:val="0"/>
      <w:marTop w:val="0"/>
      <w:marBottom w:val="0"/>
      <w:divBdr>
        <w:top w:val="none" w:sz="0" w:space="0" w:color="auto"/>
        <w:left w:val="none" w:sz="0" w:space="0" w:color="auto"/>
        <w:bottom w:val="none" w:sz="0" w:space="0" w:color="auto"/>
        <w:right w:val="none" w:sz="0" w:space="0" w:color="auto"/>
      </w:divBdr>
      <w:divsChild>
        <w:div w:id="1928150214">
          <w:marLeft w:val="0"/>
          <w:marRight w:val="0"/>
          <w:marTop w:val="0"/>
          <w:marBottom w:val="0"/>
          <w:divBdr>
            <w:top w:val="none" w:sz="0" w:space="0" w:color="auto"/>
            <w:left w:val="none" w:sz="0" w:space="0" w:color="auto"/>
            <w:bottom w:val="none" w:sz="0" w:space="0" w:color="auto"/>
            <w:right w:val="none" w:sz="0" w:space="0" w:color="auto"/>
          </w:divBdr>
          <w:divsChild>
            <w:div w:id="194316775">
              <w:marLeft w:val="0"/>
              <w:marRight w:val="0"/>
              <w:marTop w:val="0"/>
              <w:marBottom w:val="0"/>
              <w:divBdr>
                <w:top w:val="none" w:sz="0" w:space="0" w:color="auto"/>
                <w:left w:val="none" w:sz="0" w:space="0" w:color="auto"/>
                <w:bottom w:val="none" w:sz="0" w:space="0" w:color="auto"/>
                <w:right w:val="none" w:sz="0" w:space="0" w:color="auto"/>
              </w:divBdr>
              <w:divsChild>
                <w:div w:id="423496204">
                  <w:marLeft w:val="0"/>
                  <w:marRight w:val="0"/>
                  <w:marTop w:val="150"/>
                  <w:marBottom w:val="0"/>
                  <w:divBdr>
                    <w:top w:val="none" w:sz="0" w:space="0" w:color="auto"/>
                    <w:left w:val="none" w:sz="0" w:space="0" w:color="auto"/>
                    <w:bottom w:val="none" w:sz="0" w:space="0" w:color="auto"/>
                    <w:right w:val="none" w:sz="0" w:space="0" w:color="auto"/>
                  </w:divBdr>
                  <w:divsChild>
                    <w:div w:id="2129349351">
                      <w:marLeft w:val="-150"/>
                      <w:marRight w:val="0"/>
                      <w:marTop w:val="0"/>
                      <w:marBottom w:val="0"/>
                      <w:divBdr>
                        <w:top w:val="none" w:sz="0" w:space="0" w:color="auto"/>
                        <w:left w:val="none" w:sz="0" w:space="0" w:color="auto"/>
                        <w:bottom w:val="none" w:sz="0" w:space="0" w:color="auto"/>
                        <w:right w:val="none" w:sz="0" w:space="0" w:color="auto"/>
                      </w:divBdr>
                      <w:divsChild>
                        <w:div w:id="905840851">
                          <w:marLeft w:val="0"/>
                          <w:marRight w:val="0"/>
                          <w:marTop w:val="0"/>
                          <w:marBottom w:val="0"/>
                          <w:divBdr>
                            <w:top w:val="none" w:sz="0" w:space="0" w:color="auto"/>
                            <w:left w:val="none" w:sz="0" w:space="0" w:color="auto"/>
                            <w:bottom w:val="none" w:sz="0" w:space="0" w:color="auto"/>
                            <w:right w:val="none" w:sz="0" w:space="0" w:color="auto"/>
                          </w:divBdr>
                          <w:divsChild>
                            <w:div w:id="37508397">
                              <w:marLeft w:val="0"/>
                              <w:marRight w:val="0"/>
                              <w:marTop w:val="0"/>
                              <w:marBottom w:val="0"/>
                              <w:divBdr>
                                <w:top w:val="none" w:sz="0" w:space="0" w:color="auto"/>
                                <w:left w:val="none" w:sz="0" w:space="0" w:color="auto"/>
                                <w:bottom w:val="none" w:sz="0" w:space="0" w:color="auto"/>
                                <w:right w:val="none" w:sz="0" w:space="0" w:color="auto"/>
                              </w:divBdr>
                              <w:divsChild>
                                <w:div w:id="21368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298468">
      <w:bodyDiv w:val="1"/>
      <w:marLeft w:val="0"/>
      <w:marRight w:val="0"/>
      <w:marTop w:val="0"/>
      <w:marBottom w:val="0"/>
      <w:divBdr>
        <w:top w:val="none" w:sz="0" w:space="0" w:color="auto"/>
        <w:left w:val="none" w:sz="0" w:space="0" w:color="auto"/>
        <w:bottom w:val="none" w:sz="0" w:space="0" w:color="auto"/>
        <w:right w:val="none" w:sz="0" w:space="0" w:color="auto"/>
      </w:divBdr>
    </w:div>
    <w:div w:id="688458085">
      <w:bodyDiv w:val="1"/>
      <w:marLeft w:val="0"/>
      <w:marRight w:val="0"/>
      <w:marTop w:val="0"/>
      <w:marBottom w:val="0"/>
      <w:divBdr>
        <w:top w:val="none" w:sz="0" w:space="0" w:color="auto"/>
        <w:left w:val="none" w:sz="0" w:space="0" w:color="auto"/>
        <w:bottom w:val="none" w:sz="0" w:space="0" w:color="auto"/>
        <w:right w:val="none" w:sz="0" w:space="0" w:color="auto"/>
      </w:divBdr>
      <w:divsChild>
        <w:div w:id="601306343">
          <w:marLeft w:val="0"/>
          <w:marRight w:val="0"/>
          <w:marTop w:val="0"/>
          <w:marBottom w:val="0"/>
          <w:divBdr>
            <w:top w:val="none" w:sz="0" w:space="0" w:color="auto"/>
            <w:left w:val="none" w:sz="0" w:space="0" w:color="auto"/>
            <w:bottom w:val="none" w:sz="0" w:space="0" w:color="auto"/>
            <w:right w:val="none" w:sz="0" w:space="0" w:color="auto"/>
          </w:divBdr>
          <w:divsChild>
            <w:div w:id="663824878">
              <w:marLeft w:val="0"/>
              <w:marRight w:val="0"/>
              <w:marTop w:val="0"/>
              <w:marBottom w:val="0"/>
              <w:divBdr>
                <w:top w:val="none" w:sz="0" w:space="0" w:color="auto"/>
                <w:left w:val="none" w:sz="0" w:space="0" w:color="auto"/>
                <w:bottom w:val="none" w:sz="0" w:space="0" w:color="auto"/>
                <w:right w:val="none" w:sz="0" w:space="0" w:color="auto"/>
              </w:divBdr>
              <w:divsChild>
                <w:div w:id="1566646288">
                  <w:marLeft w:val="0"/>
                  <w:marRight w:val="0"/>
                  <w:marTop w:val="0"/>
                  <w:marBottom w:val="0"/>
                  <w:divBdr>
                    <w:top w:val="none" w:sz="0" w:space="0" w:color="auto"/>
                    <w:left w:val="none" w:sz="0" w:space="0" w:color="auto"/>
                    <w:bottom w:val="none" w:sz="0" w:space="0" w:color="auto"/>
                    <w:right w:val="none" w:sz="0" w:space="0" w:color="auto"/>
                  </w:divBdr>
                  <w:divsChild>
                    <w:div w:id="1739354643">
                      <w:marLeft w:val="0"/>
                      <w:marRight w:val="0"/>
                      <w:marTop w:val="0"/>
                      <w:marBottom w:val="0"/>
                      <w:divBdr>
                        <w:top w:val="none" w:sz="0" w:space="0" w:color="auto"/>
                        <w:left w:val="none" w:sz="0" w:space="0" w:color="auto"/>
                        <w:bottom w:val="none" w:sz="0" w:space="0" w:color="auto"/>
                        <w:right w:val="none" w:sz="0" w:space="0" w:color="auto"/>
                      </w:divBdr>
                      <w:divsChild>
                        <w:div w:id="8432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104763">
      <w:bodyDiv w:val="1"/>
      <w:marLeft w:val="0"/>
      <w:marRight w:val="0"/>
      <w:marTop w:val="0"/>
      <w:marBottom w:val="0"/>
      <w:divBdr>
        <w:top w:val="none" w:sz="0" w:space="0" w:color="auto"/>
        <w:left w:val="none" w:sz="0" w:space="0" w:color="auto"/>
        <w:bottom w:val="none" w:sz="0" w:space="0" w:color="auto"/>
        <w:right w:val="none" w:sz="0" w:space="0" w:color="auto"/>
      </w:divBdr>
      <w:divsChild>
        <w:div w:id="993218240">
          <w:marLeft w:val="0"/>
          <w:marRight w:val="0"/>
          <w:marTop w:val="0"/>
          <w:marBottom w:val="0"/>
          <w:divBdr>
            <w:top w:val="none" w:sz="0" w:space="0" w:color="auto"/>
            <w:left w:val="none" w:sz="0" w:space="0" w:color="auto"/>
            <w:bottom w:val="none" w:sz="0" w:space="0" w:color="auto"/>
            <w:right w:val="none" w:sz="0" w:space="0" w:color="auto"/>
          </w:divBdr>
          <w:divsChild>
            <w:div w:id="1562709521">
              <w:marLeft w:val="0"/>
              <w:marRight w:val="0"/>
              <w:marTop w:val="0"/>
              <w:marBottom w:val="0"/>
              <w:divBdr>
                <w:top w:val="none" w:sz="0" w:space="0" w:color="auto"/>
                <w:left w:val="none" w:sz="0" w:space="0" w:color="auto"/>
                <w:bottom w:val="none" w:sz="0" w:space="0" w:color="auto"/>
                <w:right w:val="none" w:sz="0" w:space="0" w:color="auto"/>
              </w:divBdr>
              <w:divsChild>
                <w:div w:id="1826319897">
                  <w:marLeft w:val="0"/>
                  <w:marRight w:val="0"/>
                  <w:marTop w:val="0"/>
                  <w:marBottom w:val="0"/>
                  <w:divBdr>
                    <w:top w:val="none" w:sz="0" w:space="0" w:color="auto"/>
                    <w:left w:val="none" w:sz="0" w:space="0" w:color="auto"/>
                    <w:bottom w:val="none" w:sz="0" w:space="0" w:color="auto"/>
                    <w:right w:val="none" w:sz="0" w:space="0" w:color="auto"/>
                  </w:divBdr>
                  <w:divsChild>
                    <w:div w:id="1556043431">
                      <w:marLeft w:val="0"/>
                      <w:marRight w:val="0"/>
                      <w:marTop w:val="0"/>
                      <w:marBottom w:val="0"/>
                      <w:divBdr>
                        <w:top w:val="none" w:sz="0" w:space="0" w:color="auto"/>
                        <w:left w:val="none" w:sz="0" w:space="0" w:color="auto"/>
                        <w:bottom w:val="none" w:sz="0" w:space="0" w:color="auto"/>
                        <w:right w:val="none" w:sz="0" w:space="0" w:color="auto"/>
                      </w:divBdr>
                      <w:divsChild>
                        <w:div w:id="71488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294038">
      <w:bodyDiv w:val="1"/>
      <w:marLeft w:val="0"/>
      <w:marRight w:val="0"/>
      <w:marTop w:val="0"/>
      <w:marBottom w:val="0"/>
      <w:divBdr>
        <w:top w:val="none" w:sz="0" w:space="0" w:color="auto"/>
        <w:left w:val="none" w:sz="0" w:space="0" w:color="auto"/>
        <w:bottom w:val="none" w:sz="0" w:space="0" w:color="auto"/>
        <w:right w:val="none" w:sz="0" w:space="0" w:color="auto"/>
      </w:divBdr>
      <w:divsChild>
        <w:div w:id="770972929">
          <w:marLeft w:val="0"/>
          <w:marRight w:val="0"/>
          <w:marTop w:val="0"/>
          <w:marBottom w:val="0"/>
          <w:divBdr>
            <w:top w:val="none" w:sz="0" w:space="0" w:color="auto"/>
            <w:left w:val="none" w:sz="0" w:space="0" w:color="auto"/>
            <w:bottom w:val="none" w:sz="0" w:space="0" w:color="auto"/>
            <w:right w:val="none" w:sz="0" w:space="0" w:color="auto"/>
          </w:divBdr>
          <w:divsChild>
            <w:div w:id="889683955">
              <w:marLeft w:val="0"/>
              <w:marRight w:val="0"/>
              <w:marTop w:val="0"/>
              <w:marBottom w:val="0"/>
              <w:divBdr>
                <w:top w:val="none" w:sz="0" w:space="0" w:color="auto"/>
                <w:left w:val="none" w:sz="0" w:space="0" w:color="auto"/>
                <w:bottom w:val="none" w:sz="0" w:space="0" w:color="auto"/>
                <w:right w:val="none" w:sz="0" w:space="0" w:color="auto"/>
              </w:divBdr>
              <w:divsChild>
                <w:div w:id="1471364919">
                  <w:marLeft w:val="0"/>
                  <w:marRight w:val="0"/>
                  <w:marTop w:val="0"/>
                  <w:marBottom w:val="0"/>
                  <w:divBdr>
                    <w:top w:val="none" w:sz="0" w:space="0" w:color="auto"/>
                    <w:left w:val="none" w:sz="0" w:space="0" w:color="auto"/>
                    <w:bottom w:val="none" w:sz="0" w:space="0" w:color="auto"/>
                    <w:right w:val="none" w:sz="0" w:space="0" w:color="auto"/>
                  </w:divBdr>
                  <w:divsChild>
                    <w:div w:id="1261716924">
                      <w:marLeft w:val="0"/>
                      <w:marRight w:val="0"/>
                      <w:marTop w:val="0"/>
                      <w:marBottom w:val="0"/>
                      <w:divBdr>
                        <w:top w:val="none" w:sz="0" w:space="0" w:color="auto"/>
                        <w:left w:val="none" w:sz="0" w:space="0" w:color="auto"/>
                        <w:bottom w:val="none" w:sz="0" w:space="0" w:color="auto"/>
                        <w:right w:val="none" w:sz="0" w:space="0" w:color="auto"/>
                      </w:divBdr>
                      <w:divsChild>
                        <w:div w:id="4676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965233">
      <w:bodyDiv w:val="1"/>
      <w:marLeft w:val="0"/>
      <w:marRight w:val="0"/>
      <w:marTop w:val="0"/>
      <w:marBottom w:val="0"/>
      <w:divBdr>
        <w:top w:val="none" w:sz="0" w:space="0" w:color="auto"/>
        <w:left w:val="none" w:sz="0" w:space="0" w:color="auto"/>
        <w:bottom w:val="none" w:sz="0" w:space="0" w:color="auto"/>
        <w:right w:val="none" w:sz="0" w:space="0" w:color="auto"/>
      </w:divBdr>
      <w:divsChild>
        <w:div w:id="1051226872">
          <w:marLeft w:val="0"/>
          <w:marRight w:val="0"/>
          <w:marTop w:val="0"/>
          <w:marBottom w:val="0"/>
          <w:divBdr>
            <w:top w:val="none" w:sz="0" w:space="0" w:color="auto"/>
            <w:left w:val="none" w:sz="0" w:space="0" w:color="auto"/>
            <w:bottom w:val="none" w:sz="0" w:space="0" w:color="auto"/>
            <w:right w:val="none" w:sz="0" w:space="0" w:color="auto"/>
          </w:divBdr>
          <w:divsChild>
            <w:div w:id="540021019">
              <w:marLeft w:val="0"/>
              <w:marRight w:val="0"/>
              <w:marTop w:val="0"/>
              <w:marBottom w:val="0"/>
              <w:divBdr>
                <w:top w:val="none" w:sz="0" w:space="0" w:color="auto"/>
                <w:left w:val="none" w:sz="0" w:space="0" w:color="auto"/>
                <w:bottom w:val="none" w:sz="0" w:space="0" w:color="auto"/>
                <w:right w:val="none" w:sz="0" w:space="0" w:color="auto"/>
              </w:divBdr>
              <w:divsChild>
                <w:div w:id="132908820">
                  <w:marLeft w:val="0"/>
                  <w:marRight w:val="0"/>
                  <w:marTop w:val="0"/>
                  <w:marBottom w:val="0"/>
                  <w:divBdr>
                    <w:top w:val="none" w:sz="0" w:space="0" w:color="auto"/>
                    <w:left w:val="none" w:sz="0" w:space="0" w:color="auto"/>
                    <w:bottom w:val="none" w:sz="0" w:space="0" w:color="auto"/>
                    <w:right w:val="none" w:sz="0" w:space="0" w:color="auto"/>
                  </w:divBdr>
                  <w:divsChild>
                    <w:div w:id="123743939">
                      <w:marLeft w:val="0"/>
                      <w:marRight w:val="0"/>
                      <w:marTop w:val="0"/>
                      <w:marBottom w:val="0"/>
                      <w:divBdr>
                        <w:top w:val="none" w:sz="0" w:space="0" w:color="auto"/>
                        <w:left w:val="none" w:sz="0" w:space="0" w:color="auto"/>
                        <w:bottom w:val="none" w:sz="0" w:space="0" w:color="auto"/>
                        <w:right w:val="none" w:sz="0" w:space="0" w:color="auto"/>
                      </w:divBdr>
                      <w:divsChild>
                        <w:div w:id="2478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693405">
      <w:bodyDiv w:val="1"/>
      <w:marLeft w:val="0"/>
      <w:marRight w:val="0"/>
      <w:marTop w:val="0"/>
      <w:marBottom w:val="0"/>
      <w:divBdr>
        <w:top w:val="none" w:sz="0" w:space="0" w:color="auto"/>
        <w:left w:val="none" w:sz="0" w:space="0" w:color="auto"/>
        <w:bottom w:val="none" w:sz="0" w:space="0" w:color="auto"/>
        <w:right w:val="none" w:sz="0" w:space="0" w:color="auto"/>
      </w:divBdr>
      <w:divsChild>
        <w:div w:id="1928150379">
          <w:marLeft w:val="0"/>
          <w:marRight w:val="0"/>
          <w:marTop w:val="0"/>
          <w:marBottom w:val="0"/>
          <w:divBdr>
            <w:top w:val="none" w:sz="0" w:space="0" w:color="auto"/>
            <w:left w:val="none" w:sz="0" w:space="0" w:color="auto"/>
            <w:bottom w:val="none" w:sz="0" w:space="0" w:color="auto"/>
            <w:right w:val="none" w:sz="0" w:space="0" w:color="auto"/>
          </w:divBdr>
          <w:divsChild>
            <w:div w:id="1983463662">
              <w:marLeft w:val="0"/>
              <w:marRight w:val="0"/>
              <w:marTop w:val="0"/>
              <w:marBottom w:val="0"/>
              <w:divBdr>
                <w:top w:val="none" w:sz="0" w:space="0" w:color="auto"/>
                <w:left w:val="none" w:sz="0" w:space="0" w:color="auto"/>
                <w:bottom w:val="none" w:sz="0" w:space="0" w:color="auto"/>
                <w:right w:val="none" w:sz="0" w:space="0" w:color="auto"/>
              </w:divBdr>
              <w:divsChild>
                <w:div w:id="1292635580">
                  <w:marLeft w:val="0"/>
                  <w:marRight w:val="0"/>
                  <w:marTop w:val="150"/>
                  <w:marBottom w:val="0"/>
                  <w:divBdr>
                    <w:top w:val="none" w:sz="0" w:space="0" w:color="auto"/>
                    <w:left w:val="none" w:sz="0" w:space="0" w:color="auto"/>
                    <w:bottom w:val="none" w:sz="0" w:space="0" w:color="auto"/>
                    <w:right w:val="none" w:sz="0" w:space="0" w:color="auto"/>
                  </w:divBdr>
                  <w:divsChild>
                    <w:div w:id="50078447">
                      <w:marLeft w:val="-150"/>
                      <w:marRight w:val="0"/>
                      <w:marTop w:val="0"/>
                      <w:marBottom w:val="0"/>
                      <w:divBdr>
                        <w:top w:val="none" w:sz="0" w:space="0" w:color="auto"/>
                        <w:left w:val="none" w:sz="0" w:space="0" w:color="auto"/>
                        <w:bottom w:val="none" w:sz="0" w:space="0" w:color="auto"/>
                        <w:right w:val="none" w:sz="0" w:space="0" w:color="auto"/>
                      </w:divBdr>
                      <w:divsChild>
                        <w:div w:id="2006934725">
                          <w:marLeft w:val="0"/>
                          <w:marRight w:val="0"/>
                          <w:marTop w:val="0"/>
                          <w:marBottom w:val="0"/>
                          <w:divBdr>
                            <w:top w:val="none" w:sz="0" w:space="0" w:color="auto"/>
                            <w:left w:val="none" w:sz="0" w:space="0" w:color="auto"/>
                            <w:bottom w:val="none" w:sz="0" w:space="0" w:color="auto"/>
                            <w:right w:val="none" w:sz="0" w:space="0" w:color="auto"/>
                          </w:divBdr>
                          <w:divsChild>
                            <w:div w:id="41711210">
                              <w:marLeft w:val="0"/>
                              <w:marRight w:val="0"/>
                              <w:marTop w:val="0"/>
                              <w:marBottom w:val="0"/>
                              <w:divBdr>
                                <w:top w:val="none" w:sz="0" w:space="0" w:color="auto"/>
                                <w:left w:val="none" w:sz="0" w:space="0" w:color="auto"/>
                                <w:bottom w:val="none" w:sz="0" w:space="0" w:color="auto"/>
                                <w:right w:val="none" w:sz="0" w:space="0" w:color="auto"/>
                              </w:divBdr>
                              <w:divsChild>
                                <w:div w:id="10308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210102">
      <w:bodyDiv w:val="1"/>
      <w:marLeft w:val="0"/>
      <w:marRight w:val="0"/>
      <w:marTop w:val="0"/>
      <w:marBottom w:val="0"/>
      <w:divBdr>
        <w:top w:val="none" w:sz="0" w:space="0" w:color="auto"/>
        <w:left w:val="none" w:sz="0" w:space="0" w:color="auto"/>
        <w:bottom w:val="none" w:sz="0" w:space="0" w:color="auto"/>
        <w:right w:val="none" w:sz="0" w:space="0" w:color="auto"/>
      </w:divBdr>
      <w:divsChild>
        <w:div w:id="354770986">
          <w:marLeft w:val="0"/>
          <w:marRight w:val="0"/>
          <w:marTop w:val="0"/>
          <w:marBottom w:val="0"/>
          <w:divBdr>
            <w:top w:val="none" w:sz="0" w:space="0" w:color="auto"/>
            <w:left w:val="none" w:sz="0" w:space="0" w:color="auto"/>
            <w:bottom w:val="none" w:sz="0" w:space="0" w:color="auto"/>
            <w:right w:val="none" w:sz="0" w:space="0" w:color="auto"/>
          </w:divBdr>
          <w:divsChild>
            <w:div w:id="1037588583">
              <w:marLeft w:val="0"/>
              <w:marRight w:val="0"/>
              <w:marTop w:val="0"/>
              <w:marBottom w:val="0"/>
              <w:divBdr>
                <w:top w:val="none" w:sz="0" w:space="0" w:color="auto"/>
                <w:left w:val="none" w:sz="0" w:space="0" w:color="auto"/>
                <w:bottom w:val="none" w:sz="0" w:space="0" w:color="auto"/>
                <w:right w:val="none" w:sz="0" w:space="0" w:color="auto"/>
              </w:divBdr>
              <w:divsChild>
                <w:div w:id="1318264589">
                  <w:marLeft w:val="0"/>
                  <w:marRight w:val="0"/>
                  <w:marTop w:val="0"/>
                  <w:marBottom w:val="0"/>
                  <w:divBdr>
                    <w:top w:val="none" w:sz="0" w:space="0" w:color="auto"/>
                    <w:left w:val="none" w:sz="0" w:space="0" w:color="auto"/>
                    <w:bottom w:val="none" w:sz="0" w:space="0" w:color="auto"/>
                    <w:right w:val="none" w:sz="0" w:space="0" w:color="auto"/>
                  </w:divBdr>
                  <w:divsChild>
                    <w:div w:id="589119114">
                      <w:marLeft w:val="0"/>
                      <w:marRight w:val="0"/>
                      <w:marTop w:val="0"/>
                      <w:marBottom w:val="0"/>
                      <w:divBdr>
                        <w:top w:val="none" w:sz="0" w:space="0" w:color="auto"/>
                        <w:left w:val="none" w:sz="0" w:space="0" w:color="auto"/>
                        <w:bottom w:val="none" w:sz="0" w:space="0" w:color="auto"/>
                        <w:right w:val="none" w:sz="0" w:space="0" w:color="auto"/>
                      </w:divBdr>
                      <w:divsChild>
                        <w:div w:id="7216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18815">
      <w:bodyDiv w:val="1"/>
      <w:marLeft w:val="0"/>
      <w:marRight w:val="0"/>
      <w:marTop w:val="0"/>
      <w:marBottom w:val="0"/>
      <w:divBdr>
        <w:top w:val="none" w:sz="0" w:space="0" w:color="auto"/>
        <w:left w:val="none" w:sz="0" w:space="0" w:color="auto"/>
        <w:bottom w:val="none" w:sz="0" w:space="0" w:color="auto"/>
        <w:right w:val="none" w:sz="0" w:space="0" w:color="auto"/>
      </w:divBdr>
      <w:divsChild>
        <w:div w:id="381634290">
          <w:marLeft w:val="0"/>
          <w:marRight w:val="0"/>
          <w:marTop w:val="0"/>
          <w:marBottom w:val="0"/>
          <w:divBdr>
            <w:top w:val="none" w:sz="0" w:space="0" w:color="auto"/>
            <w:left w:val="none" w:sz="0" w:space="0" w:color="auto"/>
            <w:bottom w:val="none" w:sz="0" w:space="0" w:color="auto"/>
            <w:right w:val="none" w:sz="0" w:space="0" w:color="auto"/>
          </w:divBdr>
          <w:divsChild>
            <w:div w:id="70933164">
              <w:marLeft w:val="0"/>
              <w:marRight w:val="0"/>
              <w:marTop w:val="0"/>
              <w:marBottom w:val="0"/>
              <w:divBdr>
                <w:top w:val="none" w:sz="0" w:space="0" w:color="auto"/>
                <w:left w:val="none" w:sz="0" w:space="0" w:color="auto"/>
                <w:bottom w:val="none" w:sz="0" w:space="0" w:color="auto"/>
                <w:right w:val="none" w:sz="0" w:space="0" w:color="auto"/>
              </w:divBdr>
              <w:divsChild>
                <w:div w:id="1095126712">
                  <w:marLeft w:val="0"/>
                  <w:marRight w:val="0"/>
                  <w:marTop w:val="0"/>
                  <w:marBottom w:val="0"/>
                  <w:divBdr>
                    <w:top w:val="none" w:sz="0" w:space="0" w:color="auto"/>
                    <w:left w:val="none" w:sz="0" w:space="0" w:color="auto"/>
                    <w:bottom w:val="none" w:sz="0" w:space="0" w:color="auto"/>
                    <w:right w:val="none" w:sz="0" w:space="0" w:color="auto"/>
                  </w:divBdr>
                  <w:divsChild>
                    <w:div w:id="1768849375">
                      <w:marLeft w:val="0"/>
                      <w:marRight w:val="0"/>
                      <w:marTop w:val="0"/>
                      <w:marBottom w:val="0"/>
                      <w:divBdr>
                        <w:top w:val="none" w:sz="0" w:space="0" w:color="auto"/>
                        <w:left w:val="none" w:sz="0" w:space="0" w:color="auto"/>
                        <w:bottom w:val="none" w:sz="0" w:space="0" w:color="auto"/>
                        <w:right w:val="none" w:sz="0" w:space="0" w:color="auto"/>
                      </w:divBdr>
                      <w:divsChild>
                        <w:div w:id="14078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762323">
      <w:bodyDiv w:val="1"/>
      <w:marLeft w:val="0"/>
      <w:marRight w:val="0"/>
      <w:marTop w:val="0"/>
      <w:marBottom w:val="0"/>
      <w:divBdr>
        <w:top w:val="none" w:sz="0" w:space="0" w:color="auto"/>
        <w:left w:val="none" w:sz="0" w:space="0" w:color="auto"/>
        <w:bottom w:val="none" w:sz="0" w:space="0" w:color="auto"/>
        <w:right w:val="none" w:sz="0" w:space="0" w:color="auto"/>
      </w:divBdr>
      <w:divsChild>
        <w:div w:id="388650709">
          <w:marLeft w:val="0"/>
          <w:marRight w:val="0"/>
          <w:marTop w:val="0"/>
          <w:marBottom w:val="0"/>
          <w:divBdr>
            <w:top w:val="none" w:sz="0" w:space="0" w:color="auto"/>
            <w:left w:val="none" w:sz="0" w:space="0" w:color="auto"/>
            <w:bottom w:val="none" w:sz="0" w:space="0" w:color="auto"/>
            <w:right w:val="none" w:sz="0" w:space="0" w:color="auto"/>
          </w:divBdr>
          <w:divsChild>
            <w:div w:id="761224196">
              <w:marLeft w:val="0"/>
              <w:marRight w:val="0"/>
              <w:marTop w:val="0"/>
              <w:marBottom w:val="0"/>
              <w:divBdr>
                <w:top w:val="none" w:sz="0" w:space="0" w:color="auto"/>
                <w:left w:val="none" w:sz="0" w:space="0" w:color="auto"/>
                <w:bottom w:val="none" w:sz="0" w:space="0" w:color="auto"/>
                <w:right w:val="none" w:sz="0" w:space="0" w:color="auto"/>
              </w:divBdr>
              <w:divsChild>
                <w:div w:id="512257636">
                  <w:marLeft w:val="0"/>
                  <w:marRight w:val="0"/>
                  <w:marTop w:val="0"/>
                  <w:marBottom w:val="0"/>
                  <w:divBdr>
                    <w:top w:val="none" w:sz="0" w:space="0" w:color="auto"/>
                    <w:left w:val="none" w:sz="0" w:space="0" w:color="auto"/>
                    <w:bottom w:val="none" w:sz="0" w:space="0" w:color="auto"/>
                    <w:right w:val="none" w:sz="0" w:space="0" w:color="auto"/>
                  </w:divBdr>
                  <w:divsChild>
                    <w:div w:id="1083990494">
                      <w:marLeft w:val="0"/>
                      <w:marRight w:val="0"/>
                      <w:marTop w:val="0"/>
                      <w:marBottom w:val="0"/>
                      <w:divBdr>
                        <w:top w:val="none" w:sz="0" w:space="0" w:color="auto"/>
                        <w:left w:val="none" w:sz="0" w:space="0" w:color="auto"/>
                        <w:bottom w:val="none" w:sz="0" w:space="0" w:color="auto"/>
                        <w:right w:val="none" w:sz="0" w:space="0" w:color="auto"/>
                      </w:divBdr>
                      <w:divsChild>
                        <w:div w:id="16478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062489">
      <w:bodyDiv w:val="1"/>
      <w:marLeft w:val="0"/>
      <w:marRight w:val="0"/>
      <w:marTop w:val="0"/>
      <w:marBottom w:val="0"/>
      <w:divBdr>
        <w:top w:val="none" w:sz="0" w:space="0" w:color="auto"/>
        <w:left w:val="none" w:sz="0" w:space="0" w:color="auto"/>
        <w:bottom w:val="none" w:sz="0" w:space="0" w:color="auto"/>
        <w:right w:val="none" w:sz="0" w:space="0" w:color="auto"/>
      </w:divBdr>
      <w:divsChild>
        <w:div w:id="2040276126">
          <w:marLeft w:val="0"/>
          <w:marRight w:val="0"/>
          <w:marTop w:val="0"/>
          <w:marBottom w:val="0"/>
          <w:divBdr>
            <w:top w:val="none" w:sz="0" w:space="0" w:color="auto"/>
            <w:left w:val="none" w:sz="0" w:space="0" w:color="auto"/>
            <w:bottom w:val="none" w:sz="0" w:space="0" w:color="auto"/>
            <w:right w:val="none" w:sz="0" w:space="0" w:color="auto"/>
          </w:divBdr>
          <w:divsChild>
            <w:div w:id="1245605875">
              <w:marLeft w:val="0"/>
              <w:marRight w:val="0"/>
              <w:marTop w:val="0"/>
              <w:marBottom w:val="0"/>
              <w:divBdr>
                <w:top w:val="none" w:sz="0" w:space="0" w:color="auto"/>
                <w:left w:val="none" w:sz="0" w:space="0" w:color="auto"/>
                <w:bottom w:val="none" w:sz="0" w:space="0" w:color="auto"/>
                <w:right w:val="none" w:sz="0" w:space="0" w:color="auto"/>
              </w:divBdr>
              <w:divsChild>
                <w:div w:id="2104449402">
                  <w:marLeft w:val="0"/>
                  <w:marRight w:val="0"/>
                  <w:marTop w:val="0"/>
                  <w:marBottom w:val="0"/>
                  <w:divBdr>
                    <w:top w:val="none" w:sz="0" w:space="0" w:color="auto"/>
                    <w:left w:val="none" w:sz="0" w:space="0" w:color="auto"/>
                    <w:bottom w:val="none" w:sz="0" w:space="0" w:color="auto"/>
                    <w:right w:val="none" w:sz="0" w:space="0" w:color="auto"/>
                  </w:divBdr>
                  <w:divsChild>
                    <w:div w:id="1722483318">
                      <w:marLeft w:val="0"/>
                      <w:marRight w:val="0"/>
                      <w:marTop w:val="0"/>
                      <w:marBottom w:val="0"/>
                      <w:divBdr>
                        <w:top w:val="none" w:sz="0" w:space="0" w:color="auto"/>
                        <w:left w:val="none" w:sz="0" w:space="0" w:color="auto"/>
                        <w:bottom w:val="none" w:sz="0" w:space="0" w:color="auto"/>
                        <w:right w:val="none" w:sz="0" w:space="0" w:color="auto"/>
                      </w:divBdr>
                      <w:divsChild>
                        <w:div w:id="18051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023867">
      <w:bodyDiv w:val="1"/>
      <w:marLeft w:val="0"/>
      <w:marRight w:val="0"/>
      <w:marTop w:val="0"/>
      <w:marBottom w:val="0"/>
      <w:divBdr>
        <w:top w:val="none" w:sz="0" w:space="0" w:color="auto"/>
        <w:left w:val="none" w:sz="0" w:space="0" w:color="auto"/>
        <w:bottom w:val="none" w:sz="0" w:space="0" w:color="auto"/>
        <w:right w:val="none" w:sz="0" w:space="0" w:color="auto"/>
      </w:divBdr>
      <w:divsChild>
        <w:div w:id="1294751876">
          <w:marLeft w:val="0"/>
          <w:marRight w:val="0"/>
          <w:marTop w:val="0"/>
          <w:marBottom w:val="0"/>
          <w:divBdr>
            <w:top w:val="none" w:sz="0" w:space="0" w:color="auto"/>
            <w:left w:val="none" w:sz="0" w:space="0" w:color="auto"/>
            <w:bottom w:val="none" w:sz="0" w:space="0" w:color="auto"/>
            <w:right w:val="none" w:sz="0" w:space="0" w:color="auto"/>
          </w:divBdr>
          <w:divsChild>
            <w:div w:id="1523591740">
              <w:marLeft w:val="0"/>
              <w:marRight w:val="0"/>
              <w:marTop w:val="0"/>
              <w:marBottom w:val="0"/>
              <w:divBdr>
                <w:top w:val="none" w:sz="0" w:space="0" w:color="auto"/>
                <w:left w:val="none" w:sz="0" w:space="0" w:color="auto"/>
                <w:bottom w:val="none" w:sz="0" w:space="0" w:color="auto"/>
                <w:right w:val="none" w:sz="0" w:space="0" w:color="auto"/>
              </w:divBdr>
              <w:divsChild>
                <w:div w:id="923996303">
                  <w:marLeft w:val="0"/>
                  <w:marRight w:val="0"/>
                  <w:marTop w:val="0"/>
                  <w:marBottom w:val="0"/>
                  <w:divBdr>
                    <w:top w:val="none" w:sz="0" w:space="0" w:color="auto"/>
                    <w:left w:val="none" w:sz="0" w:space="0" w:color="auto"/>
                    <w:bottom w:val="none" w:sz="0" w:space="0" w:color="auto"/>
                    <w:right w:val="none" w:sz="0" w:space="0" w:color="auto"/>
                  </w:divBdr>
                  <w:divsChild>
                    <w:div w:id="1178617472">
                      <w:marLeft w:val="0"/>
                      <w:marRight w:val="0"/>
                      <w:marTop w:val="0"/>
                      <w:marBottom w:val="0"/>
                      <w:divBdr>
                        <w:top w:val="none" w:sz="0" w:space="0" w:color="auto"/>
                        <w:left w:val="none" w:sz="0" w:space="0" w:color="auto"/>
                        <w:bottom w:val="none" w:sz="0" w:space="0" w:color="auto"/>
                        <w:right w:val="none" w:sz="0" w:space="0" w:color="auto"/>
                      </w:divBdr>
                      <w:divsChild>
                        <w:div w:id="49992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899152">
      <w:bodyDiv w:val="1"/>
      <w:marLeft w:val="0"/>
      <w:marRight w:val="0"/>
      <w:marTop w:val="0"/>
      <w:marBottom w:val="0"/>
      <w:divBdr>
        <w:top w:val="none" w:sz="0" w:space="0" w:color="auto"/>
        <w:left w:val="none" w:sz="0" w:space="0" w:color="auto"/>
        <w:bottom w:val="none" w:sz="0" w:space="0" w:color="auto"/>
        <w:right w:val="none" w:sz="0" w:space="0" w:color="auto"/>
      </w:divBdr>
      <w:divsChild>
        <w:div w:id="1695308789">
          <w:marLeft w:val="0"/>
          <w:marRight w:val="0"/>
          <w:marTop w:val="0"/>
          <w:marBottom w:val="0"/>
          <w:divBdr>
            <w:top w:val="none" w:sz="0" w:space="0" w:color="auto"/>
            <w:left w:val="none" w:sz="0" w:space="0" w:color="auto"/>
            <w:bottom w:val="none" w:sz="0" w:space="0" w:color="auto"/>
            <w:right w:val="none" w:sz="0" w:space="0" w:color="auto"/>
          </w:divBdr>
          <w:divsChild>
            <w:div w:id="1074664595">
              <w:marLeft w:val="0"/>
              <w:marRight w:val="0"/>
              <w:marTop w:val="0"/>
              <w:marBottom w:val="0"/>
              <w:divBdr>
                <w:top w:val="none" w:sz="0" w:space="0" w:color="auto"/>
                <w:left w:val="none" w:sz="0" w:space="0" w:color="auto"/>
                <w:bottom w:val="none" w:sz="0" w:space="0" w:color="auto"/>
                <w:right w:val="none" w:sz="0" w:space="0" w:color="auto"/>
              </w:divBdr>
              <w:divsChild>
                <w:div w:id="983698271">
                  <w:marLeft w:val="0"/>
                  <w:marRight w:val="0"/>
                  <w:marTop w:val="0"/>
                  <w:marBottom w:val="0"/>
                  <w:divBdr>
                    <w:top w:val="none" w:sz="0" w:space="0" w:color="auto"/>
                    <w:left w:val="none" w:sz="0" w:space="0" w:color="auto"/>
                    <w:bottom w:val="none" w:sz="0" w:space="0" w:color="auto"/>
                    <w:right w:val="none" w:sz="0" w:space="0" w:color="auto"/>
                  </w:divBdr>
                  <w:divsChild>
                    <w:div w:id="372079066">
                      <w:marLeft w:val="0"/>
                      <w:marRight w:val="0"/>
                      <w:marTop w:val="0"/>
                      <w:marBottom w:val="0"/>
                      <w:divBdr>
                        <w:top w:val="none" w:sz="0" w:space="0" w:color="auto"/>
                        <w:left w:val="none" w:sz="0" w:space="0" w:color="auto"/>
                        <w:bottom w:val="none" w:sz="0" w:space="0" w:color="auto"/>
                        <w:right w:val="none" w:sz="0" w:space="0" w:color="auto"/>
                      </w:divBdr>
                      <w:divsChild>
                        <w:div w:id="79779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37733">
      <w:bodyDiv w:val="1"/>
      <w:marLeft w:val="0"/>
      <w:marRight w:val="0"/>
      <w:marTop w:val="0"/>
      <w:marBottom w:val="0"/>
      <w:divBdr>
        <w:top w:val="none" w:sz="0" w:space="0" w:color="auto"/>
        <w:left w:val="none" w:sz="0" w:space="0" w:color="auto"/>
        <w:bottom w:val="none" w:sz="0" w:space="0" w:color="auto"/>
        <w:right w:val="none" w:sz="0" w:space="0" w:color="auto"/>
      </w:divBdr>
      <w:divsChild>
        <w:div w:id="880746007">
          <w:marLeft w:val="0"/>
          <w:marRight w:val="0"/>
          <w:marTop w:val="0"/>
          <w:marBottom w:val="0"/>
          <w:divBdr>
            <w:top w:val="none" w:sz="0" w:space="0" w:color="auto"/>
            <w:left w:val="none" w:sz="0" w:space="0" w:color="auto"/>
            <w:bottom w:val="none" w:sz="0" w:space="0" w:color="auto"/>
            <w:right w:val="none" w:sz="0" w:space="0" w:color="auto"/>
          </w:divBdr>
          <w:divsChild>
            <w:div w:id="2116170453">
              <w:marLeft w:val="0"/>
              <w:marRight w:val="0"/>
              <w:marTop w:val="0"/>
              <w:marBottom w:val="0"/>
              <w:divBdr>
                <w:top w:val="none" w:sz="0" w:space="0" w:color="auto"/>
                <w:left w:val="none" w:sz="0" w:space="0" w:color="auto"/>
                <w:bottom w:val="none" w:sz="0" w:space="0" w:color="auto"/>
                <w:right w:val="none" w:sz="0" w:space="0" w:color="auto"/>
              </w:divBdr>
              <w:divsChild>
                <w:div w:id="2059235589">
                  <w:marLeft w:val="0"/>
                  <w:marRight w:val="0"/>
                  <w:marTop w:val="0"/>
                  <w:marBottom w:val="0"/>
                  <w:divBdr>
                    <w:top w:val="none" w:sz="0" w:space="0" w:color="auto"/>
                    <w:left w:val="none" w:sz="0" w:space="0" w:color="auto"/>
                    <w:bottom w:val="none" w:sz="0" w:space="0" w:color="auto"/>
                    <w:right w:val="none" w:sz="0" w:space="0" w:color="auto"/>
                  </w:divBdr>
                  <w:divsChild>
                    <w:div w:id="198666948">
                      <w:marLeft w:val="0"/>
                      <w:marRight w:val="0"/>
                      <w:marTop w:val="0"/>
                      <w:marBottom w:val="0"/>
                      <w:divBdr>
                        <w:top w:val="none" w:sz="0" w:space="0" w:color="auto"/>
                        <w:left w:val="none" w:sz="0" w:space="0" w:color="auto"/>
                        <w:bottom w:val="none" w:sz="0" w:space="0" w:color="auto"/>
                        <w:right w:val="none" w:sz="0" w:space="0" w:color="auto"/>
                      </w:divBdr>
                      <w:divsChild>
                        <w:div w:id="157177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964200">
      <w:bodyDiv w:val="1"/>
      <w:marLeft w:val="0"/>
      <w:marRight w:val="0"/>
      <w:marTop w:val="0"/>
      <w:marBottom w:val="0"/>
      <w:divBdr>
        <w:top w:val="none" w:sz="0" w:space="0" w:color="auto"/>
        <w:left w:val="none" w:sz="0" w:space="0" w:color="auto"/>
        <w:bottom w:val="none" w:sz="0" w:space="0" w:color="auto"/>
        <w:right w:val="none" w:sz="0" w:space="0" w:color="auto"/>
      </w:divBdr>
      <w:divsChild>
        <w:div w:id="1464497433">
          <w:marLeft w:val="0"/>
          <w:marRight w:val="0"/>
          <w:marTop w:val="0"/>
          <w:marBottom w:val="0"/>
          <w:divBdr>
            <w:top w:val="none" w:sz="0" w:space="0" w:color="auto"/>
            <w:left w:val="none" w:sz="0" w:space="0" w:color="auto"/>
            <w:bottom w:val="none" w:sz="0" w:space="0" w:color="auto"/>
            <w:right w:val="none" w:sz="0" w:space="0" w:color="auto"/>
          </w:divBdr>
          <w:divsChild>
            <w:div w:id="1656185561">
              <w:marLeft w:val="0"/>
              <w:marRight w:val="0"/>
              <w:marTop w:val="0"/>
              <w:marBottom w:val="0"/>
              <w:divBdr>
                <w:top w:val="none" w:sz="0" w:space="0" w:color="auto"/>
                <w:left w:val="none" w:sz="0" w:space="0" w:color="auto"/>
                <w:bottom w:val="none" w:sz="0" w:space="0" w:color="auto"/>
                <w:right w:val="none" w:sz="0" w:space="0" w:color="auto"/>
              </w:divBdr>
              <w:divsChild>
                <w:div w:id="2011324635">
                  <w:marLeft w:val="0"/>
                  <w:marRight w:val="0"/>
                  <w:marTop w:val="0"/>
                  <w:marBottom w:val="0"/>
                  <w:divBdr>
                    <w:top w:val="none" w:sz="0" w:space="0" w:color="auto"/>
                    <w:left w:val="none" w:sz="0" w:space="0" w:color="auto"/>
                    <w:bottom w:val="none" w:sz="0" w:space="0" w:color="auto"/>
                    <w:right w:val="none" w:sz="0" w:space="0" w:color="auto"/>
                  </w:divBdr>
                  <w:divsChild>
                    <w:div w:id="1186211322">
                      <w:marLeft w:val="0"/>
                      <w:marRight w:val="0"/>
                      <w:marTop w:val="0"/>
                      <w:marBottom w:val="0"/>
                      <w:divBdr>
                        <w:top w:val="none" w:sz="0" w:space="0" w:color="auto"/>
                        <w:left w:val="none" w:sz="0" w:space="0" w:color="auto"/>
                        <w:bottom w:val="none" w:sz="0" w:space="0" w:color="auto"/>
                        <w:right w:val="none" w:sz="0" w:space="0" w:color="auto"/>
                      </w:divBdr>
                      <w:divsChild>
                        <w:div w:id="2714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938248">
      <w:bodyDiv w:val="1"/>
      <w:marLeft w:val="0"/>
      <w:marRight w:val="0"/>
      <w:marTop w:val="0"/>
      <w:marBottom w:val="0"/>
      <w:divBdr>
        <w:top w:val="none" w:sz="0" w:space="0" w:color="auto"/>
        <w:left w:val="none" w:sz="0" w:space="0" w:color="auto"/>
        <w:bottom w:val="none" w:sz="0" w:space="0" w:color="auto"/>
        <w:right w:val="none" w:sz="0" w:space="0" w:color="auto"/>
      </w:divBdr>
    </w:div>
    <w:div w:id="2073648727">
      <w:bodyDiv w:val="1"/>
      <w:marLeft w:val="0"/>
      <w:marRight w:val="0"/>
      <w:marTop w:val="0"/>
      <w:marBottom w:val="0"/>
      <w:divBdr>
        <w:top w:val="none" w:sz="0" w:space="0" w:color="auto"/>
        <w:left w:val="none" w:sz="0" w:space="0" w:color="auto"/>
        <w:bottom w:val="none" w:sz="0" w:space="0" w:color="auto"/>
        <w:right w:val="none" w:sz="0" w:space="0" w:color="auto"/>
      </w:divBdr>
      <w:divsChild>
        <w:div w:id="1425759685">
          <w:marLeft w:val="0"/>
          <w:marRight w:val="0"/>
          <w:marTop w:val="0"/>
          <w:marBottom w:val="0"/>
          <w:divBdr>
            <w:top w:val="none" w:sz="0" w:space="0" w:color="auto"/>
            <w:left w:val="none" w:sz="0" w:space="0" w:color="auto"/>
            <w:bottom w:val="none" w:sz="0" w:space="0" w:color="auto"/>
            <w:right w:val="none" w:sz="0" w:space="0" w:color="auto"/>
          </w:divBdr>
          <w:divsChild>
            <w:div w:id="89394409">
              <w:marLeft w:val="0"/>
              <w:marRight w:val="0"/>
              <w:marTop w:val="0"/>
              <w:marBottom w:val="0"/>
              <w:divBdr>
                <w:top w:val="none" w:sz="0" w:space="0" w:color="auto"/>
                <w:left w:val="none" w:sz="0" w:space="0" w:color="auto"/>
                <w:bottom w:val="none" w:sz="0" w:space="0" w:color="auto"/>
                <w:right w:val="none" w:sz="0" w:space="0" w:color="auto"/>
              </w:divBdr>
              <w:divsChild>
                <w:div w:id="383871567">
                  <w:marLeft w:val="0"/>
                  <w:marRight w:val="0"/>
                  <w:marTop w:val="0"/>
                  <w:marBottom w:val="0"/>
                  <w:divBdr>
                    <w:top w:val="none" w:sz="0" w:space="0" w:color="auto"/>
                    <w:left w:val="none" w:sz="0" w:space="0" w:color="auto"/>
                    <w:bottom w:val="none" w:sz="0" w:space="0" w:color="auto"/>
                    <w:right w:val="none" w:sz="0" w:space="0" w:color="auto"/>
                  </w:divBdr>
                  <w:divsChild>
                    <w:div w:id="1732536838">
                      <w:marLeft w:val="0"/>
                      <w:marRight w:val="0"/>
                      <w:marTop w:val="0"/>
                      <w:marBottom w:val="0"/>
                      <w:divBdr>
                        <w:top w:val="none" w:sz="0" w:space="0" w:color="auto"/>
                        <w:left w:val="none" w:sz="0" w:space="0" w:color="auto"/>
                        <w:bottom w:val="none" w:sz="0" w:space="0" w:color="auto"/>
                        <w:right w:val="none" w:sz="0" w:space="0" w:color="auto"/>
                      </w:divBdr>
                      <w:divsChild>
                        <w:div w:id="8272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mac.adelaide.edu.au/aspr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direct.org.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utracking.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lu@health.gov.au" TargetMode="External"/><Relationship Id="rId4" Type="http://schemas.openxmlformats.org/officeDocument/2006/relationships/settings" Target="settings.xml"/><Relationship Id="rId9" Type="http://schemas.openxmlformats.org/officeDocument/2006/relationships/hyperlink" Target="mailto:flu@health.gov.au" TargetMode="External"/><Relationship Id="rId14" Type="http://schemas.openxmlformats.org/officeDocument/2006/relationships/hyperlink" Target="http://www.victorianflusurveillanc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F99DB-452D-452D-94FC-4F3114A1E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Australian Influenza Surveillance Report Data Considerations 2018</vt:lpstr>
    </vt:vector>
  </TitlesOfParts>
  <Company>Health</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Influenza Surveillance Report Data Considerations 2018</dc:title>
  <dc:creator>Australian Government Department of Health and Aged Care</dc:creator>
  <cp:keywords>Communicable diseases, Influenza (flu)</cp:keywords>
  <cp:lastModifiedBy>MORRISON, Lisa</cp:lastModifiedBy>
  <cp:revision>3</cp:revision>
  <cp:lastPrinted>2015-10-19T01:48:00Z</cp:lastPrinted>
  <dcterms:created xsi:type="dcterms:W3CDTF">2018-06-14T01:54:00Z</dcterms:created>
  <dcterms:modified xsi:type="dcterms:W3CDTF">2022-09-27T06:27:00Z</dcterms:modified>
</cp:coreProperties>
</file>