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F18" w14:textId="3C2BE26F" w:rsidR="00FF3E34" w:rsidRPr="001C373F" w:rsidRDefault="00FF3E34" w:rsidP="001C373F">
      <w:r>
        <w:rPr>
          <w:noProof/>
        </w:rPr>
        <w:drawing>
          <wp:inline distT="0" distB="0" distL="0" distR="0" wp14:anchorId="7A9A82AE" wp14:editId="71207CCA">
            <wp:extent cx="2314575" cy="69729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585" cy="7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E396" w14:textId="7E987BF4" w:rsidR="00125829" w:rsidRPr="005430C8" w:rsidRDefault="00125829" w:rsidP="001C373F">
      <w:pPr>
        <w:pStyle w:val="Title"/>
      </w:pPr>
      <w:r w:rsidRPr="005430C8">
        <w:t>COVID-19 Vaccine Exemptions</w:t>
      </w:r>
    </w:p>
    <w:p w14:paraId="4586A831" w14:textId="3AD2817F" w:rsidR="00125829" w:rsidRPr="00637771" w:rsidRDefault="00125829" w:rsidP="006121A6">
      <w:pPr>
        <w:tabs>
          <w:tab w:val="clear" w:pos="1418"/>
        </w:tabs>
      </w:pPr>
      <w:r w:rsidRPr="00637771">
        <w:t xml:space="preserve">Last updated: </w:t>
      </w:r>
      <w:r w:rsidR="00AE7D7A">
        <w:t>30 August</w:t>
      </w:r>
      <w:r w:rsidRPr="00637771">
        <w:t xml:space="preserve"> 2022</w:t>
      </w:r>
    </w:p>
    <w:p w14:paraId="08731E9B" w14:textId="2CC384CC" w:rsidR="00637771" w:rsidRPr="008202EB" w:rsidRDefault="00125829" w:rsidP="001C373F">
      <w:r w:rsidRPr="008202EB">
        <w:t xml:space="preserve">COVID-19 vaccines have been demonstrated to be safe and effective and are recommended for all people aged 5 years and over. </w:t>
      </w:r>
    </w:p>
    <w:p w14:paraId="08E9AD2B" w14:textId="411C6B7C" w:rsidR="00125829" w:rsidRPr="008202EB" w:rsidRDefault="00125829" w:rsidP="001C373F">
      <w:pPr>
        <w:rPr>
          <w:b/>
          <w:bCs/>
        </w:rPr>
      </w:pPr>
      <w:r w:rsidRPr="00AF7A52">
        <w:rPr>
          <w:rStyle w:val="Strong"/>
        </w:rPr>
        <w:t>There are very few situations where a COVID-19 vaccine may not be safe to use.</w:t>
      </w:r>
      <w:r w:rsidRPr="008202EB">
        <w:t xml:space="preserve"> Medical exemptions can only be granted if there are no suitable alternative COVID-19 vaccines available. For this reason, permanent medical exemptions to COVID-19 vaccination will be rarely required. </w:t>
      </w:r>
      <w:r w:rsidRPr="00AF7A52">
        <w:rPr>
          <w:rStyle w:val="Strong"/>
        </w:rPr>
        <w:t>This factsheet outlines the circumstances in which your doctor can grant a medical exemption for receiving a COVID-19 vaccine.</w:t>
      </w:r>
    </w:p>
    <w:p w14:paraId="07A4F20A" w14:textId="4BAF8D52" w:rsidR="00125829" w:rsidRPr="001C373F" w:rsidRDefault="00125829" w:rsidP="001C373F">
      <w:pPr>
        <w:pStyle w:val="Heading1"/>
      </w:pPr>
      <w:r w:rsidRPr="00365EC7">
        <w:rPr>
          <w:rFonts w:eastAsia="Calibri"/>
        </w:rPr>
        <w:t>What is an exemption?</w:t>
      </w:r>
    </w:p>
    <w:p w14:paraId="5D56EB1B" w14:textId="64379150" w:rsidR="00125829" w:rsidRDefault="00125829" w:rsidP="001C373F">
      <w:r w:rsidRPr="002A7BBA">
        <w:t xml:space="preserve">An exemption is defined in a state or territory public health order and supporting information that sets out an acceptable reason that </w:t>
      </w:r>
      <w:r>
        <w:t xml:space="preserve">someone </w:t>
      </w:r>
      <w:r w:rsidRPr="002A7BBA">
        <w:t xml:space="preserve">does not need to have a COVID-19 vaccine. Each state and territory’s public health order and/or published supporting information sets out the exemptions relevant to that jurisdiction. </w:t>
      </w:r>
      <w:r>
        <w:t>You</w:t>
      </w:r>
      <w:r w:rsidRPr="002A7BBA">
        <w:t xml:space="preserve"> should refer to</w:t>
      </w:r>
      <w:r>
        <w:t xml:space="preserve"> your</w:t>
      </w:r>
      <w:r w:rsidRPr="002A7BBA">
        <w:t xml:space="preserve"> jurisdiction’s published information to understand the exemptions that apply in </w:t>
      </w:r>
      <w:r>
        <w:t>your</w:t>
      </w:r>
      <w:r w:rsidRPr="002A7BBA">
        <w:t xml:space="preserve"> state or territory</w:t>
      </w:r>
      <w:r>
        <w:t>.</w:t>
      </w:r>
    </w:p>
    <w:p w14:paraId="6A864971" w14:textId="532B789A" w:rsidR="00125829" w:rsidRPr="00AD3D18" w:rsidRDefault="00125829" w:rsidP="001C373F">
      <w:pPr>
        <w:pStyle w:val="Heading1"/>
      </w:pPr>
      <w:r w:rsidRPr="00AD3D18">
        <w:t>Wh</w:t>
      </w:r>
      <w:r w:rsidR="007A736C">
        <w:t xml:space="preserve">ich contraindications </w:t>
      </w:r>
      <w:r w:rsidRPr="00AD3D18">
        <w:t>qualif</w:t>
      </w:r>
      <w:r w:rsidR="007A736C">
        <w:t>y</w:t>
      </w:r>
      <w:r w:rsidRPr="00AD3D18">
        <w:t xml:space="preserve"> for a COVID-19 vaccine exemption?</w:t>
      </w:r>
    </w:p>
    <w:p w14:paraId="21637A37" w14:textId="22445658" w:rsidR="00125829" w:rsidRPr="00721D5B" w:rsidRDefault="00125829" w:rsidP="001C373F">
      <w:r w:rsidRPr="00A55401">
        <w:t xml:space="preserve">If you have a medical contraindication to one brand of COVID-19 vaccine, you will most likely be able to safely receive an alternate brand. </w:t>
      </w:r>
      <w:r w:rsidRPr="008412BA">
        <w:t xml:space="preserve">Your doctor can only grant you </w:t>
      </w:r>
      <w:r>
        <w:t>a permanent m</w:t>
      </w:r>
      <w:r w:rsidRPr="00A55401">
        <w:t xml:space="preserve">edical exemption </w:t>
      </w:r>
      <w:r w:rsidRPr="00AA4AF4">
        <w:t xml:space="preserve">if you have medical contraindications to </w:t>
      </w:r>
      <w:r w:rsidRPr="008C5E6C">
        <w:rPr>
          <w:b/>
          <w:bCs/>
        </w:rPr>
        <w:t>all</w:t>
      </w:r>
      <w:r w:rsidRPr="00AA4AF4">
        <w:t xml:space="preserve"> available brands</w:t>
      </w:r>
      <w:r w:rsidRPr="006F4182">
        <w:t xml:space="preserve"> </w:t>
      </w:r>
      <w:r>
        <w:t xml:space="preserve">of </w:t>
      </w:r>
      <w:r w:rsidRPr="00A55401">
        <w:t>COVID-19 vaccine</w:t>
      </w:r>
      <w:r w:rsidRPr="006343CD">
        <w:t xml:space="preserve">. </w:t>
      </w:r>
    </w:p>
    <w:p w14:paraId="00544FD3" w14:textId="77777777" w:rsidR="00125829" w:rsidRPr="006343CD" w:rsidRDefault="00125829" w:rsidP="001C373F">
      <w:r w:rsidRPr="006343CD">
        <w:t>Medical contraindications to COVID-19 vaccines include:</w:t>
      </w:r>
    </w:p>
    <w:p w14:paraId="1FD3AA08" w14:textId="4FDB5CA3" w:rsidR="00AD3D18" w:rsidRPr="00692E54" w:rsidRDefault="00125829" w:rsidP="001C373F">
      <w:pPr>
        <w:pStyle w:val="ListBullet"/>
      </w:pPr>
      <w:r w:rsidRPr="00AF7A52">
        <w:rPr>
          <w:rStyle w:val="Strong"/>
        </w:rPr>
        <w:t>Anaphylaxis</w:t>
      </w:r>
      <w:r w:rsidRPr="008A6AE9">
        <w:t xml:space="preserve"> (severe allergic reaction) to</w:t>
      </w:r>
      <w:r w:rsidR="00C632F1">
        <w:t xml:space="preserve"> a previous dose and to</w:t>
      </w:r>
      <w:r w:rsidRPr="008A6AE9">
        <w:t xml:space="preserve"> any component of the vaccine, which includes:</w:t>
      </w:r>
    </w:p>
    <w:p w14:paraId="7E7824B2" w14:textId="77777777" w:rsidR="00125829" w:rsidRPr="006343CD" w:rsidRDefault="00125829" w:rsidP="001C373F">
      <w:pPr>
        <w:pStyle w:val="ListBullet2"/>
      </w:pPr>
      <w:r w:rsidRPr="006343CD">
        <w:t>For Vaxzevria (AstraZeneca)</w:t>
      </w:r>
      <w:r>
        <w:t xml:space="preserve"> and Nuvaxovid (Novavax)</w:t>
      </w:r>
      <w:r w:rsidRPr="006343CD">
        <w:t>: polysorbate 80</w:t>
      </w:r>
    </w:p>
    <w:p w14:paraId="52A1BD31" w14:textId="78833843" w:rsidR="008202EB" w:rsidRPr="00692E54" w:rsidRDefault="00125829" w:rsidP="001C373F">
      <w:pPr>
        <w:pStyle w:val="ListBullet2"/>
      </w:pPr>
      <w:r w:rsidRPr="006343CD">
        <w:t>For Comirnaty (Pfizer) or Spikevax (Moderna): polyethylene glycol (PEG)</w:t>
      </w:r>
    </w:p>
    <w:p w14:paraId="3C648178" w14:textId="23C05803" w:rsidR="008202EB" w:rsidRPr="005D5F52" w:rsidRDefault="00125829" w:rsidP="001C373F">
      <w:pPr>
        <w:pStyle w:val="ListBullet"/>
      </w:pPr>
      <w:r w:rsidRPr="00AF7A52">
        <w:rPr>
          <w:rStyle w:val="Strong"/>
        </w:rPr>
        <w:t xml:space="preserve">A serious adverse </w:t>
      </w:r>
      <w:r w:rsidRPr="00692E54">
        <w:t>event</w:t>
      </w:r>
      <w:r w:rsidRPr="005D5F52">
        <w:t xml:space="preserve"> caused by a previous dose of </w:t>
      </w:r>
      <w:r>
        <w:t xml:space="preserve">the relevant </w:t>
      </w:r>
      <w:r w:rsidRPr="005D5F52">
        <w:t xml:space="preserve">COVID-19 vaccine (without anything else having been identified as causing the adverse event), and where it </w:t>
      </w:r>
      <w:r>
        <w:lastRenderedPageBreak/>
        <w:t xml:space="preserve">has been reported to a state/territory adverse event surveillance system or the TGA. It needs to be </w:t>
      </w:r>
      <w:r w:rsidRPr="005D5F52">
        <w:t xml:space="preserve">determined by </w:t>
      </w:r>
      <w:r>
        <w:t xml:space="preserve">a </w:t>
      </w:r>
      <w:r w:rsidRPr="005D5F52">
        <w:t>medical specialist or your trained vaccine provider</w:t>
      </w:r>
      <w:r>
        <w:t xml:space="preserve"> </w:t>
      </w:r>
      <w:r w:rsidRPr="005D5F52">
        <w:t xml:space="preserve">that a second dose would risk the event occurring again. </w:t>
      </w:r>
    </w:p>
    <w:p w14:paraId="2E8818FB" w14:textId="48ED2330" w:rsidR="00125829" w:rsidRDefault="00125829" w:rsidP="001C373F">
      <w:pPr>
        <w:pStyle w:val="ListBullet"/>
      </w:pPr>
      <w:r w:rsidRPr="00AF7A52">
        <w:rPr>
          <w:rStyle w:val="Strong"/>
        </w:rPr>
        <w:t>For AstraZeneca:</w:t>
      </w:r>
      <w:r w:rsidRPr="005D5F52">
        <w:t xml:space="preserve"> history of capillary leak syndrome, cerebral venous sinus thrombosis, heparin-induced thrombocytopenia, idiopathic splanchnic</w:t>
      </w:r>
      <w:r w:rsidR="00C632F1">
        <w:t xml:space="preserve"> (mesenteric, </w:t>
      </w:r>
      <w:proofErr w:type="gramStart"/>
      <w:r w:rsidR="00C632F1">
        <w:t>portal</w:t>
      </w:r>
      <w:proofErr w:type="gramEnd"/>
      <w:r w:rsidR="00C632F1">
        <w:t xml:space="preserve"> and splenic) venous</w:t>
      </w:r>
      <w:r w:rsidRPr="005D5F52">
        <w:t xml:space="preserve"> thrombosis or antiphospholipid syndrome with thrombosis.</w:t>
      </w:r>
    </w:p>
    <w:p w14:paraId="36331C71" w14:textId="77777777" w:rsidR="00125829" w:rsidRPr="006343CD" w:rsidRDefault="00125829" w:rsidP="001C373F">
      <w:pPr>
        <w:pStyle w:val="Heading1"/>
        <w:rPr>
          <w:rFonts w:eastAsia="Calibri"/>
        </w:rPr>
      </w:pPr>
      <w:r w:rsidRPr="006343CD">
        <w:rPr>
          <w:rFonts w:eastAsia="Calibri"/>
        </w:rPr>
        <w:t>What qualifies for a temporary COVID-19 vaccine exemption?</w:t>
      </w:r>
    </w:p>
    <w:p w14:paraId="61D6EAEC" w14:textId="177CEE60" w:rsidR="00125829" w:rsidRPr="006343CD" w:rsidRDefault="00125829" w:rsidP="001C373F">
      <w:r w:rsidRPr="006343CD">
        <w:t xml:space="preserve">The Australian Technical Advisory Group on Immunisation (ATAGI) </w:t>
      </w:r>
      <w:r>
        <w:t>has</w:t>
      </w:r>
      <w:r w:rsidRPr="006343CD">
        <w:t xml:space="preserve"> advised that a temporary medical exemption is suitable in the following situations:</w:t>
      </w:r>
    </w:p>
    <w:p w14:paraId="0CFF51B4" w14:textId="77777777" w:rsidR="00125829" w:rsidRPr="00692E54" w:rsidRDefault="00125829" w:rsidP="001C373F">
      <w:pPr>
        <w:pStyle w:val="ListBullet"/>
      </w:pPr>
      <w:r w:rsidRPr="00692E54">
        <w:t>Inflammatory cardiac illness within the past 3 months; myocarditis or pericarditis; acute rheumatic fever or acute rheumatic heart disease (i.e., with active myocardial inflammation); or acute decompensated heart failure</w:t>
      </w:r>
    </w:p>
    <w:p w14:paraId="39EE246F" w14:textId="32CFFAAC" w:rsidR="00125829" w:rsidRPr="00692E54" w:rsidRDefault="00125829" w:rsidP="001C373F">
      <w:pPr>
        <w:pStyle w:val="ListBullet"/>
      </w:pPr>
      <w:r w:rsidRPr="00692E54">
        <w:t xml:space="preserve">Vaccination can be temporarily deferred up to 4 months after </w:t>
      </w:r>
      <w:r w:rsidR="00C632F1">
        <w:t xml:space="preserve">a confirmed </w:t>
      </w:r>
      <w:r w:rsidRPr="00692E54">
        <w:t>infection with COVID-19 and once the acute infection has resolved</w:t>
      </w:r>
    </w:p>
    <w:p w14:paraId="7FF87915" w14:textId="77777777" w:rsidR="00125829" w:rsidRPr="00692E54" w:rsidRDefault="00125829" w:rsidP="001C373F">
      <w:pPr>
        <w:pStyle w:val="ListBullet"/>
      </w:pPr>
      <w:r w:rsidRPr="00692E54">
        <w:t>Until recovery from a major medical condition (such as major surgery or hospital admission for a serious illness)</w:t>
      </w:r>
    </w:p>
    <w:p w14:paraId="7A4A14C2" w14:textId="77777777" w:rsidR="00125829" w:rsidRPr="00692E54" w:rsidRDefault="00125829" w:rsidP="001C373F">
      <w:pPr>
        <w:pStyle w:val="ListBullet"/>
      </w:pPr>
      <w:r w:rsidRPr="00692E54">
        <w:t>Serious adverse event caused by a previous dose of a COVID-19 vaccine, with no acceptable alternative vaccine available</w:t>
      </w:r>
    </w:p>
    <w:p w14:paraId="070B59AE" w14:textId="77777777" w:rsidR="00125829" w:rsidRPr="00692E54" w:rsidRDefault="00125829" w:rsidP="001C373F">
      <w:pPr>
        <w:pStyle w:val="ListBullet"/>
      </w:pPr>
      <w:r w:rsidRPr="00692E54">
        <w:t>Following treatment with a monoclonal antibody for COVID-19</w:t>
      </w:r>
    </w:p>
    <w:p w14:paraId="5DAD0AD2" w14:textId="3D30852B" w:rsidR="00692E54" w:rsidRPr="00692E54" w:rsidRDefault="00125829" w:rsidP="001C373F">
      <w:pPr>
        <w:pStyle w:val="ListBullet"/>
      </w:pPr>
      <w:r w:rsidRPr="00692E54">
        <w:t>In some instances, where the patient may be a risk to themselves or others during the vaccination process</w:t>
      </w:r>
    </w:p>
    <w:p w14:paraId="79A40BB6" w14:textId="12864CE9" w:rsidR="00125829" w:rsidRPr="00637771" w:rsidRDefault="00125829" w:rsidP="0092286D">
      <w:pPr>
        <w:ind w:left="567" w:right="491"/>
      </w:pPr>
      <w:r w:rsidRPr="00637771">
        <w:t>Valid reasons for a temporary exemption include:</w:t>
      </w:r>
    </w:p>
    <w:p w14:paraId="46662866" w14:textId="454148E2" w:rsidR="00125829" w:rsidRDefault="00125829" w:rsidP="001C373F">
      <w:pPr>
        <w:pStyle w:val="ListBullet"/>
      </w:pPr>
      <w:r w:rsidRPr="00637771">
        <w:t>For all COVID-19 vaccines:</w:t>
      </w:r>
    </w:p>
    <w:p w14:paraId="1C25FA7C" w14:textId="646A8488" w:rsidR="00AE7D7A" w:rsidRPr="00CF2B44" w:rsidRDefault="00AE7D7A" w:rsidP="001C373F">
      <w:pPr>
        <w:pStyle w:val="ListBullet"/>
        <w:rPr>
          <w:rFonts w:eastAsia="Arial"/>
          <w:szCs w:val="22"/>
          <w:lang w:val="en-GB"/>
        </w:rPr>
      </w:pPr>
      <w:r w:rsidRPr="00CF2B44">
        <w:rPr>
          <w:lang w:val="en-GB"/>
        </w:rPr>
        <w:t>Inflammatory cardiac illness within the past 3 months, e.g., myocarditis or pericarditis; acute rheumatic fever or acute rheumatic heart disease (i.e., with active myocardial inflammation); or acute decompensated heart failure.</w:t>
      </w:r>
    </w:p>
    <w:p w14:paraId="5828A0A1" w14:textId="1216641C" w:rsidR="00125829" w:rsidRPr="00637771" w:rsidRDefault="00125829" w:rsidP="001C373F">
      <w:pPr>
        <w:pStyle w:val="ListBullet"/>
      </w:pPr>
      <w:r w:rsidRPr="00637771">
        <w:t>Acute major medical condition (</w:t>
      </w:r>
      <w:r w:rsidR="00721D5B" w:rsidRPr="00637771">
        <w:t>e.g.,</w:t>
      </w:r>
      <w:r w:rsidRPr="00637771">
        <w:t xml:space="preserve"> undergoing major surgery or hospital admission for a serious illness).</w:t>
      </w:r>
    </w:p>
    <w:p w14:paraId="29A71695" w14:textId="54BDD80E" w:rsidR="00125829" w:rsidRPr="00637771" w:rsidRDefault="00125829" w:rsidP="001C373F">
      <w:pPr>
        <w:pStyle w:val="ListBullet2"/>
      </w:pPr>
      <w:r w:rsidRPr="00637771">
        <w:t>Typically, these are time-limited conditions (or the medical treatment for them is time limited).</w:t>
      </w:r>
    </w:p>
    <w:p w14:paraId="0A1A20A8" w14:textId="32448EAD" w:rsidR="00125829" w:rsidRPr="00692E54" w:rsidRDefault="00E250EF" w:rsidP="001C373F">
      <w:pPr>
        <w:pStyle w:val="ListBullet"/>
      </w:pPr>
      <w:r>
        <w:t>COVID-19 infection, where v</w:t>
      </w:r>
      <w:r w:rsidR="00125829" w:rsidRPr="00692E54">
        <w:t>accination should be deferred for 3 months after a confirmed infection. The next scheduled dose should be given as soon as possible after the 3-month period.</w:t>
      </w:r>
    </w:p>
    <w:p w14:paraId="50E27711" w14:textId="452ECDE9" w:rsidR="00617903" w:rsidRDefault="00617903" w:rsidP="001C373F">
      <w:pPr>
        <w:pStyle w:val="ListBullet2"/>
      </w:pPr>
      <w:r>
        <w:t xml:space="preserve">When reporting this temporary medical deferral to the Australian Immunisation Register (AIR), choose the category ‘acute major medical illness’ and </w:t>
      </w:r>
      <w:r w:rsidR="00675131">
        <w:t xml:space="preserve">note </w:t>
      </w:r>
      <w:r>
        <w:t>that it is not for a duration longer than 4 months.</w:t>
      </w:r>
    </w:p>
    <w:p w14:paraId="40689EA4" w14:textId="000B438B" w:rsidR="00315D2C" w:rsidRDefault="00125829" w:rsidP="001C373F">
      <w:pPr>
        <w:pStyle w:val="ListBullet2"/>
      </w:pPr>
      <w:r w:rsidRPr="00A01FCE">
        <w:t>Infection needs to be confirmed via</w:t>
      </w:r>
      <w:r w:rsidR="00675131" w:rsidRPr="00A01FCE">
        <w:t xml:space="preserve"> a</w:t>
      </w:r>
      <w:r w:rsidRPr="00A01FCE">
        <w:t xml:space="preserve"> </w:t>
      </w:r>
      <w:r w:rsidR="00617903" w:rsidRPr="00A01FCE">
        <w:t>polymerase chain reaction (</w:t>
      </w:r>
      <w:r w:rsidRPr="00A01FCE">
        <w:t>PCR</w:t>
      </w:r>
      <w:r w:rsidR="00617903" w:rsidRPr="00A01FCE">
        <w:t>)</w:t>
      </w:r>
      <w:r w:rsidR="00DB08B0" w:rsidRPr="00A01FCE">
        <w:t xml:space="preserve"> </w:t>
      </w:r>
      <w:r w:rsidRPr="00A01FCE">
        <w:t>or rapid antigen test (RAT). RAT results should only be accepted where the result has been reported to the relevant jurisdiction reporting system (where possible).</w:t>
      </w:r>
    </w:p>
    <w:p w14:paraId="70991DB2" w14:textId="77777777" w:rsidR="00315D2C" w:rsidRDefault="00A01FCE" w:rsidP="001C373F">
      <w:pPr>
        <w:pStyle w:val="ListBullet"/>
      </w:pPr>
      <w:r w:rsidRPr="00692E54">
        <w:t>Serious adverse event caused by a previous dose of a COVID-19 vaccine, with no acceptable alternative vaccine available</w:t>
      </w:r>
      <w:r>
        <w:t xml:space="preserve">. </w:t>
      </w:r>
    </w:p>
    <w:p w14:paraId="630AF197" w14:textId="346A645D" w:rsidR="00A01FCE" w:rsidRPr="00500F16" w:rsidRDefault="00A01FCE" w:rsidP="001C373F">
      <w:pPr>
        <w:pStyle w:val="ListBullet2"/>
      </w:pPr>
      <w:r w:rsidRPr="00692E54">
        <w:t>In some</w:t>
      </w:r>
      <w:r w:rsidRPr="00637771">
        <w:t xml:space="preserve"> instances, where the patient may be a risk to themselves or others during the </w:t>
      </w:r>
      <w:r w:rsidRPr="00637771">
        <w:lastRenderedPageBreak/>
        <w:t>vaccination process</w:t>
      </w:r>
      <w:r>
        <w:t>.</w:t>
      </w:r>
    </w:p>
    <w:p w14:paraId="50061FEC" w14:textId="1AF997B1" w:rsidR="00125829" w:rsidRPr="00721D5B" w:rsidRDefault="00125829" w:rsidP="001C373F">
      <w:pPr>
        <w:rPr>
          <w:rFonts w:eastAsia="Calibri"/>
        </w:rPr>
      </w:pPr>
      <w:r w:rsidRPr="00A35EFC">
        <w:rPr>
          <w:color w:val="000000"/>
          <w:shd w:val="clear" w:color="auto" w:fill="FFFFFF"/>
        </w:rPr>
        <w:t xml:space="preserve">People with prolonged symptoms from COVID-19 should be vaccinated on a </w:t>
      </w:r>
      <w:r w:rsidR="00DD652D" w:rsidRPr="00A35EFC">
        <w:rPr>
          <w:color w:val="000000"/>
          <w:shd w:val="clear" w:color="auto" w:fill="FFFFFF"/>
        </w:rPr>
        <w:t>case-by-case</w:t>
      </w:r>
      <w:r w:rsidRPr="00A35EFC">
        <w:rPr>
          <w:color w:val="000000"/>
          <w:shd w:val="clear" w:color="auto" w:fill="FFFFFF"/>
        </w:rPr>
        <w:t xml:space="preserve"> basis. </w:t>
      </w:r>
      <w:r w:rsidRPr="00A35EFC">
        <w:t>Chronic symptoms following COVID-19 ("Long COVID”) are not a contraindication to COVID-19 vaccines but do warrant a clinical discussion with the patient.</w:t>
      </w:r>
    </w:p>
    <w:p w14:paraId="1D123BA1" w14:textId="5C9F63D4" w:rsidR="00125829" w:rsidRDefault="00125829" w:rsidP="001C373F">
      <w:pPr>
        <w:rPr>
          <w:b/>
          <w:bCs/>
          <w:lang w:val="en-GB"/>
        </w:rPr>
      </w:pPr>
      <w:r w:rsidRPr="005D5F52">
        <w:rPr>
          <w:lang w:val="en-GB"/>
        </w:rPr>
        <w:t>Pregnancy is not a valid reason for exemption in the absence of any of the criteria listed above.</w:t>
      </w:r>
    </w:p>
    <w:p w14:paraId="41025E84" w14:textId="4480AD57" w:rsidR="00125829" w:rsidRPr="001C373F" w:rsidRDefault="007A736C" w:rsidP="001C373F">
      <w:pPr>
        <w:rPr>
          <w:rStyle w:val="Strong"/>
        </w:rPr>
      </w:pPr>
      <w:r w:rsidRPr="001C373F">
        <w:rPr>
          <w:rStyle w:val="Strong"/>
        </w:rPr>
        <w:t xml:space="preserve">Should a patient require more than 6 months’ exemption, a review is </w:t>
      </w:r>
      <w:proofErr w:type="gramStart"/>
      <w:r w:rsidRPr="001C373F">
        <w:rPr>
          <w:rStyle w:val="Strong"/>
        </w:rPr>
        <w:t>required</w:t>
      </w:r>
      <w:proofErr w:type="gramEnd"/>
      <w:r w:rsidRPr="001C373F">
        <w:rPr>
          <w:rStyle w:val="Strong"/>
        </w:rPr>
        <w:t xml:space="preserve"> and a separate t</w:t>
      </w:r>
      <w:r w:rsidR="00125829" w:rsidRPr="001C373F">
        <w:rPr>
          <w:rStyle w:val="Strong"/>
        </w:rPr>
        <w:t>emporary exemption</w:t>
      </w:r>
      <w:r w:rsidRPr="001C373F">
        <w:rPr>
          <w:rStyle w:val="Strong"/>
        </w:rPr>
        <w:t xml:space="preserve"> be considered</w:t>
      </w:r>
      <w:r w:rsidR="00125829" w:rsidRPr="001C373F">
        <w:rPr>
          <w:rStyle w:val="Strong"/>
        </w:rPr>
        <w:t>.</w:t>
      </w:r>
    </w:p>
    <w:p w14:paraId="12F0D67B" w14:textId="2BF4EF28" w:rsidR="00125829" w:rsidRPr="00DD652D" w:rsidRDefault="00125829" w:rsidP="001C373F">
      <w:pPr>
        <w:pStyle w:val="Heading2"/>
        <w:rPr>
          <w:rFonts w:eastAsia="Calibri"/>
        </w:rPr>
      </w:pPr>
      <w:r w:rsidRPr="00DD652D">
        <w:rPr>
          <w:rFonts w:eastAsia="Calibri"/>
        </w:rPr>
        <w:t>If you have not experienced one of the above conditions, your doctor cannot grant you a medical exemption for COVID-19 vaccination.</w:t>
      </w:r>
    </w:p>
    <w:p w14:paraId="714EFCC0" w14:textId="5C913E8A" w:rsidR="00125829" w:rsidRPr="001C373F" w:rsidRDefault="00125829" w:rsidP="001C373F">
      <w:r w:rsidRPr="00DD652D">
        <w:t>The issuing of a false or inappropriate medical exemption in contradiction to the current ATAGI advice could have serious ramifications for y</w:t>
      </w:r>
      <w:r w:rsidRPr="001C373F">
        <w:t xml:space="preserve">our health care provider. Your provider could face medical sanctions, civil </w:t>
      </w:r>
      <w:proofErr w:type="gramStart"/>
      <w:r w:rsidRPr="001C373F">
        <w:t>penalties</w:t>
      </w:r>
      <w:proofErr w:type="gramEnd"/>
      <w:r w:rsidRPr="001C373F">
        <w:t xml:space="preserve"> or even criminal prosecution.</w:t>
      </w:r>
    </w:p>
    <w:p w14:paraId="1AE420BE" w14:textId="1CBB09CD" w:rsidR="004F0A80" w:rsidRPr="001C373F" w:rsidRDefault="004F0A80" w:rsidP="001C373F">
      <w:r w:rsidRPr="001C373F">
        <w:t>The use of falsified medical exemption documentation is a criminal offence and those found issuing or using such items may face civil or criminal legal proceedings.</w:t>
      </w:r>
    </w:p>
    <w:p w14:paraId="7FD2AB3A" w14:textId="55C396DA" w:rsidR="004F0A80" w:rsidRPr="001C373F" w:rsidRDefault="004F0A80" w:rsidP="001C373F">
      <w:r w:rsidRPr="001C373F">
        <w:t>The Australian Government, in collaboration with states and territories, is actively monitoring the data for COVID-19 medical exemptions.</w:t>
      </w:r>
    </w:p>
    <w:p w14:paraId="236A44AA" w14:textId="4E73C7BA" w:rsidR="004F0A80" w:rsidRPr="00721D5B" w:rsidRDefault="004F0A80" w:rsidP="001C373F">
      <w:pPr>
        <w:rPr>
          <w:rStyle w:val="Hyperlink"/>
        </w:rPr>
      </w:pPr>
      <w:r w:rsidRPr="001C373F">
        <w:t>For detail on the public health order vaccination mandates that may apply in your state or territory, please visit the relevant health departm</w:t>
      </w:r>
      <w:r w:rsidRPr="006343CD">
        <w:rPr>
          <w:rFonts w:eastAsia="Calibri"/>
        </w:rPr>
        <w:t>ent or government websit</w:t>
      </w:r>
      <w:r>
        <w:rPr>
          <w:rFonts w:eastAsia="Calibri"/>
        </w:rPr>
        <w:t xml:space="preserve">e. You may also wish to refer to the ATAGI temporary medical exemption advice </w:t>
      </w:r>
      <w:hyperlink r:id="rId12" w:history="1">
        <w:r w:rsidRPr="00A23811">
          <w:rPr>
            <w:rStyle w:val="Hyperlink"/>
          </w:rPr>
          <w:t>https://www.health.gov.au/resources/publications/atagi-expanded-guidance-on-temporary-medical-exemptions-for-covid-19-vaccines</w:t>
        </w:r>
      </w:hyperlink>
      <w:r w:rsidRPr="00A23811">
        <w:rPr>
          <w:rStyle w:val="Hyperlink"/>
        </w:rPr>
        <w:t xml:space="preserve"> </w:t>
      </w:r>
    </w:p>
    <w:p w14:paraId="24C38440" w14:textId="4AC204A2" w:rsidR="004F0A80" w:rsidRPr="001C373F" w:rsidRDefault="004F0A80" w:rsidP="001C373F">
      <w:pPr>
        <w:rPr>
          <w:rStyle w:val="Strong"/>
        </w:rPr>
      </w:pPr>
      <w:r w:rsidRPr="001C373F">
        <w:t xml:space="preserve">You can also call the Disability Gateway on </w:t>
      </w:r>
      <w:r w:rsidRPr="001C373F">
        <w:rPr>
          <w:rStyle w:val="Strong"/>
        </w:rPr>
        <w:t>1800 643 787</w:t>
      </w:r>
      <w:r w:rsidRPr="001C373F">
        <w:t xml:space="preserve"> or the Coronavirus Hotline on </w:t>
      </w:r>
      <w:r w:rsidRPr="001C373F">
        <w:rPr>
          <w:rStyle w:val="Strong"/>
        </w:rPr>
        <w:t>1800 020 080</w:t>
      </w:r>
    </w:p>
    <w:p w14:paraId="7689F0D4" w14:textId="06AB89C9" w:rsidR="004F0A80" w:rsidRPr="001C373F" w:rsidRDefault="004F0A80" w:rsidP="001C373F">
      <w:r w:rsidRPr="001C373F">
        <w:t xml:space="preserve">If you need information in a language other than English, call the Translating and Interpreting Service on </w:t>
      </w:r>
      <w:r w:rsidRPr="001C373F">
        <w:rPr>
          <w:rStyle w:val="Strong"/>
        </w:rPr>
        <w:t>131 450</w:t>
      </w:r>
      <w:r w:rsidRPr="001C373F">
        <w:t xml:space="preserve"> </w:t>
      </w:r>
    </w:p>
    <w:p w14:paraId="50E7E09C" w14:textId="6116B2AC" w:rsidR="00DE6E4F" w:rsidRDefault="004F0A80" w:rsidP="001C373F">
      <w:pPr>
        <w:rPr>
          <w:noProof/>
        </w:rPr>
      </w:pPr>
      <w:r w:rsidRPr="001C373F">
        <w:t xml:space="preserve">If you are deaf, or have a hearing or speech impairment, you can call the National Relay Service on </w:t>
      </w:r>
      <w:r w:rsidRPr="001C373F">
        <w:rPr>
          <w:rStyle w:val="Strong"/>
        </w:rPr>
        <w:t>133 677</w:t>
      </w:r>
    </w:p>
    <w:p w14:paraId="3ED15FD4" w14:textId="6B4B716A" w:rsidR="006121A6" w:rsidRPr="00721D5B" w:rsidRDefault="006121A6" w:rsidP="001C373F">
      <w:r w:rsidRPr="00507C17">
        <w:rPr>
          <w:noProof/>
        </w:rPr>
        <w:drawing>
          <wp:inline distT="0" distB="0" distL="0" distR="0" wp14:anchorId="484ADFD3" wp14:editId="18CFA372">
            <wp:extent cx="1633540" cy="933450"/>
            <wp:effectExtent l="0" t="0" r="0" b="0"/>
            <wp:docPr id="7" name="Picture 7" descr="T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S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42" cy="9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1A6" w:rsidRPr="00721D5B" w:rsidSect="006121A6">
      <w:headerReference w:type="default" r:id="rId14"/>
      <w:type w:val="continuous"/>
      <w:pgSz w:w="11907" w:h="16840" w:code="9"/>
      <w:pgMar w:top="1559" w:right="1021" w:bottom="1843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7DE7" w14:textId="77777777" w:rsidR="0081395B" w:rsidRDefault="0081395B" w:rsidP="00D048FD">
      <w:r>
        <w:separator/>
      </w:r>
    </w:p>
  </w:endnote>
  <w:endnote w:type="continuationSeparator" w:id="0">
    <w:p w14:paraId="72ED4A69" w14:textId="77777777" w:rsidR="0081395B" w:rsidRDefault="0081395B" w:rsidP="00D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F9D9" w14:textId="77777777" w:rsidR="0081395B" w:rsidRDefault="0081395B" w:rsidP="00D048FD">
      <w:r>
        <w:separator/>
      </w:r>
    </w:p>
  </w:footnote>
  <w:footnote w:type="continuationSeparator" w:id="0">
    <w:p w14:paraId="720AFDCE" w14:textId="77777777" w:rsidR="0081395B" w:rsidRDefault="0081395B" w:rsidP="00D0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8DD8" w14:textId="530C92EA" w:rsidR="00D048FD" w:rsidRDefault="00D048FD" w:rsidP="00D048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D0E2D" wp14:editId="2EECD4FB">
          <wp:simplePos x="0" y="0"/>
          <wp:positionH relativeFrom="margin">
            <wp:posOffset>-657225</wp:posOffset>
          </wp:positionH>
          <wp:positionV relativeFrom="paragraph">
            <wp:posOffset>-498475</wp:posOffset>
          </wp:positionV>
          <wp:extent cx="7581900" cy="10783239"/>
          <wp:effectExtent l="0" t="0" r="0" b="0"/>
          <wp:wrapNone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83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A23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21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C2C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25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029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A4F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7CB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6BF5A"/>
    <w:lvl w:ilvl="0">
      <w:start w:val="1"/>
      <w:numFmt w:val="bullet"/>
      <w:pStyle w:val="ListBullet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367A5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A4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675"/>
    <w:multiLevelType w:val="hybridMultilevel"/>
    <w:tmpl w:val="46C0A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C622C"/>
    <w:multiLevelType w:val="hybridMultilevel"/>
    <w:tmpl w:val="F9FCCF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04826"/>
    <w:multiLevelType w:val="hybridMultilevel"/>
    <w:tmpl w:val="5B343152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59D7D90"/>
    <w:multiLevelType w:val="hybridMultilevel"/>
    <w:tmpl w:val="BCEE79FE"/>
    <w:lvl w:ilvl="0" w:tplc="0C0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4" w15:restartNumberingAfterBreak="0">
    <w:nsid w:val="076A1FE1"/>
    <w:multiLevelType w:val="hybridMultilevel"/>
    <w:tmpl w:val="81DE9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E4051"/>
    <w:multiLevelType w:val="hybridMultilevel"/>
    <w:tmpl w:val="386A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A0AD9"/>
    <w:multiLevelType w:val="hybridMultilevel"/>
    <w:tmpl w:val="B0146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16C72"/>
    <w:multiLevelType w:val="hybridMultilevel"/>
    <w:tmpl w:val="F74A8EAE"/>
    <w:lvl w:ilvl="0" w:tplc="C3AE9FAA">
      <w:start w:val="1"/>
      <w:numFmt w:val="bullet"/>
      <w:pStyle w:val="bullet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6511BA"/>
    <w:multiLevelType w:val="multilevel"/>
    <w:tmpl w:val="70F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4305D5"/>
    <w:multiLevelType w:val="hybridMultilevel"/>
    <w:tmpl w:val="36EE9908"/>
    <w:lvl w:ilvl="0" w:tplc="6D1099FA">
      <w:start w:val="1"/>
      <w:numFmt w:val="decimal"/>
      <w:pStyle w:val="Footnote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444FD"/>
    <w:multiLevelType w:val="hybridMultilevel"/>
    <w:tmpl w:val="DDA82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0C1A"/>
    <w:multiLevelType w:val="hybridMultilevel"/>
    <w:tmpl w:val="0BEE03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7AB797A"/>
    <w:multiLevelType w:val="hybridMultilevel"/>
    <w:tmpl w:val="2BCC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868F9"/>
    <w:multiLevelType w:val="hybridMultilevel"/>
    <w:tmpl w:val="EDE4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5644"/>
    <w:multiLevelType w:val="multilevel"/>
    <w:tmpl w:val="778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F84B60"/>
    <w:multiLevelType w:val="hybridMultilevel"/>
    <w:tmpl w:val="C5587C8A"/>
    <w:lvl w:ilvl="0" w:tplc="1BC82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E31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A2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88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6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3045780"/>
    <w:multiLevelType w:val="hybridMultilevel"/>
    <w:tmpl w:val="008EA5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C11722"/>
    <w:multiLevelType w:val="hybridMultilevel"/>
    <w:tmpl w:val="59244C68"/>
    <w:lvl w:ilvl="0" w:tplc="0C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8" w15:restartNumberingAfterBreak="0">
    <w:nsid w:val="389327F4"/>
    <w:multiLevelType w:val="hybridMultilevel"/>
    <w:tmpl w:val="EA8A6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E63B5"/>
    <w:multiLevelType w:val="hybridMultilevel"/>
    <w:tmpl w:val="D278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6081E"/>
    <w:multiLevelType w:val="hybridMultilevel"/>
    <w:tmpl w:val="43EAE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5190E"/>
    <w:multiLevelType w:val="hybridMultilevel"/>
    <w:tmpl w:val="BA68B64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5904312"/>
    <w:multiLevelType w:val="hybridMultilevel"/>
    <w:tmpl w:val="84DA2B9E"/>
    <w:lvl w:ilvl="0" w:tplc="DA3E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AE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8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2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8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6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A6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4260C0"/>
    <w:multiLevelType w:val="hybridMultilevel"/>
    <w:tmpl w:val="F1D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B6E6D"/>
    <w:multiLevelType w:val="hybridMultilevel"/>
    <w:tmpl w:val="282A281E"/>
    <w:lvl w:ilvl="0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4F4DC6"/>
    <w:multiLevelType w:val="hybridMultilevel"/>
    <w:tmpl w:val="843C6FCC"/>
    <w:lvl w:ilvl="0" w:tplc="049AD8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77E65894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E5713"/>
    <w:multiLevelType w:val="hybridMultilevel"/>
    <w:tmpl w:val="26527C08"/>
    <w:lvl w:ilvl="0" w:tplc="B3BE1D8E">
      <w:start w:val="1"/>
      <w:numFmt w:val="bullet"/>
      <w:pStyle w:val="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2C7090"/>
    <w:multiLevelType w:val="hybridMultilevel"/>
    <w:tmpl w:val="37901B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B57CE"/>
    <w:multiLevelType w:val="hybridMultilevel"/>
    <w:tmpl w:val="99B8A2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023F15"/>
    <w:multiLevelType w:val="hybridMultilevel"/>
    <w:tmpl w:val="11347084"/>
    <w:lvl w:ilvl="0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B11466"/>
    <w:multiLevelType w:val="hybridMultilevel"/>
    <w:tmpl w:val="7C1EE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C7C9A"/>
    <w:multiLevelType w:val="hybridMultilevel"/>
    <w:tmpl w:val="CFA483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BA6DD6"/>
    <w:multiLevelType w:val="hybridMultilevel"/>
    <w:tmpl w:val="FC7CC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10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11"/>
  </w:num>
  <w:num w:numId="12">
    <w:abstractNumId w:val="19"/>
  </w:num>
  <w:num w:numId="13">
    <w:abstractNumId w:val="40"/>
  </w:num>
  <w:num w:numId="14">
    <w:abstractNumId w:val="22"/>
  </w:num>
  <w:num w:numId="15">
    <w:abstractNumId w:val="33"/>
  </w:num>
  <w:num w:numId="16">
    <w:abstractNumId w:val="30"/>
  </w:num>
  <w:num w:numId="17">
    <w:abstractNumId w:val="28"/>
  </w:num>
  <w:num w:numId="18">
    <w:abstractNumId w:val="15"/>
  </w:num>
  <w:num w:numId="19">
    <w:abstractNumId w:val="42"/>
  </w:num>
  <w:num w:numId="20">
    <w:abstractNumId w:val="23"/>
  </w:num>
  <w:num w:numId="21">
    <w:abstractNumId w:val="20"/>
  </w:num>
  <w:num w:numId="22">
    <w:abstractNumId w:val="14"/>
  </w:num>
  <w:num w:numId="23">
    <w:abstractNumId w:val="37"/>
  </w:num>
  <w:num w:numId="24">
    <w:abstractNumId w:val="21"/>
  </w:num>
  <w:num w:numId="25">
    <w:abstractNumId w:val="34"/>
  </w:num>
  <w:num w:numId="26">
    <w:abstractNumId w:val="41"/>
  </w:num>
  <w:num w:numId="27">
    <w:abstractNumId w:val="17"/>
  </w:num>
  <w:num w:numId="28">
    <w:abstractNumId w:val="36"/>
  </w:num>
  <w:num w:numId="29">
    <w:abstractNumId w:val="39"/>
  </w:num>
  <w:num w:numId="30">
    <w:abstractNumId w:val="12"/>
  </w:num>
  <w:num w:numId="31">
    <w:abstractNumId w:val="26"/>
  </w:num>
  <w:num w:numId="32">
    <w:abstractNumId w:val="35"/>
  </w:num>
  <w:num w:numId="33">
    <w:abstractNumId w:val="38"/>
  </w:num>
  <w:num w:numId="34">
    <w:abstractNumId w:val="27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A"/>
    <w:rsid w:val="000307EF"/>
    <w:rsid w:val="00035C17"/>
    <w:rsid w:val="00037B69"/>
    <w:rsid w:val="000401B0"/>
    <w:rsid w:val="00042CF1"/>
    <w:rsid w:val="00055A21"/>
    <w:rsid w:val="000562D0"/>
    <w:rsid w:val="000668F4"/>
    <w:rsid w:val="00076608"/>
    <w:rsid w:val="000939E1"/>
    <w:rsid w:val="000A49F9"/>
    <w:rsid w:val="000C0F8F"/>
    <w:rsid w:val="000D6EA5"/>
    <w:rsid w:val="000F4D91"/>
    <w:rsid w:val="000F7A60"/>
    <w:rsid w:val="00125829"/>
    <w:rsid w:val="001263AB"/>
    <w:rsid w:val="0012672D"/>
    <w:rsid w:val="00130232"/>
    <w:rsid w:val="001358E2"/>
    <w:rsid w:val="00136D45"/>
    <w:rsid w:val="00154B75"/>
    <w:rsid w:val="001665DB"/>
    <w:rsid w:val="00173B31"/>
    <w:rsid w:val="001A05A7"/>
    <w:rsid w:val="001A33D5"/>
    <w:rsid w:val="001A5973"/>
    <w:rsid w:val="001B2DB8"/>
    <w:rsid w:val="001C373F"/>
    <w:rsid w:val="001C71A1"/>
    <w:rsid w:val="001E12AC"/>
    <w:rsid w:val="001F63EE"/>
    <w:rsid w:val="00204C0C"/>
    <w:rsid w:val="00215835"/>
    <w:rsid w:val="00220EEB"/>
    <w:rsid w:val="00241C0A"/>
    <w:rsid w:val="00267EB8"/>
    <w:rsid w:val="00270821"/>
    <w:rsid w:val="002819E4"/>
    <w:rsid w:val="002B3E92"/>
    <w:rsid w:val="002D3F76"/>
    <w:rsid w:val="002D5116"/>
    <w:rsid w:val="002E25B0"/>
    <w:rsid w:val="0031378E"/>
    <w:rsid w:val="003148A4"/>
    <w:rsid w:val="00315D2C"/>
    <w:rsid w:val="00321BE5"/>
    <w:rsid w:val="00337E4A"/>
    <w:rsid w:val="00343BAA"/>
    <w:rsid w:val="00361B66"/>
    <w:rsid w:val="0038265E"/>
    <w:rsid w:val="003930F7"/>
    <w:rsid w:val="003A508B"/>
    <w:rsid w:val="003B01C3"/>
    <w:rsid w:val="003B18E8"/>
    <w:rsid w:val="003B49BE"/>
    <w:rsid w:val="003E688D"/>
    <w:rsid w:val="003F54EA"/>
    <w:rsid w:val="00433D85"/>
    <w:rsid w:val="00434E14"/>
    <w:rsid w:val="00445147"/>
    <w:rsid w:val="00457F3D"/>
    <w:rsid w:val="00466051"/>
    <w:rsid w:val="004676C1"/>
    <w:rsid w:val="00473293"/>
    <w:rsid w:val="004744C2"/>
    <w:rsid w:val="00486815"/>
    <w:rsid w:val="004A2D41"/>
    <w:rsid w:val="004D328A"/>
    <w:rsid w:val="004F0A80"/>
    <w:rsid w:val="005014E2"/>
    <w:rsid w:val="00522EBB"/>
    <w:rsid w:val="00532456"/>
    <w:rsid w:val="005430C8"/>
    <w:rsid w:val="00547788"/>
    <w:rsid w:val="005707AC"/>
    <w:rsid w:val="0058298F"/>
    <w:rsid w:val="00583C16"/>
    <w:rsid w:val="005C4DC1"/>
    <w:rsid w:val="005C5C46"/>
    <w:rsid w:val="005D68BA"/>
    <w:rsid w:val="005E26D8"/>
    <w:rsid w:val="00606723"/>
    <w:rsid w:val="006108A3"/>
    <w:rsid w:val="006121A6"/>
    <w:rsid w:val="00612AD4"/>
    <w:rsid w:val="0061573C"/>
    <w:rsid w:val="00617903"/>
    <w:rsid w:val="0062461D"/>
    <w:rsid w:val="006271D0"/>
    <w:rsid w:val="00637771"/>
    <w:rsid w:val="00650885"/>
    <w:rsid w:val="00651B55"/>
    <w:rsid w:val="00660466"/>
    <w:rsid w:val="00664811"/>
    <w:rsid w:val="00675131"/>
    <w:rsid w:val="00692E54"/>
    <w:rsid w:val="0069395A"/>
    <w:rsid w:val="006B5128"/>
    <w:rsid w:val="006E068C"/>
    <w:rsid w:val="006E0922"/>
    <w:rsid w:val="00721D5B"/>
    <w:rsid w:val="00724D74"/>
    <w:rsid w:val="00735A37"/>
    <w:rsid w:val="00745D7D"/>
    <w:rsid w:val="00765BF1"/>
    <w:rsid w:val="00781609"/>
    <w:rsid w:val="00786C17"/>
    <w:rsid w:val="007A736C"/>
    <w:rsid w:val="007B3567"/>
    <w:rsid w:val="007D7CDC"/>
    <w:rsid w:val="0081395B"/>
    <w:rsid w:val="008202EB"/>
    <w:rsid w:val="00821516"/>
    <w:rsid w:val="00832238"/>
    <w:rsid w:val="00866FF8"/>
    <w:rsid w:val="008A6AE9"/>
    <w:rsid w:val="008E682F"/>
    <w:rsid w:val="008F7CF7"/>
    <w:rsid w:val="0090727C"/>
    <w:rsid w:val="0092286D"/>
    <w:rsid w:val="00923E7A"/>
    <w:rsid w:val="00924B62"/>
    <w:rsid w:val="00931D20"/>
    <w:rsid w:val="00943029"/>
    <w:rsid w:val="009472EC"/>
    <w:rsid w:val="0096304B"/>
    <w:rsid w:val="009754FE"/>
    <w:rsid w:val="009B0BEA"/>
    <w:rsid w:val="009B3421"/>
    <w:rsid w:val="009F0171"/>
    <w:rsid w:val="009F407E"/>
    <w:rsid w:val="00A01FCE"/>
    <w:rsid w:val="00A100B1"/>
    <w:rsid w:val="00A36FFA"/>
    <w:rsid w:val="00A56958"/>
    <w:rsid w:val="00A62BEA"/>
    <w:rsid w:val="00A64273"/>
    <w:rsid w:val="00A71CBD"/>
    <w:rsid w:val="00AA34B6"/>
    <w:rsid w:val="00AA75C7"/>
    <w:rsid w:val="00AB27F2"/>
    <w:rsid w:val="00AD3D18"/>
    <w:rsid w:val="00AD59CB"/>
    <w:rsid w:val="00AE34B5"/>
    <w:rsid w:val="00AE7D7A"/>
    <w:rsid w:val="00AF2073"/>
    <w:rsid w:val="00AF7A52"/>
    <w:rsid w:val="00B11880"/>
    <w:rsid w:val="00B16935"/>
    <w:rsid w:val="00B24291"/>
    <w:rsid w:val="00B51632"/>
    <w:rsid w:val="00B531F3"/>
    <w:rsid w:val="00B60B91"/>
    <w:rsid w:val="00B919B0"/>
    <w:rsid w:val="00B92C8C"/>
    <w:rsid w:val="00BA58F8"/>
    <w:rsid w:val="00BC11AB"/>
    <w:rsid w:val="00BC5B8F"/>
    <w:rsid w:val="00BF156F"/>
    <w:rsid w:val="00BF72F2"/>
    <w:rsid w:val="00C323A9"/>
    <w:rsid w:val="00C33FB0"/>
    <w:rsid w:val="00C632F1"/>
    <w:rsid w:val="00C80877"/>
    <w:rsid w:val="00C931CF"/>
    <w:rsid w:val="00C9442D"/>
    <w:rsid w:val="00C95132"/>
    <w:rsid w:val="00CB0071"/>
    <w:rsid w:val="00CB0342"/>
    <w:rsid w:val="00CF2B44"/>
    <w:rsid w:val="00CF6588"/>
    <w:rsid w:val="00D048FD"/>
    <w:rsid w:val="00D2317B"/>
    <w:rsid w:val="00D55A31"/>
    <w:rsid w:val="00D56A47"/>
    <w:rsid w:val="00D573F2"/>
    <w:rsid w:val="00D65E2A"/>
    <w:rsid w:val="00D822FA"/>
    <w:rsid w:val="00D8617B"/>
    <w:rsid w:val="00DB08B0"/>
    <w:rsid w:val="00DC46FB"/>
    <w:rsid w:val="00DD652D"/>
    <w:rsid w:val="00DE6E4F"/>
    <w:rsid w:val="00E02018"/>
    <w:rsid w:val="00E04244"/>
    <w:rsid w:val="00E12B49"/>
    <w:rsid w:val="00E17F66"/>
    <w:rsid w:val="00E250EF"/>
    <w:rsid w:val="00E32BE4"/>
    <w:rsid w:val="00E3696F"/>
    <w:rsid w:val="00E4423A"/>
    <w:rsid w:val="00E642C5"/>
    <w:rsid w:val="00E76D76"/>
    <w:rsid w:val="00E8427E"/>
    <w:rsid w:val="00E85B54"/>
    <w:rsid w:val="00E91B0E"/>
    <w:rsid w:val="00EC62AD"/>
    <w:rsid w:val="00EE2F50"/>
    <w:rsid w:val="00F136A2"/>
    <w:rsid w:val="00F15DDC"/>
    <w:rsid w:val="00F2206A"/>
    <w:rsid w:val="00F33527"/>
    <w:rsid w:val="00F402F9"/>
    <w:rsid w:val="00F4681C"/>
    <w:rsid w:val="00F51FCF"/>
    <w:rsid w:val="00F572D8"/>
    <w:rsid w:val="00F70F06"/>
    <w:rsid w:val="00F7766E"/>
    <w:rsid w:val="00F8223B"/>
    <w:rsid w:val="00FC1324"/>
    <w:rsid w:val="00FE4A61"/>
    <w:rsid w:val="00FE6E69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C23FF"/>
  <w15:docId w15:val="{AED49333-3818-41F0-94CF-DAD0E778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3F"/>
    <w:pPr>
      <w:tabs>
        <w:tab w:val="left" w:pos="1418"/>
      </w:tabs>
      <w:spacing w:before="120" w:after="120"/>
    </w:pPr>
    <w:rPr>
      <w:rFonts w:ascii="Arial" w:eastAsia="Verdana" w:hAnsi="Arial" w:cs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D18"/>
    <w:pPr>
      <w:keepNext/>
      <w:keepLines/>
      <w:spacing w:before="240" w:after="240"/>
      <w:outlineLvl w:val="0"/>
    </w:pPr>
    <w:rPr>
      <w:rFonts w:eastAsiaTheme="majorEastAsia" w:cstheme="majorBidi"/>
      <w:b/>
      <w:color w:val="3565A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C373F"/>
    <w:pPr>
      <w:spacing w:before="40"/>
      <w:outlineLvl w:val="1"/>
    </w:pPr>
    <w:rPr>
      <w:color w:val="E36C0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6"/>
      <w:ind w:left="115"/>
    </w:pPr>
    <w:rPr>
      <w:sz w:val="14"/>
      <w:szCs w:val="14"/>
    </w:rPr>
  </w:style>
  <w:style w:type="paragraph" w:styleId="Title">
    <w:name w:val="Title"/>
    <w:uiPriority w:val="10"/>
    <w:qFormat/>
    <w:rsid w:val="001C373F"/>
    <w:pPr>
      <w:spacing w:before="240" w:after="240"/>
    </w:pPr>
    <w:rPr>
      <w:rFonts w:ascii="Arial Rounded MT Bold" w:eastAsia="Verdana" w:hAnsi="Arial Rounded MT Bold"/>
      <w:color w:val="E36C0A"/>
      <w:kern w:val="24"/>
      <w:sz w:val="76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37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6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69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A7"/>
    <w:rPr>
      <w:rFonts w:ascii="Segoe UI" w:eastAsia="Verdan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05A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6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3F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57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3F2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D573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Emphasis">
    <w:name w:val="Emphasis"/>
    <w:basedOn w:val="DefaultParagraphFont"/>
    <w:uiPriority w:val="20"/>
    <w:qFormat/>
    <w:rsid w:val="001A5973"/>
    <w:rPr>
      <w:i/>
      <w:iCs/>
    </w:rPr>
  </w:style>
  <w:style w:type="character" w:styleId="SubtleReference">
    <w:name w:val="Subtle Reference"/>
    <w:uiPriority w:val="31"/>
    <w:qFormat/>
    <w:rsid w:val="003A508B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781609"/>
    <w:pPr>
      <w:widowControl/>
      <w:autoSpaceDE/>
      <w:autoSpaceDN/>
    </w:pPr>
    <w:rPr>
      <w:rFonts w:ascii="Verdana" w:eastAsia="Verdana" w:hAnsi="Verdana" w:cs="Verdana"/>
    </w:rPr>
  </w:style>
  <w:style w:type="paragraph" w:customStyle="1" w:styleId="Footnotes">
    <w:name w:val="Footnotes"/>
    <w:basedOn w:val="ListParagraph"/>
    <w:qFormat/>
    <w:rsid w:val="003E688D"/>
    <w:pPr>
      <w:numPr>
        <w:numId w:val="12"/>
      </w:numPr>
      <w:spacing w:line="276" w:lineRule="auto"/>
      <w:ind w:left="426" w:hanging="426"/>
    </w:pPr>
    <w:rPr>
      <w:sz w:val="18"/>
      <w:szCs w:val="18"/>
    </w:rPr>
  </w:style>
  <w:style w:type="paragraph" w:customStyle="1" w:styleId="Normal-Bold">
    <w:name w:val="Normal - Bold"/>
    <w:basedOn w:val="Normal"/>
    <w:qFormat/>
    <w:rsid w:val="00B919B0"/>
    <w:rPr>
      <w:b/>
      <w:bCs/>
    </w:rPr>
  </w:style>
  <w:style w:type="paragraph" w:customStyle="1" w:styleId="Table-Bold">
    <w:name w:val="Table - Bold"/>
    <w:basedOn w:val="Normal-Bold"/>
    <w:qFormat/>
    <w:rsid w:val="00B919B0"/>
  </w:style>
  <w:style w:type="paragraph" w:customStyle="1" w:styleId="Table-Normal">
    <w:name w:val="Table - Normal"/>
    <w:basedOn w:val="Normal"/>
    <w:qFormat/>
    <w:rsid w:val="00B919B0"/>
    <w:rPr>
      <w:noProof/>
    </w:rPr>
  </w:style>
  <w:style w:type="paragraph" w:customStyle="1" w:styleId="Normal-Blue">
    <w:name w:val="Normal - Blue"/>
    <w:basedOn w:val="Normal"/>
    <w:qFormat/>
    <w:rsid w:val="00445147"/>
    <w:rPr>
      <w:color w:val="153A6E"/>
    </w:rPr>
  </w:style>
  <w:style w:type="character" w:customStyle="1" w:styleId="Heading1Char">
    <w:name w:val="Heading 1 Char"/>
    <w:basedOn w:val="DefaultParagraphFont"/>
    <w:link w:val="Heading1"/>
    <w:uiPriority w:val="9"/>
    <w:rsid w:val="00AD3D18"/>
    <w:rPr>
      <w:rFonts w:ascii="Arial" w:eastAsiaTheme="majorEastAsia" w:hAnsi="Arial" w:cstheme="majorBidi"/>
      <w:b/>
      <w:color w:val="3565A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373F"/>
    <w:rPr>
      <w:rFonts w:ascii="Arial" w:eastAsiaTheme="majorEastAsia" w:hAnsi="Arial" w:cstheme="majorBidi"/>
      <w:b/>
      <w:color w:val="E36C0A"/>
      <w:sz w:val="28"/>
      <w:szCs w:val="26"/>
    </w:rPr>
  </w:style>
  <w:style w:type="paragraph" w:customStyle="1" w:styleId="bullet1">
    <w:name w:val="bullet1"/>
    <w:basedOn w:val="ListParagraph"/>
    <w:qFormat/>
    <w:rsid w:val="00692E54"/>
    <w:pPr>
      <w:numPr>
        <w:numId w:val="28"/>
      </w:numPr>
      <w:tabs>
        <w:tab w:val="clear" w:pos="1418"/>
      </w:tabs>
      <w:ind w:left="1281" w:right="493" w:hanging="357"/>
    </w:pPr>
    <w:rPr>
      <w:rFonts w:eastAsia="Calibri"/>
    </w:rPr>
  </w:style>
  <w:style w:type="paragraph" w:customStyle="1" w:styleId="bullet2">
    <w:name w:val="bullet2"/>
    <w:basedOn w:val="ListParagraph"/>
    <w:qFormat/>
    <w:rsid w:val="00692E54"/>
    <w:pPr>
      <w:numPr>
        <w:numId w:val="27"/>
      </w:numPr>
      <w:tabs>
        <w:tab w:val="clear" w:pos="1418"/>
      </w:tabs>
      <w:ind w:left="1916" w:right="493" w:hanging="357"/>
    </w:pPr>
    <w:rPr>
      <w:rFonts w:eastAsia="Calibri"/>
    </w:rPr>
  </w:style>
  <w:style w:type="paragraph" w:styleId="ListBullet">
    <w:name w:val="List Bullet"/>
    <w:basedOn w:val="Normal"/>
    <w:uiPriority w:val="99"/>
    <w:unhideWhenUsed/>
    <w:rsid w:val="001C373F"/>
    <w:pPr>
      <w:numPr>
        <w:numId w:val="36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1C373F"/>
    <w:rPr>
      <w:rFonts w:ascii="Arial" w:eastAsia="Verdana" w:hAnsi="Arial" w:cs="Arial"/>
      <w:color w:val="000000" w:themeColor="text1"/>
      <w:sz w:val="14"/>
      <w:szCs w:val="14"/>
    </w:rPr>
  </w:style>
  <w:style w:type="paragraph" w:styleId="ListBullet2">
    <w:name w:val="List Bullet 2"/>
    <w:basedOn w:val="Normal"/>
    <w:uiPriority w:val="99"/>
    <w:unhideWhenUsed/>
    <w:rsid w:val="001C373F"/>
    <w:pPr>
      <w:numPr>
        <w:numId w:val="37"/>
      </w:numPr>
      <w:contextualSpacing/>
    </w:pPr>
  </w:style>
  <w:style w:type="character" w:styleId="Strong">
    <w:name w:val="Strong"/>
    <w:basedOn w:val="DefaultParagraphFont"/>
    <w:uiPriority w:val="22"/>
    <w:qFormat/>
    <w:rsid w:val="001C3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atagi-expanded-guidance-on-temporary-medical-exemptions-for-covid-19-vacc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83F0-B7E0-4F1D-9120-9E1F0378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567EA-EB06-457A-9FE6-5BCD9B1A5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A0F8B-B820-4CFB-9DBE-320357625A4F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4.xml><?xml version="1.0" encoding="utf-8"?>
<ds:datastoreItem xmlns:ds="http://schemas.openxmlformats.org/officeDocument/2006/customXml" ds:itemID="{842D8667-00C4-4EE9-9912-5B54E036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DT0002300 - COVID-19 vaccine comparison A3 poster_v03 (6)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Exemptions</dc:title>
  <dc:subject>COVID-19 Vaccine</dc:subject>
  <dc:creator>Australian Government Department of Health and Aged Care</dc:creator>
  <cp:keywords>COVID-19 Vaccine</cp:keywords>
  <cp:lastModifiedBy>MASCHKE, Elvia</cp:lastModifiedBy>
  <cp:revision>2</cp:revision>
  <dcterms:created xsi:type="dcterms:W3CDTF">2022-09-12T22:11:00Z</dcterms:created>
  <dcterms:modified xsi:type="dcterms:W3CDTF">2022-09-12T22:11:00Z</dcterms:modified>
</cp:coreProperties>
</file>