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AD7F" w14:textId="589F3A38" w:rsidR="00CD1FAA" w:rsidRPr="00330F21" w:rsidRDefault="00FC32F0" w:rsidP="00330F21">
      <w:pPr>
        <w:pStyle w:val="covTitle"/>
        <w:spacing w:before="7680"/>
        <w:ind w:left="0"/>
      </w:pPr>
      <w:r w:rsidRPr="007220FA">
        <w:rPr>
          <w:noProof/>
        </w:rPr>
        <w:drawing>
          <wp:anchor distT="0" distB="0" distL="114300" distR="0" simplePos="0" relativeHeight="251658241" behindDoc="0" locked="0" layoutInCell="1" allowOverlap="0" wp14:anchorId="5DBBE007" wp14:editId="349317DA">
            <wp:simplePos x="0" y="0"/>
            <wp:positionH relativeFrom="page">
              <wp:posOffset>5786120</wp:posOffset>
            </wp:positionH>
            <wp:positionV relativeFrom="page">
              <wp:posOffset>361950</wp:posOffset>
            </wp:positionV>
            <wp:extent cx="1552575" cy="371475"/>
            <wp:effectExtent l="0" t="0" r="0" b="0"/>
            <wp:wrapSquare wrapText="bothSides"/>
            <wp:docPr id="8" name="Picture 4" descr="Maddocks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Maddocks ba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0FA">
        <w:rPr>
          <w:noProof/>
        </w:rPr>
        <mc:AlternateContent>
          <mc:Choice Requires="wps">
            <w:drawing>
              <wp:anchor distT="0" distB="0" distL="114300" distR="114300" simplePos="0" relativeHeight="251658240" behindDoc="0" locked="0" layoutInCell="0" allowOverlap="0" wp14:anchorId="7108B767" wp14:editId="3CD9C47B">
                <wp:simplePos x="0" y="0"/>
                <wp:positionH relativeFrom="page">
                  <wp:posOffset>5779135</wp:posOffset>
                </wp:positionH>
                <wp:positionV relativeFrom="page">
                  <wp:posOffset>932815</wp:posOffset>
                </wp:positionV>
                <wp:extent cx="1814195" cy="11518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4992" w14:textId="77777777" w:rsidR="00330F21" w:rsidRDefault="00330F21" w:rsidP="003B73F1">
                            <w:pPr>
                              <w:spacing w:before="120"/>
                              <w:rPr>
                                <w:sz w:val="14"/>
                                <w:szCs w:val="14"/>
                              </w:rPr>
                            </w:pPr>
                            <w:r>
                              <w:rPr>
                                <w:sz w:val="14"/>
                                <w:szCs w:val="14"/>
                              </w:rPr>
                              <w:t>Lawyers</w:t>
                            </w:r>
                          </w:p>
                          <w:p w14:paraId="26E655C2" w14:textId="77777777" w:rsidR="00330F21" w:rsidRDefault="00330F21" w:rsidP="003B73F1">
                            <w:pPr>
                              <w:rPr>
                                <w:sz w:val="14"/>
                                <w:szCs w:val="14"/>
                              </w:rPr>
                            </w:pPr>
                            <w:r>
                              <w:rPr>
                                <w:sz w:val="14"/>
                                <w:szCs w:val="14"/>
                              </w:rPr>
                              <w:t>Level 1</w:t>
                            </w:r>
                          </w:p>
                          <w:p w14:paraId="6D74C6B8" w14:textId="77777777" w:rsidR="00330F21" w:rsidRDefault="00330F21" w:rsidP="003B73F1">
                            <w:pPr>
                              <w:rPr>
                                <w:sz w:val="14"/>
                                <w:szCs w:val="14"/>
                              </w:rPr>
                            </w:pPr>
                            <w:r>
                              <w:rPr>
                                <w:sz w:val="14"/>
                                <w:szCs w:val="14"/>
                              </w:rPr>
                              <w:t>40 Macquarie Street</w:t>
                            </w:r>
                          </w:p>
                          <w:p w14:paraId="33F8797B" w14:textId="77777777" w:rsidR="00330F21" w:rsidRDefault="00330F21" w:rsidP="003B73F1">
                            <w:pPr>
                              <w:rPr>
                                <w:sz w:val="14"/>
                                <w:szCs w:val="14"/>
                              </w:rPr>
                            </w:pPr>
                            <w:r>
                              <w:rPr>
                                <w:sz w:val="14"/>
                                <w:szCs w:val="14"/>
                              </w:rPr>
                              <w:t>Barton ACT 2600 Australia</w:t>
                            </w:r>
                          </w:p>
                          <w:p w14:paraId="5E59283E" w14:textId="77777777" w:rsidR="00330F21" w:rsidRDefault="00330F21" w:rsidP="003B73F1">
                            <w:pPr>
                              <w:spacing w:before="120"/>
                              <w:rPr>
                                <w:sz w:val="14"/>
                                <w:szCs w:val="14"/>
                              </w:rPr>
                            </w:pPr>
                            <w:r>
                              <w:rPr>
                                <w:sz w:val="14"/>
                                <w:szCs w:val="14"/>
                              </w:rPr>
                              <w:t>Telephone 61 2 6120 4800</w:t>
                            </w:r>
                          </w:p>
                          <w:p w14:paraId="1D69B415" w14:textId="77777777" w:rsidR="00330F21" w:rsidRDefault="00330F21" w:rsidP="003B73F1">
                            <w:pPr>
                              <w:rPr>
                                <w:sz w:val="14"/>
                                <w:szCs w:val="14"/>
                              </w:rPr>
                            </w:pPr>
                            <w:r>
                              <w:rPr>
                                <w:sz w:val="14"/>
                                <w:szCs w:val="14"/>
                              </w:rPr>
                              <w:t>Facsimile 61 2 6230 1479</w:t>
                            </w:r>
                          </w:p>
                          <w:p w14:paraId="7B2E5022" w14:textId="77777777" w:rsidR="00330F21" w:rsidRDefault="00330F21" w:rsidP="003B73F1">
                            <w:pPr>
                              <w:spacing w:before="120"/>
                              <w:rPr>
                                <w:sz w:val="14"/>
                                <w:szCs w:val="14"/>
                              </w:rPr>
                            </w:pPr>
                            <w:r>
                              <w:rPr>
                                <w:sz w:val="14"/>
                                <w:szCs w:val="14"/>
                              </w:rPr>
                              <w:t>info@maddocks.com.au</w:t>
                            </w:r>
                          </w:p>
                          <w:p w14:paraId="3AC525A2" w14:textId="77777777" w:rsidR="00330F21" w:rsidRDefault="00330F21" w:rsidP="003B73F1">
                            <w:pPr>
                              <w:rPr>
                                <w:sz w:val="14"/>
                                <w:szCs w:val="14"/>
                              </w:rPr>
                            </w:pPr>
                            <w:r>
                              <w:rPr>
                                <w:sz w:val="14"/>
                                <w:szCs w:val="14"/>
                              </w:rPr>
                              <w:t>www.maddocks.com.au</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8B767" id="_x0000_t202" coordsize="21600,21600" o:spt="202" path="m,l,21600r21600,l21600,xe">
                <v:stroke joinstyle="miter"/>
                <v:path gradientshapeok="t" o:connecttype="rect"/>
              </v:shapetype>
              <v:shape id="Text Box 1" o:spid="_x0000_s1026" type="#_x0000_t202" style="position:absolute;margin-left:455.05pt;margin-top:73.45pt;width:142.85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" o:allowincell="f" o:allowoverlap="f" filled="f" stroked="f">
                <v:textbox inset=",.3mm,,.3mm">
                  <w:txbxContent>
                    <w:p w14:paraId="70EF4992" w14:textId="77777777" w:rsidR="00330F21" w:rsidRDefault="00330F21" w:rsidP="003B73F1">
                      <w:pPr>
                        <w:spacing w:before="120"/>
                        <w:rPr>
                          <w:sz w:val="14"/>
                          <w:szCs w:val="14"/>
                        </w:rPr>
                      </w:pPr>
                      <w:r>
                        <w:rPr>
                          <w:sz w:val="14"/>
                          <w:szCs w:val="14"/>
                        </w:rPr>
                        <w:t>Lawyers</w:t>
                      </w:r>
                    </w:p>
                    <w:p w14:paraId="26E655C2" w14:textId="77777777" w:rsidR="00330F21" w:rsidRDefault="00330F21" w:rsidP="003B73F1">
                      <w:pPr>
                        <w:rPr>
                          <w:sz w:val="14"/>
                          <w:szCs w:val="14"/>
                        </w:rPr>
                      </w:pPr>
                      <w:r>
                        <w:rPr>
                          <w:sz w:val="14"/>
                          <w:szCs w:val="14"/>
                        </w:rPr>
                        <w:t>Level 1</w:t>
                      </w:r>
                    </w:p>
                    <w:p w14:paraId="6D74C6B8" w14:textId="77777777" w:rsidR="00330F21" w:rsidRDefault="00330F21" w:rsidP="003B73F1">
                      <w:pPr>
                        <w:rPr>
                          <w:sz w:val="14"/>
                          <w:szCs w:val="14"/>
                        </w:rPr>
                      </w:pPr>
                      <w:r>
                        <w:rPr>
                          <w:sz w:val="14"/>
                          <w:szCs w:val="14"/>
                        </w:rPr>
                        <w:t>40 Macquarie Street</w:t>
                      </w:r>
                    </w:p>
                    <w:p w14:paraId="33F8797B" w14:textId="77777777" w:rsidR="00330F21" w:rsidRDefault="00330F21" w:rsidP="003B73F1">
                      <w:pPr>
                        <w:rPr>
                          <w:sz w:val="14"/>
                          <w:szCs w:val="14"/>
                        </w:rPr>
                      </w:pPr>
                      <w:r>
                        <w:rPr>
                          <w:sz w:val="14"/>
                          <w:szCs w:val="14"/>
                        </w:rPr>
                        <w:t>Barton ACT 2600 Australia</w:t>
                      </w:r>
                    </w:p>
                    <w:p w14:paraId="5E59283E" w14:textId="77777777" w:rsidR="00330F21" w:rsidRDefault="00330F21" w:rsidP="003B73F1">
                      <w:pPr>
                        <w:spacing w:before="120"/>
                        <w:rPr>
                          <w:sz w:val="14"/>
                          <w:szCs w:val="14"/>
                        </w:rPr>
                      </w:pPr>
                      <w:r>
                        <w:rPr>
                          <w:sz w:val="14"/>
                          <w:szCs w:val="14"/>
                        </w:rPr>
                        <w:t>Telephone 61 2 6120 4800</w:t>
                      </w:r>
                    </w:p>
                    <w:p w14:paraId="1D69B415" w14:textId="77777777" w:rsidR="00330F21" w:rsidRDefault="00330F21" w:rsidP="003B73F1">
                      <w:pPr>
                        <w:rPr>
                          <w:sz w:val="14"/>
                          <w:szCs w:val="14"/>
                        </w:rPr>
                      </w:pPr>
                      <w:r>
                        <w:rPr>
                          <w:sz w:val="14"/>
                          <w:szCs w:val="14"/>
                        </w:rPr>
                        <w:t>Facsimile 61 2 6230 1479</w:t>
                      </w:r>
                    </w:p>
                    <w:p w14:paraId="7B2E5022" w14:textId="77777777" w:rsidR="00330F21" w:rsidRDefault="00330F21" w:rsidP="003B73F1">
                      <w:pPr>
                        <w:spacing w:before="120"/>
                        <w:rPr>
                          <w:sz w:val="14"/>
                          <w:szCs w:val="14"/>
                        </w:rPr>
                      </w:pPr>
                      <w:r>
                        <w:rPr>
                          <w:sz w:val="14"/>
                          <w:szCs w:val="14"/>
                        </w:rPr>
                        <w:t>info@maddocks.com.au</w:t>
                      </w:r>
                    </w:p>
                    <w:p w14:paraId="3AC525A2" w14:textId="77777777" w:rsidR="00330F21" w:rsidRDefault="00330F21" w:rsidP="003B73F1">
                      <w:pPr>
                        <w:rPr>
                          <w:sz w:val="14"/>
                          <w:szCs w:val="14"/>
                        </w:rPr>
                      </w:pPr>
                      <w:r>
                        <w:rPr>
                          <w:sz w:val="14"/>
                          <w:szCs w:val="14"/>
                        </w:rPr>
                        <w:t>www.maddocks.com.au</w:t>
                      </w:r>
                    </w:p>
                  </w:txbxContent>
                </v:textbox>
                <w10:wrap type="square" anchorx="page" anchory="page"/>
              </v:shape>
            </w:pict>
          </mc:Fallback>
        </mc:AlternateContent>
      </w:r>
      <w:r w:rsidR="00CD1FAA" w:rsidRPr="007220FA">
        <w:rPr>
          <w:sz w:val="52"/>
          <w:szCs w:val="52"/>
        </w:rPr>
        <w:t xml:space="preserve">Department of </w:t>
      </w:r>
      <w:r w:rsidR="00DF17FA" w:rsidRPr="007220FA">
        <w:rPr>
          <w:sz w:val="52"/>
          <w:szCs w:val="52"/>
        </w:rPr>
        <w:t>Health</w:t>
      </w:r>
      <w:r w:rsidR="00CD1FAA" w:rsidRPr="007220FA">
        <w:rPr>
          <w:sz w:val="52"/>
          <w:szCs w:val="52"/>
        </w:rPr>
        <w:t xml:space="preserve"> </w:t>
      </w:r>
    </w:p>
    <w:p w14:paraId="5E865269" w14:textId="77777777" w:rsidR="00330F21" w:rsidRDefault="00C07C01" w:rsidP="00E3781A">
      <w:pPr>
        <w:pStyle w:val="covBodyText"/>
        <w:spacing w:before="240"/>
        <w:ind w:left="0"/>
        <w:rPr>
          <w:b/>
          <w:color w:val="82002A" w:themeColor="accent1"/>
          <w:sz w:val="44"/>
        </w:rPr>
      </w:pPr>
      <w:r w:rsidRPr="007220FA">
        <w:rPr>
          <w:b/>
          <w:color w:val="82002A" w:themeColor="accent1"/>
          <w:sz w:val="44"/>
        </w:rPr>
        <w:t xml:space="preserve">PHASE </w:t>
      </w:r>
      <w:r w:rsidR="000E3F92" w:rsidRPr="007220FA">
        <w:rPr>
          <w:b/>
          <w:color w:val="82002A" w:themeColor="accent1"/>
          <w:sz w:val="44"/>
        </w:rPr>
        <w:t>2A</w:t>
      </w:r>
      <w:r w:rsidRPr="007220FA">
        <w:rPr>
          <w:b/>
          <w:color w:val="82002A" w:themeColor="accent1"/>
          <w:sz w:val="44"/>
        </w:rPr>
        <w:t xml:space="preserve"> OF THE COVID-19 VACCINE STRATEGY</w:t>
      </w:r>
    </w:p>
    <w:p w14:paraId="5DAFFF0F" w14:textId="77777777" w:rsidR="00330F21" w:rsidRDefault="00CD1725" w:rsidP="00330F21">
      <w:pPr>
        <w:pStyle w:val="covBodyText"/>
        <w:spacing w:before="240"/>
        <w:ind w:left="0"/>
        <w:rPr>
          <w:b/>
          <w:i/>
          <w:iCs/>
          <w:sz w:val="34"/>
        </w:rPr>
      </w:pPr>
      <w:r w:rsidRPr="007220FA">
        <w:rPr>
          <w:b/>
          <w:i/>
          <w:iCs/>
          <w:sz w:val="36"/>
          <w:szCs w:val="18"/>
        </w:rPr>
        <w:t xml:space="preserve">Update </w:t>
      </w:r>
      <w:r w:rsidR="000E3F92" w:rsidRPr="007220FA">
        <w:rPr>
          <w:b/>
          <w:i/>
          <w:iCs/>
          <w:sz w:val="36"/>
          <w:szCs w:val="18"/>
        </w:rPr>
        <w:t>2</w:t>
      </w:r>
      <w:r w:rsidRPr="007220FA">
        <w:rPr>
          <w:b/>
          <w:i/>
          <w:iCs/>
          <w:sz w:val="36"/>
          <w:szCs w:val="18"/>
        </w:rPr>
        <w:t xml:space="preserve"> to </w:t>
      </w:r>
      <w:r w:rsidR="0068535A" w:rsidRPr="007220FA">
        <w:rPr>
          <w:b/>
          <w:i/>
          <w:iCs/>
          <w:sz w:val="36"/>
          <w:szCs w:val="18"/>
        </w:rPr>
        <w:t xml:space="preserve">the COVID-19 Vaccine Strategy </w:t>
      </w:r>
      <w:r w:rsidR="007E5A67" w:rsidRPr="007220FA">
        <w:rPr>
          <w:b/>
          <w:i/>
          <w:iCs/>
          <w:sz w:val="36"/>
          <w:szCs w:val="18"/>
        </w:rPr>
        <w:t xml:space="preserve">implementation </w:t>
      </w:r>
      <w:r w:rsidR="00BB0099" w:rsidRPr="007220FA">
        <w:rPr>
          <w:b/>
          <w:i/>
          <w:iCs/>
          <w:sz w:val="36"/>
          <w:szCs w:val="18"/>
        </w:rPr>
        <w:t>Privacy Impact Assessment</w:t>
      </w:r>
    </w:p>
    <w:p w14:paraId="0F898275" w14:textId="259B9BAD" w:rsidR="00961784" w:rsidRPr="00330F21" w:rsidRDefault="0095259B" w:rsidP="00330F21">
      <w:pPr>
        <w:pStyle w:val="covBodyText"/>
        <w:spacing w:before="240"/>
        <w:ind w:left="0"/>
      </w:pPr>
      <w:r w:rsidRPr="007220FA">
        <w:rPr>
          <w:b/>
          <w:sz w:val="28"/>
        </w:rPr>
        <w:t xml:space="preserve">Report finalised on </w:t>
      </w:r>
      <w:r w:rsidR="00015FDE">
        <w:rPr>
          <w:b/>
          <w:sz w:val="28"/>
        </w:rPr>
        <w:t>31</w:t>
      </w:r>
      <w:r w:rsidRPr="007220FA">
        <w:rPr>
          <w:b/>
          <w:sz w:val="28"/>
        </w:rPr>
        <w:t xml:space="preserve"> </w:t>
      </w:r>
      <w:r w:rsidR="008A18EE">
        <w:rPr>
          <w:b/>
          <w:sz w:val="28"/>
        </w:rPr>
        <w:t xml:space="preserve">August </w:t>
      </w:r>
      <w:r w:rsidR="00627333">
        <w:rPr>
          <w:b/>
          <w:sz w:val="28"/>
        </w:rPr>
        <w:t>2022</w:t>
      </w:r>
    </w:p>
    <w:p w14:paraId="5ABA2524" w14:textId="15E2D74C" w:rsidR="00A3792E" w:rsidRPr="007220FA" w:rsidRDefault="00DB00FF" w:rsidP="00330F21">
      <w:pPr>
        <w:pStyle w:val="CoverDateWhite"/>
        <w:spacing w:before="2760" w:after="0"/>
        <w:rPr>
          <w:b w:val="0"/>
          <w:bCs/>
          <w:color w:val="auto"/>
          <w:sz w:val="20"/>
          <w:szCs w:val="20"/>
        </w:rPr>
      </w:pPr>
      <w:r w:rsidRPr="007220FA">
        <w:rPr>
          <w:b w:val="0"/>
          <w:bCs/>
          <w:color w:val="auto"/>
          <w:sz w:val="20"/>
          <w:szCs w:val="20"/>
        </w:rPr>
        <w:t xml:space="preserve">This report has been prepared for the Department of Health. No other reader should rely on the material contained in this document without seeking legal advice. </w:t>
      </w:r>
    </w:p>
    <w:sdt>
      <w:sdtPr>
        <w:rPr>
          <w:rFonts w:asciiTheme="minorHAnsi" w:eastAsiaTheme="minorEastAsia" w:hAnsiTheme="minorHAnsi" w:cs="Times New Roman"/>
          <w:b w:val="0"/>
          <w:sz w:val="3276"/>
          <w:szCs w:val="3276"/>
          <w:lang w:eastAsia="en-AU"/>
        </w:rPr>
        <w:id w:val="891073889"/>
        <w:docPartObj>
          <w:docPartGallery w:val="Table of Contents"/>
          <w:docPartUnique/>
        </w:docPartObj>
      </w:sdtPr>
      <w:sdtEndPr>
        <w:rPr>
          <w:rFonts w:ascii="Arial" w:eastAsia="Times New Roman" w:hAnsi="Arial"/>
          <w:bCs/>
          <w:noProof/>
          <w:sz w:val="20"/>
          <w:szCs w:val="20"/>
          <w:lang w:val="en-US"/>
        </w:rPr>
      </w:sdtEndPr>
      <w:sdtContent>
        <w:p w14:paraId="023C9108" w14:textId="77777777" w:rsidR="00200DD4" w:rsidRPr="007220FA" w:rsidRDefault="00200DD4" w:rsidP="007218AD">
          <w:pPr>
            <w:pStyle w:val="mainTitle"/>
            <w:ind w:left="1702" w:hanging="1702"/>
            <w:rPr>
              <w:color w:val="82002A" w:themeColor="accent1"/>
            </w:rPr>
          </w:pPr>
          <w:r w:rsidRPr="007220FA">
            <w:rPr>
              <w:color w:val="82002A" w:themeColor="accent1"/>
            </w:rPr>
            <w:t>Contents</w:t>
          </w:r>
        </w:p>
        <w:p w14:paraId="1D6199CF" w14:textId="233C6740" w:rsidR="00442AA9" w:rsidRDefault="003C6F16">
          <w:pPr>
            <w:pStyle w:val="TOC1"/>
            <w:rPr>
              <w:rFonts w:asciiTheme="minorHAnsi" w:eastAsiaTheme="minorEastAsia" w:hAnsiTheme="minorHAnsi" w:cstheme="minorBidi"/>
              <w:b w:val="0"/>
              <w:noProof/>
              <w:sz w:val="22"/>
              <w:szCs w:val="22"/>
              <w:lang w:eastAsia="en-AU"/>
            </w:rPr>
          </w:pPr>
          <w:r w:rsidRPr="007220FA">
            <w:fldChar w:fldCharType="begin"/>
          </w:r>
          <w:r w:rsidRPr="007220FA">
            <w:instrText xml:space="preserve"> TOC \h \z \t "Heading 1,2,Numpara1,2,legalAttachment,1,legalPart,1,Section heading,3" </w:instrText>
          </w:r>
          <w:r w:rsidRPr="007220FA">
            <w:fldChar w:fldCharType="separate"/>
          </w:r>
          <w:hyperlink w:anchor="_Toc113279919" w:history="1">
            <w:r w:rsidR="00442AA9" w:rsidRPr="001E35E4">
              <w:rPr>
                <w:rStyle w:val="Hyperlink"/>
                <w:noProof/>
              </w:rPr>
              <w:t>Part A</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INTRODUCTION</w:t>
            </w:r>
            <w:r w:rsidR="00442AA9">
              <w:rPr>
                <w:noProof/>
                <w:webHidden/>
              </w:rPr>
              <w:tab/>
            </w:r>
            <w:r w:rsidR="00442AA9">
              <w:rPr>
                <w:noProof/>
                <w:webHidden/>
              </w:rPr>
              <w:fldChar w:fldCharType="begin"/>
            </w:r>
            <w:r w:rsidR="00442AA9">
              <w:rPr>
                <w:noProof/>
                <w:webHidden/>
              </w:rPr>
              <w:instrText xml:space="preserve"> PAGEREF _Toc113279919 \h </w:instrText>
            </w:r>
            <w:r w:rsidR="00442AA9">
              <w:rPr>
                <w:noProof/>
                <w:webHidden/>
              </w:rPr>
            </w:r>
            <w:r w:rsidR="00442AA9">
              <w:rPr>
                <w:noProof/>
                <w:webHidden/>
              </w:rPr>
              <w:fldChar w:fldCharType="separate"/>
            </w:r>
            <w:r w:rsidR="00E3781A">
              <w:rPr>
                <w:noProof/>
                <w:webHidden/>
              </w:rPr>
              <w:t>3</w:t>
            </w:r>
            <w:r w:rsidR="00442AA9">
              <w:rPr>
                <w:noProof/>
                <w:webHidden/>
              </w:rPr>
              <w:fldChar w:fldCharType="end"/>
            </w:r>
          </w:hyperlink>
        </w:p>
        <w:p w14:paraId="445649EE" w14:textId="7CADC812" w:rsidR="00442AA9" w:rsidRDefault="00E3781A">
          <w:pPr>
            <w:pStyle w:val="TOC2"/>
            <w:rPr>
              <w:rFonts w:asciiTheme="minorHAnsi" w:eastAsiaTheme="minorEastAsia" w:hAnsiTheme="minorHAnsi" w:cstheme="minorBidi"/>
              <w:noProof/>
              <w:sz w:val="22"/>
              <w:szCs w:val="22"/>
              <w:lang w:eastAsia="en-AU"/>
            </w:rPr>
          </w:pPr>
          <w:hyperlink w:anchor="_Toc113279920"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Overview</w:t>
            </w:r>
            <w:r w:rsidR="00442AA9">
              <w:rPr>
                <w:noProof/>
                <w:webHidden/>
              </w:rPr>
              <w:tab/>
            </w:r>
            <w:r w:rsidR="00442AA9">
              <w:rPr>
                <w:noProof/>
                <w:webHidden/>
              </w:rPr>
              <w:fldChar w:fldCharType="begin"/>
            </w:r>
            <w:r w:rsidR="00442AA9">
              <w:rPr>
                <w:noProof/>
                <w:webHidden/>
              </w:rPr>
              <w:instrText xml:space="preserve"> PAGEREF _Toc113279920 \h </w:instrText>
            </w:r>
            <w:r w:rsidR="00442AA9">
              <w:rPr>
                <w:noProof/>
                <w:webHidden/>
              </w:rPr>
            </w:r>
            <w:r w:rsidR="00442AA9">
              <w:rPr>
                <w:noProof/>
                <w:webHidden/>
              </w:rPr>
              <w:fldChar w:fldCharType="separate"/>
            </w:r>
            <w:r>
              <w:rPr>
                <w:noProof/>
                <w:webHidden/>
              </w:rPr>
              <w:t>3</w:t>
            </w:r>
            <w:r w:rsidR="00442AA9">
              <w:rPr>
                <w:noProof/>
                <w:webHidden/>
              </w:rPr>
              <w:fldChar w:fldCharType="end"/>
            </w:r>
          </w:hyperlink>
        </w:p>
        <w:p w14:paraId="3D5EFDFC" w14:textId="4FDB0F85" w:rsidR="00442AA9" w:rsidRDefault="00E3781A">
          <w:pPr>
            <w:pStyle w:val="TOC2"/>
            <w:rPr>
              <w:rFonts w:asciiTheme="minorHAnsi" w:eastAsiaTheme="minorEastAsia" w:hAnsiTheme="minorHAnsi" w:cstheme="minorBidi"/>
              <w:noProof/>
              <w:sz w:val="22"/>
              <w:szCs w:val="22"/>
              <w:lang w:eastAsia="en-AU"/>
            </w:rPr>
          </w:pPr>
          <w:hyperlink w:anchor="_Toc113279921"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Structure of this Phase 2a Update PIA report</w:t>
            </w:r>
            <w:r w:rsidR="00442AA9">
              <w:rPr>
                <w:noProof/>
                <w:webHidden/>
              </w:rPr>
              <w:tab/>
            </w:r>
            <w:r w:rsidR="00442AA9">
              <w:rPr>
                <w:noProof/>
                <w:webHidden/>
              </w:rPr>
              <w:fldChar w:fldCharType="begin"/>
            </w:r>
            <w:r w:rsidR="00442AA9">
              <w:rPr>
                <w:noProof/>
                <w:webHidden/>
              </w:rPr>
              <w:instrText xml:space="preserve"> PAGEREF _Toc113279921 \h </w:instrText>
            </w:r>
            <w:r w:rsidR="00442AA9">
              <w:rPr>
                <w:noProof/>
                <w:webHidden/>
              </w:rPr>
            </w:r>
            <w:r w:rsidR="00442AA9">
              <w:rPr>
                <w:noProof/>
                <w:webHidden/>
              </w:rPr>
              <w:fldChar w:fldCharType="separate"/>
            </w:r>
            <w:r>
              <w:rPr>
                <w:noProof/>
                <w:webHidden/>
              </w:rPr>
              <w:t>4</w:t>
            </w:r>
            <w:r w:rsidR="00442AA9">
              <w:rPr>
                <w:noProof/>
                <w:webHidden/>
              </w:rPr>
              <w:fldChar w:fldCharType="end"/>
            </w:r>
          </w:hyperlink>
        </w:p>
        <w:p w14:paraId="0042942D" w14:textId="235776F2" w:rsidR="00442AA9" w:rsidRDefault="00E3781A">
          <w:pPr>
            <w:pStyle w:val="TOC1"/>
            <w:rPr>
              <w:rFonts w:asciiTheme="minorHAnsi" w:eastAsiaTheme="minorEastAsia" w:hAnsiTheme="minorHAnsi" w:cstheme="minorBidi"/>
              <w:b w:val="0"/>
              <w:noProof/>
              <w:sz w:val="22"/>
              <w:szCs w:val="22"/>
              <w:lang w:eastAsia="en-AU"/>
            </w:rPr>
          </w:pPr>
          <w:hyperlink w:anchor="_Toc113279922" w:history="1">
            <w:r w:rsidR="00442AA9" w:rsidRPr="001E35E4">
              <w:rPr>
                <w:rStyle w:val="Hyperlink"/>
                <w:noProof/>
              </w:rPr>
              <w:t>Part B</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EXECUTIVE SUMMARY</w:t>
            </w:r>
            <w:r w:rsidR="00442AA9">
              <w:rPr>
                <w:noProof/>
                <w:webHidden/>
              </w:rPr>
              <w:tab/>
            </w:r>
            <w:r w:rsidR="00442AA9">
              <w:rPr>
                <w:noProof/>
                <w:webHidden/>
              </w:rPr>
              <w:fldChar w:fldCharType="begin"/>
            </w:r>
            <w:r w:rsidR="00442AA9">
              <w:rPr>
                <w:noProof/>
                <w:webHidden/>
              </w:rPr>
              <w:instrText xml:space="preserve"> PAGEREF _Toc113279922 \h </w:instrText>
            </w:r>
            <w:r w:rsidR="00442AA9">
              <w:rPr>
                <w:noProof/>
                <w:webHidden/>
              </w:rPr>
            </w:r>
            <w:r w:rsidR="00442AA9">
              <w:rPr>
                <w:noProof/>
                <w:webHidden/>
              </w:rPr>
              <w:fldChar w:fldCharType="separate"/>
            </w:r>
            <w:r>
              <w:rPr>
                <w:noProof/>
                <w:webHidden/>
              </w:rPr>
              <w:t>5</w:t>
            </w:r>
            <w:r w:rsidR="00442AA9">
              <w:rPr>
                <w:noProof/>
                <w:webHidden/>
              </w:rPr>
              <w:fldChar w:fldCharType="end"/>
            </w:r>
          </w:hyperlink>
        </w:p>
        <w:p w14:paraId="153B3DD8" w14:textId="5D0A1FAC" w:rsidR="00442AA9" w:rsidRDefault="00E3781A">
          <w:pPr>
            <w:pStyle w:val="TOC2"/>
            <w:rPr>
              <w:rFonts w:asciiTheme="minorHAnsi" w:eastAsiaTheme="minorEastAsia" w:hAnsiTheme="minorHAnsi" w:cstheme="minorBidi"/>
              <w:noProof/>
              <w:sz w:val="22"/>
              <w:szCs w:val="22"/>
              <w:lang w:eastAsia="en-AU"/>
            </w:rPr>
          </w:pPr>
          <w:hyperlink w:anchor="_Toc113279923" w:history="1">
            <w:r w:rsidR="00442AA9" w:rsidRPr="001E35E4">
              <w:rPr>
                <w:rStyle w:val="Hyperlink"/>
                <w:noProof/>
              </w:rPr>
              <w:t>3.</w:t>
            </w:r>
            <w:r w:rsidR="00442AA9">
              <w:rPr>
                <w:rFonts w:asciiTheme="minorHAnsi" w:eastAsiaTheme="minorEastAsia" w:hAnsiTheme="minorHAnsi" w:cstheme="minorBidi"/>
                <w:noProof/>
                <w:sz w:val="22"/>
                <w:szCs w:val="22"/>
                <w:lang w:eastAsia="en-AU"/>
              </w:rPr>
              <w:tab/>
            </w:r>
            <w:r w:rsidR="00442AA9" w:rsidRPr="001E35E4">
              <w:rPr>
                <w:rStyle w:val="Hyperlink"/>
                <w:noProof/>
              </w:rPr>
              <w:t>Summary of findings</w:t>
            </w:r>
            <w:r w:rsidR="00442AA9">
              <w:rPr>
                <w:noProof/>
                <w:webHidden/>
              </w:rPr>
              <w:tab/>
            </w:r>
            <w:r w:rsidR="00442AA9">
              <w:rPr>
                <w:noProof/>
                <w:webHidden/>
              </w:rPr>
              <w:fldChar w:fldCharType="begin"/>
            </w:r>
            <w:r w:rsidR="00442AA9">
              <w:rPr>
                <w:noProof/>
                <w:webHidden/>
              </w:rPr>
              <w:instrText xml:space="preserve"> PAGEREF _Toc113279923 \h </w:instrText>
            </w:r>
            <w:r w:rsidR="00442AA9">
              <w:rPr>
                <w:noProof/>
                <w:webHidden/>
              </w:rPr>
            </w:r>
            <w:r w:rsidR="00442AA9">
              <w:rPr>
                <w:noProof/>
                <w:webHidden/>
              </w:rPr>
              <w:fldChar w:fldCharType="separate"/>
            </w:r>
            <w:r>
              <w:rPr>
                <w:noProof/>
                <w:webHidden/>
              </w:rPr>
              <w:t>5</w:t>
            </w:r>
            <w:r w:rsidR="00442AA9">
              <w:rPr>
                <w:noProof/>
                <w:webHidden/>
              </w:rPr>
              <w:fldChar w:fldCharType="end"/>
            </w:r>
          </w:hyperlink>
        </w:p>
        <w:p w14:paraId="1CC0437E" w14:textId="0ACE924B" w:rsidR="00442AA9" w:rsidRDefault="00E3781A">
          <w:pPr>
            <w:pStyle w:val="TOC2"/>
            <w:rPr>
              <w:rFonts w:asciiTheme="minorHAnsi" w:eastAsiaTheme="minorEastAsia" w:hAnsiTheme="minorHAnsi" w:cstheme="minorBidi"/>
              <w:noProof/>
              <w:sz w:val="22"/>
              <w:szCs w:val="22"/>
              <w:lang w:eastAsia="en-AU"/>
            </w:rPr>
          </w:pPr>
          <w:hyperlink w:anchor="_Toc113279924" w:history="1">
            <w:r w:rsidR="00442AA9" w:rsidRPr="001E35E4">
              <w:rPr>
                <w:rStyle w:val="Hyperlink"/>
                <w:noProof/>
              </w:rPr>
              <w:t>4.</w:t>
            </w:r>
            <w:r w:rsidR="00442AA9">
              <w:rPr>
                <w:rFonts w:asciiTheme="minorHAnsi" w:eastAsiaTheme="minorEastAsia" w:hAnsiTheme="minorHAnsi" w:cstheme="minorBidi"/>
                <w:noProof/>
                <w:sz w:val="22"/>
                <w:szCs w:val="22"/>
                <w:lang w:eastAsia="en-AU"/>
              </w:rPr>
              <w:tab/>
            </w:r>
            <w:r w:rsidR="00442AA9" w:rsidRPr="001E35E4">
              <w:rPr>
                <w:rStyle w:val="Hyperlink"/>
                <w:noProof/>
              </w:rPr>
              <w:t>Recommendations</w:t>
            </w:r>
            <w:r w:rsidR="00442AA9">
              <w:rPr>
                <w:noProof/>
                <w:webHidden/>
              </w:rPr>
              <w:tab/>
            </w:r>
            <w:r w:rsidR="00442AA9">
              <w:rPr>
                <w:noProof/>
                <w:webHidden/>
              </w:rPr>
              <w:fldChar w:fldCharType="begin"/>
            </w:r>
            <w:r w:rsidR="00442AA9">
              <w:rPr>
                <w:noProof/>
                <w:webHidden/>
              </w:rPr>
              <w:instrText xml:space="preserve"> PAGEREF _Toc113279924 \h </w:instrText>
            </w:r>
            <w:r w:rsidR="00442AA9">
              <w:rPr>
                <w:noProof/>
                <w:webHidden/>
              </w:rPr>
            </w:r>
            <w:r w:rsidR="00442AA9">
              <w:rPr>
                <w:noProof/>
                <w:webHidden/>
              </w:rPr>
              <w:fldChar w:fldCharType="separate"/>
            </w:r>
            <w:r>
              <w:rPr>
                <w:noProof/>
                <w:webHidden/>
              </w:rPr>
              <w:t>6</w:t>
            </w:r>
            <w:r w:rsidR="00442AA9">
              <w:rPr>
                <w:noProof/>
                <w:webHidden/>
              </w:rPr>
              <w:fldChar w:fldCharType="end"/>
            </w:r>
          </w:hyperlink>
        </w:p>
        <w:p w14:paraId="16E9E737" w14:textId="4E11D340" w:rsidR="00442AA9" w:rsidRDefault="00E3781A">
          <w:pPr>
            <w:pStyle w:val="TOC1"/>
            <w:rPr>
              <w:rFonts w:asciiTheme="minorHAnsi" w:eastAsiaTheme="minorEastAsia" w:hAnsiTheme="minorHAnsi" w:cstheme="minorBidi"/>
              <w:b w:val="0"/>
              <w:noProof/>
              <w:sz w:val="22"/>
              <w:szCs w:val="22"/>
              <w:lang w:eastAsia="en-AU"/>
            </w:rPr>
          </w:pPr>
          <w:hyperlink w:anchor="_Toc113279925" w:history="1">
            <w:r w:rsidR="00442AA9" w:rsidRPr="001E35E4">
              <w:rPr>
                <w:rStyle w:val="Hyperlink"/>
                <w:noProof/>
              </w:rPr>
              <w:t>Part C</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METHODOLOGY AND ASSUMPTIONS</w:t>
            </w:r>
            <w:r w:rsidR="00442AA9">
              <w:rPr>
                <w:noProof/>
                <w:webHidden/>
              </w:rPr>
              <w:tab/>
            </w:r>
            <w:r w:rsidR="00442AA9">
              <w:rPr>
                <w:noProof/>
                <w:webHidden/>
              </w:rPr>
              <w:fldChar w:fldCharType="begin"/>
            </w:r>
            <w:r w:rsidR="00442AA9">
              <w:rPr>
                <w:noProof/>
                <w:webHidden/>
              </w:rPr>
              <w:instrText xml:space="preserve"> PAGEREF _Toc113279925 \h </w:instrText>
            </w:r>
            <w:r w:rsidR="00442AA9">
              <w:rPr>
                <w:noProof/>
                <w:webHidden/>
              </w:rPr>
            </w:r>
            <w:r w:rsidR="00442AA9">
              <w:rPr>
                <w:noProof/>
                <w:webHidden/>
              </w:rPr>
              <w:fldChar w:fldCharType="separate"/>
            </w:r>
            <w:r>
              <w:rPr>
                <w:noProof/>
                <w:webHidden/>
              </w:rPr>
              <w:t>7</w:t>
            </w:r>
            <w:r w:rsidR="00442AA9">
              <w:rPr>
                <w:noProof/>
                <w:webHidden/>
              </w:rPr>
              <w:fldChar w:fldCharType="end"/>
            </w:r>
          </w:hyperlink>
        </w:p>
        <w:p w14:paraId="2657D5A4" w14:textId="74BFB567" w:rsidR="00442AA9" w:rsidRDefault="00E3781A">
          <w:pPr>
            <w:pStyle w:val="TOC2"/>
            <w:rPr>
              <w:rFonts w:asciiTheme="minorHAnsi" w:eastAsiaTheme="minorEastAsia" w:hAnsiTheme="minorHAnsi" w:cstheme="minorBidi"/>
              <w:noProof/>
              <w:sz w:val="22"/>
              <w:szCs w:val="22"/>
              <w:lang w:eastAsia="en-AU"/>
            </w:rPr>
          </w:pPr>
          <w:hyperlink w:anchor="_Toc113279926" w:history="1">
            <w:r w:rsidR="00442AA9" w:rsidRPr="001E35E4">
              <w:rPr>
                <w:rStyle w:val="Hyperlink"/>
                <w:noProof/>
              </w:rPr>
              <w:t>5.</w:t>
            </w:r>
            <w:r w:rsidR="00442AA9">
              <w:rPr>
                <w:rFonts w:asciiTheme="minorHAnsi" w:eastAsiaTheme="minorEastAsia" w:hAnsiTheme="minorHAnsi" w:cstheme="minorBidi"/>
                <w:noProof/>
                <w:sz w:val="22"/>
                <w:szCs w:val="22"/>
                <w:lang w:eastAsia="en-AU"/>
              </w:rPr>
              <w:tab/>
            </w:r>
            <w:r w:rsidR="00442AA9" w:rsidRPr="001E35E4">
              <w:rPr>
                <w:rStyle w:val="Hyperlink"/>
                <w:noProof/>
              </w:rPr>
              <w:t>Our methodology</w:t>
            </w:r>
            <w:r w:rsidR="00442AA9">
              <w:rPr>
                <w:noProof/>
                <w:webHidden/>
              </w:rPr>
              <w:tab/>
            </w:r>
            <w:r w:rsidR="00442AA9">
              <w:rPr>
                <w:noProof/>
                <w:webHidden/>
              </w:rPr>
              <w:fldChar w:fldCharType="begin"/>
            </w:r>
            <w:r w:rsidR="00442AA9">
              <w:rPr>
                <w:noProof/>
                <w:webHidden/>
              </w:rPr>
              <w:instrText xml:space="preserve"> PAGEREF _Toc113279926 \h </w:instrText>
            </w:r>
            <w:r w:rsidR="00442AA9">
              <w:rPr>
                <w:noProof/>
                <w:webHidden/>
              </w:rPr>
            </w:r>
            <w:r w:rsidR="00442AA9">
              <w:rPr>
                <w:noProof/>
                <w:webHidden/>
              </w:rPr>
              <w:fldChar w:fldCharType="separate"/>
            </w:r>
            <w:r>
              <w:rPr>
                <w:noProof/>
                <w:webHidden/>
              </w:rPr>
              <w:t>7</w:t>
            </w:r>
            <w:r w:rsidR="00442AA9">
              <w:rPr>
                <w:noProof/>
                <w:webHidden/>
              </w:rPr>
              <w:fldChar w:fldCharType="end"/>
            </w:r>
          </w:hyperlink>
        </w:p>
        <w:p w14:paraId="12ABB1F3" w14:textId="6A2D48D0" w:rsidR="00442AA9" w:rsidRDefault="00E3781A">
          <w:pPr>
            <w:pStyle w:val="TOC2"/>
            <w:rPr>
              <w:rFonts w:asciiTheme="minorHAnsi" w:eastAsiaTheme="minorEastAsia" w:hAnsiTheme="minorHAnsi" w:cstheme="minorBidi"/>
              <w:noProof/>
              <w:sz w:val="22"/>
              <w:szCs w:val="22"/>
              <w:lang w:eastAsia="en-AU"/>
            </w:rPr>
          </w:pPr>
          <w:hyperlink w:anchor="_Toc113279927" w:history="1">
            <w:r w:rsidR="00442AA9" w:rsidRPr="001E35E4">
              <w:rPr>
                <w:rStyle w:val="Hyperlink"/>
                <w:noProof/>
              </w:rPr>
              <w:t>6.</w:t>
            </w:r>
            <w:r w:rsidR="00442AA9">
              <w:rPr>
                <w:rFonts w:asciiTheme="minorHAnsi" w:eastAsiaTheme="minorEastAsia" w:hAnsiTheme="minorHAnsi" w:cstheme="minorBidi"/>
                <w:noProof/>
                <w:sz w:val="22"/>
                <w:szCs w:val="22"/>
                <w:lang w:eastAsia="en-AU"/>
              </w:rPr>
              <w:tab/>
            </w:r>
            <w:r w:rsidR="00442AA9" w:rsidRPr="001E35E4">
              <w:rPr>
                <w:rStyle w:val="Hyperlink"/>
                <w:noProof/>
              </w:rPr>
              <w:t>Assumptions and qualifications</w:t>
            </w:r>
            <w:r w:rsidR="00442AA9">
              <w:rPr>
                <w:noProof/>
                <w:webHidden/>
              </w:rPr>
              <w:tab/>
            </w:r>
            <w:r w:rsidR="00442AA9">
              <w:rPr>
                <w:noProof/>
                <w:webHidden/>
              </w:rPr>
              <w:fldChar w:fldCharType="begin"/>
            </w:r>
            <w:r w:rsidR="00442AA9">
              <w:rPr>
                <w:noProof/>
                <w:webHidden/>
              </w:rPr>
              <w:instrText xml:space="preserve"> PAGEREF _Toc113279927 \h </w:instrText>
            </w:r>
            <w:r w:rsidR="00442AA9">
              <w:rPr>
                <w:noProof/>
                <w:webHidden/>
              </w:rPr>
            </w:r>
            <w:r w:rsidR="00442AA9">
              <w:rPr>
                <w:noProof/>
                <w:webHidden/>
              </w:rPr>
              <w:fldChar w:fldCharType="separate"/>
            </w:r>
            <w:r>
              <w:rPr>
                <w:noProof/>
                <w:webHidden/>
              </w:rPr>
              <w:t>8</w:t>
            </w:r>
            <w:r w:rsidR="00442AA9">
              <w:rPr>
                <w:noProof/>
                <w:webHidden/>
              </w:rPr>
              <w:fldChar w:fldCharType="end"/>
            </w:r>
          </w:hyperlink>
        </w:p>
        <w:p w14:paraId="5FD661AF" w14:textId="026A5611" w:rsidR="00442AA9" w:rsidRDefault="00E3781A">
          <w:pPr>
            <w:pStyle w:val="TOC1"/>
            <w:rPr>
              <w:rFonts w:asciiTheme="minorHAnsi" w:eastAsiaTheme="minorEastAsia" w:hAnsiTheme="minorHAnsi" w:cstheme="minorBidi"/>
              <w:b w:val="0"/>
              <w:noProof/>
              <w:sz w:val="22"/>
              <w:szCs w:val="22"/>
              <w:lang w:eastAsia="en-AU"/>
            </w:rPr>
          </w:pPr>
          <w:hyperlink w:anchor="_Toc113279928" w:history="1">
            <w:r w:rsidR="00442AA9" w:rsidRPr="001E35E4">
              <w:rPr>
                <w:rStyle w:val="Hyperlink"/>
                <w:noProof/>
              </w:rPr>
              <w:t>Part D</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PROJECT DESCRIPTION – OVERVIEW</w:t>
            </w:r>
            <w:r w:rsidR="00442AA9">
              <w:rPr>
                <w:noProof/>
                <w:webHidden/>
              </w:rPr>
              <w:tab/>
            </w:r>
            <w:r w:rsidR="00442AA9">
              <w:rPr>
                <w:noProof/>
                <w:webHidden/>
              </w:rPr>
              <w:fldChar w:fldCharType="begin"/>
            </w:r>
            <w:r w:rsidR="00442AA9">
              <w:rPr>
                <w:noProof/>
                <w:webHidden/>
              </w:rPr>
              <w:instrText xml:space="preserve"> PAGEREF _Toc113279928 \h </w:instrText>
            </w:r>
            <w:r w:rsidR="00442AA9">
              <w:rPr>
                <w:noProof/>
                <w:webHidden/>
              </w:rPr>
            </w:r>
            <w:r w:rsidR="00442AA9">
              <w:rPr>
                <w:noProof/>
                <w:webHidden/>
              </w:rPr>
              <w:fldChar w:fldCharType="separate"/>
            </w:r>
            <w:r>
              <w:rPr>
                <w:noProof/>
                <w:webHidden/>
              </w:rPr>
              <w:t>9</w:t>
            </w:r>
            <w:r w:rsidR="00442AA9">
              <w:rPr>
                <w:noProof/>
                <w:webHidden/>
              </w:rPr>
              <w:fldChar w:fldCharType="end"/>
            </w:r>
          </w:hyperlink>
        </w:p>
        <w:p w14:paraId="3E6E6F6F" w14:textId="19250B6E" w:rsidR="00442AA9" w:rsidRDefault="00E3781A">
          <w:pPr>
            <w:pStyle w:val="TOC2"/>
            <w:rPr>
              <w:rFonts w:asciiTheme="minorHAnsi" w:eastAsiaTheme="minorEastAsia" w:hAnsiTheme="minorHAnsi" w:cstheme="minorBidi"/>
              <w:noProof/>
              <w:sz w:val="22"/>
              <w:szCs w:val="22"/>
              <w:lang w:eastAsia="en-AU"/>
            </w:rPr>
          </w:pPr>
          <w:hyperlink w:anchor="_Toc113279929" w:history="1">
            <w:r w:rsidR="00442AA9" w:rsidRPr="001E35E4">
              <w:rPr>
                <w:rStyle w:val="Hyperlink"/>
                <w:noProof/>
              </w:rPr>
              <w:t>7.</w:t>
            </w:r>
            <w:r w:rsidR="00442AA9">
              <w:rPr>
                <w:rFonts w:asciiTheme="minorHAnsi" w:eastAsiaTheme="minorEastAsia" w:hAnsiTheme="minorHAnsi" w:cstheme="minorBidi"/>
                <w:noProof/>
                <w:sz w:val="22"/>
                <w:szCs w:val="22"/>
                <w:lang w:eastAsia="en-AU"/>
              </w:rPr>
              <w:tab/>
            </w:r>
            <w:r w:rsidR="00442AA9" w:rsidRPr="001E35E4">
              <w:rPr>
                <w:rStyle w:val="Hyperlink"/>
                <w:noProof/>
              </w:rPr>
              <w:t>Phase 2a of the Vaccine Strategy</w:t>
            </w:r>
            <w:r w:rsidR="00442AA9">
              <w:rPr>
                <w:noProof/>
                <w:webHidden/>
              </w:rPr>
              <w:tab/>
            </w:r>
            <w:r w:rsidR="00442AA9">
              <w:rPr>
                <w:noProof/>
                <w:webHidden/>
              </w:rPr>
              <w:fldChar w:fldCharType="begin"/>
            </w:r>
            <w:r w:rsidR="00442AA9">
              <w:rPr>
                <w:noProof/>
                <w:webHidden/>
              </w:rPr>
              <w:instrText xml:space="preserve"> PAGEREF _Toc113279929 \h </w:instrText>
            </w:r>
            <w:r w:rsidR="00442AA9">
              <w:rPr>
                <w:noProof/>
                <w:webHidden/>
              </w:rPr>
            </w:r>
            <w:r w:rsidR="00442AA9">
              <w:rPr>
                <w:noProof/>
                <w:webHidden/>
              </w:rPr>
              <w:fldChar w:fldCharType="separate"/>
            </w:r>
            <w:r>
              <w:rPr>
                <w:noProof/>
                <w:webHidden/>
              </w:rPr>
              <w:t>9</w:t>
            </w:r>
            <w:r w:rsidR="00442AA9">
              <w:rPr>
                <w:noProof/>
                <w:webHidden/>
              </w:rPr>
              <w:fldChar w:fldCharType="end"/>
            </w:r>
          </w:hyperlink>
        </w:p>
        <w:p w14:paraId="2DB5CEA4" w14:textId="04A52730" w:rsidR="00442AA9" w:rsidRDefault="00E3781A">
          <w:pPr>
            <w:pStyle w:val="TOC2"/>
            <w:rPr>
              <w:rFonts w:asciiTheme="minorHAnsi" w:eastAsiaTheme="minorEastAsia" w:hAnsiTheme="minorHAnsi" w:cstheme="minorBidi"/>
              <w:noProof/>
              <w:sz w:val="22"/>
              <w:szCs w:val="22"/>
              <w:lang w:eastAsia="en-AU"/>
            </w:rPr>
          </w:pPr>
          <w:hyperlink w:anchor="_Toc113279930" w:history="1">
            <w:r w:rsidR="00442AA9" w:rsidRPr="001E35E4">
              <w:rPr>
                <w:rStyle w:val="Hyperlink"/>
                <w:noProof/>
              </w:rPr>
              <w:t>8.</w:t>
            </w:r>
            <w:r w:rsidR="00442AA9">
              <w:rPr>
                <w:rFonts w:asciiTheme="minorHAnsi" w:eastAsiaTheme="minorEastAsia" w:hAnsiTheme="minorHAnsi" w:cstheme="minorBidi"/>
                <w:noProof/>
                <w:sz w:val="22"/>
                <w:szCs w:val="22"/>
                <w:lang w:eastAsia="en-AU"/>
              </w:rPr>
              <w:tab/>
            </w:r>
            <w:r w:rsidR="00442AA9" w:rsidRPr="001E35E4">
              <w:rPr>
                <w:rStyle w:val="Hyperlink"/>
                <w:noProof/>
              </w:rPr>
              <w:t>Structure of Part E [Project Description and Privacy Analysis for Each Change]</w:t>
            </w:r>
            <w:r w:rsidR="00442AA9">
              <w:rPr>
                <w:noProof/>
                <w:webHidden/>
              </w:rPr>
              <w:tab/>
            </w:r>
            <w:r w:rsidR="00442AA9">
              <w:rPr>
                <w:noProof/>
                <w:webHidden/>
              </w:rPr>
              <w:fldChar w:fldCharType="begin"/>
            </w:r>
            <w:r w:rsidR="00442AA9">
              <w:rPr>
                <w:noProof/>
                <w:webHidden/>
              </w:rPr>
              <w:instrText xml:space="preserve"> PAGEREF _Toc113279930 \h </w:instrText>
            </w:r>
            <w:r w:rsidR="00442AA9">
              <w:rPr>
                <w:noProof/>
                <w:webHidden/>
              </w:rPr>
            </w:r>
            <w:r w:rsidR="00442AA9">
              <w:rPr>
                <w:noProof/>
                <w:webHidden/>
              </w:rPr>
              <w:fldChar w:fldCharType="separate"/>
            </w:r>
            <w:r>
              <w:rPr>
                <w:noProof/>
                <w:webHidden/>
              </w:rPr>
              <w:t>10</w:t>
            </w:r>
            <w:r w:rsidR="00442AA9">
              <w:rPr>
                <w:noProof/>
                <w:webHidden/>
              </w:rPr>
              <w:fldChar w:fldCharType="end"/>
            </w:r>
          </w:hyperlink>
        </w:p>
        <w:p w14:paraId="32C530D6" w14:textId="08EABE70" w:rsidR="00442AA9" w:rsidRDefault="00E3781A">
          <w:pPr>
            <w:pStyle w:val="TOC1"/>
            <w:rPr>
              <w:rFonts w:asciiTheme="minorHAnsi" w:eastAsiaTheme="minorEastAsia" w:hAnsiTheme="minorHAnsi" w:cstheme="minorBidi"/>
              <w:b w:val="0"/>
              <w:noProof/>
              <w:sz w:val="22"/>
              <w:szCs w:val="22"/>
              <w:lang w:eastAsia="en-AU"/>
            </w:rPr>
          </w:pPr>
          <w:hyperlink w:anchor="_Toc113279931" w:history="1">
            <w:r w:rsidR="00442AA9" w:rsidRPr="001E35E4">
              <w:rPr>
                <w:rStyle w:val="Hyperlink"/>
                <w:noProof/>
              </w:rPr>
              <w:t>Part E</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PROJECT DESCRIPTION AND PRIVACY ANALYSIS FOR EACH CHANGE</w:t>
            </w:r>
            <w:r w:rsidR="00442AA9">
              <w:rPr>
                <w:noProof/>
                <w:webHidden/>
              </w:rPr>
              <w:tab/>
            </w:r>
            <w:r w:rsidR="00442AA9">
              <w:rPr>
                <w:noProof/>
                <w:webHidden/>
              </w:rPr>
              <w:fldChar w:fldCharType="begin"/>
            </w:r>
            <w:r w:rsidR="00442AA9">
              <w:rPr>
                <w:noProof/>
                <w:webHidden/>
              </w:rPr>
              <w:instrText xml:space="preserve"> PAGEREF _Toc113279931 \h </w:instrText>
            </w:r>
            <w:r w:rsidR="00442AA9">
              <w:rPr>
                <w:noProof/>
                <w:webHidden/>
              </w:rPr>
            </w:r>
            <w:r w:rsidR="00442AA9">
              <w:rPr>
                <w:noProof/>
                <w:webHidden/>
              </w:rPr>
              <w:fldChar w:fldCharType="separate"/>
            </w:r>
            <w:r>
              <w:rPr>
                <w:noProof/>
                <w:webHidden/>
              </w:rPr>
              <w:t>11</w:t>
            </w:r>
            <w:r w:rsidR="00442AA9">
              <w:rPr>
                <w:noProof/>
                <w:webHidden/>
              </w:rPr>
              <w:fldChar w:fldCharType="end"/>
            </w:r>
          </w:hyperlink>
        </w:p>
        <w:p w14:paraId="51EF519D" w14:textId="597690F3" w:rsidR="00442AA9" w:rsidRDefault="00E3781A">
          <w:pPr>
            <w:pStyle w:val="TOC3"/>
            <w:rPr>
              <w:rFonts w:asciiTheme="minorHAnsi" w:eastAsiaTheme="minorEastAsia" w:hAnsiTheme="minorHAnsi" w:cstheme="minorBidi"/>
              <w:b w:val="0"/>
              <w:noProof/>
              <w:color w:val="auto"/>
              <w:sz w:val="22"/>
              <w:szCs w:val="22"/>
              <w:lang w:eastAsia="en-AU"/>
            </w:rPr>
          </w:pPr>
          <w:hyperlink w:anchor="_Toc113279932" w:history="1">
            <w:r w:rsidR="00442AA9" w:rsidRPr="001E35E4">
              <w:rPr>
                <w:rStyle w:val="Hyperlink"/>
                <w:noProof/>
              </w:rPr>
              <w:t>Section A</w:t>
            </w:r>
            <w:r w:rsidR="00442AA9">
              <w:rPr>
                <w:rFonts w:asciiTheme="minorHAnsi" w:eastAsiaTheme="minorEastAsia" w:hAnsiTheme="minorHAnsi" w:cstheme="minorBidi"/>
                <w:b w:val="0"/>
                <w:noProof/>
                <w:color w:val="auto"/>
                <w:sz w:val="22"/>
                <w:szCs w:val="22"/>
                <w:lang w:eastAsia="en-AU"/>
              </w:rPr>
              <w:tab/>
            </w:r>
            <w:r w:rsidR="00442AA9" w:rsidRPr="001E35E4">
              <w:rPr>
                <w:rStyle w:val="Hyperlink"/>
                <w:noProof/>
              </w:rPr>
              <w:t>Expansion of eligibility to receive and to administer a COVID-19 vaccine</w:t>
            </w:r>
            <w:r w:rsidR="00442AA9">
              <w:rPr>
                <w:noProof/>
                <w:webHidden/>
              </w:rPr>
              <w:tab/>
            </w:r>
            <w:r w:rsidR="00442AA9">
              <w:rPr>
                <w:noProof/>
                <w:webHidden/>
              </w:rPr>
              <w:fldChar w:fldCharType="begin"/>
            </w:r>
            <w:r w:rsidR="00442AA9">
              <w:rPr>
                <w:noProof/>
                <w:webHidden/>
              </w:rPr>
              <w:instrText xml:space="preserve"> PAGEREF _Toc113279932 \h </w:instrText>
            </w:r>
            <w:r w:rsidR="00442AA9">
              <w:rPr>
                <w:noProof/>
                <w:webHidden/>
              </w:rPr>
            </w:r>
            <w:r w:rsidR="00442AA9">
              <w:rPr>
                <w:noProof/>
                <w:webHidden/>
              </w:rPr>
              <w:fldChar w:fldCharType="separate"/>
            </w:r>
            <w:r>
              <w:rPr>
                <w:noProof/>
                <w:webHidden/>
              </w:rPr>
              <w:t>11</w:t>
            </w:r>
            <w:r w:rsidR="00442AA9">
              <w:rPr>
                <w:noProof/>
                <w:webHidden/>
              </w:rPr>
              <w:fldChar w:fldCharType="end"/>
            </w:r>
          </w:hyperlink>
        </w:p>
        <w:p w14:paraId="651AE600" w14:textId="5BD224D9" w:rsidR="00442AA9" w:rsidRDefault="00E3781A">
          <w:pPr>
            <w:pStyle w:val="TOC2"/>
            <w:rPr>
              <w:rFonts w:asciiTheme="minorHAnsi" w:eastAsiaTheme="minorEastAsia" w:hAnsiTheme="minorHAnsi" w:cstheme="minorBidi"/>
              <w:noProof/>
              <w:sz w:val="22"/>
              <w:szCs w:val="22"/>
              <w:lang w:eastAsia="en-AU"/>
            </w:rPr>
          </w:pPr>
          <w:hyperlink w:anchor="_Toc113279933"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Project Description</w:t>
            </w:r>
            <w:r w:rsidR="00442AA9">
              <w:rPr>
                <w:noProof/>
                <w:webHidden/>
              </w:rPr>
              <w:tab/>
            </w:r>
            <w:r w:rsidR="00442AA9">
              <w:rPr>
                <w:noProof/>
                <w:webHidden/>
              </w:rPr>
              <w:fldChar w:fldCharType="begin"/>
            </w:r>
            <w:r w:rsidR="00442AA9">
              <w:rPr>
                <w:noProof/>
                <w:webHidden/>
              </w:rPr>
              <w:instrText xml:space="preserve"> PAGEREF _Toc113279933 \h </w:instrText>
            </w:r>
            <w:r w:rsidR="00442AA9">
              <w:rPr>
                <w:noProof/>
                <w:webHidden/>
              </w:rPr>
            </w:r>
            <w:r w:rsidR="00442AA9">
              <w:rPr>
                <w:noProof/>
                <w:webHidden/>
              </w:rPr>
              <w:fldChar w:fldCharType="separate"/>
            </w:r>
            <w:r>
              <w:rPr>
                <w:noProof/>
                <w:webHidden/>
              </w:rPr>
              <w:t>11</w:t>
            </w:r>
            <w:r w:rsidR="00442AA9">
              <w:rPr>
                <w:noProof/>
                <w:webHidden/>
              </w:rPr>
              <w:fldChar w:fldCharType="end"/>
            </w:r>
          </w:hyperlink>
        </w:p>
        <w:p w14:paraId="53F67267" w14:textId="3EEBC932" w:rsidR="00442AA9" w:rsidRDefault="00E3781A">
          <w:pPr>
            <w:pStyle w:val="TOC2"/>
            <w:rPr>
              <w:rFonts w:asciiTheme="minorHAnsi" w:eastAsiaTheme="minorEastAsia" w:hAnsiTheme="minorHAnsi" w:cstheme="minorBidi"/>
              <w:noProof/>
              <w:sz w:val="22"/>
              <w:szCs w:val="22"/>
              <w:lang w:eastAsia="en-AU"/>
            </w:rPr>
          </w:pPr>
          <w:hyperlink w:anchor="_Toc113279934"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Privacy impact analysis and compliance</w:t>
            </w:r>
            <w:r w:rsidR="00442AA9">
              <w:rPr>
                <w:noProof/>
                <w:webHidden/>
              </w:rPr>
              <w:tab/>
            </w:r>
            <w:r w:rsidR="00442AA9">
              <w:rPr>
                <w:noProof/>
                <w:webHidden/>
              </w:rPr>
              <w:fldChar w:fldCharType="begin"/>
            </w:r>
            <w:r w:rsidR="00442AA9">
              <w:rPr>
                <w:noProof/>
                <w:webHidden/>
              </w:rPr>
              <w:instrText xml:space="preserve"> PAGEREF _Toc113279934 \h </w:instrText>
            </w:r>
            <w:r w:rsidR="00442AA9">
              <w:rPr>
                <w:noProof/>
                <w:webHidden/>
              </w:rPr>
            </w:r>
            <w:r w:rsidR="00442AA9">
              <w:rPr>
                <w:noProof/>
                <w:webHidden/>
              </w:rPr>
              <w:fldChar w:fldCharType="separate"/>
            </w:r>
            <w:r>
              <w:rPr>
                <w:noProof/>
                <w:webHidden/>
              </w:rPr>
              <w:t>13</w:t>
            </w:r>
            <w:r w:rsidR="00442AA9">
              <w:rPr>
                <w:noProof/>
                <w:webHidden/>
              </w:rPr>
              <w:fldChar w:fldCharType="end"/>
            </w:r>
          </w:hyperlink>
        </w:p>
        <w:p w14:paraId="308FC28B" w14:textId="5081D450" w:rsidR="00442AA9" w:rsidRDefault="00E3781A">
          <w:pPr>
            <w:pStyle w:val="TOC3"/>
            <w:rPr>
              <w:rFonts w:asciiTheme="minorHAnsi" w:eastAsiaTheme="minorEastAsia" w:hAnsiTheme="minorHAnsi" w:cstheme="minorBidi"/>
              <w:b w:val="0"/>
              <w:noProof/>
              <w:color w:val="auto"/>
              <w:sz w:val="22"/>
              <w:szCs w:val="22"/>
              <w:lang w:eastAsia="en-AU"/>
            </w:rPr>
          </w:pPr>
          <w:hyperlink w:anchor="_Toc113279935" w:history="1">
            <w:r w:rsidR="00442AA9" w:rsidRPr="001E35E4">
              <w:rPr>
                <w:rStyle w:val="Hyperlink"/>
                <w:noProof/>
              </w:rPr>
              <w:t>Section B</w:t>
            </w:r>
            <w:r w:rsidR="00442AA9">
              <w:rPr>
                <w:rFonts w:asciiTheme="minorHAnsi" w:eastAsiaTheme="minorEastAsia" w:hAnsiTheme="minorHAnsi" w:cstheme="minorBidi"/>
                <w:b w:val="0"/>
                <w:noProof/>
                <w:color w:val="auto"/>
                <w:sz w:val="22"/>
                <w:szCs w:val="22"/>
                <w:lang w:eastAsia="en-AU"/>
              </w:rPr>
              <w:tab/>
            </w:r>
            <w:r w:rsidR="00442AA9" w:rsidRPr="001E35E4">
              <w:rPr>
                <w:rStyle w:val="Hyperlink"/>
                <w:noProof/>
              </w:rPr>
              <w:t>Expansion of eligibility to use the Booking Platform (BP) to Patients under 18 years of age</w:t>
            </w:r>
            <w:r w:rsidR="00442AA9">
              <w:rPr>
                <w:noProof/>
                <w:webHidden/>
              </w:rPr>
              <w:tab/>
            </w:r>
            <w:r w:rsidR="00442AA9">
              <w:rPr>
                <w:noProof/>
                <w:webHidden/>
              </w:rPr>
              <w:fldChar w:fldCharType="begin"/>
            </w:r>
            <w:r w:rsidR="00442AA9">
              <w:rPr>
                <w:noProof/>
                <w:webHidden/>
              </w:rPr>
              <w:instrText xml:space="preserve"> PAGEREF _Toc113279935 \h </w:instrText>
            </w:r>
            <w:r w:rsidR="00442AA9">
              <w:rPr>
                <w:noProof/>
                <w:webHidden/>
              </w:rPr>
            </w:r>
            <w:r w:rsidR="00442AA9">
              <w:rPr>
                <w:noProof/>
                <w:webHidden/>
              </w:rPr>
              <w:fldChar w:fldCharType="separate"/>
            </w:r>
            <w:r>
              <w:rPr>
                <w:noProof/>
                <w:webHidden/>
              </w:rPr>
              <w:t>16</w:t>
            </w:r>
            <w:r w:rsidR="00442AA9">
              <w:rPr>
                <w:noProof/>
                <w:webHidden/>
              </w:rPr>
              <w:fldChar w:fldCharType="end"/>
            </w:r>
          </w:hyperlink>
        </w:p>
        <w:p w14:paraId="16272245" w14:textId="6471397D" w:rsidR="00442AA9" w:rsidRDefault="00E3781A">
          <w:pPr>
            <w:pStyle w:val="TOC2"/>
            <w:rPr>
              <w:rFonts w:asciiTheme="minorHAnsi" w:eastAsiaTheme="minorEastAsia" w:hAnsiTheme="minorHAnsi" w:cstheme="minorBidi"/>
              <w:noProof/>
              <w:sz w:val="22"/>
              <w:szCs w:val="22"/>
              <w:lang w:eastAsia="en-AU"/>
            </w:rPr>
          </w:pPr>
          <w:hyperlink w:anchor="_Toc113279936"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Project Description</w:t>
            </w:r>
            <w:r w:rsidR="00442AA9">
              <w:rPr>
                <w:noProof/>
                <w:webHidden/>
              </w:rPr>
              <w:tab/>
            </w:r>
            <w:r w:rsidR="00442AA9">
              <w:rPr>
                <w:noProof/>
                <w:webHidden/>
              </w:rPr>
              <w:fldChar w:fldCharType="begin"/>
            </w:r>
            <w:r w:rsidR="00442AA9">
              <w:rPr>
                <w:noProof/>
                <w:webHidden/>
              </w:rPr>
              <w:instrText xml:space="preserve"> PAGEREF _Toc113279936 \h </w:instrText>
            </w:r>
            <w:r w:rsidR="00442AA9">
              <w:rPr>
                <w:noProof/>
                <w:webHidden/>
              </w:rPr>
            </w:r>
            <w:r w:rsidR="00442AA9">
              <w:rPr>
                <w:noProof/>
                <w:webHidden/>
              </w:rPr>
              <w:fldChar w:fldCharType="separate"/>
            </w:r>
            <w:r>
              <w:rPr>
                <w:noProof/>
                <w:webHidden/>
              </w:rPr>
              <w:t>16</w:t>
            </w:r>
            <w:r w:rsidR="00442AA9">
              <w:rPr>
                <w:noProof/>
                <w:webHidden/>
              </w:rPr>
              <w:fldChar w:fldCharType="end"/>
            </w:r>
          </w:hyperlink>
        </w:p>
        <w:p w14:paraId="765A6763" w14:textId="60BBB744" w:rsidR="00442AA9" w:rsidRDefault="00E3781A">
          <w:pPr>
            <w:pStyle w:val="TOC2"/>
            <w:rPr>
              <w:rFonts w:asciiTheme="minorHAnsi" w:eastAsiaTheme="minorEastAsia" w:hAnsiTheme="minorHAnsi" w:cstheme="minorBidi"/>
              <w:noProof/>
              <w:sz w:val="22"/>
              <w:szCs w:val="22"/>
              <w:lang w:eastAsia="en-AU"/>
            </w:rPr>
          </w:pPr>
          <w:hyperlink w:anchor="_Toc113279937"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Privacy impact analysis and compliance</w:t>
            </w:r>
            <w:r w:rsidR="00442AA9">
              <w:rPr>
                <w:noProof/>
                <w:webHidden/>
              </w:rPr>
              <w:tab/>
            </w:r>
            <w:r w:rsidR="00442AA9">
              <w:rPr>
                <w:noProof/>
                <w:webHidden/>
              </w:rPr>
              <w:fldChar w:fldCharType="begin"/>
            </w:r>
            <w:r w:rsidR="00442AA9">
              <w:rPr>
                <w:noProof/>
                <w:webHidden/>
              </w:rPr>
              <w:instrText xml:space="preserve"> PAGEREF _Toc113279937 \h </w:instrText>
            </w:r>
            <w:r w:rsidR="00442AA9">
              <w:rPr>
                <w:noProof/>
                <w:webHidden/>
              </w:rPr>
            </w:r>
            <w:r w:rsidR="00442AA9">
              <w:rPr>
                <w:noProof/>
                <w:webHidden/>
              </w:rPr>
              <w:fldChar w:fldCharType="separate"/>
            </w:r>
            <w:r>
              <w:rPr>
                <w:noProof/>
                <w:webHidden/>
              </w:rPr>
              <w:t>16</w:t>
            </w:r>
            <w:r w:rsidR="00442AA9">
              <w:rPr>
                <w:noProof/>
                <w:webHidden/>
              </w:rPr>
              <w:fldChar w:fldCharType="end"/>
            </w:r>
          </w:hyperlink>
        </w:p>
        <w:p w14:paraId="053D3542" w14:textId="3D39DF98" w:rsidR="00442AA9" w:rsidRDefault="00E3781A">
          <w:pPr>
            <w:pStyle w:val="TOC3"/>
            <w:rPr>
              <w:rFonts w:asciiTheme="minorHAnsi" w:eastAsiaTheme="minorEastAsia" w:hAnsiTheme="minorHAnsi" w:cstheme="minorBidi"/>
              <w:b w:val="0"/>
              <w:noProof/>
              <w:color w:val="auto"/>
              <w:sz w:val="22"/>
              <w:szCs w:val="22"/>
              <w:lang w:eastAsia="en-AU"/>
            </w:rPr>
          </w:pPr>
          <w:hyperlink w:anchor="_Toc113279938" w:history="1">
            <w:r w:rsidR="00442AA9" w:rsidRPr="001E35E4">
              <w:rPr>
                <w:rStyle w:val="Hyperlink"/>
                <w:noProof/>
              </w:rPr>
              <w:t>Section C</w:t>
            </w:r>
            <w:r w:rsidR="00442AA9">
              <w:rPr>
                <w:rFonts w:asciiTheme="minorHAnsi" w:eastAsiaTheme="minorEastAsia" w:hAnsiTheme="minorHAnsi" w:cstheme="minorBidi"/>
                <w:b w:val="0"/>
                <w:noProof/>
                <w:color w:val="auto"/>
                <w:sz w:val="22"/>
                <w:szCs w:val="22"/>
                <w:lang w:eastAsia="en-AU"/>
              </w:rPr>
              <w:tab/>
            </w:r>
            <w:r w:rsidR="00442AA9" w:rsidRPr="001E35E4">
              <w:rPr>
                <w:rStyle w:val="Hyperlink"/>
                <w:noProof/>
              </w:rPr>
              <w:t>Integration of the Commonwealth-Procured Booking Platform (BP) and the Clinician Vaccine Integrated Platform (CVIP) solution</w:t>
            </w:r>
            <w:r w:rsidR="00442AA9">
              <w:rPr>
                <w:noProof/>
                <w:webHidden/>
              </w:rPr>
              <w:tab/>
            </w:r>
            <w:r w:rsidR="00442AA9">
              <w:rPr>
                <w:noProof/>
                <w:webHidden/>
              </w:rPr>
              <w:fldChar w:fldCharType="begin"/>
            </w:r>
            <w:r w:rsidR="00442AA9">
              <w:rPr>
                <w:noProof/>
                <w:webHidden/>
              </w:rPr>
              <w:instrText xml:space="preserve"> PAGEREF _Toc113279938 \h </w:instrText>
            </w:r>
            <w:r w:rsidR="00442AA9">
              <w:rPr>
                <w:noProof/>
                <w:webHidden/>
              </w:rPr>
            </w:r>
            <w:r w:rsidR="00442AA9">
              <w:rPr>
                <w:noProof/>
                <w:webHidden/>
              </w:rPr>
              <w:fldChar w:fldCharType="separate"/>
            </w:r>
            <w:r>
              <w:rPr>
                <w:noProof/>
                <w:webHidden/>
              </w:rPr>
              <w:t>19</w:t>
            </w:r>
            <w:r w:rsidR="00442AA9">
              <w:rPr>
                <w:noProof/>
                <w:webHidden/>
              </w:rPr>
              <w:fldChar w:fldCharType="end"/>
            </w:r>
          </w:hyperlink>
        </w:p>
        <w:p w14:paraId="1830D4DC" w14:textId="003C9E6B" w:rsidR="00442AA9" w:rsidRDefault="00E3781A">
          <w:pPr>
            <w:pStyle w:val="TOC2"/>
            <w:rPr>
              <w:rFonts w:asciiTheme="minorHAnsi" w:eastAsiaTheme="minorEastAsia" w:hAnsiTheme="minorHAnsi" w:cstheme="minorBidi"/>
              <w:noProof/>
              <w:sz w:val="22"/>
              <w:szCs w:val="22"/>
              <w:lang w:eastAsia="en-AU"/>
            </w:rPr>
          </w:pPr>
          <w:hyperlink w:anchor="_Toc113279939"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Project Description</w:t>
            </w:r>
            <w:r w:rsidR="00442AA9">
              <w:rPr>
                <w:noProof/>
                <w:webHidden/>
              </w:rPr>
              <w:tab/>
            </w:r>
            <w:r w:rsidR="00442AA9">
              <w:rPr>
                <w:noProof/>
                <w:webHidden/>
              </w:rPr>
              <w:fldChar w:fldCharType="begin"/>
            </w:r>
            <w:r w:rsidR="00442AA9">
              <w:rPr>
                <w:noProof/>
                <w:webHidden/>
              </w:rPr>
              <w:instrText xml:space="preserve"> PAGEREF _Toc113279939 \h </w:instrText>
            </w:r>
            <w:r w:rsidR="00442AA9">
              <w:rPr>
                <w:noProof/>
                <w:webHidden/>
              </w:rPr>
            </w:r>
            <w:r w:rsidR="00442AA9">
              <w:rPr>
                <w:noProof/>
                <w:webHidden/>
              </w:rPr>
              <w:fldChar w:fldCharType="separate"/>
            </w:r>
            <w:r>
              <w:rPr>
                <w:noProof/>
                <w:webHidden/>
              </w:rPr>
              <w:t>19</w:t>
            </w:r>
            <w:r w:rsidR="00442AA9">
              <w:rPr>
                <w:noProof/>
                <w:webHidden/>
              </w:rPr>
              <w:fldChar w:fldCharType="end"/>
            </w:r>
          </w:hyperlink>
        </w:p>
        <w:p w14:paraId="2462B206" w14:textId="0EADC5C6" w:rsidR="00442AA9" w:rsidRDefault="00E3781A">
          <w:pPr>
            <w:pStyle w:val="TOC2"/>
            <w:rPr>
              <w:rFonts w:asciiTheme="minorHAnsi" w:eastAsiaTheme="minorEastAsia" w:hAnsiTheme="minorHAnsi" w:cstheme="minorBidi"/>
              <w:noProof/>
              <w:sz w:val="22"/>
              <w:szCs w:val="22"/>
              <w:lang w:eastAsia="en-AU"/>
            </w:rPr>
          </w:pPr>
          <w:hyperlink w:anchor="_Toc113279940"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Privacy impact analysis and compliance</w:t>
            </w:r>
            <w:r w:rsidR="00442AA9">
              <w:rPr>
                <w:noProof/>
                <w:webHidden/>
              </w:rPr>
              <w:tab/>
            </w:r>
            <w:r w:rsidR="00442AA9">
              <w:rPr>
                <w:noProof/>
                <w:webHidden/>
              </w:rPr>
              <w:fldChar w:fldCharType="begin"/>
            </w:r>
            <w:r w:rsidR="00442AA9">
              <w:rPr>
                <w:noProof/>
                <w:webHidden/>
              </w:rPr>
              <w:instrText xml:space="preserve"> PAGEREF _Toc113279940 \h </w:instrText>
            </w:r>
            <w:r w:rsidR="00442AA9">
              <w:rPr>
                <w:noProof/>
                <w:webHidden/>
              </w:rPr>
            </w:r>
            <w:r w:rsidR="00442AA9">
              <w:rPr>
                <w:noProof/>
                <w:webHidden/>
              </w:rPr>
              <w:fldChar w:fldCharType="separate"/>
            </w:r>
            <w:r>
              <w:rPr>
                <w:noProof/>
                <w:webHidden/>
              </w:rPr>
              <w:t>23</w:t>
            </w:r>
            <w:r w:rsidR="00442AA9">
              <w:rPr>
                <w:noProof/>
                <w:webHidden/>
              </w:rPr>
              <w:fldChar w:fldCharType="end"/>
            </w:r>
          </w:hyperlink>
        </w:p>
        <w:p w14:paraId="79544932" w14:textId="07692C9E" w:rsidR="00442AA9" w:rsidRDefault="00E3781A">
          <w:pPr>
            <w:pStyle w:val="TOC3"/>
            <w:rPr>
              <w:rFonts w:asciiTheme="minorHAnsi" w:eastAsiaTheme="minorEastAsia" w:hAnsiTheme="minorHAnsi" w:cstheme="minorBidi"/>
              <w:b w:val="0"/>
              <w:noProof/>
              <w:color w:val="auto"/>
              <w:sz w:val="22"/>
              <w:szCs w:val="22"/>
              <w:lang w:eastAsia="en-AU"/>
            </w:rPr>
          </w:pPr>
          <w:hyperlink w:anchor="_Toc113279941" w:history="1">
            <w:r w:rsidR="00442AA9" w:rsidRPr="001E35E4">
              <w:rPr>
                <w:rStyle w:val="Hyperlink"/>
                <w:noProof/>
              </w:rPr>
              <w:t>Section D</w:t>
            </w:r>
            <w:r w:rsidR="00442AA9">
              <w:rPr>
                <w:rFonts w:asciiTheme="minorHAnsi" w:eastAsiaTheme="minorEastAsia" w:hAnsiTheme="minorHAnsi" w:cstheme="minorBidi"/>
                <w:b w:val="0"/>
                <w:noProof/>
                <w:color w:val="auto"/>
                <w:sz w:val="22"/>
                <w:szCs w:val="22"/>
                <w:lang w:eastAsia="en-AU"/>
              </w:rPr>
              <w:tab/>
            </w:r>
            <w:r w:rsidR="00442AA9" w:rsidRPr="001E35E4">
              <w:rPr>
                <w:rStyle w:val="Hyperlink"/>
                <w:noProof/>
              </w:rPr>
              <w:t>Changes to handling of information related to the CVIP</w:t>
            </w:r>
            <w:r w:rsidR="00442AA9">
              <w:rPr>
                <w:noProof/>
                <w:webHidden/>
              </w:rPr>
              <w:tab/>
            </w:r>
            <w:r w:rsidR="00442AA9">
              <w:rPr>
                <w:noProof/>
                <w:webHidden/>
              </w:rPr>
              <w:fldChar w:fldCharType="begin"/>
            </w:r>
            <w:r w:rsidR="00442AA9">
              <w:rPr>
                <w:noProof/>
                <w:webHidden/>
              </w:rPr>
              <w:instrText xml:space="preserve"> PAGEREF _Toc113279941 \h </w:instrText>
            </w:r>
            <w:r w:rsidR="00442AA9">
              <w:rPr>
                <w:noProof/>
                <w:webHidden/>
              </w:rPr>
            </w:r>
            <w:r w:rsidR="00442AA9">
              <w:rPr>
                <w:noProof/>
                <w:webHidden/>
              </w:rPr>
              <w:fldChar w:fldCharType="separate"/>
            </w:r>
            <w:r>
              <w:rPr>
                <w:noProof/>
                <w:webHidden/>
              </w:rPr>
              <w:t>31</w:t>
            </w:r>
            <w:r w:rsidR="00442AA9">
              <w:rPr>
                <w:noProof/>
                <w:webHidden/>
              </w:rPr>
              <w:fldChar w:fldCharType="end"/>
            </w:r>
          </w:hyperlink>
        </w:p>
        <w:p w14:paraId="31890C22" w14:textId="2DE96217" w:rsidR="00442AA9" w:rsidRDefault="00E3781A">
          <w:pPr>
            <w:pStyle w:val="TOC2"/>
            <w:rPr>
              <w:rFonts w:asciiTheme="minorHAnsi" w:eastAsiaTheme="minorEastAsia" w:hAnsiTheme="minorHAnsi" w:cstheme="minorBidi"/>
              <w:noProof/>
              <w:sz w:val="22"/>
              <w:szCs w:val="22"/>
              <w:lang w:eastAsia="en-AU"/>
            </w:rPr>
          </w:pPr>
          <w:hyperlink w:anchor="_Toc113279942"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Project Description</w:t>
            </w:r>
            <w:r w:rsidR="00442AA9">
              <w:rPr>
                <w:noProof/>
                <w:webHidden/>
              </w:rPr>
              <w:tab/>
            </w:r>
            <w:r w:rsidR="00442AA9">
              <w:rPr>
                <w:noProof/>
                <w:webHidden/>
              </w:rPr>
              <w:fldChar w:fldCharType="begin"/>
            </w:r>
            <w:r w:rsidR="00442AA9">
              <w:rPr>
                <w:noProof/>
                <w:webHidden/>
              </w:rPr>
              <w:instrText xml:space="preserve"> PAGEREF _Toc113279942 \h </w:instrText>
            </w:r>
            <w:r w:rsidR="00442AA9">
              <w:rPr>
                <w:noProof/>
                <w:webHidden/>
              </w:rPr>
            </w:r>
            <w:r w:rsidR="00442AA9">
              <w:rPr>
                <w:noProof/>
                <w:webHidden/>
              </w:rPr>
              <w:fldChar w:fldCharType="separate"/>
            </w:r>
            <w:r>
              <w:rPr>
                <w:noProof/>
                <w:webHidden/>
              </w:rPr>
              <w:t>31</w:t>
            </w:r>
            <w:r w:rsidR="00442AA9">
              <w:rPr>
                <w:noProof/>
                <w:webHidden/>
              </w:rPr>
              <w:fldChar w:fldCharType="end"/>
            </w:r>
          </w:hyperlink>
        </w:p>
        <w:p w14:paraId="71A34FB0" w14:textId="75B78DDE" w:rsidR="00442AA9" w:rsidRDefault="00E3781A">
          <w:pPr>
            <w:pStyle w:val="TOC2"/>
            <w:rPr>
              <w:rFonts w:asciiTheme="minorHAnsi" w:eastAsiaTheme="minorEastAsia" w:hAnsiTheme="minorHAnsi" w:cstheme="minorBidi"/>
              <w:noProof/>
              <w:sz w:val="22"/>
              <w:szCs w:val="22"/>
              <w:lang w:eastAsia="en-AU"/>
            </w:rPr>
          </w:pPr>
          <w:hyperlink w:anchor="_Toc113279943"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Privacy impact analysis and compliance</w:t>
            </w:r>
            <w:r w:rsidR="00442AA9">
              <w:rPr>
                <w:noProof/>
                <w:webHidden/>
              </w:rPr>
              <w:tab/>
            </w:r>
            <w:r w:rsidR="00442AA9">
              <w:rPr>
                <w:noProof/>
                <w:webHidden/>
              </w:rPr>
              <w:fldChar w:fldCharType="begin"/>
            </w:r>
            <w:r w:rsidR="00442AA9">
              <w:rPr>
                <w:noProof/>
                <w:webHidden/>
              </w:rPr>
              <w:instrText xml:space="preserve"> PAGEREF _Toc113279943 \h </w:instrText>
            </w:r>
            <w:r w:rsidR="00442AA9">
              <w:rPr>
                <w:noProof/>
                <w:webHidden/>
              </w:rPr>
            </w:r>
            <w:r w:rsidR="00442AA9">
              <w:rPr>
                <w:noProof/>
                <w:webHidden/>
              </w:rPr>
              <w:fldChar w:fldCharType="separate"/>
            </w:r>
            <w:r>
              <w:rPr>
                <w:noProof/>
                <w:webHidden/>
              </w:rPr>
              <w:t>33</w:t>
            </w:r>
            <w:r w:rsidR="00442AA9">
              <w:rPr>
                <w:noProof/>
                <w:webHidden/>
              </w:rPr>
              <w:fldChar w:fldCharType="end"/>
            </w:r>
          </w:hyperlink>
        </w:p>
        <w:p w14:paraId="2134FCE3" w14:textId="5B09FA2A" w:rsidR="00442AA9" w:rsidRDefault="00E3781A">
          <w:pPr>
            <w:pStyle w:val="TOC3"/>
            <w:rPr>
              <w:rFonts w:asciiTheme="minorHAnsi" w:eastAsiaTheme="minorEastAsia" w:hAnsiTheme="minorHAnsi" w:cstheme="minorBidi"/>
              <w:b w:val="0"/>
              <w:noProof/>
              <w:color w:val="auto"/>
              <w:sz w:val="22"/>
              <w:szCs w:val="22"/>
              <w:lang w:eastAsia="en-AU"/>
            </w:rPr>
          </w:pPr>
          <w:hyperlink w:anchor="_Toc113279944" w:history="1">
            <w:r w:rsidR="00442AA9" w:rsidRPr="001E35E4">
              <w:rPr>
                <w:rStyle w:val="Hyperlink"/>
                <w:noProof/>
              </w:rPr>
              <w:t>Section E</w:t>
            </w:r>
            <w:r w:rsidR="00442AA9">
              <w:rPr>
                <w:rFonts w:asciiTheme="minorHAnsi" w:eastAsiaTheme="minorEastAsia" w:hAnsiTheme="minorHAnsi" w:cstheme="minorBidi"/>
                <w:b w:val="0"/>
                <w:noProof/>
                <w:color w:val="auto"/>
                <w:sz w:val="22"/>
                <w:szCs w:val="22"/>
                <w:lang w:eastAsia="en-AU"/>
              </w:rPr>
              <w:tab/>
            </w:r>
            <w:r w:rsidR="00442AA9" w:rsidRPr="001E35E4">
              <w:rPr>
                <w:rStyle w:val="Hyperlink"/>
                <w:noProof/>
              </w:rPr>
              <w:t>Introduction of data sharing from Commonwealth systems to Health and State and Territory health agencies</w:t>
            </w:r>
            <w:r w:rsidR="00442AA9">
              <w:rPr>
                <w:noProof/>
                <w:webHidden/>
              </w:rPr>
              <w:tab/>
            </w:r>
            <w:r w:rsidR="00442AA9">
              <w:rPr>
                <w:noProof/>
                <w:webHidden/>
              </w:rPr>
              <w:fldChar w:fldCharType="begin"/>
            </w:r>
            <w:r w:rsidR="00442AA9">
              <w:rPr>
                <w:noProof/>
                <w:webHidden/>
              </w:rPr>
              <w:instrText xml:space="preserve"> PAGEREF _Toc113279944 \h </w:instrText>
            </w:r>
            <w:r w:rsidR="00442AA9">
              <w:rPr>
                <w:noProof/>
                <w:webHidden/>
              </w:rPr>
            </w:r>
            <w:r w:rsidR="00442AA9">
              <w:rPr>
                <w:noProof/>
                <w:webHidden/>
              </w:rPr>
              <w:fldChar w:fldCharType="separate"/>
            </w:r>
            <w:r>
              <w:rPr>
                <w:noProof/>
                <w:webHidden/>
              </w:rPr>
              <w:t>36</w:t>
            </w:r>
            <w:r w:rsidR="00442AA9">
              <w:rPr>
                <w:noProof/>
                <w:webHidden/>
              </w:rPr>
              <w:fldChar w:fldCharType="end"/>
            </w:r>
          </w:hyperlink>
        </w:p>
        <w:p w14:paraId="08D66450" w14:textId="35EE32F5" w:rsidR="00442AA9" w:rsidRDefault="00E3781A">
          <w:pPr>
            <w:pStyle w:val="TOC2"/>
            <w:rPr>
              <w:rFonts w:asciiTheme="minorHAnsi" w:eastAsiaTheme="minorEastAsia" w:hAnsiTheme="minorHAnsi" w:cstheme="minorBidi"/>
              <w:noProof/>
              <w:sz w:val="22"/>
              <w:szCs w:val="22"/>
              <w:lang w:eastAsia="en-AU"/>
            </w:rPr>
          </w:pPr>
          <w:hyperlink w:anchor="_Toc113279945" w:history="1">
            <w:r w:rsidR="00442AA9" w:rsidRPr="001E35E4">
              <w:rPr>
                <w:rStyle w:val="Hyperlink"/>
                <w:noProof/>
              </w:rPr>
              <w:t>1.</w:t>
            </w:r>
            <w:r w:rsidR="00442AA9">
              <w:rPr>
                <w:rFonts w:asciiTheme="minorHAnsi" w:eastAsiaTheme="minorEastAsia" w:hAnsiTheme="minorHAnsi" w:cstheme="minorBidi"/>
                <w:noProof/>
                <w:sz w:val="22"/>
                <w:szCs w:val="22"/>
                <w:lang w:eastAsia="en-AU"/>
              </w:rPr>
              <w:tab/>
            </w:r>
            <w:r w:rsidR="00442AA9" w:rsidRPr="001E35E4">
              <w:rPr>
                <w:rStyle w:val="Hyperlink"/>
                <w:noProof/>
              </w:rPr>
              <w:t>Project Description</w:t>
            </w:r>
            <w:r w:rsidR="00442AA9">
              <w:rPr>
                <w:noProof/>
                <w:webHidden/>
              </w:rPr>
              <w:tab/>
            </w:r>
            <w:r w:rsidR="00442AA9">
              <w:rPr>
                <w:noProof/>
                <w:webHidden/>
              </w:rPr>
              <w:fldChar w:fldCharType="begin"/>
            </w:r>
            <w:r w:rsidR="00442AA9">
              <w:rPr>
                <w:noProof/>
                <w:webHidden/>
              </w:rPr>
              <w:instrText xml:space="preserve"> PAGEREF _Toc113279945 \h </w:instrText>
            </w:r>
            <w:r w:rsidR="00442AA9">
              <w:rPr>
                <w:noProof/>
                <w:webHidden/>
              </w:rPr>
            </w:r>
            <w:r w:rsidR="00442AA9">
              <w:rPr>
                <w:noProof/>
                <w:webHidden/>
              </w:rPr>
              <w:fldChar w:fldCharType="separate"/>
            </w:r>
            <w:r>
              <w:rPr>
                <w:noProof/>
                <w:webHidden/>
              </w:rPr>
              <w:t>36</w:t>
            </w:r>
            <w:r w:rsidR="00442AA9">
              <w:rPr>
                <w:noProof/>
                <w:webHidden/>
              </w:rPr>
              <w:fldChar w:fldCharType="end"/>
            </w:r>
          </w:hyperlink>
        </w:p>
        <w:p w14:paraId="23D30E5B" w14:textId="66366398" w:rsidR="00442AA9" w:rsidRDefault="00E3781A">
          <w:pPr>
            <w:pStyle w:val="TOC2"/>
            <w:rPr>
              <w:rFonts w:asciiTheme="minorHAnsi" w:eastAsiaTheme="minorEastAsia" w:hAnsiTheme="minorHAnsi" w:cstheme="minorBidi"/>
              <w:noProof/>
              <w:sz w:val="22"/>
              <w:szCs w:val="22"/>
              <w:lang w:eastAsia="en-AU"/>
            </w:rPr>
          </w:pPr>
          <w:hyperlink w:anchor="_Toc113279946" w:history="1">
            <w:r w:rsidR="00442AA9" w:rsidRPr="001E35E4">
              <w:rPr>
                <w:rStyle w:val="Hyperlink"/>
                <w:noProof/>
              </w:rPr>
              <w:t>2.</w:t>
            </w:r>
            <w:r w:rsidR="00442AA9">
              <w:rPr>
                <w:rFonts w:asciiTheme="minorHAnsi" w:eastAsiaTheme="minorEastAsia" w:hAnsiTheme="minorHAnsi" w:cstheme="minorBidi"/>
                <w:noProof/>
                <w:sz w:val="22"/>
                <w:szCs w:val="22"/>
                <w:lang w:eastAsia="en-AU"/>
              </w:rPr>
              <w:tab/>
            </w:r>
            <w:r w:rsidR="00442AA9" w:rsidRPr="001E35E4">
              <w:rPr>
                <w:rStyle w:val="Hyperlink"/>
                <w:noProof/>
              </w:rPr>
              <w:t>Privacy impact analysis and compliance</w:t>
            </w:r>
            <w:r w:rsidR="00442AA9">
              <w:rPr>
                <w:noProof/>
                <w:webHidden/>
              </w:rPr>
              <w:tab/>
            </w:r>
            <w:r w:rsidR="00442AA9">
              <w:rPr>
                <w:noProof/>
                <w:webHidden/>
              </w:rPr>
              <w:fldChar w:fldCharType="begin"/>
            </w:r>
            <w:r w:rsidR="00442AA9">
              <w:rPr>
                <w:noProof/>
                <w:webHidden/>
              </w:rPr>
              <w:instrText xml:space="preserve"> PAGEREF _Toc113279946 \h </w:instrText>
            </w:r>
            <w:r w:rsidR="00442AA9">
              <w:rPr>
                <w:noProof/>
                <w:webHidden/>
              </w:rPr>
            </w:r>
            <w:r w:rsidR="00442AA9">
              <w:rPr>
                <w:noProof/>
                <w:webHidden/>
              </w:rPr>
              <w:fldChar w:fldCharType="separate"/>
            </w:r>
            <w:r>
              <w:rPr>
                <w:noProof/>
                <w:webHidden/>
              </w:rPr>
              <w:t>38</w:t>
            </w:r>
            <w:r w:rsidR="00442AA9">
              <w:rPr>
                <w:noProof/>
                <w:webHidden/>
              </w:rPr>
              <w:fldChar w:fldCharType="end"/>
            </w:r>
          </w:hyperlink>
        </w:p>
        <w:p w14:paraId="72DA82DC" w14:textId="51475E52" w:rsidR="00442AA9" w:rsidRDefault="00E3781A">
          <w:pPr>
            <w:pStyle w:val="TOC1"/>
            <w:rPr>
              <w:rFonts w:asciiTheme="minorHAnsi" w:eastAsiaTheme="minorEastAsia" w:hAnsiTheme="minorHAnsi" w:cstheme="minorBidi"/>
              <w:b w:val="0"/>
              <w:noProof/>
              <w:sz w:val="22"/>
              <w:szCs w:val="22"/>
              <w:lang w:eastAsia="en-AU"/>
            </w:rPr>
          </w:pPr>
          <w:hyperlink w:anchor="_Toc113279947" w:history="1">
            <w:r w:rsidR="00442AA9" w:rsidRPr="001E35E4">
              <w:rPr>
                <w:rStyle w:val="Hyperlink"/>
                <w:noProof/>
              </w:rPr>
              <w:t>Part F</w:t>
            </w:r>
            <w:r w:rsidR="00442AA9">
              <w:rPr>
                <w:rFonts w:asciiTheme="minorHAnsi" w:eastAsiaTheme="minorEastAsia" w:hAnsiTheme="minorHAnsi" w:cstheme="minorBidi"/>
                <w:b w:val="0"/>
                <w:noProof/>
                <w:sz w:val="22"/>
                <w:szCs w:val="22"/>
                <w:lang w:eastAsia="en-AU"/>
              </w:rPr>
              <w:tab/>
            </w:r>
            <w:r w:rsidR="00442AA9" w:rsidRPr="001E35E4">
              <w:rPr>
                <w:rStyle w:val="Hyperlink"/>
                <w:noProof/>
              </w:rPr>
              <w:t>GLOSSARY</w:t>
            </w:r>
            <w:r w:rsidR="00442AA9">
              <w:rPr>
                <w:noProof/>
                <w:webHidden/>
              </w:rPr>
              <w:tab/>
            </w:r>
            <w:r w:rsidR="00442AA9">
              <w:rPr>
                <w:noProof/>
                <w:webHidden/>
              </w:rPr>
              <w:fldChar w:fldCharType="begin"/>
            </w:r>
            <w:r w:rsidR="00442AA9">
              <w:rPr>
                <w:noProof/>
                <w:webHidden/>
              </w:rPr>
              <w:instrText xml:space="preserve"> PAGEREF _Toc113279947 \h </w:instrText>
            </w:r>
            <w:r w:rsidR="00442AA9">
              <w:rPr>
                <w:noProof/>
                <w:webHidden/>
              </w:rPr>
            </w:r>
            <w:r w:rsidR="00442AA9">
              <w:rPr>
                <w:noProof/>
                <w:webHidden/>
              </w:rPr>
              <w:fldChar w:fldCharType="separate"/>
            </w:r>
            <w:r>
              <w:rPr>
                <w:noProof/>
                <w:webHidden/>
              </w:rPr>
              <w:t>44</w:t>
            </w:r>
            <w:r w:rsidR="00442AA9">
              <w:rPr>
                <w:noProof/>
                <w:webHidden/>
              </w:rPr>
              <w:fldChar w:fldCharType="end"/>
            </w:r>
          </w:hyperlink>
        </w:p>
        <w:p w14:paraId="09830A26" w14:textId="43DB2EE7" w:rsidR="00200DD4" w:rsidRPr="007220FA" w:rsidRDefault="003C6F16" w:rsidP="00200DD4">
          <w:r w:rsidRPr="007220FA">
            <w:rPr>
              <w:b/>
              <w:color w:val="82002A"/>
              <w:sz w:val="22"/>
              <w:lang w:eastAsia="en-US"/>
            </w:rPr>
            <w:fldChar w:fldCharType="end"/>
          </w:r>
        </w:p>
      </w:sdtContent>
    </w:sdt>
    <w:p w14:paraId="72442079" w14:textId="77777777" w:rsidR="004F594E" w:rsidRPr="007220FA" w:rsidRDefault="004F594E" w:rsidP="00700AE9">
      <w:bookmarkStart w:id="0" w:name="_Ref38144384"/>
      <w:r w:rsidRPr="007220FA">
        <w:br w:type="page"/>
      </w:r>
      <w:bookmarkEnd w:id="0"/>
    </w:p>
    <w:p w14:paraId="3A9EA769" w14:textId="407DF9C9" w:rsidR="00BB0099" w:rsidRPr="007220FA" w:rsidRDefault="000D1382" w:rsidP="00361991">
      <w:pPr>
        <w:pStyle w:val="legalPart"/>
        <w:numPr>
          <w:ilvl w:val="0"/>
          <w:numId w:val="10"/>
        </w:numPr>
      </w:pPr>
      <w:bookmarkStart w:id="1" w:name="_Ref57977118"/>
      <w:bookmarkStart w:id="2" w:name="_Toc113279919"/>
      <w:r w:rsidRPr="007220FA">
        <w:lastRenderedPageBreak/>
        <w:t>INTRODUCTION</w:t>
      </w:r>
      <w:bookmarkEnd w:id="1"/>
      <w:bookmarkEnd w:id="2"/>
    </w:p>
    <w:p w14:paraId="69B92D2F" w14:textId="728718B7" w:rsidR="00EE6542" w:rsidRPr="007220FA" w:rsidRDefault="00EE6542" w:rsidP="00EE6542">
      <w:pPr>
        <w:pStyle w:val="Heading1"/>
        <w:pBdr>
          <w:top w:val="none" w:sz="0" w:space="0" w:color="auto"/>
        </w:pBdr>
      </w:pPr>
      <w:bookmarkStart w:id="3" w:name="_Toc57971321"/>
      <w:bookmarkStart w:id="4" w:name="_Toc113279920"/>
      <w:bookmarkStart w:id="5" w:name="_Toc17707320"/>
      <w:bookmarkStart w:id="6" w:name="_Toc38274217"/>
      <w:bookmarkStart w:id="7" w:name="_Ref512868325"/>
      <w:bookmarkStart w:id="8" w:name="_Ref513147578"/>
      <w:bookmarkStart w:id="9" w:name="_Ref36658559"/>
      <w:bookmarkStart w:id="10" w:name="_Ref36658706"/>
      <w:bookmarkStart w:id="11" w:name="_Ref36658714"/>
      <w:bookmarkStart w:id="12" w:name="_Hlk22741585"/>
      <w:bookmarkStart w:id="13" w:name="_Hlk36709325"/>
      <w:r w:rsidRPr="007220FA">
        <w:t>Overview</w:t>
      </w:r>
      <w:bookmarkEnd w:id="3"/>
      <w:bookmarkEnd w:id="4"/>
    </w:p>
    <w:p w14:paraId="34976D17" w14:textId="760CF95E" w:rsidR="00EE6542" w:rsidRPr="007220FA" w:rsidRDefault="007C3D4C" w:rsidP="00FF1D6D">
      <w:pPr>
        <w:pStyle w:val="Headingpara2"/>
      </w:pPr>
      <w:bookmarkStart w:id="14" w:name="_Toc17707321"/>
      <w:bookmarkEnd w:id="5"/>
      <w:bookmarkEnd w:id="6"/>
      <w:r w:rsidRPr="007220FA">
        <w:t xml:space="preserve">Maddocks was engaged by the </w:t>
      </w:r>
      <w:r w:rsidRPr="007220FA">
        <w:rPr>
          <w:rFonts w:asciiTheme="majorHAnsi" w:hAnsiTheme="majorHAnsi" w:cstheme="majorHAnsi"/>
        </w:rPr>
        <w:t>Commonwealth Department of Health (</w:t>
      </w:r>
      <w:r w:rsidRPr="007220FA">
        <w:rPr>
          <w:rFonts w:asciiTheme="majorHAnsi" w:hAnsiTheme="majorHAnsi" w:cstheme="majorHAnsi"/>
          <w:b/>
          <w:bCs/>
        </w:rPr>
        <w:t>Health</w:t>
      </w:r>
      <w:r w:rsidRPr="007220FA">
        <w:rPr>
          <w:rFonts w:asciiTheme="majorHAnsi" w:hAnsiTheme="majorHAnsi" w:cstheme="majorHAnsi"/>
        </w:rPr>
        <w:t xml:space="preserve">) early </w:t>
      </w:r>
      <w:r w:rsidRPr="007220FA">
        <w:t xml:space="preserve">in the process of the </w:t>
      </w:r>
      <w:r w:rsidRPr="007220FA">
        <w:rPr>
          <w:rFonts w:asciiTheme="majorHAnsi" w:hAnsiTheme="majorHAnsi" w:cstheme="majorHAnsi"/>
        </w:rPr>
        <w:t xml:space="preserve">implementation of the COVID-19 Vaccine and Treatment Strategy and the COVID-19 Vaccine National Roll-out Strategy (together, the </w:t>
      </w:r>
      <w:r w:rsidRPr="007220FA">
        <w:rPr>
          <w:rFonts w:asciiTheme="majorHAnsi" w:hAnsiTheme="majorHAnsi" w:cstheme="majorHAnsi"/>
          <w:b/>
          <w:bCs/>
        </w:rPr>
        <w:t>Vaccine Strategy</w:t>
      </w:r>
      <w:r w:rsidRPr="007220FA">
        <w:rPr>
          <w:rFonts w:asciiTheme="majorHAnsi" w:hAnsiTheme="majorHAnsi" w:cstheme="majorHAnsi"/>
        </w:rPr>
        <w:t>)</w:t>
      </w:r>
      <w:r w:rsidRPr="007220FA">
        <w:rPr>
          <w:rStyle w:val="FootnoteReference"/>
          <w:rFonts w:asciiTheme="majorHAnsi" w:hAnsiTheme="majorHAnsi" w:cstheme="majorHAnsi"/>
        </w:rPr>
        <w:footnoteReference w:id="2"/>
      </w:r>
      <w:r w:rsidRPr="007220FA">
        <w:rPr>
          <w:rFonts w:asciiTheme="majorHAnsi" w:hAnsiTheme="majorHAnsi" w:cstheme="majorHAnsi"/>
        </w:rPr>
        <w:t xml:space="preserve">. </w:t>
      </w:r>
      <w:r w:rsidRPr="007220FA">
        <w:t>In February 2021, we completed a privacy impact assessment (</w:t>
      </w:r>
      <w:r w:rsidRPr="007220FA">
        <w:rPr>
          <w:b/>
          <w:bCs/>
        </w:rPr>
        <w:t>PIA</w:t>
      </w:r>
      <w:r w:rsidRPr="007220FA">
        <w:t>) in relation to Phase 1a of the implementation of the Vaccine Strategy (</w:t>
      </w:r>
      <w:r w:rsidR="00BC0939" w:rsidRPr="007220FA">
        <w:rPr>
          <w:b/>
          <w:bCs/>
        </w:rPr>
        <w:t xml:space="preserve">Original </w:t>
      </w:r>
      <w:r w:rsidRPr="007220FA">
        <w:rPr>
          <w:b/>
          <w:bCs/>
        </w:rPr>
        <w:t>PIA</w:t>
      </w:r>
      <w:r w:rsidRPr="007220FA">
        <w:t>).</w:t>
      </w:r>
      <w:r w:rsidR="005E3E25" w:rsidRPr="007220FA">
        <w:rPr>
          <w:rStyle w:val="FootnoteReference"/>
        </w:rPr>
        <w:footnoteReference w:id="3"/>
      </w:r>
      <w:r w:rsidR="00B32BA2" w:rsidRPr="007220FA">
        <w:t xml:space="preserve"> In March 2021, we completed an updated privacy impact assessment process, to examine the privacy impacts associated with the implementation of Phase 1b of the Vaccine Strategy</w:t>
      </w:r>
      <w:r w:rsidR="007220FA">
        <w:t xml:space="preserve"> (</w:t>
      </w:r>
      <w:r w:rsidR="007220FA">
        <w:rPr>
          <w:b/>
          <w:bCs/>
        </w:rPr>
        <w:t xml:space="preserve">Phase 1b </w:t>
      </w:r>
      <w:r w:rsidR="00391211">
        <w:rPr>
          <w:b/>
          <w:bCs/>
        </w:rPr>
        <w:t xml:space="preserve">Update </w:t>
      </w:r>
      <w:r w:rsidR="007220FA">
        <w:rPr>
          <w:b/>
          <w:bCs/>
        </w:rPr>
        <w:t>PIA</w:t>
      </w:r>
      <w:r w:rsidR="007220FA">
        <w:t>)</w:t>
      </w:r>
      <w:r w:rsidR="00B32BA2" w:rsidRPr="007220FA">
        <w:t>.</w:t>
      </w:r>
      <w:r w:rsidR="00B32BA2" w:rsidRPr="007220FA">
        <w:rPr>
          <w:rStyle w:val="FootnoteReference"/>
        </w:rPr>
        <w:footnoteReference w:id="4"/>
      </w:r>
    </w:p>
    <w:p w14:paraId="48F35308" w14:textId="683F7E89" w:rsidR="00FF1D6D" w:rsidRPr="007220FA" w:rsidRDefault="00FF1D6D" w:rsidP="00227755">
      <w:pPr>
        <w:pStyle w:val="Headingpara2"/>
      </w:pPr>
      <w:r w:rsidRPr="007220FA">
        <w:t xml:space="preserve">Consistent with </w:t>
      </w:r>
      <w:r w:rsidRPr="007220FA">
        <w:rPr>
          <w:b/>
          <w:bCs/>
        </w:rPr>
        <w:t>Recommendation 1</w:t>
      </w:r>
      <w:r w:rsidRPr="007220FA">
        <w:t xml:space="preserve"> of the Original PIA</w:t>
      </w:r>
      <w:r w:rsidR="00B32BA2" w:rsidRPr="007220FA">
        <w:t xml:space="preserve"> and </w:t>
      </w:r>
      <w:r w:rsidR="00B32BA2" w:rsidRPr="007220FA">
        <w:rPr>
          <w:b/>
          <w:bCs/>
        </w:rPr>
        <w:t>Recommendation 1</w:t>
      </w:r>
      <w:r w:rsidR="00B32BA2" w:rsidRPr="007220FA">
        <w:t xml:space="preserve"> of</w:t>
      </w:r>
      <w:r w:rsidR="007220FA">
        <w:t xml:space="preserve"> the Phase 1b </w:t>
      </w:r>
      <w:r w:rsidR="00391211">
        <w:t xml:space="preserve">Update </w:t>
      </w:r>
      <w:r w:rsidR="007220FA">
        <w:t>PIA</w:t>
      </w:r>
      <w:r w:rsidRPr="007220FA">
        <w:t xml:space="preserve"> (which recommended that Health continue to take a ‘privacy by design’ approach as the implementation of the Vaccine Strategy progresses, including for future Phases), w</w:t>
      </w:r>
      <w:r w:rsidR="007C3D4C" w:rsidRPr="007220FA">
        <w:t xml:space="preserve">e </w:t>
      </w:r>
      <w:r w:rsidR="00627333">
        <w:t xml:space="preserve">were subsequently </w:t>
      </w:r>
      <w:r w:rsidRPr="007220FA">
        <w:t xml:space="preserve">engaged by Health to undertake </w:t>
      </w:r>
      <w:r w:rsidR="00B32B2C" w:rsidRPr="007220FA">
        <w:t>an updated privacy impact assessment process</w:t>
      </w:r>
      <w:r w:rsidR="00197D84">
        <w:t xml:space="preserve">, </w:t>
      </w:r>
      <w:r w:rsidR="007C3D4C" w:rsidRPr="007220FA">
        <w:t xml:space="preserve">to examine the privacy impacts associated </w:t>
      </w:r>
      <w:r w:rsidR="00D835F0" w:rsidRPr="007220FA">
        <w:t xml:space="preserve">with </w:t>
      </w:r>
      <w:r w:rsidRPr="007220FA">
        <w:t xml:space="preserve">the implementation of Phase </w:t>
      </w:r>
      <w:r w:rsidR="00B32BA2" w:rsidRPr="007220FA">
        <w:t>2a</w:t>
      </w:r>
      <w:r w:rsidRPr="007220FA">
        <w:t xml:space="preserve"> of the Vaccine Strategy</w:t>
      </w:r>
      <w:r w:rsidR="007220FA">
        <w:t xml:space="preserve"> (</w:t>
      </w:r>
      <w:r w:rsidR="007220FA">
        <w:rPr>
          <w:b/>
          <w:bCs/>
        </w:rPr>
        <w:t xml:space="preserve">Phase 2a </w:t>
      </w:r>
      <w:r w:rsidR="00391211">
        <w:rPr>
          <w:b/>
          <w:bCs/>
        </w:rPr>
        <w:t xml:space="preserve">Update </w:t>
      </w:r>
      <w:r w:rsidR="007220FA">
        <w:rPr>
          <w:b/>
          <w:bCs/>
        </w:rPr>
        <w:t>PIA</w:t>
      </w:r>
      <w:r w:rsidR="007220FA">
        <w:t>)</w:t>
      </w:r>
      <w:r w:rsidRPr="007220FA">
        <w:t>.</w:t>
      </w:r>
    </w:p>
    <w:p w14:paraId="4CD7E1EC" w14:textId="35DA47BA" w:rsidR="00DB4CCF" w:rsidRDefault="00FF1D6D" w:rsidP="00627333">
      <w:pPr>
        <w:pStyle w:val="Headingpara2"/>
      </w:pPr>
      <w:r w:rsidRPr="007220FA">
        <w:t xml:space="preserve">Phase </w:t>
      </w:r>
      <w:r w:rsidR="00B32BA2" w:rsidRPr="007220FA">
        <w:t>2a</w:t>
      </w:r>
      <w:r w:rsidRPr="007220FA">
        <w:t xml:space="preserve"> involve</w:t>
      </w:r>
      <w:r w:rsidR="00627333">
        <w:t>d</w:t>
      </w:r>
      <w:r w:rsidRPr="007220FA">
        <w:t xml:space="preserve"> a </w:t>
      </w:r>
      <w:r w:rsidR="007C3D4C" w:rsidRPr="007220FA">
        <w:t>broader roll</w:t>
      </w:r>
      <w:r w:rsidR="004F4B72">
        <w:t>-</w:t>
      </w:r>
      <w:r w:rsidR="007C3D4C" w:rsidRPr="007220FA">
        <w:t xml:space="preserve">out of the COVID-19 vaccines to additional populations of Australia, and </w:t>
      </w:r>
      <w:r w:rsidRPr="007220FA">
        <w:t xml:space="preserve">the implementation of </w:t>
      </w:r>
      <w:r w:rsidR="007C3D4C" w:rsidRPr="007220FA">
        <w:t xml:space="preserve">some additional ICT </w:t>
      </w:r>
      <w:r w:rsidR="00DB4CCF">
        <w:t xml:space="preserve">and other </w:t>
      </w:r>
      <w:r w:rsidR="007C3D4C" w:rsidRPr="007220FA">
        <w:t>processes to facilitate this</w:t>
      </w:r>
      <w:r w:rsidR="00F719EF">
        <w:t xml:space="preserve"> phase</w:t>
      </w:r>
      <w:r w:rsidR="007C3D4C" w:rsidRPr="007220FA">
        <w:t xml:space="preserve">. </w:t>
      </w:r>
      <w:r w:rsidR="00627333">
        <w:t xml:space="preserve">The </w:t>
      </w:r>
      <w:r w:rsidR="00DB4CCF">
        <w:t xml:space="preserve">Phase 2a </w:t>
      </w:r>
      <w:r w:rsidR="00627333">
        <w:t xml:space="preserve">roll-out involved simultaneous policy and system design and development </w:t>
      </w:r>
      <w:r w:rsidR="00BD78A4">
        <w:t>for</w:t>
      </w:r>
      <w:r w:rsidR="00DB4CCF">
        <w:t xml:space="preserve"> </w:t>
      </w:r>
      <w:r w:rsidR="00627333">
        <w:t>the different elements involved in Phase 2a</w:t>
      </w:r>
      <w:r w:rsidR="00DB4CCF">
        <w:t xml:space="preserve">, </w:t>
      </w:r>
      <w:r w:rsidR="00BD78A4">
        <w:t>with</w:t>
      </w:r>
      <w:r w:rsidR="00DB4CCF">
        <w:t xml:space="preserve"> some overlap in the timeframes for implementation of those elements</w:t>
      </w:r>
      <w:r w:rsidR="00627333">
        <w:t xml:space="preserve">. </w:t>
      </w:r>
      <w:proofErr w:type="gramStart"/>
      <w:r w:rsidR="00DB4CCF">
        <w:t>In order to</w:t>
      </w:r>
      <w:proofErr w:type="gramEnd"/>
      <w:r w:rsidR="00DB4CCF">
        <w:t xml:space="preserve"> facilitate </w:t>
      </w:r>
      <w:r w:rsidR="00627333">
        <w:t xml:space="preserve">a ‘privacy-by-design’ approach </w:t>
      </w:r>
      <w:r w:rsidR="00DB4CCF">
        <w:t xml:space="preserve">being </w:t>
      </w:r>
      <w:r w:rsidR="00627333">
        <w:t>adopted</w:t>
      </w:r>
      <w:r w:rsidR="00DB4CCF">
        <w:t xml:space="preserve"> by Health</w:t>
      </w:r>
      <w:r w:rsidR="00627333">
        <w:t xml:space="preserve">, </w:t>
      </w:r>
      <w:r w:rsidR="00DB4CCF">
        <w:t xml:space="preserve">where </w:t>
      </w:r>
      <w:r w:rsidR="00627333">
        <w:t xml:space="preserve">our recommendations </w:t>
      </w:r>
      <w:r w:rsidR="00DB4CCF">
        <w:t xml:space="preserve">could be </w:t>
      </w:r>
      <w:r w:rsidR="00BD78A4">
        <w:t xml:space="preserve">made and then </w:t>
      </w:r>
      <w:r w:rsidR="00627333">
        <w:t xml:space="preserve">considered </w:t>
      </w:r>
      <w:r w:rsidR="00BD78A4">
        <w:t xml:space="preserve">by Health </w:t>
      </w:r>
      <w:r w:rsidR="00627333">
        <w:t xml:space="preserve">in </w:t>
      </w:r>
      <w:r w:rsidR="00BD78A4">
        <w:t xml:space="preserve">a timely manner </w:t>
      </w:r>
      <w:r w:rsidR="00627333">
        <w:t xml:space="preserve">to inform the </w:t>
      </w:r>
      <w:r w:rsidR="00DB4CCF">
        <w:t xml:space="preserve">privacy risks and impacts associated with </w:t>
      </w:r>
      <w:r w:rsidR="00627333">
        <w:t xml:space="preserve">design and build of the different elements, we used a </w:t>
      </w:r>
      <w:r w:rsidR="00DB4CCF">
        <w:t>methodology for th</w:t>
      </w:r>
      <w:r w:rsidR="00F719EF">
        <w:t>e</w:t>
      </w:r>
      <w:r w:rsidR="00DB4CCF">
        <w:t xml:space="preserve"> </w:t>
      </w:r>
      <w:r w:rsidR="00391211">
        <w:t xml:space="preserve">Phase 2a Update </w:t>
      </w:r>
      <w:r w:rsidR="00DB4CCF">
        <w:t xml:space="preserve">PIA akin to the </w:t>
      </w:r>
      <w:r w:rsidR="00627333">
        <w:t>‘agile’ methodology</w:t>
      </w:r>
      <w:r w:rsidR="00BD78A4">
        <w:t xml:space="preserve"> commonly used in ICT contracting matters.</w:t>
      </w:r>
    </w:p>
    <w:p w14:paraId="32E026F4" w14:textId="1E9560C7" w:rsidR="007C3D4C" w:rsidRPr="007220FA" w:rsidRDefault="00BD78A4" w:rsidP="00627333">
      <w:pPr>
        <w:pStyle w:val="Headingpara2"/>
      </w:pPr>
      <w:r>
        <w:t xml:space="preserve">In accordance with </w:t>
      </w:r>
      <w:r w:rsidR="00391211">
        <w:t>this</w:t>
      </w:r>
      <w:r>
        <w:t xml:space="preserve"> methodology, </w:t>
      </w:r>
      <w:r w:rsidR="00627333">
        <w:t xml:space="preserve">we undertook various ‘sprints’ over the course of our involvement, which considered the point-in-time intentions and plans for the following key changes involved as </w:t>
      </w:r>
      <w:r w:rsidR="00FF1D6D" w:rsidRPr="007220FA">
        <w:t xml:space="preserve">part of </w:t>
      </w:r>
      <w:r>
        <w:t xml:space="preserve">the </w:t>
      </w:r>
      <w:r w:rsidR="00FF1D6D" w:rsidRPr="007220FA">
        <w:t xml:space="preserve">Phase </w:t>
      </w:r>
      <w:r w:rsidR="004408D9" w:rsidRPr="007220FA">
        <w:t>2a</w:t>
      </w:r>
      <w:r>
        <w:t xml:space="preserve"> roll-out</w:t>
      </w:r>
      <w:r w:rsidR="00BC0939" w:rsidRPr="007220FA">
        <w:t xml:space="preserve">: </w:t>
      </w:r>
    </w:p>
    <w:p w14:paraId="7EAA6232" w14:textId="1DE19DA2" w:rsidR="00B32B2C" w:rsidRPr="007220FA" w:rsidRDefault="008C716E" w:rsidP="00B32B2C">
      <w:pPr>
        <w:pStyle w:val="Heading3"/>
      </w:pPr>
      <w:r w:rsidRPr="007220FA">
        <w:t xml:space="preserve">the ability for community </w:t>
      </w:r>
      <w:r w:rsidR="00D77C90" w:rsidRPr="007220FA">
        <w:t>pharmacies (</w:t>
      </w:r>
      <w:r w:rsidR="007D5945" w:rsidRPr="007220FA">
        <w:rPr>
          <w:b/>
          <w:bCs/>
        </w:rPr>
        <w:t>CPs</w:t>
      </w:r>
      <w:r w:rsidR="00D77C90" w:rsidRPr="007220FA">
        <w:t>)</w:t>
      </w:r>
      <w:r w:rsidRPr="007220FA">
        <w:t xml:space="preserve"> to administer COVID-19 </w:t>
      </w:r>
      <w:proofErr w:type="gramStart"/>
      <w:r w:rsidRPr="007220FA">
        <w:t>vaccines;</w:t>
      </w:r>
      <w:proofErr w:type="gramEnd"/>
      <w:r w:rsidRPr="007220FA">
        <w:t xml:space="preserve"> </w:t>
      </w:r>
    </w:p>
    <w:p w14:paraId="6628ACF2" w14:textId="11FE889C" w:rsidR="009923A6" w:rsidRPr="007220FA" w:rsidRDefault="009923A6" w:rsidP="009923A6">
      <w:pPr>
        <w:pStyle w:val="Heading3"/>
      </w:pPr>
      <w:r w:rsidRPr="007220FA">
        <w:t>people aged under 18 years old becoming eligible to use the Commonwealth-</w:t>
      </w:r>
      <w:r w:rsidR="00F719EF">
        <w:t>p</w:t>
      </w:r>
      <w:r w:rsidRPr="007220FA">
        <w:t>rocured Booking Platform (</w:t>
      </w:r>
      <w:r w:rsidRPr="007220FA">
        <w:rPr>
          <w:b/>
          <w:bCs/>
        </w:rPr>
        <w:t>BP</w:t>
      </w:r>
      <w:proofErr w:type="gramStart"/>
      <w:r w:rsidRPr="007220FA">
        <w:t>)</w:t>
      </w:r>
      <w:r>
        <w:t>;</w:t>
      </w:r>
      <w:proofErr w:type="gramEnd"/>
      <w:r>
        <w:t xml:space="preserve"> </w:t>
      </w:r>
    </w:p>
    <w:p w14:paraId="18F6F12C" w14:textId="284206B5" w:rsidR="004E0523" w:rsidRPr="007220FA" w:rsidRDefault="004E0523" w:rsidP="004E0523">
      <w:pPr>
        <w:pStyle w:val="Heading3"/>
      </w:pPr>
      <w:r w:rsidRPr="007220FA">
        <w:t xml:space="preserve">the integration of the </w:t>
      </w:r>
      <w:r w:rsidR="009923A6">
        <w:t>BP</w:t>
      </w:r>
      <w:r w:rsidRPr="007220FA">
        <w:t xml:space="preserve"> with the Clinician Vaccine Integrated Platform (</w:t>
      </w:r>
      <w:r w:rsidRPr="007220FA">
        <w:rPr>
          <w:b/>
          <w:bCs/>
        </w:rPr>
        <w:t>CVIP</w:t>
      </w:r>
      <w:r w:rsidRPr="007220FA">
        <w:t>) solution</w:t>
      </w:r>
      <w:r w:rsidR="00A86469">
        <w:rPr>
          <w:rStyle w:val="FootnoteReference"/>
        </w:rPr>
        <w:footnoteReference w:id="5"/>
      </w:r>
      <w:r w:rsidRPr="007220FA">
        <w:t>;</w:t>
      </w:r>
    </w:p>
    <w:p w14:paraId="1C6E9606" w14:textId="6CCB7A92" w:rsidR="004E0523" w:rsidRPr="007220FA" w:rsidRDefault="004E0523" w:rsidP="004E0523">
      <w:pPr>
        <w:pStyle w:val="Heading3"/>
      </w:pPr>
      <w:r w:rsidRPr="007220FA">
        <w:t xml:space="preserve">enhancements to CVIP, including for </w:t>
      </w:r>
      <w:r w:rsidR="00D77C90" w:rsidRPr="007220FA">
        <w:t xml:space="preserve">the </w:t>
      </w:r>
      <w:r w:rsidRPr="007220FA">
        <w:t>collection of data not prescribed by the Australian Immunisation Register (</w:t>
      </w:r>
      <w:r w:rsidRPr="007220FA">
        <w:rPr>
          <w:b/>
          <w:bCs/>
        </w:rPr>
        <w:t>AIR</w:t>
      </w:r>
      <w:r w:rsidRPr="007220FA">
        <w:t>), and disclosure from CVIP to p</w:t>
      </w:r>
      <w:r w:rsidR="00F719EF">
        <w:t>rescrib</w:t>
      </w:r>
      <w:r w:rsidRPr="007220FA">
        <w:t>ed bodies;</w:t>
      </w:r>
      <w:r w:rsidR="007851F8">
        <w:t xml:space="preserve"> and </w:t>
      </w:r>
    </w:p>
    <w:p w14:paraId="7F66BBF7" w14:textId="334C02A2" w:rsidR="00E03455" w:rsidRPr="007220FA" w:rsidRDefault="00D77C90" w:rsidP="007851F8">
      <w:pPr>
        <w:pStyle w:val="Heading3"/>
      </w:pPr>
      <w:r w:rsidRPr="007220FA">
        <w:lastRenderedPageBreak/>
        <w:t xml:space="preserve">the </w:t>
      </w:r>
      <w:r w:rsidR="007851F8">
        <w:t xml:space="preserve">introduction of data sharing from Commonwealth systems to State and Territory health agencies. </w:t>
      </w:r>
    </w:p>
    <w:p w14:paraId="4997FF61" w14:textId="26B010EB" w:rsidR="0028592D" w:rsidRPr="007220FA" w:rsidRDefault="0028592D" w:rsidP="00BD78A4">
      <w:pPr>
        <w:pStyle w:val="Headingpara2"/>
        <w:keepLines/>
      </w:pPr>
      <w:r w:rsidRPr="007220FA">
        <w:t xml:space="preserve">This </w:t>
      </w:r>
      <w:r w:rsidR="007851F8">
        <w:t>Phase 2a</w:t>
      </w:r>
      <w:r w:rsidRPr="007220FA">
        <w:t xml:space="preserve"> </w:t>
      </w:r>
      <w:r w:rsidR="00391211">
        <w:t xml:space="preserve">Update </w:t>
      </w:r>
      <w:r w:rsidR="007851F8">
        <w:t>PIA</w:t>
      </w:r>
      <w:r w:rsidR="002B462D" w:rsidRPr="007220FA">
        <w:t xml:space="preserve"> </w:t>
      </w:r>
      <w:r w:rsidRPr="007220FA">
        <w:t xml:space="preserve">report </w:t>
      </w:r>
      <w:r w:rsidR="00BD78A4">
        <w:t xml:space="preserve">consolidates all of the work undertaken for the </w:t>
      </w:r>
      <w:proofErr w:type="gramStart"/>
      <w:r w:rsidR="00BD78A4">
        <w:t>project, and</w:t>
      </w:r>
      <w:proofErr w:type="gramEnd"/>
      <w:r w:rsidR="00BD78A4">
        <w:t xml:space="preserve"> </w:t>
      </w:r>
      <w:r w:rsidRPr="007220FA">
        <w:t>is intended to supplement the findings and analysis in the Original PIA report</w:t>
      </w:r>
      <w:r w:rsidR="004408D9" w:rsidRPr="007220FA">
        <w:t xml:space="preserve"> and </w:t>
      </w:r>
      <w:r w:rsidR="007851F8">
        <w:t xml:space="preserve">Phase 1b </w:t>
      </w:r>
      <w:r w:rsidR="00391211">
        <w:t xml:space="preserve">Update </w:t>
      </w:r>
      <w:r w:rsidR="007851F8">
        <w:t>PIA</w:t>
      </w:r>
      <w:r w:rsidR="008D29CB" w:rsidRPr="007220FA">
        <w:t xml:space="preserve"> report</w:t>
      </w:r>
      <w:r w:rsidRPr="007220FA">
        <w:t>. It does not seek to reiterate or reconsider matters that were discussed in the Original PIA report</w:t>
      </w:r>
      <w:r w:rsidR="004408D9" w:rsidRPr="007220FA">
        <w:t xml:space="preserve"> or </w:t>
      </w:r>
      <w:r w:rsidR="00473E00">
        <w:t xml:space="preserve">the </w:t>
      </w:r>
      <w:r w:rsidR="007851F8">
        <w:t xml:space="preserve">Phase 1b </w:t>
      </w:r>
      <w:r w:rsidR="00E11795">
        <w:t xml:space="preserve">Update </w:t>
      </w:r>
      <w:r w:rsidR="007851F8">
        <w:t>PIA</w:t>
      </w:r>
      <w:r w:rsidR="00391211">
        <w:t xml:space="preserve"> </w:t>
      </w:r>
      <w:r w:rsidR="0007347F" w:rsidRPr="007220FA">
        <w:t>report</w:t>
      </w:r>
      <w:r w:rsidR="005D5C9E" w:rsidRPr="007220FA">
        <w:t xml:space="preserve">. We note that, in general, the information flows and the associated privacy impacts and risks that were discussed in the Original PIA report </w:t>
      </w:r>
      <w:r w:rsidR="004408D9" w:rsidRPr="007220FA">
        <w:t xml:space="preserve">and </w:t>
      </w:r>
      <w:r w:rsidR="007851F8">
        <w:t xml:space="preserve">the Phase 1b </w:t>
      </w:r>
      <w:r w:rsidR="00E11795">
        <w:t xml:space="preserve">Update </w:t>
      </w:r>
      <w:r w:rsidR="007851F8">
        <w:t>PIA</w:t>
      </w:r>
      <w:r w:rsidR="0007347F" w:rsidRPr="007220FA">
        <w:t xml:space="preserve"> report</w:t>
      </w:r>
      <w:r w:rsidR="004408D9" w:rsidRPr="007220FA">
        <w:t xml:space="preserve"> </w:t>
      </w:r>
      <w:r w:rsidR="005D5C9E" w:rsidRPr="007220FA">
        <w:t xml:space="preserve">will continue to apply during Phase </w:t>
      </w:r>
      <w:r w:rsidR="004408D9" w:rsidRPr="007220FA">
        <w:t>2a</w:t>
      </w:r>
      <w:r w:rsidR="005D5C9E" w:rsidRPr="007220FA">
        <w:t xml:space="preserve">. </w:t>
      </w:r>
    </w:p>
    <w:p w14:paraId="3040C98C" w14:textId="5C3CB2DD" w:rsidR="00EE6542" w:rsidRPr="007220FA" w:rsidRDefault="00EE6542" w:rsidP="00EE6542">
      <w:pPr>
        <w:pStyle w:val="Heading1"/>
      </w:pPr>
      <w:bookmarkStart w:id="15" w:name="_Toc38274223"/>
      <w:bookmarkStart w:id="16" w:name="_Toc57130592"/>
      <w:bookmarkStart w:id="17" w:name="_Toc57971322"/>
      <w:bookmarkStart w:id="18" w:name="_Toc113279921"/>
      <w:bookmarkStart w:id="19" w:name="_Toc38274224"/>
      <w:bookmarkStart w:id="20" w:name="_Ref38363096"/>
      <w:bookmarkStart w:id="21" w:name="_Ref38363104"/>
      <w:bookmarkEnd w:id="15"/>
      <w:r w:rsidRPr="007220FA">
        <w:t xml:space="preserve">Structure of this </w:t>
      </w:r>
      <w:r w:rsidR="00391211">
        <w:t xml:space="preserve">Phase 2a </w:t>
      </w:r>
      <w:r w:rsidR="00F719EF">
        <w:t xml:space="preserve">Update </w:t>
      </w:r>
      <w:r w:rsidRPr="007220FA">
        <w:t>PIA report</w:t>
      </w:r>
      <w:bookmarkEnd w:id="16"/>
      <w:bookmarkEnd w:id="17"/>
      <w:bookmarkEnd w:id="18"/>
    </w:p>
    <w:p w14:paraId="4080D08F" w14:textId="1ACD5859" w:rsidR="00EE6542" w:rsidRPr="007220FA" w:rsidRDefault="00EE6542" w:rsidP="00EE6542">
      <w:pPr>
        <w:pStyle w:val="Heading2"/>
        <w:rPr>
          <w:b w:val="0"/>
        </w:rPr>
      </w:pPr>
      <w:r w:rsidRPr="007220FA">
        <w:rPr>
          <w:b w:val="0"/>
        </w:rPr>
        <w:t>This report is comprised of the following sections:</w:t>
      </w:r>
    </w:p>
    <w:p w14:paraId="28CDC97B" w14:textId="38CC0DAF" w:rsidR="00EE6542" w:rsidRPr="007220FA" w:rsidRDefault="00EE6542" w:rsidP="00EE6542">
      <w:pPr>
        <w:pStyle w:val="Heading3"/>
      </w:pPr>
      <w:r w:rsidRPr="007220FA">
        <w:rPr>
          <w:b/>
        </w:rPr>
        <w:fldChar w:fldCharType="begin"/>
      </w:r>
      <w:r w:rsidRPr="007220FA">
        <w:rPr>
          <w:b/>
        </w:rPr>
        <w:instrText xml:space="preserve"> REF _Ref57970956 \w \h </w:instrText>
      </w:r>
      <w:r w:rsidR="0088085C" w:rsidRPr="007220FA">
        <w:rPr>
          <w:b/>
        </w:rPr>
        <w:instrText xml:space="preserve"> \* MERGEFORMAT </w:instrText>
      </w:r>
      <w:r w:rsidRPr="007220FA">
        <w:rPr>
          <w:b/>
        </w:rPr>
      </w:r>
      <w:r w:rsidRPr="007220FA">
        <w:rPr>
          <w:b/>
        </w:rPr>
        <w:fldChar w:fldCharType="separate"/>
      </w:r>
      <w:r w:rsidR="001527AF">
        <w:rPr>
          <w:b/>
        </w:rPr>
        <w:t>Part B</w:t>
      </w:r>
      <w:r w:rsidRPr="007220FA">
        <w:rPr>
          <w:b/>
        </w:rPr>
        <w:fldChar w:fldCharType="end"/>
      </w:r>
      <w:r w:rsidRPr="007220FA">
        <w:rPr>
          <w:b/>
        </w:rPr>
        <w:t xml:space="preserve"> </w:t>
      </w:r>
      <w:r w:rsidR="00837DD4" w:rsidRPr="007220FA">
        <w:rPr>
          <w:b/>
        </w:rPr>
        <w:t>–</w:t>
      </w:r>
      <w:r w:rsidRPr="007220FA">
        <w:rPr>
          <w:b/>
        </w:rPr>
        <w:t xml:space="preserve"> Executive Summary</w:t>
      </w:r>
      <w:r w:rsidRPr="00416F52">
        <w:rPr>
          <w:b/>
          <w:bCs/>
        </w:rPr>
        <w:t>:</w:t>
      </w:r>
      <w:r w:rsidRPr="007220FA">
        <w:t xml:space="preserve"> This </w:t>
      </w:r>
      <w:r w:rsidR="008E6483">
        <w:t>part</w:t>
      </w:r>
      <w:r w:rsidRPr="007220FA">
        <w:t xml:space="preserve"> contains a summary of the privacy risks we have identified, together with a list of all recommendations we have made </w:t>
      </w:r>
      <w:proofErr w:type="gramStart"/>
      <w:r w:rsidRPr="007220FA">
        <w:t>as a result of</w:t>
      </w:r>
      <w:proofErr w:type="gramEnd"/>
      <w:r w:rsidRPr="007220FA">
        <w:t xml:space="preserve"> our analysis.</w:t>
      </w:r>
    </w:p>
    <w:p w14:paraId="79B72AC1" w14:textId="561666F9" w:rsidR="00EE6542" w:rsidRPr="007220FA" w:rsidRDefault="00EE6542" w:rsidP="00EE6542">
      <w:pPr>
        <w:pStyle w:val="Heading3"/>
      </w:pPr>
      <w:r w:rsidRPr="007220FA">
        <w:rPr>
          <w:b/>
        </w:rPr>
        <w:fldChar w:fldCharType="begin"/>
      </w:r>
      <w:r w:rsidRPr="007220FA">
        <w:rPr>
          <w:b/>
        </w:rPr>
        <w:instrText xml:space="preserve"> REF _Ref57730742 \w \h </w:instrText>
      </w:r>
      <w:r w:rsidR="0088085C" w:rsidRPr="007220FA">
        <w:rPr>
          <w:b/>
        </w:rPr>
        <w:instrText xml:space="preserve"> \* MERGEFORMAT </w:instrText>
      </w:r>
      <w:r w:rsidRPr="007220FA">
        <w:rPr>
          <w:b/>
        </w:rPr>
      </w:r>
      <w:r w:rsidRPr="007220FA">
        <w:rPr>
          <w:b/>
        </w:rPr>
        <w:fldChar w:fldCharType="separate"/>
      </w:r>
      <w:r w:rsidR="008E6483">
        <w:rPr>
          <w:b/>
        </w:rPr>
        <w:t>Part C</w:t>
      </w:r>
      <w:r w:rsidRPr="007220FA">
        <w:rPr>
          <w:b/>
        </w:rPr>
        <w:fldChar w:fldCharType="end"/>
      </w:r>
      <w:r w:rsidRPr="007220FA">
        <w:rPr>
          <w:b/>
        </w:rPr>
        <w:t xml:space="preserve"> </w:t>
      </w:r>
      <w:r w:rsidR="00B773AC" w:rsidRPr="007220FA">
        <w:rPr>
          <w:b/>
        </w:rPr>
        <w:t>–</w:t>
      </w:r>
      <w:r w:rsidRPr="007220FA">
        <w:rPr>
          <w:b/>
        </w:rPr>
        <w:t xml:space="preserve"> Methodology:</w:t>
      </w:r>
      <w:r w:rsidRPr="007220FA">
        <w:t xml:space="preserve"> This </w:t>
      </w:r>
      <w:r w:rsidR="008E6483">
        <w:t>part</w:t>
      </w:r>
      <w:r w:rsidRPr="007220FA">
        <w:t xml:space="preserve"> details how we </w:t>
      </w:r>
      <w:r w:rsidR="004E6288" w:rsidRPr="007220FA">
        <w:t xml:space="preserve">have undertaken the </w:t>
      </w:r>
      <w:r w:rsidR="008E6483">
        <w:t xml:space="preserve">Phase 2a </w:t>
      </w:r>
      <w:r w:rsidR="00391211">
        <w:t xml:space="preserve">Update </w:t>
      </w:r>
      <w:proofErr w:type="gramStart"/>
      <w:r w:rsidR="008E6483">
        <w:t>PIA</w:t>
      </w:r>
      <w:r w:rsidRPr="007220FA">
        <w:t>, and</w:t>
      </w:r>
      <w:proofErr w:type="gramEnd"/>
      <w:r w:rsidRPr="007220FA">
        <w:t xml:space="preserve"> includes information about the scope of </w:t>
      </w:r>
      <w:r w:rsidR="008C1512">
        <w:t>this PIA process</w:t>
      </w:r>
      <w:r w:rsidRPr="007220FA">
        <w:t>.</w:t>
      </w:r>
    </w:p>
    <w:p w14:paraId="02F01B5D" w14:textId="0FA752D7" w:rsidR="00EE6542" w:rsidRPr="007220FA" w:rsidRDefault="00EE6542" w:rsidP="00EE6542">
      <w:pPr>
        <w:pStyle w:val="Heading3"/>
        <w:keepNext/>
        <w:keepLines/>
      </w:pPr>
      <w:r w:rsidRPr="007220FA">
        <w:rPr>
          <w:b/>
        </w:rPr>
        <w:fldChar w:fldCharType="begin"/>
      </w:r>
      <w:r w:rsidRPr="007220FA">
        <w:rPr>
          <w:b/>
        </w:rPr>
        <w:instrText xml:space="preserve"> REF _Ref55837053 \w \h </w:instrText>
      </w:r>
      <w:r w:rsidR="0088085C" w:rsidRPr="007220FA">
        <w:rPr>
          <w:b/>
        </w:rPr>
        <w:instrText xml:space="preserve"> \* MERGEFORMAT </w:instrText>
      </w:r>
      <w:r w:rsidRPr="007220FA">
        <w:rPr>
          <w:b/>
        </w:rPr>
      </w:r>
      <w:r w:rsidRPr="007220FA">
        <w:rPr>
          <w:b/>
        </w:rPr>
        <w:fldChar w:fldCharType="separate"/>
      </w:r>
      <w:r w:rsidR="001527AF">
        <w:rPr>
          <w:b/>
        </w:rPr>
        <w:t>Part D</w:t>
      </w:r>
      <w:r w:rsidRPr="007220FA">
        <w:rPr>
          <w:b/>
        </w:rPr>
        <w:fldChar w:fldCharType="end"/>
      </w:r>
      <w:r w:rsidRPr="007220FA">
        <w:rPr>
          <w:b/>
        </w:rPr>
        <w:t xml:space="preserve"> </w:t>
      </w:r>
      <w:r w:rsidR="00B773AC" w:rsidRPr="007220FA">
        <w:rPr>
          <w:b/>
        </w:rPr>
        <w:t>–</w:t>
      </w:r>
      <w:r w:rsidRPr="007220FA">
        <w:rPr>
          <w:b/>
        </w:rPr>
        <w:t xml:space="preserve"> Project Description </w:t>
      </w:r>
      <w:r w:rsidR="002B462D" w:rsidRPr="007220FA">
        <w:rPr>
          <w:b/>
        </w:rPr>
        <w:t>–</w:t>
      </w:r>
      <w:r w:rsidRPr="007220FA">
        <w:rPr>
          <w:b/>
        </w:rPr>
        <w:t xml:space="preserve"> Overview:</w:t>
      </w:r>
      <w:r w:rsidRPr="007220FA">
        <w:t xml:space="preserve"> This </w:t>
      </w:r>
      <w:r w:rsidR="008E6483">
        <w:t>part</w:t>
      </w:r>
      <w:r w:rsidRPr="007220FA">
        <w:t xml:space="preserve"> contains a summary of the changes </w:t>
      </w:r>
      <w:r w:rsidR="006F7E37" w:rsidRPr="007220FA">
        <w:t xml:space="preserve">involved with Phase </w:t>
      </w:r>
      <w:r w:rsidR="00B84C1A" w:rsidRPr="007220FA">
        <w:t>2a</w:t>
      </w:r>
      <w:r w:rsidR="006F7E37" w:rsidRPr="007220FA">
        <w:t xml:space="preserve"> of the Vaccine Strategy</w:t>
      </w:r>
      <w:r w:rsidRPr="007220FA">
        <w:t xml:space="preserve">, which may have potential privacy impacts. </w:t>
      </w:r>
    </w:p>
    <w:p w14:paraId="50566BF7" w14:textId="27A42B42" w:rsidR="00EE6542" w:rsidRPr="007220FA" w:rsidRDefault="00EE6542" w:rsidP="00EE6542">
      <w:pPr>
        <w:pStyle w:val="Heading3"/>
        <w:keepNext/>
        <w:keepLines/>
        <w:rPr>
          <w:b/>
        </w:rPr>
      </w:pPr>
      <w:r w:rsidRPr="007220FA">
        <w:rPr>
          <w:b/>
        </w:rPr>
        <w:fldChar w:fldCharType="begin"/>
      </w:r>
      <w:r w:rsidRPr="007220FA">
        <w:rPr>
          <w:b/>
        </w:rPr>
        <w:instrText xml:space="preserve"> REF _Ref55839547 \w \h </w:instrText>
      </w:r>
      <w:r w:rsidR="0088085C" w:rsidRPr="007220FA">
        <w:rPr>
          <w:b/>
        </w:rPr>
        <w:instrText xml:space="preserve"> \* MERGEFORMAT </w:instrText>
      </w:r>
      <w:r w:rsidRPr="007220FA">
        <w:rPr>
          <w:b/>
        </w:rPr>
      </w:r>
      <w:r w:rsidRPr="007220FA">
        <w:rPr>
          <w:b/>
        </w:rPr>
        <w:fldChar w:fldCharType="separate"/>
      </w:r>
      <w:r w:rsidR="001527AF">
        <w:rPr>
          <w:b/>
        </w:rPr>
        <w:t>Part E</w:t>
      </w:r>
      <w:r w:rsidRPr="007220FA">
        <w:rPr>
          <w:b/>
        </w:rPr>
        <w:fldChar w:fldCharType="end"/>
      </w:r>
      <w:r w:rsidRPr="007220FA">
        <w:rPr>
          <w:b/>
        </w:rPr>
        <w:t xml:space="preserve"> </w:t>
      </w:r>
      <w:r w:rsidR="00B773AC" w:rsidRPr="007220FA">
        <w:rPr>
          <w:b/>
        </w:rPr>
        <w:t>–</w:t>
      </w:r>
      <w:r w:rsidRPr="007220FA">
        <w:rPr>
          <w:b/>
        </w:rPr>
        <w:t xml:space="preserve"> Project Description and Privacy Analysis for Each Change:</w:t>
      </w:r>
      <w:r w:rsidRPr="007220FA">
        <w:t xml:space="preserve"> </w:t>
      </w:r>
      <w:r w:rsidR="004E6288" w:rsidRPr="007220FA">
        <w:t xml:space="preserve">This </w:t>
      </w:r>
      <w:r w:rsidR="00536EBB">
        <w:t>p</w:t>
      </w:r>
      <w:r w:rsidR="008E6483">
        <w:t>art</w:t>
      </w:r>
      <w:r w:rsidR="004E6288" w:rsidRPr="007220FA">
        <w:t xml:space="preserve"> contains separate </w:t>
      </w:r>
      <w:r w:rsidRPr="007220FA">
        <w:t>sections</w:t>
      </w:r>
      <w:r w:rsidR="004E6288" w:rsidRPr="007220FA">
        <w:t xml:space="preserve"> for each identified change. Each section sets out a </w:t>
      </w:r>
      <w:r w:rsidRPr="007220FA">
        <w:t>detailed description of the</w:t>
      </w:r>
      <w:r w:rsidR="00D648FA" w:rsidRPr="007220FA">
        <w:t xml:space="preserve"> </w:t>
      </w:r>
      <w:r w:rsidRPr="007220FA">
        <w:t>change</w:t>
      </w:r>
      <w:r w:rsidR="004E6288" w:rsidRPr="007220FA">
        <w:t xml:space="preserve">, and </w:t>
      </w:r>
      <w:r w:rsidRPr="007220FA">
        <w:t xml:space="preserve">our privacy impact analysis </w:t>
      </w:r>
      <w:r w:rsidR="00D648FA" w:rsidRPr="007220FA">
        <w:t xml:space="preserve">of </w:t>
      </w:r>
      <w:r w:rsidR="004E6288" w:rsidRPr="007220FA">
        <w:t xml:space="preserve">any </w:t>
      </w:r>
      <w:r w:rsidRPr="007220FA">
        <w:t xml:space="preserve">potential privacy </w:t>
      </w:r>
      <w:r w:rsidR="004E6288" w:rsidRPr="007220FA">
        <w:t xml:space="preserve">impacts or </w:t>
      </w:r>
      <w:r w:rsidRPr="007220FA">
        <w:t xml:space="preserve">risks that we have identified as being associated with </w:t>
      </w:r>
      <w:r w:rsidR="00D648FA" w:rsidRPr="007220FA">
        <w:t xml:space="preserve">the </w:t>
      </w:r>
      <w:r w:rsidRPr="007220FA">
        <w:t xml:space="preserve">change, </w:t>
      </w:r>
      <w:r w:rsidR="00D648FA" w:rsidRPr="007220FA">
        <w:t xml:space="preserve">including any current mitigation strategies, and </w:t>
      </w:r>
      <w:r w:rsidRPr="007220FA">
        <w:t xml:space="preserve">any recommendations. </w:t>
      </w:r>
    </w:p>
    <w:p w14:paraId="1E78D0E1" w14:textId="35FFEAB3" w:rsidR="00EE6542" w:rsidRPr="007220FA" w:rsidRDefault="00EE6542" w:rsidP="00EE6542">
      <w:pPr>
        <w:pStyle w:val="Heading3"/>
        <w:rPr>
          <w:b/>
          <w:iCs/>
        </w:rPr>
      </w:pPr>
      <w:r w:rsidRPr="007220FA">
        <w:rPr>
          <w:b/>
          <w:iCs/>
        </w:rPr>
        <w:fldChar w:fldCharType="begin"/>
      </w:r>
      <w:r w:rsidRPr="007220FA">
        <w:rPr>
          <w:b/>
          <w:iCs/>
        </w:rPr>
        <w:instrText xml:space="preserve"> REF _Ref38350428 \w \h  \* MERGEFORMAT </w:instrText>
      </w:r>
      <w:r w:rsidRPr="007220FA">
        <w:rPr>
          <w:b/>
          <w:iCs/>
        </w:rPr>
      </w:r>
      <w:r w:rsidRPr="007220FA">
        <w:rPr>
          <w:b/>
          <w:iCs/>
        </w:rPr>
        <w:fldChar w:fldCharType="separate"/>
      </w:r>
      <w:r w:rsidR="001527AF">
        <w:rPr>
          <w:b/>
          <w:iCs/>
        </w:rPr>
        <w:t>Part F</w:t>
      </w:r>
      <w:r w:rsidRPr="007220FA">
        <w:rPr>
          <w:b/>
          <w:iCs/>
        </w:rPr>
        <w:fldChar w:fldCharType="end"/>
      </w:r>
      <w:r w:rsidRPr="007220FA">
        <w:rPr>
          <w:b/>
          <w:iCs/>
        </w:rPr>
        <w:t xml:space="preserve"> </w:t>
      </w:r>
      <w:r w:rsidR="00B773AC" w:rsidRPr="007220FA">
        <w:rPr>
          <w:b/>
        </w:rPr>
        <w:t>–</w:t>
      </w:r>
      <w:r w:rsidRPr="007220FA">
        <w:rPr>
          <w:b/>
        </w:rPr>
        <w:t xml:space="preserve"> Glossary: </w:t>
      </w:r>
      <w:r w:rsidRPr="007220FA">
        <w:t xml:space="preserve">This </w:t>
      </w:r>
      <w:r w:rsidR="004735FC">
        <w:t>part</w:t>
      </w:r>
      <w:r w:rsidRPr="007220FA">
        <w:t xml:space="preserve"> sets out a list of some capitalised terms that we have used in this </w:t>
      </w:r>
      <w:r w:rsidR="008E6483">
        <w:t xml:space="preserve">Phase 2a </w:t>
      </w:r>
      <w:r w:rsidR="00391211">
        <w:t xml:space="preserve">Update </w:t>
      </w:r>
      <w:r w:rsidR="008E6483">
        <w:t>PIA</w:t>
      </w:r>
      <w:r w:rsidRPr="007220FA">
        <w:t xml:space="preserve"> report, and their definitions.</w:t>
      </w:r>
    </w:p>
    <w:p w14:paraId="18CD2B25" w14:textId="651E4048" w:rsidR="00EE6542" w:rsidRPr="007220FA" w:rsidRDefault="00EE6542" w:rsidP="00EE6542">
      <w:pPr>
        <w:pStyle w:val="Heading1"/>
      </w:pPr>
      <w:r w:rsidRPr="007220FA">
        <w:br w:type="page"/>
      </w:r>
    </w:p>
    <w:p w14:paraId="11FCDA19" w14:textId="77777777" w:rsidR="00EE6542" w:rsidRPr="007220FA" w:rsidRDefault="00EE6542" w:rsidP="00EE6542">
      <w:pPr>
        <w:pStyle w:val="legalPart"/>
      </w:pPr>
      <w:bookmarkStart w:id="22" w:name="_Ref57970956"/>
      <w:bookmarkStart w:id="23" w:name="_Toc57971323"/>
      <w:bookmarkStart w:id="24" w:name="_Toc113279922"/>
      <w:r w:rsidRPr="007220FA">
        <w:lastRenderedPageBreak/>
        <w:t>EXECUTIVE SUMMARY</w:t>
      </w:r>
      <w:bookmarkEnd w:id="22"/>
      <w:bookmarkEnd w:id="23"/>
      <w:bookmarkEnd w:id="24"/>
    </w:p>
    <w:p w14:paraId="2C47B8A4" w14:textId="77777777" w:rsidR="00EE6542" w:rsidRPr="007220FA" w:rsidRDefault="00EE6542" w:rsidP="00473E00">
      <w:pPr>
        <w:pStyle w:val="Heading1"/>
        <w:numPr>
          <w:ilvl w:val="0"/>
          <w:numId w:val="40"/>
        </w:numPr>
      </w:pPr>
      <w:bookmarkStart w:id="25" w:name="_Toc57971324"/>
      <w:bookmarkStart w:id="26" w:name="_Toc113279923"/>
      <w:r w:rsidRPr="007220FA">
        <w:t>Summary of findings</w:t>
      </w:r>
      <w:bookmarkEnd w:id="14"/>
      <w:bookmarkEnd w:id="19"/>
      <w:bookmarkEnd w:id="20"/>
      <w:bookmarkEnd w:id="21"/>
      <w:bookmarkEnd w:id="25"/>
      <w:bookmarkEnd w:id="26"/>
    </w:p>
    <w:p w14:paraId="35656929" w14:textId="7D458DF2" w:rsidR="005D5C9E" w:rsidRDefault="005D5C9E" w:rsidP="00CF16F2">
      <w:pPr>
        <w:pStyle w:val="Headingpara2"/>
        <w:keepNext/>
      </w:pPr>
      <w:r w:rsidRPr="007220FA">
        <w:t>As was the case during the planning and implementation of Phase</w:t>
      </w:r>
      <w:r w:rsidR="001D668A" w:rsidRPr="007220FA">
        <w:t>s</w:t>
      </w:r>
      <w:r w:rsidRPr="007220FA">
        <w:t xml:space="preserve"> 1a</w:t>
      </w:r>
      <w:r w:rsidR="001D668A" w:rsidRPr="007220FA">
        <w:t xml:space="preserve"> and 1b</w:t>
      </w:r>
      <w:r w:rsidR="002B462D" w:rsidRPr="007220FA">
        <w:t xml:space="preserve"> of the Vaccine Strategy</w:t>
      </w:r>
      <w:r w:rsidRPr="007220FA">
        <w:t xml:space="preserve">, we have been privileged to work with Health </w:t>
      </w:r>
      <w:r w:rsidR="00BD78A4">
        <w:t xml:space="preserve">during the time that </w:t>
      </w:r>
      <w:r w:rsidR="00BD78A4" w:rsidRPr="007220FA">
        <w:t xml:space="preserve">the plans, </w:t>
      </w:r>
      <w:proofErr w:type="gramStart"/>
      <w:r w:rsidR="00BD78A4" w:rsidRPr="007220FA">
        <w:t>processes</w:t>
      </w:r>
      <w:proofErr w:type="gramEnd"/>
      <w:r w:rsidR="00BD78A4" w:rsidRPr="007220FA">
        <w:t xml:space="preserve"> and systems </w:t>
      </w:r>
      <w:r w:rsidR="00BD78A4">
        <w:t xml:space="preserve">to be </w:t>
      </w:r>
      <w:r w:rsidR="00BD78A4" w:rsidRPr="007220FA">
        <w:t xml:space="preserve">used in Phase 2a </w:t>
      </w:r>
      <w:r w:rsidR="00BD78A4">
        <w:t xml:space="preserve">were being </w:t>
      </w:r>
      <w:r w:rsidR="00BD78A4" w:rsidRPr="007220FA">
        <w:t>developed</w:t>
      </w:r>
      <w:r w:rsidR="00BD78A4">
        <w:t>,</w:t>
      </w:r>
      <w:r w:rsidR="00BD78A4" w:rsidRPr="007220FA">
        <w:t xml:space="preserve"> </w:t>
      </w:r>
      <w:r w:rsidRPr="007220FA">
        <w:t xml:space="preserve">to provide advice and guidance about identified privacy </w:t>
      </w:r>
      <w:r w:rsidR="00BD78A4">
        <w:t xml:space="preserve">impacts and </w:t>
      </w:r>
      <w:r w:rsidRPr="007220FA">
        <w:t>risks.</w:t>
      </w:r>
    </w:p>
    <w:p w14:paraId="288DB225" w14:textId="74D6E7C1" w:rsidR="007F04F1" w:rsidRDefault="005D5C9E" w:rsidP="008C1512">
      <w:pPr>
        <w:pStyle w:val="Headingpara2"/>
        <w:keepNext/>
      </w:pPr>
      <w:r w:rsidRPr="007220FA">
        <w:t xml:space="preserve">We have found that Health has continued to demonstrate an appreciation of the importance associated with the handling of personal information, </w:t>
      </w:r>
      <w:r w:rsidR="00BD78A4">
        <w:t xml:space="preserve">and its commitment to taking a ‘privacy by design’ approach by employing an agile methodology to consider the privacy impacts of the key changes associated with Phase 2a, enabling Health to consider these and to adjust processes and specifications as required </w:t>
      </w:r>
      <w:r w:rsidRPr="007220FA">
        <w:t xml:space="preserve">to ensure compliance with the requirements of the </w:t>
      </w:r>
      <w:r w:rsidR="006F032B" w:rsidRPr="007220FA">
        <w:t>Australian Privacy Principles (</w:t>
      </w:r>
      <w:r w:rsidR="006F032B" w:rsidRPr="00BD78A4">
        <w:rPr>
          <w:b/>
          <w:bCs/>
        </w:rPr>
        <w:t>APPs</w:t>
      </w:r>
      <w:r w:rsidR="006F032B" w:rsidRPr="007220FA">
        <w:t>)</w:t>
      </w:r>
      <w:r w:rsidRPr="007220FA">
        <w:t xml:space="preserve"> or the principles of the </w:t>
      </w:r>
      <w:r w:rsidR="006F032B" w:rsidRPr="00BD78A4">
        <w:rPr>
          <w:i/>
          <w:iCs/>
        </w:rPr>
        <w:t xml:space="preserve">Privacy Act 1988 </w:t>
      </w:r>
      <w:r w:rsidR="006F032B" w:rsidRPr="007220FA">
        <w:t>(Cth) (</w:t>
      </w:r>
      <w:r w:rsidR="006F032B" w:rsidRPr="00BD78A4">
        <w:rPr>
          <w:b/>
          <w:bCs/>
        </w:rPr>
        <w:t>Privacy Act</w:t>
      </w:r>
      <w:r w:rsidR="006F032B" w:rsidRPr="007220FA">
        <w:t>)</w:t>
      </w:r>
      <w:r w:rsidRPr="007220FA">
        <w:t xml:space="preserve"> more broadly.</w:t>
      </w:r>
    </w:p>
    <w:p w14:paraId="4C5D568A" w14:textId="759BE66C" w:rsidR="00391211" w:rsidRPr="00391211" w:rsidRDefault="00391211" w:rsidP="00391211">
      <w:pPr>
        <w:pStyle w:val="Headingpara2"/>
        <w:keepNext/>
      </w:pPr>
      <w:r>
        <w:t xml:space="preserve">The specific discussion about the relevant privacy impacts and risks, and our findings and recommendations, relevant to each of the following areas of change are set out in </w:t>
      </w:r>
      <w:r w:rsidRPr="00391211">
        <w:rPr>
          <w:b/>
        </w:rPr>
        <w:fldChar w:fldCharType="begin"/>
      </w:r>
      <w:r w:rsidRPr="00391211">
        <w:rPr>
          <w:b/>
        </w:rPr>
        <w:instrText xml:space="preserve"> REF _Ref55839547 \w \h  \* MERGEFORMAT </w:instrText>
      </w:r>
      <w:r w:rsidRPr="00391211">
        <w:rPr>
          <w:b/>
        </w:rPr>
      </w:r>
      <w:r w:rsidRPr="00391211">
        <w:rPr>
          <w:b/>
        </w:rPr>
        <w:fldChar w:fldCharType="separate"/>
      </w:r>
      <w:r w:rsidR="001527AF">
        <w:rPr>
          <w:b/>
        </w:rPr>
        <w:t>Part E</w:t>
      </w:r>
      <w:r w:rsidRPr="00391211">
        <w:rPr>
          <w:b/>
        </w:rPr>
        <w:fldChar w:fldCharType="end"/>
      </w:r>
      <w:r w:rsidRPr="00391211">
        <w:rPr>
          <w:b/>
        </w:rPr>
        <w:t xml:space="preserve"> – Project Description and Privacy Analysis for Each Change</w:t>
      </w:r>
      <w:r>
        <w:rPr>
          <w:bCs/>
        </w:rPr>
        <w:t>, specifically:</w:t>
      </w:r>
    </w:p>
    <w:p w14:paraId="29CA96E8" w14:textId="527FF3AD" w:rsidR="00391211" w:rsidRDefault="00391211" w:rsidP="00391211">
      <w:pPr>
        <w:pStyle w:val="Heading3"/>
      </w:pPr>
      <w:r w:rsidRPr="008C1512">
        <w:rPr>
          <w:b/>
          <w:bCs/>
        </w:rPr>
        <w:fldChar w:fldCharType="begin"/>
      </w:r>
      <w:r w:rsidRPr="008C1512">
        <w:rPr>
          <w:b/>
          <w:bCs/>
        </w:rPr>
        <w:instrText xml:space="preserve"> REF _Ref95745691 \r \h </w:instrText>
      </w:r>
      <w:r w:rsidR="008C1512">
        <w:rPr>
          <w:b/>
          <w:bCs/>
        </w:rPr>
        <w:instrText xml:space="preserve"> \* MERGEFORMAT </w:instrText>
      </w:r>
      <w:r w:rsidRPr="008C1512">
        <w:rPr>
          <w:b/>
          <w:bCs/>
        </w:rPr>
      </w:r>
      <w:r w:rsidRPr="008C1512">
        <w:rPr>
          <w:b/>
          <w:bCs/>
        </w:rPr>
        <w:fldChar w:fldCharType="separate"/>
      </w:r>
      <w:r w:rsidR="001527AF">
        <w:rPr>
          <w:b/>
          <w:bCs/>
        </w:rPr>
        <w:t>Section A</w:t>
      </w:r>
      <w:r w:rsidRPr="008C1512">
        <w:rPr>
          <w:b/>
          <w:bCs/>
        </w:rPr>
        <w:fldChar w:fldCharType="end"/>
      </w:r>
      <w:r w:rsidRPr="00442AA9">
        <w:rPr>
          <w:b/>
          <w:bCs/>
        </w:rPr>
        <w:t>:</w:t>
      </w:r>
      <w:r>
        <w:t xml:space="preserve"> </w:t>
      </w:r>
      <w:r w:rsidRPr="00391211">
        <w:t xml:space="preserve">Expansion of eligibility to receive and to administer a COVID-19 </w:t>
      </w:r>
      <w:proofErr w:type="gramStart"/>
      <w:r w:rsidRPr="00391211">
        <w:t>vaccine</w:t>
      </w:r>
      <w:r>
        <w:t>;</w:t>
      </w:r>
      <w:proofErr w:type="gramEnd"/>
    </w:p>
    <w:p w14:paraId="2635D453" w14:textId="423BF918" w:rsidR="00391211" w:rsidRDefault="00391211" w:rsidP="00391211">
      <w:pPr>
        <w:pStyle w:val="Heading3"/>
      </w:pPr>
      <w:r w:rsidRPr="008C1512">
        <w:rPr>
          <w:b/>
          <w:bCs/>
        </w:rPr>
        <w:fldChar w:fldCharType="begin"/>
      </w:r>
      <w:r w:rsidRPr="008C1512">
        <w:rPr>
          <w:b/>
          <w:bCs/>
        </w:rPr>
        <w:instrText xml:space="preserve"> REF _Ref94534372 \r \h </w:instrText>
      </w:r>
      <w:r w:rsidR="008C1512">
        <w:rPr>
          <w:b/>
          <w:bCs/>
        </w:rPr>
        <w:instrText xml:space="preserve"> \* MERGEFORMAT </w:instrText>
      </w:r>
      <w:r w:rsidRPr="008C1512">
        <w:rPr>
          <w:b/>
          <w:bCs/>
        </w:rPr>
      </w:r>
      <w:r w:rsidRPr="008C1512">
        <w:rPr>
          <w:b/>
          <w:bCs/>
        </w:rPr>
        <w:fldChar w:fldCharType="separate"/>
      </w:r>
      <w:r w:rsidR="001527AF">
        <w:rPr>
          <w:b/>
          <w:bCs/>
        </w:rPr>
        <w:t>Section B</w:t>
      </w:r>
      <w:r w:rsidRPr="008C1512">
        <w:rPr>
          <w:b/>
          <w:bCs/>
        </w:rPr>
        <w:fldChar w:fldCharType="end"/>
      </w:r>
      <w:r w:rsidRPr="00442AA9">
        <w:rPr>
          <w:b/>
          <w:bCs/>
        </w:rPr>
        <w:t>:</w:t>
      </w:r>
      <w:r>
        <w:t xml:space="preserve"> </w:t>
      </w:r>
      <w:r w:rsidRPr="00391211">
        <w:t xml:space="preserve">Expansion of eligibility to use the Booking Platform (BP) to </w:t>
      </w:r>
      <w:proofErr w:type="gramStart"/>
      <w:r w:rsidRPr="00391211">
        <w:t>Patients</w:t>
      </w:r>
      <w:proofErr w:type="gramEnd"/>
      <w:r w:rsidRPr="00391211">
        <w:t xml:space="preserve"> under 18 years of age</w:t>
      </w:r>
      <w:r>
        <w:t>;</w:t>
      </w:r>
    </w:p>
    <w:p w14:paraId="3A2FF814" w14:textId="700FE953" w:rsidR="00391211" w:rsidRPr="00391211" w:rsidRDefault="00391211" w:rsidP="00391211">
      <w:pPr>
        <w:pStyle w:val="Heading3"/>
      </w:pPr>
      <w:r w:rsidRPr="008C1512">
        <w:rPr>
          <w:b/>
          <w:bCs/>
        </w:rPr>
        <w:fldChar w:fldCharType="begin"/>
      </w:r>
      <w:r w:rsidRPr="008C1512">
        <w:rPr>
          <w:b/>
          <w:bCs/>
        </w:rPr>
        <w:instrText xml:space="preserve"> REF _Ref94506121 \r \h </w:instrText>
      </w:r>
      <w:r w:rsidR="008C1512">
        <w:rPr>
          <w:b/>
          <w:bCs/>
        </w:rPr>
        <w:instrText xml:space="preserve"> \* MERGEFORMAT </w:instrText>
      </w:r>
      <w:r w:rsidRPr="008C1512">
        <w:rPr>
          <w:b/>
          <w:bCs/>
        </w:rPr>
      </w:r>
      <w:r w:rsidRPr="008C1512">
        <w:rPr>
          <w:b/>
          <w:bCs/>
        </w:rPr>
        <w:fldChar w:fldCharType="separate"/>
      </w:r>
      <w:r w:rsidR="001527AF">
        <w:rPr>
          <w:b/>
          <w:bCs/>
        </w:rPr>
        <w:t>Section C</w:t>
      </w:r>
      <w:r w:rsidRPr="008C1512">
        <w:rPr>
          <w:b/>
          <w:bCs/>
        </w:rPr>
        <w:fldChar w:fldCharType="end"/>
      </w:r>
      <w:r w:rsidRPr="00442AA9">
        <w:rPr>
          <w:b/>
          <w:bCs/>
        </w:rPr>
        <w:t>:</w:t>
      </w:r>
      <w:r>
        <w:t xml:space="preserve"> </w:t>
      </w:r>
      <w:r w:rsidRPr="00391211">
        <w:t>Integration of the Commonwealth-</w:t>
      </w:r>
      <w:r w:rsidR="00F719EF">
        <w:t>p</w:t>
      </w:r>
      <w:r w:rsidRPr="00391211">
        <w:t xml:space="preserve">rocured Booking Platform (BP) and the Clinician Vaccine Integrated Platform (CVIP) </w:t>
      </w:r>
      <w:proofErr w:type="gramStart"/>
      <w:r w:rsidRPr="00391211">
        <w:t>solution</w:t>
      </w:r>
      <w:r>
        <w:t>;</w:t>
      </w:r>
      <w:proofErr w:type="gramEnd"/>
    </w:p>
    <w:p w14:paraId="4399C878" w14:textId="4BFC9B7F" w:rsidR="00391211" w:rsidRDefault="00391211" w:rsidP="00391211">
      <w:pPr>
        <w:pStyle w:val="Heading3"/>
      </w:pPr>
      <w:r w:rsidRPr="008C1512">
        <w:rPr>
          <w:b/>
          <w:bCs/>
        </w:rPr>
        <w:fldChar w:fldCharType="begin"/>
      </w:r>
      <w:r w:rsidRPr="008C1512">
        <w:rPr>
          <w:b/>
          <w:bCs/>
        </w:rPr>
        <w:instrText xml:space="preserve"> REF _Ref75445950 \r \h </w:instrText>
      </w:r>
      <w:r w:rsidR="008C1512">
        <w:rPr>
          <w:b/>
          <w:bCs/>
        </w:rPr>
        <w:instrText xml:space="preserve"> \* MERGEFORMAT </w:instrText>
      </w:r>
      <w:r w:rsidRPr="008C1512">
        <w:rPr>
          <w:b/>
          <w:bCs/>
        </w:rPr>
      </w:r>
      <w:r w:rsidRPr="008C1512">
        <w:rPr>
          <w:b/>
          <w:bCs/>
        </w:rPr>
        <w:fldChar w:fldCharType="separate"/>
      </w:r>
      <w:r w:rsidR="001527AF">
        <w:rPr>
          <w:b/>
          <w:bCs/>
        </w:rPr>
        <w:t>Section D</w:t>
      </w:r>
      <w:r w:rsidRPr="008C1512">
        <w:rPr>
          <w:b/>
          <w:bCs/>
        </w:rPr>
        <w:fldChar w:fldCharType="end"/>
      </w:r>
      <w:r w:rsidRPr="00442AA9">
        <w:rPr>
          <w:b/>
          <w:bCs/>
        </w:rPr>
        <w:t>:</w:t>
      </w:r>
      <w:r>
        <w:t xml:space="preserve"> </w:t>
      </w:r>
      <w:r w:rsidRPr="007220FA">
        <w:t>Changes to handling of information related to the CVIP</w:t>
      </w:r>
      <w:r>
        <w:t>; and</w:t>
      </w:r>
    </w:p>
    <w:p w14:paraId="75BB2341" w14:textId="7D595F58" w:rsidR="00391211" w:rsidRDefault="00391211" w:rsidP="00391211">
      <w:pPr>
        <w:pStyle w:val="Heading3"/>
      </w:pPr>
      <w:r w:rsidRPr="008C1512">
        <w:rPr>
          <w:b/>
          <w:bCs/>
        </w:rPr>
        <w:fldChar w:fldCharType="begin"/>
      </w:r>
      <w:r w:rsidRPr="008C1512">
        <w:rPr>
          <w:b/>
          <w:bCs/>
        </w:rPr>
        <w:instrText xml:space="preserve"> REF _Ref94555707 \r \h </w:instrText>
      </w:r>
      <w:r w:rsidR="008C1512">
        <w:rPr>
          <w:b/>
          <w:bCs/>
        </w:rPr>
        <w:instrText xml:space="preserve"> \* MERGEFORMAT </w:instrText>
      </w:r>
      <w:r w:rsidRPr="008C1512">
        <w:rPr>
          <w:b/>
          <w:bCs/>
        </w:rPr>
      </w:r>
      <w:r w:rsidRPr="008C1512">
        <w:rPr>
          <w:b/>
          <w:bCs/>
        </w:rPr>
        <w:fldChar w:fldCharType="separate"/>
      </w:r>
      <w:r w:rsidR="001527AF">
        <w:rPr>
          <w:b/>
          <w:bCs/>
        </w:rPr>
        <w:t>Section E</w:t>
      </w:r>
      <w:r w:rsidRPr="008C1512">
        <w:rPr>
          <w:b/>
          <w:bCs/>
        </w:rPr>
        <w:fldChar w:fldCharType="end"/>
      </w:r>
      <w:r w:rsidRPr="00442AA9">
        <w:rPr>
          <w:b/>
          <w:bCs/>
        </w:rPr>
        <w:t>:</w:t>
      </w:r>
      <w:r>
        <w:t xml:space="preserve"> </w:t>
      </w:r>
      <w:r w:rsidRPr="00391211">
        <w:t>Introduction of data sharing from Commonwealth systems to Health and State and Territory health agencies</w:t>
      </w:r>
      <w:r>
        <w:t>.</w:t>
      </w:r>
    </w:p>
    <w:p w14:paraId="2DF03DD6" w14:textId="4C3AFB21" w:rsidR="00391211" w:rsidRDefault="00391211" w:rsidP="00EE6542">
      <w:pPr>
        <w:pStyle w:val="Headingpara2"/>
        <w:keepNext/>
      </w:pPr>
      <w:r>
        <w:t xml:space="preserve">Following our analysis in respect of </w:t>
      </w:r>
      <w:r w:rsidR="00872229">
        <w:t xml:space="preserve">each of the </w:t>
      </w:r>
      <w:r>
        <w:t>Sections</w:t>
      </w:r>
      <w:r w:rsidR="00872229">
        <w:t xml:space="preserve"> </w:t>
      </w:r>
      <w:r>
        <w:t xml:space="preserve">above, we then considered whether there were any additional overarching matters that Health should address, to further protect personal information and minimise any potential privacy impacts. These overarching recommendations are set out in </w:t>
      </w:r>
      <w:r w:rsidRPr="007220FA">
        <w:t xml:space="preserve">paragraph </w:t>
      </w:r>
      <w:r w:rsidRPr="007220FA">
        <w:fldChar w:fldCharType="begin"/>
      </w:r>
      <w:r w:rsidRPr="007220FA">
        <w:instrText xml:space="preserve"> REF _Ref38363116 \r \h  \* MERGEFORMAT </w:instrText>
      </w:r>
      <w:r w:rsidRPr="007220FA">
        <w:fldChar w:fldCharType="separate"/>
      </w:r>
      <w:r w:rsidR="001527AF">
        <w:t>4</w:t>
      </w:r>
      <w:r w:rsidRPr="007220FA">
        <w:fldChar w:fldCharType="end"/>
      </w:r>
      <w:r w:rsidRPr="007220FA">
        <w:t xml:space="preserve"> of this </w:t>
      </w:r>
      <w:r w:rsidRPr="007220FA">
        <w:rPr>
          <w:b/>
        </w:rPr>
        <w:fldChar w:fldCharType="begin"/>
      </w:r>
      <w:r w:rsidRPr="007220FA">
        <w:rPr>
          <w:b/>
        </w:rPr>
        <w:instrText xml:space="preserve"> REF _Ref57970956 \w \h  \* MERGEFORMAT </w:instrText>
      </w:r>
      <w:r w:rsidRPr="007220FA">
        <w:rPr>
          <w:b/>
        </w:rPr>
      </w:r>
      <w:r w:rsidRPr="007220FA">
        <w:rPr>
          <w:b/>
        </w:rPr>
        <w:fldChar w:fldCharType="separate"/>
      </w:r>
      <w:r w:rsidR="001527AF">
        <w:rPr>
          <w:b/>
        </w:rPr>
        <w:t>Part B</w:t>
      </w:r>
      <w:r w:rsidRPr="007220FA">
        <w:rPr>
          <w:b/>
        </w:rPr>
        <w:fldChar w:fldCharType="end"/>
      </w:r>
      <w:r w:rsidRPr="007220FA">
        <w:rPr>
          <w:b/>
        </w:rPr>
        <w:t xml:space="preserve"> [Executive Summary]</w:t>
      </w:r>
      <w:r>
        <w:rPr>
          <w:bCs/>
        </w:rPr>
        <w:t xml:space="preserve">, and </w:t>
      </w:r>
      <w:r w:rsidRPr="007220FA">
        <w:t>are designed to address the identified issues and associated risks, and to further enhance privacy protections for individuals during Phase 2a of the implementation of the Vaccine Strategy</w:t>
      </w:r>
      <w:r>
        <w:t>.</w:t>
      </w:r>
    </w:p>
    <w:p w14:paraId="01FA2EDA" w14:textId="0E1BC2C1" w:rsidR="00EE6542" w:rsidRPr="007220FA" w:rsidRDefault="00CF16F2" w:rsidP="00EE6542">
      <w:pPr>
        <w:pStyle w:val="Headingpara2"/>
        <w:keepNext/>
      </w:pPr>
      <w:r w:rsidRPr="007220FA">
        <w:t>A</w:t>
      </w:r>
      <w:r w:rsidR="00D648FA" w:rsidRPr="007220FA">
        <w:t xml:space="preserve">s discussed </w:t>
      </w:r>
      <w:r w:rsidR="00391211">
        <w:t xml:space="preserve">in </w:t>
      </w:r>
      <w:proofErr w:type="gramStart"/>
      <w:r w:rsidR="00391211">
        <w:t>a number of</w:t>
      </w:r>
      <w:proofErr w:type="gramEnd"/>
      <w:r w:rsidR="00391211">
        <w:t xml:space="preserve"> the above Sections,</w:t>
      </w:r>
      <w:r w:rsidR="00D648FA" w:rsidRPr="007220FA">
        <w:t xml:space="preserve"> </w:t>
      </w:r>
      <w:r w:rsidRPr="007220FA">
        <w:t xml:space="preserve">we note that </w:t>
      </w:r>
      <w:r w:rsidR="00D648FA" w:rsidRPr="007220FA">
        <w:t>ongoing vigilance</w:t>
      </w:r>
      <w:r w:rsidRPr="007220FA">
        <w:t xml:space="preserve"> will be required to ensure that privacy </w:t>
      </w:r>
      <w:r w:rsidR="00391211">
        <w:t xml:space="preserve">impacts and </w:t>
      </w:r>
      <w:r w:rsidRPr="007220FA">
        <w:t>risks</w:t>
      </w:r>
      <w:r w:rsidR="001B497B" w:rsidRPr="007220FA">
        <w:t xml:space="preserve"> </w:t>
      </w:r>
      <w:r w:rsidRPr="007220FA">
        <w:t>continue to be appropriately addressed</w:t>
      </w:r>
      <w:r w:rsidR="002746F8" w:rsidRPr="007220FA">
        <w:t xml:space="preserve">. This will include </w:t>
      </w:r>
      <w:r w:rsidRPr="007220FA">
        <w:t>the need to</w:t>
      </w:r>
      <w:r w:rsidR="00875345">
        <w:t xml:space="preserve"> continue to</w:t>
      </w:r>
      <w:r w:rsidRPr="007220FA">
        <w:t>:</w:t>
      </w:r>
    </w:p>
    <w:p w14:paraId="07E542B6" w14:textId="64A7E117" w:rsidR="006E4200" w:rsidRPr="007220FA" w:rsidRDefault="006E4200" w:rsidP="00CF16F2">
      <w:pPr>
        <w:pStyle w:val="Heading3"/>
      </w:pPr>
      <w:r w:rsidRPr="007220FA">
        <w:t xml:space="preserve">implement the overarching recommendations in the Original PIA report </w:t>
      </w:r>
      <w:r w:rsidR="001D668A" w:rsidRPr="007220FA">
        <w:t xml:space="preserve">and </w:t>
      </w:r>
      <w:r w:rsidR="00FF0093">
        <w:t xml:space="preserve">Phase 1b </w:t>
      </w:r>
      <w:r w:rsidR="00391211">
        <w:t xml:space="preserve">Update </w:t>
      </w:r>
      <w:r w:rsidR="00FF0093">
        <w:t>PIA</w:t>
      </w:r>
      <w:r w:rsidR="001D668A" w:rsidRPr="007220FA">
        <w:t xml:space="preserve"> </w:t>
      </w:r>
      <w:r w:rsidRPr="007220FA">
        <w:t xml:space="preserve">during Phase </w:t>
      </w:r>
      <w:r w:rsidR="001D668A" w:rsidRPr="007220FA">
        <w:t>2a</w:t>
      </w:r>
      <w:r w:rsidR="00391211">
        <w:t xml:space="preserve"> (and any subsequent phases</w:t>
      </w:r>
      <w:proofErr w:type="gramStart"/>
      <w:r w:rsidR="00391211">
        <w:t>)</w:t>
      </w:r>
      <w:r w:rsidRPr="007220FA">
        <w:t>;</w:t>
      </w:r>
      <w:proofErr w:type="gramEnd"/>
    </w:p>
    <w:p w14:paraId="14C87A86" w14:textId="177317A9" w:rsidR="002746F8" w:rsidRPr="007220FA" w:rsidRDefault="005D5C9E" w:rsidP="00CF16F2">
      <w:pPr>
        <w:pStyle w:val="Heading3"/>
      </w:pPr>
      <w:r w:rsidRPr="007220FA">
        <w:t xml:space="preserve">monitor the appropriateness </w:t>
      </w:r>
      <w:r w:rsidR="001B497B" w:rsidRPr="007220FA">
        <w:t xml:space="preserve">and accuracy </w:t>
      </w:r>
      <w:r w:rsidRPr="007220FA">
        <w:t xml:space="preserve">of released communications material, including </w:t>
      </w:r>
      <w:r w:rsidR="009176A8" w:rsidRPr="00872229">
        <w:t>Privacy</w:t>
      </w:r>
      <w:r w:rsidR="00C47329" w:rsidRPr="00872229">
        <w:t xml:space="preserve"> Notices</w:t>
      </w:r>
      <w:r w:rsidRPr="007220FA">
        <w:t xml:space="preserve"> for the various ICT systems, to ensure that they continue to be accurate and reflect best privacy </w:t>
      </w:r>
      <w:proofErr w:type="gramStart"/>
      <w:r w:rsidRPr="007220FA">
        <w:t>practice;</w:t>
      </w:r>
      <w:proofErr w:type="gramEnd"/>
    </w:p>
    <w:p w14:paraId="65619372" w14:textId="355F5BE1" w:rsidR="005D5C9E" w:rsidRPr="007220FA" w:rsidRDefault="005D5C9E" w:rsidP="00CF16F2">
      <w:pPr>
        <w:pStyle w:val="Heading3"/>
      </w:pPr>
      <w:r w:rsidRPr="007220FA">
        <w:t xml:space="preserve">ensure that all contractual arrangements, including with </w:t>
      </w:r>
      <w:r w:rsidR="00872229">
        <w:t xml:space="preserve">Health’s </w:t>
      </w:r>
      <w:r w:rsidRPr="00872229">
        <w:t>Partners</w:t>
      </w:r>
      <w:r w:rsidRPr="007220FA">
        <w:t xml:space="preserve"> and other entities involved in the delivery of the various ICT systems which handle personal information, are ‘fit for purpose’ and contain appropriate obligations in relation to the handling of personal information (including security obligations);</w:t>
      </w:r>
      <w:r w:rsidR="00391211">
        <w:t xml:space="preserve"> and</w:t>
      </w:r>
    </w:p>
    <w:p w14:paraId="7C6F0A6F" w14:textId="26548408" w:rsidR="006E4200" w:rsidRPr="007220FA" w:rsidRDefault="006E4200" w:rsidP="00CF16F2">
      <w:pPr>
        <w:pStyle w:val="Heading3"/>
      </w:pPr>
      <w:r w:rsidRPr="007220FA">
        <w:lastRenderedPageBreak/>
        <w:t xml:space="preserve">carefully examine, and test, the security of the various ICT components, including </w:t>
      </w:r>
      <w:proofErr w:type="gramStart"/>
      <w:r w:rsidRPr="007220FA">
        <w:t>in particular where</w:t>
      </w:r>
      <w:proofErr w:type="gramEnd"/>
      <w:r w:rsidRPr="007220FA">
        <w:t xml:space="preserve"> personal information is transferred between systems or entities</w:t>
      </w:r>
      <w:r w:rsidR="00391211">
        <w:t>.</w:t>
      </w:r>
    </w:p>
    <w:p w14:paraId="6BC87351" w14:textId="77777777" w:rsidR="00EE6542" w:rsidRPr="007220FA" w:rsidRDefault="00EE6542" w:rsidP="00EE6542">
      <w:pPr>
        <w:pStyle w:val="Heading1"/>
        <w:keepLines/>
      </w:pPr>
      <w:bookmarkStart w:id="27" w:name="_Ref38363116"/>
      <w:bookmarkStart w:id="28" w:name="_Ref38363122"/>
      <w:bookmarkStart w:id="29" w:name="_Toc57971325"/>
      <w:bookmarkStart w:id="30" w:name="_Toc113279924"/>
      <w:bookmarkEnd w:id="7"/>
      <w:r w:rsidRPr="007220FA">
        <w:t>Recommendations</w:t>
      </w:r>
      <w:bookmarkEnd w:id="8"/>
      <w:bookmarkEnd w:id="9"/>
      <w:bookmarkEnd w:id="10"/>
      <w:bookmarkEnd w:id="11"/>
      <w:bookmarkEnd w:id="27"/>
      <w:bookmarkEnd w:id="28"/>
      <w:bookmarkEnd w:id="29"/>
      <w:bookmarkEnd w:id="30"/>
      <w:r w:rsidRPr="007220FA">
        <w:t xml:space="preserve"> </w:t>
      </w:r>
    </w:p>
    <w:p w14:paraId="18F2D1F7" w14:textId="69FE3052" w:rsidR="00EE6542" w:rsidRDefault="00391211" w:rsidP="00330F21">
      <w:pPr>
        <w:pStyle w:val="Headingpara2"/>
        <w:keepNext/>
        <w:keepLines/>
      </w:pPr>
      <w:r>
        <w:t xml:space="preserve">We make the overarching </w:t>
      </w:r>
      <w:r w:rsidR="00EE6542" w:rsidRPr="007220FA">
        <w:t xml:space="preserve">recommendations </w:t>
      </w:r>
      <w:r>
        <w:t>below in relation to Phase 2a</w:t>
      </w:r>
      <w:r w:rsidR="006E4200" w:rsidRPr="007220FA">
        <w:t xml:space="preserve">. </w:t>
      </w:r>
    </w:p>
    <w:tbl>
      <w:tblPr>
        <w:tblStyle w:val="GridTable2"/>
        <w:tblW w:w="9185" w:type="dxa"/>
        <w:tblInd w:w="-113" w:type="dxa"/>
        <w:tblLook w:val="04A0" w:firstRow="1" w:lastRow="0" w:firstColumn="1" w:lastColumn="0" w:noHBand="0" w:noVBand="1"/>
      </w:tblPr>
      <w:tblGrid>
        <w:gridCol w:w="9185"/>
      </w:tblGrid>
      <w:tr w:rsidR="00391211" w:rsidRPr="007220FA" w14:paraId="6CFB3D9E" w14:textId="77777777" w:rsidTr="00391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single" w:sz="2" w:space="0" w:color="848484" w:themeColor="text1" w:themeTint="99"/>
            </w:tcBorders>
            <w:shd w:val="clear" w:color="auto" w:fill="770027" w:themeFill="accent3" w:themeFillShade="BF"/>
          </w:tcPr>
          <w:p w14:paraId="00F909D7" w14:textId="0DB6409D" w:rsidR="00391211" w:rsidRPr="007220FA" w:rsidRDefault="00391211" w:rsidP="008C1512">
            <w:pPr>
              <w:pStyle w:val="ClauseLevel1"/>
            </w:pPr>
            <w:r w:rsidRPr="007220FA">
              <w:br w:type="page"/>
            </w:r>
            <w:r>
              <w:t xml:space="preserve">Documentation of responses to the recommendations </w:t>
            </w:r>
          </w:p>
        </w:tc>
      </w:tr>
      <w:tr w:rsidR="00391211" w:rsidRPr="007220FA" w14:paraId="43C23D4B" w14:textId="77777777" w:rsidTr="00391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left w:val="single" w:sz="4" w:space="0" w:color="auto"/>
              <w:bottom w:val="single" w:sz="4" w:space="0" w:color="auto"/>
              <w:right w:val="single" w:sz="4" w:space="0" w:color="auto"/>
            </w:tcBorders>
            <w:shd w:val="clear" w:color="auto" w:fill="F2F2F2" w:themeFill="background1" w:themeFillShade="F2"/>
          </w:tcPr>
          <w:p w14:paraId="7D77BF4C" w14:textId="5158C1A2" w:rsidR="00391211" w:rsidRDefault="00391211" w:rsidP="008C1512">
            <w:pPr>
              <w:spacing w:before="240" w:after="240"/>
            </w:pPr>
            <w:r w:rsidRPr="007220FA">
              <w:rPr>
                <w:b w:val="0"/>
                <w:bCs w:val="0"/>
              </w:rPr>
              <w:t xml:space="preserve">We </w:t>
            </w:r>
            <w:r w:rsidRPr="008C1512">
              <w:rPr>
                <w:color w:val="960030" w:themeColor="accent2"/>
              </w:rPr>
              <w:t>recommend</w:t>
            </w:r>
            <w:r w:rsidRPr="008C1512">
              <w:rPr>
                <w:b w:val="0"/>
                <w:bCs w:val="0"/>
                <w:color w:val="960030" w:themeColor="accent2"/>
              </w:rPr>
              <w:t xml:space="preserve"> </w:t>
            </w:r>
            <w:r w:rsidRPr="007220FA">
              <w:rPr>
                <w:b w:val="0"/>
                <w:bCs w:val="0"/>
              </w:rPr>
              <w:t xml:space="preserve">that Health </w:t>
            </w:r>
            <w:r>
              <w:rPr>
                <w:b w:val="0"/>
                <w:bCs w:val="0"/>
              </w:rPr>
              <w:t xml:space="preserve">ensure that it has properly documented its consideration of each of the recommendations </w:t>
            </w:r>
            <w:r w:rsidR="00872229">
              <w:rPr>
                <w:b w:val="0"/>
                <w:bCs w:val="0"/>
              </w:rPr>
              <w:t xml:space="preserve">made </w:t>
            </w:r>
            <w:r>
              <w:rPr>
                <w:b w:val="0"/>
                <w:bCs w:val="0"/>
              </w:rPr>
              <w:t xml:space="preserve">in </w:t>
            </w:r>
            <w:r w:rsidRPr="00872229">
              <w:t>Sections A</w:t>
            </w:r>
            <w:r>
              <w:rPr>
                <w:b w:val="0"/>
                <w:bCs w:val="0"/>
              </w:rPr>
              <w:t xml:space="preserve"> to </w:t>
            </w:r>
            <w:r w:rsidRPr="00872229">
              <w:t>E</w:t>
            </w:r>
            <w:r>
              <w:rPr>
                <w:b w:val="0"/>
                <w:bCs w:val="0"/>
              </w:rPr>
              <w:t xml:space="preserve"> of </w:t>
            </w:r>
            <w:r w:rsidRPr="00391211">
              <w:fldChar w:fldCharType="begin"/>
            </w:r>
            <w:r w:rsidRPr="00391211">
              <w:instrText xml:space="preserve"> REF _Ref55839547 \w \h  \* MERGEFORMAT </w:instrText>
            </w:r>
            <w:r w:rsidRPr="00391211">
              <w:fldChar w:fldCharType="separate"/>
            </w:r>
            <w:r w:rsidR="001527AF">
              <w:t>Part E</w:t>
            </w:r>
            <w:r w:rsidRPr="00391211">
              <w:fldChar w:fldCharType="end"/>
            </w:r>
            <w:r w:rsidRPr="00391211">
              <w:t xml:space="preserve"> – Project Description and Privacy Analysis for Each Change</w:t>
            </w:r>
            <w:r w:rsidRPr="00391211">
              <w:rPr>
                <w:b w:val="0"/>
                <w:bCs w:val="0"/>
              </w:rPr>
              <w:t xml:space="preserve">, </w:t>
            </w:r>
            <w:r>
              <w:rPr>
                <w:b w:val="0"/>
                <w:bCs w:val="0"/>
              </w:rPr>
              <w:t xml:space="preserve">including to ensure that it has </w:t>
            </w:r>
            <w:r w:rsidR="005173DE">
              <w:rPr>
                <w:b w:val="0"/>
                <w:bCs w:val="0"/>
              </w:rPr>
              <w:t>recorded</w:t>
            </w:r>
            <w:r>
              <w:rPr>
                <w:b w:val="0"/>
                <w:bCs w:val="0"/>
              </w:rPr>
              <w:t xml:space="preserve">: </w:t>
            </w:r>
          </w:p>
          <w:p w14:paraId="55BED1DD" w14:textId="46FBAFAB" w:rsidR="00391211" w:rsidRPr="00391211" w:rsidRDefault="00391211" w:rsidP="00391211">
            <w:pPr>
              <w:pStyle w:val="ListParagraph"/>
              <w:numPr>
                <w:ilvl w:val="0"/>
                <w:numId w:val="28"/>
              </w:numPr>
              <w:spacing w:before="240" w:after="240"/>
              <w:rPr>
                <w:b w:val="0"/>
                <w:bCs w:val="0"/>
              </w:rPr>
            </w:pPr>
            <w:r w:rsidRPr="00391211">
              <w:rPr>
                <w:b w:val="0"/>
                <w:bCs w:val="0"/>
              </w:rPr>
              <w:t xml:space="preserve">where </w:t>
            </w:r>
            <w:r>
              <w:rPr>
                <w:b w:val="0"/>
                <w:bCs w:val="0"/>
              </w:rPr>
              <w:t>Health decided to implement a recommendation, when and how that recommendation was implemented; and</w:t>
            </w:r>
            <w:r>
              <w:rPr>
                <w:b w:val="0"/>
                <w:bCs w:val="0"/>
              </w:rPr>
              <w:br/>
            </w:r>
          </w:p>
          <w:p w14:paraId="00687E4F" w14:textId="663652CC" w:rsidR="00391211" w:rsidRPr="00391211" w:rsidRDefault="00391211" w:rsidP="00391211">
            <w:pPr>
              <w:pStyle w:val="ListParagraph"/>
              <w:numPr>
                <w:ilvl w:val="0"/>
                <w:numId w:val="28"/>
              </w:numPr>
              <w:spacing w:before="240" w:after="240"/>
              <w:rPr>
                <w:b w:val="0"/>
                <w:bCs w:val="0"/>
              </w:rPr>
            </w:pPr>
            <w:r>
              <w:rPr>
                <w:b w:val="0"/>
                <w:bCs w:val="0"/>
              </w:rPr>
              <w:t xml:space="preserve">if Health decided not to implement a recommendation, the reasons why it was not considered practical or otherwise feasible to do </w:t>
            </w:r>
            <w:proofErr w:type="gramStart"/>
            <w:r>
              <w:rPr>
                <w:b w:val="0"/>
                <w:bCs w:val="0"/>
              </w:rPr>
              <w:t xml:space="preserve">so, </w:t>
            </w:r>
            <w:r w:rsidR="00872229">
              <w:rPr>
                <w:b w:val="0"/>
                <w:bCs w:val="0"/>
              </w:rPr>
              <w:t>and</w:t>
            </w:r>
            <w:proofErr w:type="gramEnd"/>
            <w:r w:rsidR="00872229">
              <w:rPr>
                <w:b w:val="0"/>
                <w:bCs w:val="0"/>
              </w:rPr>
              <w:t xml:space="preserve"> </w:t>
            </w:r>
            <w:r>
              <w:rPr>
                <w:b w:val="0"/>
                <w:bCs w:val="0"/>
              </w:rPr>
              <w:t>noting any alternative strategies that were implemented to address the identified risk.</w:t>
            </w:r>
            <w:r w:rsidRPr="00391211">
              <w:rPr>
                <w:b w:val="0"/>
                <w:bCs w:val="0"/>
              </w:rPr>
              <w:t xml:space="preserve"> </w:t>
            </w:r>
            <w:r w:rsidRPr="007220FA">
              <w:rPr>
                <w:b w:val="0"/>
                <w:bCs w:val="0"/>
              </w:rPr>
              <w:t xml:space="preserve"> </w:t>
            </w:r>
          </w:p>
        </w:tc>
      </w:tr>
    </w:tbl>
    <w:p w14:paraId="6DFE08D9" w14:textId="77777777" w:rsidR="005173DE" w:rsidRPr="007220FA" w:rsidRDefault="005173DE" w:rsidP="00EE6542">
      <w:pPr>
        <w:keepNext/>
      </w:pPr>
    </w:p>
    <w:tbl>
      <w:tblPr>
        <w:tblStyle w:val="GridTable2"/>
        <w:tblW w:w="9185" w:type="dxa"/>
        <w:tblInd w:w="-113" w:type="dxa"/>
        <w:tblLook w:val="04A0" w:firstRow="1" w:lastRow="0" w:firstColumn="1" w:lastColumn="0" w:noHBand="0" w:noVBand="1"/>
      </w:tblPr>
      <w:tblGrid>
        <w:gridCol w:w="9185"/>
      </w:tblGrid>
      <w:tr w:rsidR="00EE6542" w:rsidRPr="007220FA" w14:paraId="282FEC32" w14:textId="77777777" w:rsidTr="00391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single" w:sz="2" w:space="0" w:color="848484" w:themeColor="text1" w:themeTint="99"/>
            </w:tcBorders>
            <w:shd w:val="clear" w:color="auto" w:fill="770027" w:themeFill="accent3" w:themeFillShade="BF"/>
          </w:tcPr>
          <w:p w14:paraId="366DAA6D" w14:textId="1485EB45" w:rsidR="00EE6542" w:rsidRPr="007220FA" w:rsidRDefault="00A74F57" w:rsidP="00D648FA">
            <w:pPr>
              <w:pStyle w:val="ClauseLevel1"/>
            </w:pPr>
            <w:bookmarkStart w:id="31" w:name="_Ref67119630"/>
            <w:r w:rsidRPr="007220FA">
              <w:t xml:space="preserve">Continued implementation of the </w:t>
            </w:r>
            <w:bookmarkEnd w:id="31"/>
            <w:r w:rsidR="001F4097">
              <w:t xml:space="preserve">recommendations in the Original PIA report </w:t>
            </w:r>
            <w:r w:rsidR="00872229">
              <w:t>and Phase 1b Update report</w:t>
            </w:r>
          </w:p>
        </w:tc>
      </w:tr>
      <w:tr w:rsidR="00EE6542" w:rsidRPr="007220FA" w14:paraId="7407D976" w14:textId="77777777" w:rsidTr="00391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left w:val="single" w:sz="4" w:space="0" w:color="auto"/>
              <w:bottom w:val="single" w:sz="4" w:space="0" w:color="auto"/>
              <w:right w:val="single" w:sz="4" w:space="0" w:color="auto"/>
            </w:tcBorders>
            <w:shd w:val="clear" w:color="auto" w:fill="F2F2F2" w:themeFill="background1" w:themeFillShade="F2"/>
          </w:tcPr>
          <w:p w14:paraId="5D196470" w14:textId="0819390C" w:rsidR="001E1E82" w:rsidRPr="007220FA" w:rsidRDefault="00391211" w:rsidP="00D648FA">
            <w:pPr>
              <w:spacing w:before="240" w:after="240"/>
            </w:pPr>
            <w:r>
              <w:rPr>
                <w:b w:val="0"/>
                <w:bCs w:val="0"/>
              </w:rPr>
              <w:t xml:space="preserve">As many of the privacy impacts and risks identified in this Phase 2a </w:t>
            </w:r>
            <w:r w:rsidR="00872229">
              <w:rPr>
                <w:b w:val="0"/>
                <w:bCs w:val="0"/>
              </w:rPr>
              <w:t xml:space="preserve">Update </w:t>
            </w:r>
            <w:r>
              <w:rPr>
                <w:b w:val="0"/>
                <w:bCs w:val="0"/>
              </w:rPr>
              <w:t xml:space="preserve">PIA report will be mitigated by the strategies recommended in the </w:t>
            </w:r>
            <w:r w:rsidR="00A74F57" w:rsidRPr="007220FA">
              <w:rPr>
                <w:b w:val="0"/>
                <w:bCs w:val="0"/>
              </w:rPr>
              <w:t>Original PIA report</w:t>
            </w:r>
            <w:r>
              <w:rPr>
                <w:b w:val="0"/>
                <w:bCs w:val="0"/>
              </w:rPr>
              <w:t xml:space="preserve"> and the </w:t>
            </w:r>
            <w:r w:rsidR="008C1512">
              <w:rPr>
                <w:b w:val="0"/>
                <w:bCs w:val="0"/>
              </w:rPr>
              <w:t xml:space="preserve">Phase 1b Update PIA </w:t>
            </w:r>
            <w:r>
              <w:rPr>
                <w:b w:val="0"/>
                <w:bCs w:val="0"/>
              </w:rPr>
              <w:t>report</w:t>
            </w:r>
            <w:r w:rsidR="00A74F57" w:rsidRPr="007220FA">
              <w:rPr>
                <w:b w:val="0"/>
                <w:bCs w:val="0"/>
              </w:rPr>
              <w:t xml:space="preserve">, </w:t>
            </w:r>
            <w:r>
              <w:rPr>
                <w:b w:val="0"/>
                <w:bCs w:val="0"/>
              </w:rPr>
              <w:t xml:space="preserve">we </w:t>
            </w:r>
            <w:r w:rsidR="008C1512" w:rsidRPr="008C1512">
              <w:rPr>
                <w:color w:val="960030" w:themeColor="accent2"/>
              </w:rPr>
              <w:t>recommend</w:t>
            </w:r>
            <w:r w:rsidR="008C1512" w:rsidRPr="008C1512">
              <w:rPr>
                <w:b w:val="0"/>
                <w:bCs w:val="0"/>
                <w:color w:val="960030" w:themeColor="accent2"/>
              </w:rPr>
              <w:t xml:space="preserve"> </w:t>
            </w:r>
            <w:r>
              <w:rPr>
                <w:b w:val="0"/>
                <w:bCs w:val="0"/>
              </w:rPr>
              <w:t xml:space="preserve">that </w:t>
            </w:r>
            <w:r w:rsidR="00A74F57" w:rsidRPr="007220FA">
              <w:rPr>
                <w:b w:val="0"/>
                <w:bCs w:val="0"/>
              </w:rPr>
              <w:t xml:space="preserve">Health </w:t>
            </w:r>
            <w:r>
              <w:rPr>
                <w:b w:val="0"/>
                <w:bCs w:val="0"/>
              </w:rPr>
              <w:t xml:space="preserve">continue to implement those recommendations, particularly by continuing to ensure </w:t>
            </w:r>
            <w:r w:rsidR="001E1E82" w:rsidRPr="007220FA">
              <w:rPr>
                <w:b w:val="0"/>
                <w:bCs w:val="0"/>
              </w:rPr>
              <w:t>that:</w:t>
            </w:r>
          </w:p>
          <w:p w14:paraId="71B07AEC" w14:textId="214B0803" w:rsidR="001E1E82" w:rsidRPr="007220FA" w:rsidRDefault="001E1E82" w:rsidP="001E1E82">
            <w:pPr>
              <w:pStyle w:val="ListParagraph"/>
              <w:numPr>
                <w:ilvl w:val="0"/>
                <w:numId w:val="28"/>
              </w:numPr>
              <w:spacing w:before="240" w:after="240"/>
            </w:pPr>
            <w:r w:rsidRPr="007220FA">
              <w:rPr>
                <w:b w:val="0"/>
                <w:bCs w:val="0"/>
              </w:rPr>
              <w:t xml:space="preserve">there is open and </w:t>
            </w:r>
            <w:r w:rsidR="00786051" w:rsidRPr="007220FA">
              <w:rPr>
                <w:b w:val="0"/>
                <w:bCs w:val="0"/>
              </w:rPr>
              <w:t>transparent communication about how personal information will be handled in connection with the Vaccine Strategy (</w:t>
            </w:r>
            <w:r w:rsidR="00786051" w:rsidRPr="007220FA">
              <w:t>Recommendation 2</w:t>
            </w:r>
            <w:r w:rsidR="00786051" w:rsidRPr="007220FA">
              <w:rPr>
                <w:b w:val="0"/>
                <w:bCs w:val="0"/>
              </w:rPr>
              <w:t xml:space="preserve"> of the Original PIA report</w:t>
            </w:r>
            <w:proofErr w:type="gramStart"/>
            <w:r w:rsidR="00786051" w:rsidRPr="007220FA">
              <w:rPr>
                <w:b w:val="0"/>
                <w:bCs w:val="0"/>
              </w:rPr>
              <w:t>);</w:t>
            </w:r>
            <w:proofErr w:type="gramEnd"/>
          </w:p>
          <w:p w14:paraId="567F2844" w14:textId="77777777" w:rsidR="00786051" w:rsidRPr="007220FA" w:rsidRDefault="00786051" w:rsidP="00786051">
            <w:pPr>
              <w:pStyle w:val="ListParagraph"/>
              <w:spacing w:before="240" w:after="240"/>
            </w:pPr>
          </w:p>
          <w:p w14:paraId="5EDC1BC5" w14:textId="7544808E" w:rsidR="00786051" w:rsidRPr="007220FA" w:rsidRDefault="00786051" w:rsidP="001E1E82">
            <w:pPr>
              <w:pStyle w:val="ListParagraph"/>
              <w:numPr>
                <w:ilvl w:val="0"/>
                <w:numId w:val="28"/>
              </w:numPr>
              <w:spacing w:before="240" w:after="240"/>
            </w:pPr>
            <w:r w:rsidRPr="007220FA">
              <w:rPr>
                <w:b w:val="0"/>
                <w:bCs w:val="0"/>
              </w:rPr>
              <w:t>the contractual or other administrative arrangements with Health’s Partners and other third parties impose suitable privacy obligations, including in relation to the protection and security of personal information (</w:t>
            </w:r>
            <w:r w:rsidRPr="007220FA">
              <w:t xml:space="preserve">Recommendations 4 </w:t>
            </w:r>
            <w:r w:rsidRPr="007220FA">
              <w:rPr>
                <w:b w:val="0"/>
                <w:bCs w:val="0"/>
              </w:rPr>
              <w:t xml:space="preserve">and </w:t>
            </w:r>
            <w:r w:rsidRPr="007220FA">
              <w:t>5</w:t>
            </w:r>
            <w:r w:rsidRPr="007220FA">
              <w:rPr>
                <w:b w:val="0"/>
                <w:bCs w:val="0"/>
              </w:rPr>
              <w:t xml:space="preserve"> of the Original PIA report); and </w:t>
            </w:r>
          </w:p>
          <w:p w14:paraId="6004B3C8" w14:textId="77777777" w:rsidR="00786051" w:rsidRPr="007220FA" w:rsidRDefault="00786051" w:rsidP="00786051">
            <w:pPr>
              <w:pStyle w:val="ListParagraph"/>
              <w:spacing w:before="240" w:after="240"/>
            </w:pPr>
          </w:p>
          <w:p w14:paraId="5184F069" w14:textId="79347BA2" w:rsidR="00A74F57" w:rsidRPr="007220FA" w:rsidRDefault="00786051" w:rsidP="00786051">
            <w:pPr>
              <w:pStyle w:val="ListParagraph"/>
              <w:numPr>
                <w:ilvl w:val="0"/>
                <w:numId w:val="28"/>
              </w:numPr>
              <w:spacing w:before="240" w:after="240"/>
            </w:pPr>
            <w:r w:rsidRPr="007220FA">
              <w:rPr>
                <w:b w:val="0"/>
                <w:bCs w:val="0"/>
              </w:rPr>
              <w:t>Vaccine Providers are appropriately trained, and provided with suitable guidance, about their privacy obligations (</w:t>
            </w:r>
            <w:r w:rsidRPr="007220FA">
              <w:t>Recommendations 2</w:t>
            </w:r>
            <w:r w:rsidRPr="007220FA">
              <w:rPr>
                <w:b w:val="0"/>
                <w:bCs w:val="0"/>
              </w:rPr>
              <w:t xml:space="preserve"> and </w:t>
            </w:r>
            <w:r w:rsidRPr="007220FA">
              <w:t xml:space="preserve">3 </w:t>
            </w:r>
            <w:r w:rsidRPr="007220FA">
              <w:rPr>
                <w:b w:val="0"/>
                <w:bCs w:val="0"/>
              </w:rPr>
              <w:t xml:space="preserve">of the Original PIA report).  </w:t>
            </w:r>
          </w:p>
        </w:tc>
      </w:tr>
    </w:tbl>
    <w:p w14:paraId="7D98CC75" w14:textId="77777777" w:rsidR="00391211" w:rsidRDefault="00391211" w:rsidP="00EE6542"/>
    <w:tbl>
      <w:tblPr>
        <w:tblStyle w:val="GridTable2"/>
        <w:tblW w:w="9185" w:type="dxa"/>
        <w:tblInd w:w="-113" w:type="dxa"/>
        <w:tblLook w:val="04A0" w:firstRow="1" w:lastRow="0" w:firstColumn="1" w:lastColumn="0" w:noHBand="0" w:noVBand="1"/>
      </w:tblPr>
      <w:tblGrid>
        <w:gridCol w:w="9185"/>
      </w:tblGrid>
      <w:tr w:rsidR="00391211" w:rsidRPr="007220FA" w14:paraId="2A5617F5" w14:textId="77777777" w:rsidTr="00391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single" w:sz="2" w:space="0" w:color="848484" w:themeColor="text1" w:themeTint="99"/>
            </w:tcBorders>
            <w:shd w:val="clear" w:color="auto" w:fill="770027" w:themeFill="accent3" w:themeFillShade="BF"/>
          </w:tcPr>
          <w:p w14:paraId="772039CB" w14:textId="76CC89A1" w:rsidR="00391211" w:rsidRPr="007220FA" w:rsidRDefault="00391211" w:rsidP="00391211">
            <w:pPr>
              <w:pStyle w:val="ClauseLevel1"/>
            </w:pPr>
            <w:r w:rsidRPr="007220FA">
              <w:br w:type="page"/>
            </w:r>
            <w:r>
              <w:t>Ongoing data governance</w:t>
            </w:r>
          </w:p>
        </w:tc>
      </w:tr>
      <w:tr w:rsidR="00391211" w:rsidRPr="007220FA" w14:paraId="1FAE5603" w14:textId="77777777" w:rsidTr="00391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left w:val="single" w:sz="4" w:space="0" w:color="auto"/>
              <w:bottom w:val="single" w:sz="4" w:space="0" w:color="auto"/>
              <w:right w:val="single" w:sz="4" w:space="0" w:color="auto"/>
            </w:tcBorders>
            <w:shd w:val="clear" w:color="auto" w:fill="F2F2F2" w:themeFill="background1" w:themeFillShade="F2"/>
          </w:tcPr>
          <w:p w14:paraId="626389E7" w14:textId="17DC72AB" w:rsidR="00391211" w:rsidRPr="00391211" w:rsidRDefault="00391211" w:rsidP="00391211">
            <w:pPr>
              <w:keepNext/>
              <w:spacing w:before="240" w:after="240"/>
            </w:pPr>
            <w:r w:rsidRPr="007220FA">
              <w:rPr>
                <w:b w:val="0"/>
                <w:bCs w:val="0"/>
              </w:rPr>
              <w:t xml:space="preserve">We </w:t>
            </w:r>
            <w:r w:rsidR="008C1512" w:rsidRPr="008C1512">
              <w:rPr>
                <w:color w:val="960030" w:themeColor="accent2"/>
              </w:rPr>
              <w:t>recommend</w:t>
            </w:r>
            <w:r w:rsidR="008C1512" w:rsidRPr="008C1512">
              <w:rPr>
                <w:b w:val="0"/>
                <w:bCs w:val="0"/>
                <w:color w:val="960030" w:themeColor="accent2"/>
              </w:rPr>
              <w:t xml:space="preserve"> </w:t>
            </w:r>
            <w:r w:rsidRPr="007220FA">
              <w:rPr>
                <w:b w:val="0"/>
                <w:bCs w:val="0"/>
              </w:rPr>
              <w:t xml:space="preserve">that Health </w:t>
            </w:r>
            <w:r>
              <w:rPr>
                <w:b w:val="0"/>
                <w:bCs w:val="0"/>
              </w:rPr>
              <w:t xml:space="preserve">continue to ensure </w:t>
            </w:r>
            <w:r w:rsidRPr="00391211">
              <w:rPr>
                <w:b w:val="0"/>
                <w:bCs w:val="0"/>
              </w:rPr>
              <w:t xml:space="preserve">its governance arrangements include processes to appropriately consider the privacy impacts of any proposed new or changed </w:t>
            </w:r>
            <w:r>
              <w:rPr>
                <w:b w:val="0"/>
                <w:bCs w:val="0"/>
              </w:rPr>
              <w:t xml:space="preserve">use or disclosures of personal information collected as part of Phase 2a </w:t>
            </w:r>
            <w:r w:rsidRPr="00391211">
              <w:rPr>
                <w:b w:val="0"/>
                <w:bCs w:val="0"/>
              </w:rPr>
              <w:t>(such as through requirements for the undertaking of a privacy threshold assessment as part of system change proposals, or before any new use or disclosure of data collected). This will ensure that any privacy impacts or risks are considered before any new handling of personal information occurs.</w:t>
            </w:r>
          </w:p>
        </w:tc>
      </w:tr>
    </w:tbl>
    <w:p w14:paraId="3B1D7A0C" w14:textId="6F992410" w:rsidR="008908CD" w:rsidRPr="007220FA" w:rsidRDefault="008908CD" w:rsidP="008908CD">
      <w:pPr>
        <w:pStyle w:val="Headingpara2"/>
        <w:keepNext/>
        <w:keepLines/>
      </w:pPr>
      <w:r>
        <w:t>We understand that Health will respond to these recommendations in a separate document.</w:t>
      </w:r>
    </w:p>
    <w:p w14:paraId="34D8D27F" w14:textId="77777777" w:rsidR="00391211" w:rsidRPr="00391211" w:rsidRDefault="00391211" w:rsidP="00391211">
      <w:bookmarkStart w:id="32" w:name="_Ref57730742"/>
      <w:bookmarkStart w:id="33" w:name="_Toc57971326"/>
      <w:bookmarkEnd w:id="12"/>
      <w:bookmarkEnd w:id="13"/>
      <w:r>
        <w:br w:type="page"/>
      </w:r>
    </w:p>
    <w:p w14:paraId="32377AA4" w14:textId="3CC6E1FF" w:rsidR="00EE6542" w:rsidRPr="007220FA" w:rsidRDefault="00EE6542" w:rsidP="00EE6542">
      <w:pPr>
        <w:pStyle w:val="legalPart"/>
      </w:pPr>
      <w:bookmarkStart w:id="34" w:name="_Ref95752051"/>
      <w:bookmarkStart w:id="35" w:name="_Toc113279925"/>
      <w:r w:rsidRPr="007220FA">
        <w:lastRenderedPageBreak/>
        <w:t>METHODOLOGY AND ASSUMPTIONS</w:t>
      </w:r>
      <w:bookmarkEnd w:id="32"/>
      <w:bookmarkEnd w:id="33"/>
      <w:bookmarkEnd w:id="34"/>
      <w:bookmarkEnd w:id="35"/>
    </w:p>
    <w:p w14:paraId="1568C364" w14:textId="35A6AF71" w:rsidR="00EE6542" w:rsidRPr="007220FA" w:rsidRDefault="00EE6542" w:rsidP="00EE6542">
      <w:pPr>
        <w:pStyle w:val="Heading1"/>
        <w:pBdr>
          <w:top w:val="none" w:sz="0" w:space="0" w:color="auto"/>
        </w:pBdr>
      </w:pPr>
      <w:bookmarkStart w:id="36" w:name="_Toc38274218"/>
      <w:bookmarkStart w:id="37" w:name="_Toc57971327"/>
      <w:bookmarkStart w:id="38" w:name="_Toc113279926"/>
      <w:r w:rsidRPr="007220FA">
        <w:t>Our methodology</w:t>
      </w:r>
      <w:bookmarkEnd w:id="36"/>
      <w:bookmarkEnd w:id="37"/>
      <w:bookmarkEnd w:id="38"/>
      <w:r w:rsidRPr="007220FA">
        <w:t xml:space="preserve"> </w:t>
      </w:r>
    </w:p>
    <w:p w14:paraId="6F1C96B0" w14:textId="003F7630" w:rsidR="00EE6542" w:rsidRPr="007220FA" w:rsidRDefault="00EE6542" w:rsidP="00EE6542">
      <w:pPr>
        <w:pStyle w:val="Headingpara2"/>
      </w:pPr>
      <w:r w:rsidRPr="007220FA">
        <w:t xml:space="preserve">This </w:t>
      </w:r>
      <w:r w:rsidR="00326C94">
        <w:t xml:space="preserve">Phase 2a </w:t>
      </w:r>
      <w:r w:rsidR="008C1512">
        <w:t xml:space="preserve">Update </w:t>
      </w:r>
      <w:r w:rsidR="00326C94">
        <w:t>PIA</w:t>
      </w:r>
      <w:r w:rsidRPr="007220FA">
        <w:t xml:space="preserve"> has been conducted to ensure that any identified privacy risks can be considered and addressed</w:t>
      </w:r>
      <w:r w:rsidR="00814024" w:rsidRPr="007220FA">
        <w:t>,</w:t>
      </w:r>
      <w:r w:rsidRPr="007220FA">
        <w:t xml:space="preserve"> </w:t>
      </w:r>
      <w:r w:rsidR="00D9002F" w:rsidRPr="007220FA">
        <w:rPr>
          <w:rFonts w:asciiTheme="majorHAnsi" w:hAnsiTheme="majorHAnsi" w:cstheme="majorHAnsi"/>
        </w:rPr>
        <w:t xml:space="preserve">to minimise the impact upon individuals whose personal information may be collected in connection with </w:t>
      </w:r>
      <w:r w:rsidR="00391211">
        <w:rPr>
          <w:rFonts w:asciiTheme="majorHAnsi" w:hAnsiTheme="majorHAnsi" w:cstheme="majorHAnsi"/>
        </w:rPr>
        <w:t xml:space="preserve">Phase 2a of </w:t>
      </w:r>
      <w:r w:rsidR="00D9002F" w:rsidRPr="007220FA">
        <w:rPr>
          <w:rFonts w:asciiTheme="majorHAnsi" w:hAnsiTheme="majorHAnsi" w:cstheme="majorHAnsi"/>
        </w:rPr>
        <w:t>the Vaccine Strategy</w:t>
      </w:r>
      <w:r w:rsidRPr="007220FA">
        <w:t xml:space="preserve">. </w:t>
      </w:r>
    </w:p>
    <w:p w14:paraId="36CDC317" w14:textId="2C4F1C7A" w:rsidR="00EE6542" w:rsidRPr="007220FA" w:rsidRDefault="00EE6542" w:rsidP="00EE6542">
      <w:pPr>
        <w:pStyle w:val="Headingpara2"/>
      </w:pPr>
      <w:r w:rsidRPr="007220FA">
        <w:t xml:space="preserve">We conducted </w:t>
      </w:r>
      <w:r w:rsidR="008C1512">
        <w:t xml:space="preserve">this PIA </w:t>
      </w:r>
      <w:r w:rsidRPr="007220FA">
        <w:t>broadly in accordance with the Office of the Australian Information Commissioner’s</w:t>
      </w:r>
      <w:r w:rsidR="00326C94">
        <w:t xml:space="preserve"> (</w:t>
      </w:r>
      <w:r w:rsidR="00326C94">
        <w:rPr>
          <w:b/>
          <w:bCs/>
        </w:rPr>
        <w:t>OAIC</w:t>
      </w:r>
      <w:r w:rsidR="00326C94">
        <w:t>)</w:t>
      </w:r>
      <w:r w:rsidRPr="007220FA">
        <w:t xml:space="preserve"> </w:t>
      </w:r>
      <w:r w:rsidRPr="00326C94">
        <w:rPr>
          <w:i/>
          <w:iCs/>
        </w:rPr>
        <w:t>Guide to undertaking privacy impact assessments</w:t>
      </w:r>
      <w:r w:rsidR="00326C94">
        <w:rPr>
          <w:i/>
          <w:iCs/>
        </w:rPr>
        <w:t xml:space="preserve"> </w:t>
      </w:r>
      <w:r w:rsidR="00326C94">
        <w:t>(</w:t>
      </w:r>
      <w:r w:rsidR="00326C94">
        <w:rPr>
          <w:b/>
          <w:bCs/>
        </w:rPr>
        <w:t>PIA Guide</w:t>
      </w:r>
      <w:r w:rsidR="00326C94">
        <w:t>)</w:t>
      </w:r>
      <w:r w:rsidR="00BC0939" w:rsidRPr="007220FA">
        <w:t xml:space="preserve">, </w:t>
      </w:r>
      <w:r w:rsidR="00565A8B">
        <w:t>but using the following ‘agile’ PIA methodology</w:t>
      </w:r>
      <w:r w:rsidR="008C1512">
        <w:t>, as</w:t>
      </w:r>
      <w:r w:rsidR="00565A8B">
        <w:t xml:space="preserve"> </w:t>
      </w:r>
      <w:r w:rsidR="00BC0939" w:rsidRPr="007220FA">
        <w:t xml:space="preserve">applicable to </w:t>
      </w:r>
      <w:proofErr w:type="gramStart"/>
      <w:r w:rsidR="00BC0939" w:rsidRPr="007220FA">
        <w:t>a</w:t>
      </w:r>
      <w:r w:rsidR="008C1512">
        <w:t>n</w:t>
      </w:r>
      <w:proofErr w:type="gramEnd"/>
      <w:r w:rsidR="008C1512">
        <w:t xml:space="preserve"> </w:t>
      </w:r>
      <w:r w:rsidR="00BC0939" w:rsidRPr="007220FA">
        <w:t xml:space="preserve">PIA </w:t>
      </w:r>
      <w:r w:rsidR="008C1512">
        <w:t xml:space="preserve">update </w:t>
      </w:r>
      <w:r w:rsidR="00BC0939" w:rsidRPr="007220FA">
        <w:t>process</w:t>
      </w:r>
      <w:r w:rsidR="00565A8B">
        <w:t>:</w:t>
      </w:r>
      <w:r w:rsidR="00565A8B" w:rsidRPr="007220FA">
        <w:t xml:space="preserve"> </w:t>
      </w:r>
    </w:p>
    <w:tbl>
      <w:tblPr>
        <w:tblStyle w:val="MadTabPlumShade"/>
        <w:tblW w:w="4974" w:type="pct"/>
        <w:tblLook w:val="04A0" w:firstRow="1" w:lastRow="0" w:firstColumn="1" w:lastColumn="0" w:noHBand="0" w:noVBand="1"/>
      </w:tblPr>
      <w:tblGrid>
        <w:gridCol w:w="1045"/>
        <w:gridCol w:w="7932"/>
      </w:tblGrid>
      <w:tr w:rsidR="00EE6542" w:rsidRPr="007220FA" w14:paraId="3B5A6CE3" w14:textId="77777777" w:rsidTr="00565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2" w:type="pct"/>
          </w:tcPr>
          <w:p w14:paraId="0EC22B97" w14:textId="77777777" w:rsidR="00EE6542" w:rsidRPr="007220FA" w:rsidRDefault="00EE6542" w:rsidP="00D648FA">
            <w:pPr>
              <w:spacing w:beforeLines="60" w:before="144" w:afterLines="60" w:after="144"/>
              <w:rPr>
                <w:rFonts w:cs="Arial"/>
                <w:b w:val="0"/>
              </w:rPr>
            </w:pPr>
            <w:r w:rsidRPr="007220FA">
              <w:rPr>
                <w:rFonts w:cs="Arial"/>
              </w:rPr>
              <w:t>Stage</w:t>
            </w:r>
          </w:p>
        </w:tc>
        <w:tc>
          <w:tcPr>
            <w:tcW w:w="4418" w:type="pct"/>
          </w:tcPr>
          <w:p w14:paraId="4A0EF85A" w14:textId="77777777" w:rsidR="00EE6542" w:rsidRPr="007220FA" w:rsidRDefault="00EE6542" w:rsidP="00D648FA">
            <w:pPr>
              <w:contextualSpacing/>
              <w:cnfStyle w:val="100000000000" w:firstRow="1" w:lastRow="0" w:firstColumn="0" w:lastColumn="0" w:oddVBand="0" w:evenVBand="0" w:oddHBand="0" w:evenHBand="0" w:firstRowFirstColumn="0" w:firstRowLastColumn="0" w:lastRowFirstColumn="0" w:lastRowLastColumn="0"/>
              <w:rPr>
                <w:rFonts w:cs="Arial"/>
                <w:b w:val="0"/>
              </w:rPr>
            </w:pPr>
            <w:r w:rsidRPr="007220FA">
              <w:rPr>
                <w:rFonts w:cs="Arial"/>
              </w:rPr>
              <w:t>Description of steps</w:t>
            </w:r>
          </w:p>
        </w:tc>
      </w:tr>
      <w:tr w:rsidR="00EE6542" w:rsidRPr="007220FA" w14:paraId="536F296D"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1710124A" w14:textId="77777777" w:rsidR="00EE6542" w:rsidRPr="007220FA" w:rsidRDefault="00EE6542" w:rsidP="00361991">
            <w:pPr>
              <w:pStyle w:val="ListParagraph"/>
              <w:numPr>
                <w:ilvl w:val="0"/>
                <w:numId w:val="13"/>
              </w:numPr>
              <w:spacing w:after="144"/>
            </w:pPr>
          </w:p>
        </w:tc>
        <w:tc>
          <w:tcPr>
            <w:tcW w:w="4418" w:type="pct"/>
          </w:tcPr>
          <w:p w14:paraId="5E9A61D8" w14:textId="5BBFB8E6" w:rsidR="00EE6542" w:rsidRPr="007220FA" w:rsidRDefault="00EE6542" w:rsidP="00D648FA">
            <w:pPr>
              <w:cnfStyle w:val="000000000000" w:firstRow="0" w:lastRow="0" w:firstColumn="0" w:lastColumn="0" w:oddVBand="0" w:evenVBand="0" w:oddHBand="0" w:evenHBand="0" w:firstRowFirstColumn="0" w:firstRowLastColumn="0" w:lastRowFirstColumn="0" w:lastRowLastColumn="0"/>
            </w:pPr>
            <w:r w:rsidRPr="007220FA">
              <w:rPr>
                <w:b/>
              </w:rPr>
              <w:t xml:space="preserve">Plan for the </w:t>
            </w:r>
            <w:r w:rsidR="001E3F57">
              <w:rPr>
                <w:b/>
              </w:rPr>
              <w:t xml:space="preserve">Phase 2a Update </w:t>
            </w:r>
            <w:r w:rsidRPr="007220FA">
              <w:rPr>
                <w:b/>
              </w:rPr>
              <w:t>PIA</w:t>
            </w:r>
            <w:r w:rsidR="004A0E9C">
              <w:rPr>
                <w:b/>
              </w:rPr>
              <w:t xml:space="preserve"> report</w:t>
            </w:r>
            <w:r w:rsidRPr="007220FA">
              <w:rPr>
                <w:b/>
              </w:rPr>
              <w:t xml:space="preserve">: </w:t>
            </w:r>
            <w:r w:rsidRPr="007220FA">
              <w:t xml:space="preserve">We reviewed some relevant background material provided by </w:t>
            </w:r>
            <w:proofErr w:type="gramStart"/>
            <w:r w:rsidRPr="007220FA">
              <w:t>Health</w:t>
            </w:r>
            <w:r w:rsidR="005535AE" w:rsidRPr="007220FA">
              <w:t>, and</w:t>
            </w:r>
            <w:proofErr w:type="gramEnd"/>
            <w:r w:rsidR="005535AE" w:rsidRPr="007220FA">
              <w:t xml:space="preserve"> were </w:t>
            </w:r>
            <w:r w:rsidRPr="007220FA">
              <w:t xml:space="preserve">provided with briefings by officers from Health. </w:t>
            </w:r>
          </w:p>
          <w:p w14:paraId="63A887D0" w14:textId="479D4472" w:rsidR="00EE6542" w:rsidRPr="007220FA" w:rsidRDefault="00EE6542" w:rsidP="00D648FA">
            <w:pPr>
              <w:cnfStyle w:val="000000000000" w:firstRow="0" w:lastRow="0" w:firstColumn="0" w:lastColumn="0" w:oddVBand="0" w:evenVBand="0" w:oddHBand="0" w:evenHBand="0" w:firstRowFirstColumn="0" w:firstRowLastColumn="0" w:lastRowFirstColumn="0" w:lastRowLastColumn="0"/>
            </w:pPr>
            <w:r w:rsidRPr="007220FA">
              <w:t xml:space="preserve">We also agreed on the scope of this </w:t>
            </w:r>
            <w:r w:rsidR="00326C94">
              <w:t xml:space="preserve">Phase 2a </w:t>
            </w:r>
            <w:r w:rsidR="00565A8B">
              <w:t xml:space="preserve">Update </w:t>
            </w:r>
            <w:r w:rsidR="00326C94">
              <w:t>PIA</w:t>
            </w:r>
            <w:r w:rsidRPr="007220FA">
              <w:t xml:space="preserve"> report (discussed further </w:t>
            </w:r>
            <w:r w:rsidR="00814024" w:rsidRPr="007220FA">
              <w:t xml:space="preserve">below </w:t>
            </w:r>
            <w:r w:rsidRPr="007220FA">
              <w:t xml:space="preserve">in this </w:t>
            </w:r>
            <w:r w:rsidRPr="007220FA">
              <w:rPr>
                <w:b/>
                <w:bCs/>
              </w:rPr>
              <w:fldChar w:fldCharType="begin"/>
            </w:r>
            <w:r w:rsidRPr="007220FA">
              <w:rPr>
                <w:b/>
                <w:bCs/>
              </w:rPr>
              <w:instrText xml:space="preserve"> REF _Ref57730742 \w \h  \* MERGEFORMAT </w:instrText>
            </w:r>
            <w:r w:rsidRPr="007220FA">
              <w:rPr>
                <w:b/>
                <w:bCs/>
              </w:rPr>
            </w:r>
            <w:r w:rsidRPr="007220FA">
              <w:rPr>
                <w:b/>
                <w:bCs/>
              </w:rPr>
              <w:fldChar w:fldCharType="separate"/>
            </w:r>
            <w:r w:rsidR="00CC61D4" w:rsidRPr="007220FA">
              <w:rPr>
                <w:b/>
                <w:bCs/>
              </w:rPr>
              <w:t>Part C</w:t>
            </w:r>
            <w:r w:rsidRPr="007220FA">
              <w:rPr>
                <w:b/>
                <w:bCs/>
              </w:rPr>
              <w:fldChar w:fldCharType="end"/>
            </w:r>
            <w:r w:rsidR="002B462D" w:rsidRPr="007220FA">
              <w:rPr>
                <w:b/>
                <w:bCs/>
              </w:rPr>
              <w:t xml:space="preserve"> [Methodology and Assumptions]</w:t>
            </w:r>
            <w:r w:rsidRPr="007220FA">
              <w:t>), the approach to stakeholder consultation, and the timeframes for the necessary activities involved in conducting this P</w:t>
            </w:r>
            <w:r w:rsidR="00326C94">
              <w:t xml:space="preserve">hase 2a </w:t>
            </w:r>
            <w:r w:rsidR="00565A8B">
              <w:t xml:space="preserve">Update </w:t>
            </w:r>
            <w:r w:rsidR="00326C94">
              <w:t>PIA</w:t>
            </w:r>
            <w:r w:rsidRPr="007220FA">
              <w:t>.</w:t>
            </w:r>
          </w:p>
        </w:tc>
      </w:tr>
      <w:tr w:rsidR="00EE6542" w:rsidRPr="007220FA" w14:paraId="0BA06976"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C8F3010" w14:textId="77777777" w:rsidR="00EE6542" w:rsidRPr="007220FA" w:rsidRDefault="00EE6542" w:rsidP="00361991">
            <w:pPr>
              <w:pStyle w:val="ListParagraph"/>
              <w:numPr>
                <w:ilvl w:val="0"/>
                <w:numId w:val="13"/>
              </w:numPr>
              <w:spacing w:after="144"/>
            </w:pPr>
          </w:p>
        </w:tc>
        <w:tc>
          <w:tcPr>
            <w:tcW w:w="4418" w:type="pct"/>
          </w:tcPr>
          <w:p w14:paraId="1C33D5DE" w14:textId="509FB964" w:rsidR="00EE6542" w:rsidRPr="007220FA" w:rsidRDefault="00EE6542" w:rsidP="00D648FA">
            <w:pPr>
              <w:cnfStyle w:val="000000000000" w:firstRow="0" w:lastRow="0" w:firstColumn="0" w:lastColumn="0" w:oddVBand="0" w:evenVBand="0" w:oddHBand="0" w:evenHBand="0" w:firstRowFirstColumn="0" w:firstRowLastColumn="0" w:lastRowFirstColumn="0" w:lastRowLastColumn="0"/>
              <w:rPr>
                <w:bCs/>
              </w:rPr>
            </w:pPr>
            <w:r w:rsidRPr="007220FA">
              <w:rPr>
                <w:b/>
              </w:rPr>
              <w:t xml:space="preserve">Project Description and information flows: </w:t>
            </w:r>
            <w:r w:rsidR="002B462D" w:rsidRPr="007220FA">
              <w:rPr>
                <w:bCs/>
              </w:rPr>
              <w:t>For each proposed change or new functionality to be delivered as part of Phase 2a of the Vaccine Strategy</w:t>
            </w:r>
            <w:r w:rsidR="00565A8B">
              <w:rPr>
                <w:bCs/>
              </w:rPr>
              <w:t xml:space="preserve"> (which we described as a ‘sprint’</w:t>
            </w:r>
            <w:proofErr w:type="gramStart"/>
            <w:r w:rsidR="00565A8B">
              <w:rPr>
                <w:bCs/>
              </w:rPr>
              <w:t>)</w:t>
            </w:r>
            <w:r w:rsidR="002B462D" w:rsidRPr="007220FA">
              <w:rPr>
                <w:bCs/>
              </w:rPr>
              <w:t>,</w:t>
            </w:r>
            <w:proofErr w:type="gramEnd"/>
            <w:r w:rsidR="002B462D" w:rsidRPr="007220FA">
              <w:rPr>
                <w:bCs/>
              </w:rPr>
              <w:t xml:space="preserve"> w</w:t>
            </w:r>
            <w:r w:rsidRPr="007220FA">
              <w:rPr>
                <w:bCs/>
              </w:rPr>
              <w:t xml:space="preserve">e prepared an initial draft Project Description. </w:t>
            </w:r>
            <w:r w:rsidR="002B462D" w:rsidRPr="007220FA">
              <w:rPr>
                <w:bCs/>
              </w:rPr>
              <w:t>Each</w:t>
            </w:r>
            <w:r w:rsidRPr="007220FA">
              <w:rPr>
                <w:bCs/>
              </w:rPr>
              <w:t xml:space="preserve"> draft was refined, and then finalised</w:t>
            </w:r>
            <w:r w:rsidRPr="007220FA" w:rsidDel="00DF2F16">
              <w:rPr>
                <w:bCs/>
              </w:rPr>
              <w:t>,</w:t>
            </w:r>
            <w:r w:rsidRPr="007220FA">
              <w:rPr>
                <w:bCs/>
              </w:rPr>
              <w:t xml:space="preserve"> </w:t>
            </w:r>
            <w:r w:rsidR="00BC0939" w:rsidRPr="007220FA">
              <w:rPr>
                <w:bCs/>
              </w:rPr>
              <w:t xml:space="preserve">in an iterative process as further information was received </w:t>
            </w:r>
            <w:r w:rsidRPr="007220FA">
              <w:rPr>
                <w:bCs/>
              </w:rPr>
              <w:t xml:space="preserve">from Health. </w:t>
            </w:r>
          </w:p>
        </w:tc>
      </w:tr>
      <w:tr w:rsidR="00EE6542" w:rsidRPr="007220FA" w14:paraId="7B105843"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23FA961B" w14:textId="77777777" w:rsidR="00EE6542" w:rsidRPr="007220FA" w:rsidRDefault="00EE6542" w:rsidP="00361991">
            <w:pPr>
              <w:pStyle w:val="ListParagraph"/>
              <w:numPr>
                <w:ilvl w:val="0"/>
                <w:numId w:val="13"/>
              </w:numPr>
              <w:spacing w:after="144"/>
            </w:pPr>
          </w:p>
        </w:tc>
        <w:tc>
          <w:tcPr>
            <w:tcW w:w="4418" w:type="pct"/>
          </w:tcPr>
          <w:p w14:paraId="538F7E21" w14:textId="6A96BB8F" w:rsidR="00565A8B" w:rsidRDefault="00EE6542" w:rsidP="00D648FA">
            <w:pPr>
              <w:cnfStyle w:val="000000000000" w:firstRow="0" w:lastRow="0" w:firstColumn="0" w:lastColumn="0" w:oddVBand="0" w:evenVBand="0" w:oddHBand="0" w:evenHBand="0" w:firstRowFirstColumn="0" w:firstRowLastColumn="0" w:lastRowFirstColumn="0" w:lastRowLastColumn="0"/>
            </w:pPr>
            <w:r w:rsidRPr="007220FA">
              <w:rPr>
                <w:b/>
              </w:rPr>
              <w:t>Privacy impact analysis and compliance check:</w:t>
            </w:r>
            <w:r w:rsidRPr="007220FA">
              <w:t xml:space="preserve"> In this step we focussed on </w:t>
            </w:r>
            <w:r w:rsidR="001A6A61" w:rsidRPr="007220FA">
              <w:t xml:space="preserve">the </w:t>
            </w:r>
            <w:r w:rsidRPr="007220FA">
              <w:t>compliance of each change</w:t>
            </w:r>
            <w:r w:rsidR="001A6A61" w:rsidRPr="007220FA">
              <w:t xml:space="preserve"> or new </w:t>
            </w:r>
            <w:r w:rsidR="00C07724" w:rsidRPr="007220FA">
              <w:t>functionality</w:t>
            </w:r>
            <w:r w:rsidRPr="007220FA">
              <w:t xml:space="preserve"> against the relevant </w:t>
            </w:r>
            <w:r w:rsidR="00326C94">
              <w:t>APPs</w:t>
            </w:r>
            <w:r w:rsidRPr="007220FA">
              <w:t xml:space="preserve"> and privacy best practice. </w:t>
            </w:r>
            <w:r w:rsidR="00565A8B">
              <w:t>We undertook this step separately for each ‘sprint’.</w:t>
            </w:r>
          </w:p>
          <w:p w14:paraId="0625469D" w14:textId="3D3284E4" w:rsidR="00565A8B" w:rsidRDefault="00EE6542" w:rsidP="00565A8B">
            <w:pPr>
              <w:cnfStyle w:val="000000000000" w:firstRow="0" w:lastRow="0" w:firstColumn="0" w:lastColumn="0" w:oddVBand="0" w:evenVBand="0" w:oddHBand="0" w:evenHBand="0" w:firstRowFirstColumn="0" w:firstRowLastColumn="0" w:lastRowFirstColumn="0" w:lastRowLastColumn="0"/>
            </w:pPr>
            <w:r w:rsidRPr="007220FA">
              <w:t xml:space="preserve">The analysis set out in this report </w:t>
            </w:r>
            <w:r w:rsidR="00C07724" w:rsidRPr="007220FA">
              <w:t xml:space="preserve">has been informed by </w:t>
            </w:r>
            <w:r w:rsidRPr="007220FA">
              <w:t xml:space="preserve">the </w:t>
            </w:r>
            <w:r w:rsidRPr="007220FA">
              <w:rPr>
                <w:i/>
              </w:rPr>
              <w:t>Australian Privacy Principles Guidelines</w:t>
            </w:r>
            <w:r w:rsidRPr="007220FA">
              <w:t xml:space="preserve"> (</w:t>
            </w:r>
            <w:r w:rsidRPr="007220FA">
              <w:rPr>
                <w:b/>
              </w:rPr>
              <w:t>APP Guidelines</w:t>
            </w:r>
            <w:r w:rsidRPr="007220FA">
              <w:t xml:space="preserve">) issued by </w:t>
            </w:r>
            <w:r w:rsidR="00326C94">
              <w:t xml:space="preserve">the OAIC, </w:t>
            </w:r>
            <w:r w:rsidRPr="007220FA">
              <w:t xml:space="preserve">which outline the mandatory requirements of the APPs, how the OAIC will interpret the APPs, and matters that may be </w:t>
            </w:r>
            <w:proofErr w:type="gramStart"/>
            <w:r w:rsidRPr="007220FA">
              <w:t>taken into account</w:t>
            </w:r>
            <w:proofErr w:type="gramEnd"/>
            <w:r w:rsidRPr="007220FA">
              <w:t xml:space="preserve"> when assessing Health’s compliance with the Privacy Act. </w:t>
            </w:r>
            <w:r w:rsidR="00565A8B">
              <w:t>We</w:t>
            </w:r>
            <w:r w:rsidR="00565A8B" w:rsidRPr="00CE4E07">
              <w:t xml:space="preserve"> </w:t>
            </w:r>
            <w:r w:rsidR="00565A8B">
              <w:t xml:space="preserve">also </w:t>
            </w:r>
            <w:proofErr w:type="gramStart"/>
            <w:r w:rsidR="00565A8B">
              <w:t xml:space="preserve">took </w:t>
            </w:r>
            <w:r w:rsidR="00565A8B" w:rsidRPr="00CE4E07">
              <w:t>into account</w:t>
            </w:r>
            <w:proofErr w:type="gramEnd"/>
            <w:r w:rsidR="00565A8B" w:rsidRPr="00CE4E07">
              <w:t xml:space="preserve"> our </w:t>
            </w:r>
            <w:r w:rsidR="00565A8B">
              <w:t xml:space="preserve">previous experience and available </w:t>
            </w:r>
            <w:r w:rsidR="00565A8B" w:rsidRPr="00CE4E07">
              <w:t>research about reasonable community expectations of privacy</w:t>
            </w:r>
            <w:r w:rsidR="00565A8B">
              <w:t xml:space="preserve"> and best privacy practice</w:t>
            </w:r>
            <w:r w:rsidR="00565A8B" w:rsidRPr="00CE4E07">
              <w:t>.</w:t>
            </w:r>
            <w:r w:rsidR="00565A8B">
              <w:t xml:space="preserve"> For example, we assessed risks based on our understanding of reasonable community expectations of privacy, including as indicated by research such as the </w:t>
            </w:r>
            <w:r w:rsidR="00565A8B" w:rsidRPr="00565A8B">
              <w:rPr>
                <w:i/>
                <w:iCs/>
              </w:rPr>
              <w:t>Australian Community Attitudes to Privacy Survey 2020</w:t>
            </w:r>
            <w:r w:rsidR="00565A8B">
              <w:t xml:space="preserve"> commissioned by the OAIC, which contains useful information regarding current community expectations (this was summarised in the Original PIA report). We also </w:t>
            </w:r>
            <w:proofErr w:type="gramStart"/>
            <w:r w:rsidR="00565A8B">
              <w:t>took into account</w:t>
            </w:r>
            <w:proofErr w:type="gramEnd"/>
            <w:r w:rsidR="00565A8B">
              <w:t xml:space="preserve"> public reactions to the implementation of Phases 1a and 1b, and public announcements in relation to various comments about Phase 2a, including as reported by the general media.</w:t>
            </w:r>
          </w:p>
          <w:p w14:paraId="1A4C456E" w14:textId="2C8F23DE" w:rsidR="00EE6542" w:rsidRPr="007220FA" w:rsidRDefault="00565A8B" w:rsidP="00D648FA">
            <w:pPr>
              <w:cnfStyle w:val="000000000000" w:firstRow="0" w:lastRow="0" w:firstColumn="0" w:lastColumn="0" w:oddVBand="0" w:evenVBand="0" w:oddHBand="0" w:evenHBand="0" w:firstRowFirstColumn="0" w:firstRowLastColumn="0" w:lastRowFirstColumn="0" w:lastRowLastColumn="0"/>
            </w:pPr>
            <w:r>
              <w:t>A</w:t>
            </w:r>
            <w:r w:rsidR="00EE6542" w:rsidRPr="007220FA">
              <w:t>s was the case with the Original PIA report</w:t>
            </w:r>
            <w:r w:rsidR="00C07724" w:rsidRPr="007220FA">
              <w:t xml:space="preserve"> and the </w:t>
            </w:r>
            <w:r w:rsidR="00326C94">
              <w:t xml:space="preserve">Phase 1b </w:t>
            </w:r>
            <w:r w:rsidR="008C1512">
              <w:t xml:space="preserve">Update </w:t>
            </w:r>
            <w:r w:rsidR="00326C94">
              <w:t>PIA</w:t>
            </w:r>
            <w:r w:rsidR="00C07724" w:rsidRPr="007220FA">
              <w:t xml:space="preserve"> report</w:t>
            </w:r>
            <w:r w:rsidR="00EE6542" w:rsidRPr="007220FA">
              <w:t xml:space="preserve">, we </w:t>
            </w:r>
            <w:r>
              <w:t xml:space="preserve">did </w:t>
            </w:r>
            <w:r w:rsidR="00EE6542" w:rsidRPr="007220FA">
              <w:t xml:space="preserve">not </w:t>
            </w:r>
            <w:r>
              <w:t xml:space="preserve">undertake </w:t>
            </w:r>
            <w:r w:rsidR="00EE6542" w:rsidRPr="007220FA">
              <w:t>a rigorous risk assessment methodology to identify the magnitude of each of the identified risks. However, this could be done at a later stage, as required, including as part of Health’s consideration and implementation of our recommendations.</w:t>
            </w:r>
          </w:p>
        </w:tc>
      </w:tr>
      <w:tr w:rsidR="00EE6542" w:rsidRPr="007220FA" w14:paraId="64F19E44"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3D16F13C" w14:textId="77777777" w:rsidR="00EE6542" w:rsidRPr="007220FA" w:rsidRDefault="00EE6542" w:rsidP="00361991">
            <w:pPr>
              <w:pStyle w:val="ListParagraph"/>
              <w:numPr>
                <w:ilvl w:val="0"/>
                <w:numId w:val="13"/>
              </w:numPr>
              <w:spacing w:after="144"/>
            </w:pPr>
            <w:bookmarkStart w:id="39" w:name="_Ref36655191"/>
          </w:p>
        </w:tc>
        <w:bookmarkEnd w:id="39"/>
        <w:tc>
          <w:tcPr>
            <w:tcW w:w="4418" w:type="pct"/>
          </w:tcPr>
          <w:p w14:paraId="048A9215" w14:textId="77777777" w:rsidR="00EE6542" w:rsidRDefault="00EE6542" w:rsidP="00D648FA">
            <w:pPr>
              <w:cnfStyle w:val="000000000000" w:firstRow="0" w:lastRow="0" w:firstColumn="0" w:lastColumn="0" w:oddVBand="0" w:evenVBand="0" w:oddHBand="0" w:evenHBand="0" w:firstRowFirstColumn="0" w:firstRowLastColumn="0" w:lastRowFirstColumn="0" w:lastRowLastColumn="0"/>
              <w:rPr>
                <w:rFonts w:cs="Arial"/>
              </w:rPr>
            </w:pPr>
            <w:r w:rsidRPr="007220FA">
              <w:rPr>
                <w:rFonts w:cs="Arial"/>
                <w:b/>
              </w:rPr>
              <w:t>Privacy management</w:t>
            </w:r>
            <w:r w:rsidRPr="007220FA">
              <w:rPr>
                <w:rFonts w:cs="Arial"/>
              </w:rPr>
              <w:t xml:space="preserve"> </w:t>
            </w:r>
            <w:r w:rsidRPr="007220FA">
              <w:rPr>
                <w:rFonts w:cs="Arial"/>
                <w:b/>
              </w:rPr>
              <w:t>and addressing risks:</w:t>
            </w:r>
            <w:r w:rsidRPr="007220FA">
              <w:rPr>
                <w:rFonts w:cs="Arial"/>
              </w:rPr>
              <w:t xml:space="preserve"> We considered potential mitigation strategies that could reduce or remove the privacy impacts and risks identified during the previous </w:t>
            </w:r>
            <w:proofErr w:type="gramStart"/>
            <w:r w:rsidRPr="007220FA">
              <w:rPr>
                <w:rFonts w:cs="Arial"/>
              </w:rPr>
              <w:t>step</w:t>
            </w:r>
            <w:r w:rsidR="00565A8B">
              <w:rPr>
                <w:rFonts w:cs="Arial"/>
              </w:rPr>
              <w:t>, and</w:t>
            </w:r>
            <w:proofErr w:type="gramEnd"/>
            <w:r w:rsidR="00565A8B">
              <w:rPr>
                <w:rFonts w:cs="Arial"/>
              </w:rPr>
              <w:t xml:space="preserve"> developed our recommendations for each ‘sprint’</w:t>
            </w:r>
            <w:r w:rsidRPr="007220FA">
              <w:rPr>
                <w:rFonts w:cs="Arial"/>
              </w:rPr>
              <w:t xml:space="preserve">. </w:t>
            </w:r>
          </w:p>
          <w:p w14:paraId="34315E0B" w14:textId="4D85EC93" w:rsidR="00565A8B" w:rsidRPr="00565A8B" w:rsidRDefault="00565A8B" w:rsidP="00D648F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 xml:space="preserve">As part of this </w:t>
            </w:r>
            <w:proofErr w:type="gramStart"/>
            <w:r>
              <w:rPr>
                <w:rFonts w:cs="Arial"/>
                <w:bCs/>
              </w:rPr>
              <w:t>step</w:t>
            </w:r>
            <w:proofErr w:type="gramEnd"/>
            <w:r>
              <w:rPr>
                <w:rFonts w:cs="Arial"/>
                <w:bCs/>
              </w:rPr>
              <w:t xml:space="preserve"> we also considered whether there were any overarching arrangements that could further mitigate privacy risks across all ‘sprints’.</w:t>
            </w:r>
          </w:p>
        </w:tc>
      </w:tr>
      <w:tr w:rsidR="00EE6542" w:rsidRPr="007220FA" w14:paraId="7F28618B"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5BA0D424" w14:textId="77777777" w:rsidR="00EE6542" w:rsidRPr="007220FA" w:rsidRDefault="00EE6542" w:rsidP="00361991">
            <w:pPr>
              <w:pStyle w:val="ListParagraph"/>
              <w:numPr>
                <w:ilvl w:val="0"/>
                <w:numId w:val="13"/>
              </w:numPr>
              <w:spacing w:after="144"/>
            </w:pPr>
          </w:p>
        </w:tc>
        <w:tc>
          <w:tcPr>
            <w:tcW w:w="4418" w:type="pct"/>
          </w:tcPr>
          <w:p w14:paraId="43F73E93" w14:textId="58A6EF2B" w:rsidR="00EE6542" w:rsidRPr="007220FA" w:rsidRDefault="00565A8B" w:rsidP="00D648FA">
            <w:pPr>
              <w:cnfStyle w:val="000000000000" w:firstRow="0" w:lastRow="0" w:firstColumn="0" w:lastColumn="0" w:oddVBand="0" w:evenVBand="0" w:oddHBand="0" w:evenHBand="0" w:firstRowFirstColumn="0" w:firstRowLastColumn="0" w:lastRowFirstColumn="0" w:lastRowLastColumn="0"/>
              <w:rPr>
                <w:rFonts w:cs="Arial"/>
                <w:b/>
              </w:rPr>
            </w:pPr>
            <w:r>
              <w:rPr>
                <w:rFonts w:cs="Arial"/>
                <w:b/>
              </w:rPr>
              <w:t>Consolidated d</w:t>
            </w:r>
            <w:r w:rsidR="00EE6542" w:rsidRPr="007220FA">
              <w:rPr>
                <w:rFonts w:cs="Arial"/>
                <w:b/>
              </w:rPr>
              <w:t xml:space="preserve">raft report: </w:t>
            </w:r>
            <w:r w:rsidR="00EE6542" w:rsidRPr="007220FA">
              <w:rPr>
                <w:rFonts w:cs="Arial"/>
              </w:rPr>
              <w:t>We</w:t>
            </w:r>
            <w:r w:rsidR="00EE6542" w:rsidRPr="007220FA">
              <w:rPr>
                <w:rFonts w:cs="Arial"/>
                <w:b/>
              </w:rPr>
              <w:t xml:space="preserve"> </w:t>
            </w:r>
            <w:r w:rsidR="00EE6542" w:rsidRPr="007220FA">
              <w:rPr>
                <w:rFonts w:cs="Arial"/>
              </w:rPr>
              <w:t xml:space="preserve">prepared a draft version of this </w:t>
            </w:r>
            <w:r w:rsidR="008C1512">
              <w:rPr>
                <w:rFonts w:cs="Arial"/>
              </w:rPr>
              <w:t xml:space="preserve">report, </w:t>
            </w:r>
            <w:r>
              <w:rPr>
                <w:rFonts w:cs="Arial"/>
              </w:rPr>
              <w:t xml:space="preserve">which consolidated </w:t>
            </w:r>
            <w:proofErr w:type="gramStart"/>
            <w:r w:rsidR="008C1512">
              <w:rPr>
                <w:rFonts w:cs="Arial"/>
              </w:rPr>
              <w:t>all of</w:t>
            </w:r>
            <w:proofErr w:type="gramEnd"/>
            <w:r w:rsidR="008C1512">
              <w:rPr>
                <w:rFonts w:cs="Arial"/>
              </w:rPr>
              <w:t xml:space="preserve"> the previously prepared Sections into </w:t>
            </w:r>
            <w:r w:rsidRPr="007220FA">
              <w:rPr>
                <w:rFonts w:asciiTheme="majorHAnsi" w:hAnsiTheme="majorHAnsi" w:cstheme="majorHAnsi"/>
                <w:b/>
              </w:rPr>
              <w:fldChar w:fldCharType="begin"/>
            </w:r>
            <w:r w:rsidRPr="007220FA">
              <w:rPr>
                <w:rFonts w:asciiTheme="majorHAnsi" w:hAnsiTheme="majorHAnsi" w:cstheme="majorHAnsi"/>
                <w:b/>
              </w:rPr>
              <w:instrText xml:space="preserve"> REF _Ref55839547 \r \h  \* MERGEFORMAT </w:instrText>
            </w:r>
            <w:r w:rsidRPr="007220FA">
              <w:rPr>
                <w:rFonts w:asciiTheme="majorHAnsi" w:hAnsiTheme="majorHAnsi" w:cstheme="majorHAnsi"/>
                <w:b/>
              </w:rPr>
            </w:r>
            <w:r w:rsidRPr="007220FA">
              <w:rPr>
                <w:rFonts w:asciiTheme="majorHAnsi" w:hAnsiTheme="majorHAnsi" w:cstheme="majorHAnsi"/>
                <w:b/>
              </w:rPr>
              <w:fldChar w:fldCharType="separate"/>
            </w:r>
            <w:r w:rsidR="001527AF">
              <w:rPr>
                <w:rFonts w:asciiTheme="majorHAnsi" w:hAnsiTheme="majorHAnsi" w:cstheme="majorHAnsi"/>
                <w:b/>
              </w:rPr>
              <w:t>Part E</w:t>
            </w:r>
            <w:r w:rsidRPr="007220FA">
              <w:rPr>
                <w:rFonts w:asciiTheme="majorHAnsi" w:hAnsiTheme="majorHAnsi" w:cstheme="majorHAnsi"/>
                <w:b/>
              </w:rPr>
              <w:fldChar w:fldCharType="end"/>
            </w:r>
            <w:r w:rsidRPr="007220FA">
              <w:rPr>
                <w:rFonts w:asciiTheme="majorHAnsi" w:hAnsiTheme="majorHAnsi" w:cstheme="majorHAnsi"/>
                <w:b/>
              </w:rPr>
              <w:t xml:space="preserve"> [Project Description and Privacy Analysis for Each Change]</w:t>
            </w:r>
            <w:r w:rsidR="00D9002F" w:rsidRPr="007220FA">
              <w:rPr>
                <w:rFonts w:asciiTheme="majorHAnsi" w:hAnsiTheme="majorHAnsi" w:cstheme="majorHAnsi"/>
              </w:rPr>
              <w:t>.</w:t>
            </w:r>
          </w:p>
        </w:tc>
      </w:tr>
      <w:tr w:rsidR="00EE6542" w:rsidRPr="007220FA" w14:paraId="0595A302"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AADEC96" w14:textId="77777777" w:rsidR="00EE6542" w:rsidRPr="007220FA" w:rsidRDefault="00EE6542" w:rsidP="00361991">
            <w:pPr>
              <w:pStyle w:val="ListParagraph"/>
              <w:numPr>
                <w:ilvl w:val="0"/>
                <w:numId w:val="13"/>
              </w:numPr>
              <w:spacing w:after="144"/>
            </w:pPr>
          </w:p>
        </w:tc>
        <w:tc>
          <w:tcPr>
            <w:tcW w:w="4418" w:type="pct"/>
          </w:tcPr>
          <w:p w14:paraId="7D5A204A" w14:textId="281B2A29" w:rsidR="00EE6542" w:rsidRPr="007220FA" w:rsidRDefault="0028592D" w:rsidP="00D648FA">
            <w:pPr>
              <w:cnfStyle w:val="000000000000" w:firstRow="0" w:lastRow="0" w:firstColumn="0" w:lastColumn="0" w:oddVBand="0" w:evenVBand="0" w:oddHBand="0" w:evenHBand="0" w:firstRowFirstColumn="0" w:firstRowLastColumn="0" w:lastRowFirstColumn="0" w:lastRowLastColumn="0"/>
              <w:rPr>
                <w:rFonts w:cs="Arial"/>
                <w:b/>
                <w:i/>
                <w:iCs/>
              </w:rPr>
            </w:pPr>
            <w:r w:rsidRPr="007220FA">
              <w:rPr>
                <w:rFonts w:cs="Arial"/>
                <w:b/>
              </w:rPr>
              <w:t>Refinement of draft report</w:t>
            </w:r>
            <w:r w:rsidR="00EE6542" w:rsidRPr="007220FA">
              <w:rPr>
                <w:rFonts w:cs="Arial"/>
                <w:b/>
              </w:rPr>
              <w:t>:</w:t>
            </w:r>
            <w:r w:rsidR="00EE6542" w:rsidRPr="007220FA">
              <w:rPr>
                <w:rFonts w:cs="Arial"/>
              </w:rPr>
              <w:t xml:space="preserve"> We further refined </w:t>
            </w:r>
            <w:r w:rsidRPr="007220FA">
              <w:rPr>
                <w:rFonts w:cs="Arial"/>
              </w:rPr>
              <w:t>our analysis and the potential mitigation strategies following feedback from Health</w:t>
            </w:r>
            <w:r w:rsidR="00C07724" w:rsidRPr="007220FA">
              <w:rPr>
                <w:rFonts w:cs="Arial"/>
              </w:rPr>
              <w:t>.</w:t>
            </w:r>
          </w:p>
        </w:tc>
      </w:tr>
      <w:tr w:rsidR="00EE6542" w:rsidRPr="007220FA" w14:paraId="714EE2FA"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CE37AF8" w14:textId="77777777" w:rsidR="00EE6542" w:rsidRPr="007220FA" w:rsidRDefault="00EE6542" w:rsidP="00361991">
            <w:pPr>
              <w:pStyle w:val="ListParagraph"/>
              <w:numPr>
                <w:ilvl w:val="0"/>
                <w:numId w:val="13"/>
              </w:numPr>
              <w:spacing w:after="144"/>
            </w:pPr>
          </w:p>
        </w:tc>
        <w:tc>
          <w:tcPr>
            <w:tcW w:w="4418" w:type="pct"/>
          </w:tcPr>
          <w:p w14:paraId="3DF168D1" w14:textId="61097F1C" w:rsidR="00EE6542" w:rsidRPr="007220FA" w:rsidRDefault="006802E4" w:rsidP="00D648FA">
            <w:pPr>
              <w:cnfStyle w:val="000000000000" w:firstRow="0" w:lastRow="0" w:firstColumn="0" w:lastColumn="0" w:oddVBand="0" w:evenVBand="0" w:oddHBand="0" w:evenHBand="0" w:firstRowFirstColumn="0" w:firstRowLastColumn="0" w:lastRowFirstColumn="0" w:lastRowLastColumn="0"/>
              <w:rPr>
                <w:rFonts w:cs="Arial"/>
                <w:b/>
                <w:i/>
                <w:iCs/>
              </w:rPr>
            </w:pPr>
            <w:r w:rsidRPr="006802E4">
              <w:rPr>
                <w:rFonts w:cs="Arial"/>
                <w:b/>
              </w:rPr>
              <w:t>Finalised r</w:t>
            </w:r>
            <w:r w:rsidR="00EE6542" w:rsidRPr="007220FA">
              <w:rPr>
                <w:rFonts w:cs="Arial"/>
                <w:b/>
              </w:rPr>
              <w:t xml:space="preserve">eport: </w:t>
            </w:r>
            <w:r w:rsidR="00EE6542" w:rsidRPr="007220FA">
              <w:rPr>
                <w:rFonts w:cs="Arial"/>
              </w:rPr>
              <w:t>We</w:t>
            </w:r>
            <w:r w:rsidR="00EE6542" w:rsidRPr="007220FA">
              <w:rPr>
                <w:rFonts w:cs="Arial"/>
                <w:b/>
              </w:rPr>
              <w:t xml:space="preserve"> </w:t>
            </w:r>
            <w:r w:rsidR="00EE6542" w:rsidRPr="007220FA">
              <w:rPr>
                <w:rFonts w:cs="Arial"/>
              </w:rPr>
              <w:t xml:space="preserve">finalised this </w:t>
            </w:r>
            <w:r w:rsidR="00A0630C">
              <w:rPr>
                <w:rFonts w:cs="Arial"/>
              </w:rPr>
              <w:t xml:space="preserve">Phase 2a </w:t>
            </w:r>
            <w:r w:rsidR="00565A8B">
              <w:rPr>
                <w:rFonts w:cs="Arial"/>
              </w:rPr>
              <w:t xml:space="preserve">Update </w:t>
            </w:r>
            <w:r w:rsidR="00A0630C">
              <w:rPr>
                <w:rFonts w:cs="Arial"/>
              </w:rPr>
              <w:t>PIA</w:t>
            </w:r>
            <w:r w:rsidR="00EE6542" w:rsidRPr="007220FA">
              <w:rPr>
                <w:rFonts w:cs="Arial"/>
              </w:rPr>
              <w:t xml:space="preserve"> report.</w:t>
            </w:r>
          </w:p>
        </w:tc>
      </w:tr>
    </w:tbl>
    <w:p w14:paraId="4C68FE68" w14:textId="78B9072F" w:rsidR="00EE6542" w:rsidRPr="007220FA" w:rsidRDefault="00EE6542" w:rsidP="00EE6542">
      <w:pPr>
        <w:pStyle w:val="Headingpara2"/>
      </w:pPr>
      <w:bookmarkStart w:id="40" w:name="_Toc38274219"/>
      <w:bookmarkStart w:id="41" w:name="_Toc38274220"/>
      <w:bookmarkStart w:id="42" w:name="_Toc38274222"/>
      <w:bookmarkEnd w:id="40"/>
      <w:bookmarkEnd w:id="41"/>
      <w:r w:rsidRPr="007220FA">
        <w:t xml:space="preserve">A glossary of defined terms and acronyms is at </w:t>
      </w:r>
      <w:r w:rsidRPr="007220FA">
        <w:rPr>
          <w:b/>
        </w:rPr>
        <w:fldChar w:fldCharType="begin"/>
      </w:r>
      <w:r w:rsidRPr="007220FA">
        <w:rPr>
          <w:b/>
        </w:rPr>
        <w:instrText xml:space="preserve"> REF _Ref38350428 \r \h  \* MERGEFORMAT </w:instrText>
      </w:r>
      <w:r w:rsidRPr="007220FA">
        <w:rPr>
          <w:b/>
        </w:rPr>
      </w:r>
      <w:r w:rsidRPr="007220FA">
        <w:rPr>
          <w:b/>
        </w:rPr>
        <w:fldChar w:fldCharType="separate"/>
      </w:r>
      <w:r w:rsidR="001527AF">
        <w:rPr>
          <w:b/>
        </w:rPr>
        <w:t>Part F</w:t>
      </w:r>
      <w:r w:rsidRPr="007220FA">
        <w:rPr>
          <w:b/>
        </w:rPr>
        <w:fldChar w:fldCharType="end"/>
      </w:r>
      <w:r w:rsidRPr="007220FA">
        <w:rPr>
          <w:b/>
        </w:rPr>
        <w:t xml:space="preserve"> </w:t>
      </w:r>
      <w:r w:rsidR="00C07724" w:rsidRPr="007220FA">
        <w:rPr>
          <w:b/>
        </w:rPr>
        <w:t xml:space="preserve">[Glossary] </w:t>
      </w:r>
      <w:r w:rsidRPr="007220FA">
        <w:t xml:space="preserve">of this </w:t>
      </w:r>
      <w:r w:rsidR="00A0630C">
        <w:t xml:space="preserve">Phase 2a </w:t>
      </w:r>
      <w:r w:rsidR="008C1512">
        <w:t xml:space="preserve">Update </w:t>
      </w:r>
      <w:r w:rsidR="00A0630C">
        <w:t>PIA</w:t>
      </w:r>
      <w:r w:rsidR="00C07724" w:rsidRPr="007220FA">
        <w:t xml:space="preserve"> </w:t>
      </w:r>
      <w:r w:rsidRPr="007220FA">
        <w:t xml:space="preserve">report.  </w:t>
      </w:r>
    </w:p>
    <w:p w14:paraId="72F4B0D2" w14:textId="77777777" w:rsidR="00EE6542" w:rsidRPr="007220FA" w:rsidRDefault="00EE6542" w:rsidP="00EE6542">
      <w:pPr>
        <w:pStyle w:val="Heading1"/>
      </w:pPr>
      <w:bookmarkStart w:id="43" w:name="_Toc57971328"/>
      <w:bookmarkStart w:id="44" w:name="_Toc113279927"/>
      <w:r w:rsidRPr="007220FA">
        <w:t>Assumptions and qualifications</w:t>
      </w:r>
      <w:bookmarkStart w:id="45" w:name="_Ref38144362"/>
      <w:bookmarkEnd w:id="42"/>
      <w:bookmarkEnd w:id="43"/>
      <w:bookmarkEnd w:id="44"/>
    </w:p>
    <w:p w14:paraId="50BDE5BB" w14:textId="6356C986" w:rsidR="006F7E37" w:rsidRPr="007220FA" w:rsidRDefault="006F7E37" w:rsidP="006F7E37">
      <w:pPr>
        <w:pStyle w:val="Headingpara2"/>
        <w:keepNext/>
        <w:keepLines/>
        <w:rPr>
          <w:rFonts w:asciiTheme="majorHAnsi" w:hAnsiTheme="majorHAnsi" w:cstheme="majorHAnsi"/>
        </w:rPr>
      </w:pPr>
      <w:r w:rsidRPr="007220FA">
        <w:rPr>
          <w:rFonts w:asciiTheme="majorHAnsi" w:hAnsiTheme="majorHAnsi" w:cstheme="majorHAnsi"/>
        </w:rPr>
        <w:t xml:space="preserve">This PIA </w:t>
      </w:r>
      <w:r w:rsidR="008C1512">
        <w:rPr>
          <w:rFonts w:asciiTheme="majorHAnsi" w:hAnsiTheme="majorHAnsi" w:cstheme="majorHAnsi"/>
        </w:rPr>
        <w:t xml:space="preserve">process </w:t>
      </w:r>
      <w:r w:rsidRPr="007220FA">
        <w:rPr>
          <w:rFonts w:asciiTheme="majorHAnsi" w:hAnsiTheme="majorHAnsi" w:cstheme="majorHAnsi"/>
        </w:rPr>
        <w:t xml:space="preserve">has been conducted from the perspective of Health, as the Commonwealth agency responsible for the implementation of the Vaccine Strategy, and not from the perspective of any other entity involved with the Vaccine Strategy (including the </w:t>
      </w:r>
      <w:r w:rsidR="00F0453F">
        <w:rPr>
          <w:rFonts w:asciiTheme="majorHAnsi" w:hAnsiTheme="majorHAnsi" w:cstheme="majorHAnsi"/>
        </w:rPr>
        <w:t xml:space="preserve">provider of the Booking Platform, </w:t>
      </w:r>
      <w:r w:rsidR="00A0630C">
        <w:rPr>
          <w:rFonts w:asciiTheme="majorHAnsi" w:hAnsiTheme="majorHAnsi" w:cstheme="majorHAnsi"/>
        </w:rPr>
        <w:t>A</w:t>
      </w:r>
      <w:r w:rsidR="00F0453F">
        <w:rPr>
          <w:rFonts w:asciiTheme="majorHAnsi" w:hAnsiTheme="majorHAnsi" w:cstheme="majorHAnsi"/>
        </w:rPr>
        <w:t xml:space="preserve">ustralian </w:t>
      </w:r>
      <w:r w:rsidR="00A0630C">
        <w:rPr>
          <w:rFonts w:asciiTheme="majorHAnsi" w:hAnsiTheme="majorHAnsi" w:cstheme="majorHAnsi"/>
        </w:rPr>
        <w:t>D</w:t>
      </w:r>
      <w:r w:rsidR="00F0453F">
        <w:rPr>
          <w:rFonts w:asciiTheme="majorHAnsi" w:hAnsiTheme="majorHAnsi" w:cstheme="majorHAnsi"/>
        </w:rPr>
        <w:t xml:space="preserve">igital </w:t>
      </w:r>
      <w:r w:rsidR="00A0630C">
        <w:rPr>
          <w:rFonts w:asciiTheme="majorHAnsi" w:hAnsiTheme="majorHAnsi" w:cstheme="majorHAnsi"/>
        </w:rPr>
        <w:t>H</w:t>
      </w:r>
      <w:r w:rsidR="00F0453F">
        <w:rPr>
          <w:rFonts w:asciiTheme="majorHAnsi" w:hAnsiTheme="majorHAnsi" w:cstheme="majorHAnsi"/>
        </w:rPr>
        <w:t xml:space="preserve">ealth </w:t>
      </w:r>
      <w:r w:rsidR="00A0630C">
        <w:rPr>
          <w:rFonts w:asciiTheme="majorHAnsi" w:hAnsiTheme="majorHAnsi" w:cstheme="majorHAnsi"/>
        </w:rPr>
        <w:t>A</w:t>
      </w:r>
      <w:r w:rsidR="00F0453F">
        <w:rPr>
          <w:rFonts w:asciiTheme="majorHAnsi" w:hAnsiTheme="majorHAnsi" w:cstheme="majorHAnsi"/>
        </w:rPr>
        <w:t>gency (</w:t>
      </w:r>
      <w:r w:rsidR="00F0453F" w:rsidRPr="00F0453F">
        <w:rPr>
          <w:rFonts w:asciiTheme="majorHAnsi" w:hAnsiTheme="majorHAnsi" w:cstheme="majorHAnsi"/>
          <w:b/>
          <w:bCs/>
        </w:rPr>
        <w:t>ADHA</w:t>
      </w:r>
      <w:r w:rsidR="00F0453F">
        <w:rPr>
          <w:rFonts w:asciiTheme="majorHAnsi" w:hAnsiTheme="majorHAnsi" w:cstheme="majorHAnsi"/>
        </w:rPr>
        <w:t>)</w:t>
      </w:r>
      <w:r w:rsidR="0028592D" w:rsidRPr="007220FA">
        <w:rPr>
          <w:rFonts w:asciiTheme="majorHAnsi" w:hAnsiTheme="majorHAnsi" w:cstheme="majorHAnsi"/>
        </w:rPr>
        <w:t xml:space="preserve">, </w:t>
      </w:r>
      <w:r w:rsidRPr="007220FA">
        <w:rPr>
          <w:rFonts w:asciiTheme="majorHAnsi" w:hAnsiTheme="majorHAnsi" w:cstheme="majorHAnsi"/>
        </w:rPr>
        <w:t xml:space="preserve">or any State and Territory authorities). </w:t>
      </w:r>
    </w:p>
    <w:p w14:paraId="4059595C" w14:textId="04B872E5" w:rsidR="00F0453F" w:rsidRDefault="006F7E37" w:rsidP="0028592D">
      <w:pPr>
        <w:pStyle w:val="Headingpara2"/>
        <w:rPr>
          <w:rFonts w:asciiTheme="majorHAnsi" w:hAnsiTheme="majorHAnsi" w:cstheme="majorHAnsi"/>
        </w:rPr>
      </w:pPr>
      <w:r w:rsidRPr="007220FA">
        <w:rPr>
          <w:rFonts w:asciiTheme="majorHAnsi" w:hAnsiTheme="majorHAnsi" w:cstheme="majorHAnsi"/>
        </w:rPr>
        <w:t xml:space="preserve">As </w:t>
      </w:r>
      <w:r w:rsidR="0028592D" w:rsidRPr="007220FA">
        <w:rPr>
          <w:rFonts w:asciiTheme="majorHAnsi" w:hAnsiTheme="majorHAnsi" w:cstheme="majorHAnsi"/>
        </w:rPr>
        <w:t>was the case with the Original PIA process</w:t>
      </w:r>
      <w:r w:rsidR="00C07724" w:rsidRPr="007220FA">
        <w:rPr>
          <w:rFonts w:asciiTheme="majorHAnsi" w:hAnsiTheme="majorHAnsi" w:cstheme="majorHAnsi"/>
        </w:rPr>
        <w:t xml:space="preserve"> and the </w:t>
      </w:r>
      <w:r w:rsidR="00A0630C">
        <w:rPr>
          <w:rFonts w:asciiTheme="majorHAnsi" w:hAnsiTheme="majorHAnsi" w:cstheme="majorHAnsi"/>
        </w:rPr>
        <w:t xml:space="preserve">Phase 1b </w:t>
      </w:r>
      <w:r w:rsidR="00F0453F">
        <w:rPr>
          <w:rFonts w:asciiTheme="majorHAnsi" w:hAnsiTheme="majorHAnsi" w:cstheme="majorHAnsi"/>
        </w:rPr>
        <w:t xml:space="preserve">Update </w:t>
      </w:r>
      <w:r w:rsidR="00A0630C">
        <w:rPr>
          <w:rFonts w:asciiTheme="majorHAnsi" w:hAnsiTheme="majorHAnsi" w:cstheme="majorHAnsi"/>
        </w:rPr>
        <w:t>PIA</w:t>
      </w:r>
      <w:r w:rsidR="00C07724" w:rsidRPr="007220FA">
        <w:rPr>
          <w:rFonts w:asciiTheme="majorHAnsi" w:hAnsiTheme="majorHAnsi" w:cstheme="majorHAnsi"/>
        </w:rPr>
        <w:t xml:space="preserve"> process</w:t>
      </w:r>
      <w:r w:rsidR="0028592D" w:rsidRPr="007220FA">
        <w:rPr>
          <w:rFonts w:asciiTheme="majorHAnsi" w:hAnsiTheme="majorHAnsi" w:cstheme="majorHAnsi"/>
        </w:rPr>
        <w:t xml:space="preserve">, </w:t>
      </w:r>
      <w:r w:rsidRPr="007220FA">
        <w:rPr>
          <w:rFonts w:asciiTheme="majorHAnsi" w:hAnsiTheme="majorHAnsi" w:cstheme="majorHAnsi"/>
        </w:rPr>
        <w:t xml:space="preserve">the implementation of the Vaccine Strategy has continued to develop during </w:t>
      </w:r>
      <w:r w:rsidR="00F0453F">
        <w:rPr>
          <w:rFonts w:asciiTheme="majorHAnsi" w:hAnsiTheme="majorHAnsi" w:cstheme="majorHAnsi"/>
        </w:rPr>
        <w:t xml:space="preserve">our conduct of </w:t>
      </w:r>
      <w:r w:rsidRPr="007220FA">
        <w:rPr>
          <w:rFonts w:asciiTheme="majorHAnsi" w:hAnsiTheme="majorHAnsi" w:cstheme="majorHAnsi"/>
        </w:rPr>
        <w:t xml:space="preserve">this </w:t>
      </w:r>
      <w:r w:rsidR="00A0630C">
        <w:rPr>
          <w:rFonts w:asciiTheme="majorHAnsi" w:hAnsiTheme="majorHAnsi" w:cstheme="majorHAnsi"/>
        </w:rPr>
        <w:t xml:space="preserve">Phase 2a </w:t>
      </w:r>
      <w:r w:rsidR="00F0453F">
        <w:rPr>
          <w:rFonts w:asciiTheme="majorHAnsi" w:hAnsiTheme="majorHAnsi" w:cstheme="majorHAnsi"/>
        </w:rPr>
        <w:t xml:space="preserve">Update </w:t>
      </w:r>
      <w:r w:rsidR="00A0630C">
        <w:rPr>
          <w:rFonts w:asciiTheme="majorHAnsi" w:hAnsiTheme="majorHAnsi" w:cstheme="majorHAnsi"/>
        </w:rPr>
        <w:t>PIA</w:t>
      </w:r>
      <w:r w:rsidR="0028592D" w:rsidRPr="007220FA">
        <w:rPr>
          <w:rFonts w:asciiTheme="majorHAnsi" w:hAnsiTheme="majorHAnsi" w:cstheme="majorHAnsi"/>
        </w:rPr>
        <w:t xml:space="preserve"> </w:t>
      </w:r>
      <w:r w:rsidRPr="007220FA">
        <w:rPr>
          <w:rFonts w:asciiTheme="majorHAnsi" w:hAnsiTheme="majorHAnsi" w:cstheme="majorHAnsi"/>
        </w:rPr>
        <w:t xml:space="preserve">process. </w:t>
      </w:r>
      <w:r w:rsidR="00F0453F">
        <w:rPr>
          <w:rFonts w:asciiTheme="majorHAnsi" w:hAnsiTheme="majorHAnsi" w:cstheme="majorHAnsi"/>
        </w:rPr>
        <w:t xml:space="preserve">Each of the Sections in </w:t>
      </w:r>
      <w:r w:rsidR="00F0453F" w:rsidRPr="007220FA">
        <w:rPr>
          <w:rFonts w:asciiTheme="majorHAnsi" w:hAnsiTheme="majorHAnsi" w:cstheme="majorHAnsi"/>
          <w:b/>
        </w:rPr>
        <w:fldChar w:fldCharType="begin"/>
      </w:r>
      <w:r w:rsidR="00F0453F" w:rsidRPr="007220FA">
        <w:rPr>
          <w:rFonts w:asciiTheme="majorHAnsi" w:hAnsiTheme="majorHAnsi" w:cstheme="majorHAnsi"/>
          <w:b/>
        </w:rPr>
        <w:instrText xml:space="preserve"> REF _Ref55839547 \r \h  \* MERGEFORMAT </w:instrText>
      </w:r>
      <w:r w:rsidR="00F0453F" w:rsidRPr="007220FA">
        <w:rPr>
          <w:rFonts w:asciiTheme="majorHAnsi" w:hAnsiTheme="majorHAnsi" w:cstheme="majorHAnsi"/>
          <w:b/>
        </w:rPr>
      </w:r>
      <w:r w:rsidR="00F0453F" w:rsidRPr="007220FA">
        <w:rPr>
          <w:rFonts w:asciiTheme="majorHAnsi" w:hAnsiTheme="majorHAnsi" w:cstheme="majorHAnsi"/>
          <w:b/>
        </w:rPr>
        <w:fldChar w:fldCharType="separate"/>
      </w:r>
      <w:r w:rsidR="001527AF">
        <w:rPr>
          <w:rFonts w:asciiTheme="majorHAnsi" w:hAnsiTheme="majorHAnsi" w:cstheme="majorHAnsi"/>
          <w:b/>
        </w:rPr>
        <w:t>Part E</w:t>
      </w:r>
      <w:r w:rsidR="00F0453F" w:rsidRPr="007220FA">
        <w:rPr>
          <w:rFonts w:asciiTheme="majorHAnsi" w:hAnsiTheme="majorHAnsi" w:cstheme="majorHAnsi"/>
          <w:b/>
        </w:rPr>
        <w:fldChar w:fldCharType="end"/>
      </w:r>
      <w:r w:rsidR="00F0453F" w:rsidRPr="007220FA">
        <w:rPr>
          <w:rFonts w:asciiTheme="majorHAnsi" w:hAnsiTheme="majorHAnsi" w:cstheme="majorHAnsi"/>
          <w:b/>
        </w:rPr>
        <w:t xml:space="preserve"> [Project Description and Privacy Analysis for Each Change] </w:t>
      </w:r>
      <w:r w:rsidR="00F0453F">
        <w:rPr>
          <w:rFonts w:asciiTheme="majorHAnsi" w:hAnsiTheme="majorHAnsi" w:cstheme="majorHAnsi"/>
        </w:rPr>
        <w:t xml:space="preserve">has been conducted </w:t>
      </w:r>
      <w:r w:rsidRPr="007220FA">
        <w:rPr>
          <w:rFonts w:asciiTheme="majorHAnsi" w:hAnsiTheme="majorHAnsi" w:cstheme="majorHAnsi"/>
        </w:rPr>
        <w:t>as a ‘point in time’ analysis</w:t>
      </w:r>
      <w:r w:rsidR="00F0453F">
        <w:rPr>
          <w:rFonts w:asciiTheme="majorHAnsi" w:hAnsiTheme="majorHAnsi" w:cstheme="majorHAnsi"/>
        </w:rPr>
        <w:t>,</w:t>
      </w:r>
      <w:r w:rsidRPr="007220FA">
        <w:rPr>
          <w:rFonts w:asciiTheme="majorHAnsi" w:hAnsiTheme="majorHAnsi" w:cstheme="majorHAnsi"/>
        </w:rPr>
        <w:t xml:space="preserve"> </w:t>
      </w:r>
      <w:r w:rsidR="00F0453F">
        <w:rPr>
          <w:rFonts w:asciiTheme="majorHAnsi" w:hAnsiTheme="majorHAnsi" w:cstheme="majorHAnsi"/>
        </w:rPr>
        <w:t>as at the date specified at the beginning of each Section.</w:t>
      </w:r>
    </w:p>
    <w:p w14:paraId="7B3919C1" w14:textId="65586195" w:rsidR="006F7E37" w:rsidRPr="007220FA" w:rsidRDefault="00F0453F" w:rsidP="0028592D">
      <w:pPr>
        <w:pStyle w:val="Headingpara2"/>
        <w:rPr>
          <w:rFonts w:asciiTheme="majorHAnsi" w:hAnsiTheme="majorHAnsi" w:cstheme="majorHAnsi"/>
        </w:rPr>
      </w:pPr>
      <w:r>
        <w:rPr>
          <w:rFonts w:asciiTheme="majorHAnsi" w:hAnsiTheme="majorHAnsi" w:cstheme="majorHAnsi"/>
        </w:rPr>
        <w:t xml:space="preserve">We have conducted our analysis </w:t>
      </w:r>
      <w:r w:rsidR="006F7E37" w:rsidRPr="007220FA">
        <w:rPr>
          <w:rFonts w:asciiTheme="majorHAnsi" w:hAnsiTheme="majorHAnsi" w:cstheme="majorHAnsi"/>
        </w:rPr>
        <w:t xml:space="preserve">based on the factual information provided by Health </w:t>
      </w:r>
      <w:r w:rsidR="00565A8B">
        <w:rPr>
          <w:rFonts w:asciiTheme="majorHAnsi" w:hAnsiTheme="majorHAnsi" w:cstheme="majorHAnsi"/>
        </w:rPr>
        <w:t xml:space="preserve">and </w:t>
      </w:r>
      <w:r w:rsidR="006F7E37" w:rsidRPr="007220FA">
        <w:rPr>
          <w:rFonts w:asciiTheme="majorHAnsi" w:hAnsiTheme="majorHAnsi" w:cstheme="majorHAnsi"/>
        </w:rPr>
        <w:t>as set out in</w:t>
      </w:r>
      <w:r w:rsidR="006F7E37" w:rsidRPr="007220FA" w:rsidDel="003D35A8">
        <w:rPr>
          <w:rFonts w:asciiTheme="majorHAnsi" w:hAnsiTheme="majorHAnsi" w:cstheme="majorHAnsi"/>
        </w:rPr>
        <w:t xml:space="preserve"> </w:t>
      </w:r>
      <w:r>
        <w:rPr>
          <w:rFonts w:asciiTheme="majorHAnsi" w:hAnsiTheme="majorHAnsi" w:cstheme="majorHAnsi"/>
        </w:rPr>
        <w:t xml:space="preserve">each Section in </w:t>
      </w:r>
      <w:r w:rsidRPr="007220FA">
        <w:rPr>
          <w:rFonts w:asciiTheme="majorHAnsi" w:hAnsiTheme="majorHAnsi" w:cstheme="majorHAnsi"/>
          <w:b/>
        </w:rPr>
        <w:fldChar w:fldCharType="begin"/>
      </w:r>
      <w:r w:rsidRPr="007220FA">
        <w:rPr>
          <w:rFonts w:asciiTheme="majorHAnsi" w:hAnsiTheme="majorHAnsi" w:cstheme="majorHAnsi"/>
          <w:b/>
        </w:rPr>
        <w:instrText xml:space="preserve"> REF _Ref55839547 \r \h  \* MERGEFORMAT </w:instrText>
      </w:r>
      <w:r w:rsidRPr="007220FA">
        <w:rPr>
          <w:rFonts w:asciiTheme="majorHAnsi" w:hAnsiTheme="majorHAnsi" w:cstheme="majorHAnsi"/>
          <w:b/>
        </w:rPr>
      </w:r>
      <w:r w:rsidRPr="007220FA">
        <w:rPr>
          <w:rFonts w:asciiTheme="majorHAnsi" w:hAnsiTheme="majorHAnsi" w:cstheme="majorHAnsi"/>
          <w:b/>
        </w:rPr>
        <w:fldChar w:fldCharType="separate"/>
      </w:r>
      <w:r w:rsidR="001527AF">
        <w:rPr>
          <w:rFonts w:asciiTheme="majorHAnsi" w:hAnsiTheme="majorHAnsi" w:cstheme="majorHAnsi"/>
          <w:b/>
        </w:rPr>
        <w:t>Part E</w:t>
      </w:r>
      <w:r w:rsidRPr="007220FA">
        <w:rPr>
          <w:rFonts w:asciiTheme="majorHAnsi" w:hAnsiTheme="majorHAnsi" w:cstheme="majorHAnsi"/>
          <w:b/>
        </w:rPr>
        <w:fldChar w:fldCharType="end"/>
      </w:r>
      <w:r w:rsidRPr="007220FA">
        <w:rPr>
          <w:rFonts w:asciiTheme="majorHAnsi" w:hAnsiTheme="majorHAnsi" w:cstheme="majorHAnsi"/>
          <w:b/>
        </w:rPr>
        <w:t xml:space="preserve"> [Project Description and Privacy Analysis for Each Change] </w:t>
      </w:r>
      <w:r w:rsidR="006F7E37" w:rsidRPr="007220FA">
        <w:rPr>
          <w:rFonts w:asciiTheme="majorHAnsi" w:hAnsiTheme="majorHAnsi" w:cstheme="majorHAnsi"/>
        </w:rPr>
        <w:t xml:space="preserve">(we have not independently verified that that factual information </w:t>
      </w:r>
      <w:r>
        <w:rPr>
          <w:rFonts w:asciiTheme="majorHAnsi" w:hAnsiTheme="majorHAnsi" w:cstheme="majorHAnsi"/>
        </w:rPr>
        <w:t>was, or continues to be,</w:t>
      </w:r>
      <w:r w:rsidR="006F7E37" w:rsidRPr="007220FA">
        <w:rPr>
          <w:rFonts w:asciiTheme="majorHAnsi" w:hAnsiTheme="majorHAnsi" w:cstheme="majorHAnsi"/>
        </w:rPr>
        <w:t xml:space="preserve"> correct </w:t>
      </w:r>
      <w:r w:rsidR="00565A8B">
        <w:rPr>
          <w:rFonts w:asciiTheme="majorHAnsi" w:hAnsiTheme="majorHAnsi" w:cstheme="majorHAnsi"/>
        </w:rPr>
        <w:t xml:space="preserve">and </w:t>
      </w:r>
      <w:r w:rsidR="006F7E37" w:rsidRPr="007220FA">
        <w:rPr>
          <w:rFonts w:asciiTheme="majorHAnsi" w:hAnsiTheme="majorHAnsi" w:cstheme="majorHAnsi"/>
        </w:rPr>
        <w:t>complete)</w:t>
      </w:r>
      <w:r w:rsidR="0028592D" w:rsidRPr="007220FA">
        <w:rPr>
          <w:rFonts w:asciiTheme="majorHAnsi" w:hAnsiTheme="majorHAnsi" w:cstheme="majorHAnsi"/>
        </w:rPr>
        <w:t>.</w:t>
      </w:r>
    </w:p>
    <w:p w14:paraId="4D8C36E8" w14:textId="4C64652D" w:rsidR="00EE6542" w:rsidRPr="00330F21" w:rsidRDefault="006F7E37" w:rsidP="00EE6542">
      <w:pPr>
        <w:pStyle w:val="Headingpara2"/>
        <w:rPr>
          <w:rFonts w:asciiTheme="majorHAnsi" w:hAnsiTheme="majorHAnsi" w:cstheme="majorHAnsi"/>
        </w:rPr>
      </w:pPr>
      <w:r w:rsidRPr="007220FA">
        <w:rPr>
          <w:rFonts w:asciiTheme="majorHAnsi" w:hAnsiTheme="majorHAnsi" w:cstheme="majorHAnsi"/>
        </w:rPr>
        <w:t xml:space="preserve">This </w:t>
      </w:r>
      <w:r w:rsidR="00BA3113">
        <w:rPr>
          <w:rFonts w:asciiTheme="majorHAnsi" w:hAnsiTheme="majorHAnsi" w:cstheme="majorHAnsi"/>
        </w:rPr>
        <w:t xml:space="preserve">Phase 2a </w:t>
      </w:r>
      <w:r w:rsidR="00565A8B">
        <w:rPr>
          <w:rFonts w:asciiTheme="majorHAnsi" w:hAnsiTheme="majorHAnsi" w:cstheme="majorHAnsi"/>
        </w:rPr>
        <w:t xml:space="preserve">Update PIA </w:t>
      </w:r>
      <w:r w:rsidRPr="007220FA">
        <w:rPr>
          <w:rFonts w:asciiTheme="majorHAnsi" w:hAnsiTheme="majorHAnsi" w:cstheme="majorHAnsi"/>
        </w:rPr>
        <w:t xml:space="preserve">report is limited to considering Phase </w:t>
      </w:r>
      <w:r w:rsidR="00A533DB" w:rsidRPr="007220FA">
        <w:rPr>
          <w:rFonts w:asciiTheme="majorHAnsi" w:hAnsiTheme="majorHAnsi" w:cstheme="majorHAnsi"/>
        </w:rPr>
        <w:t>2a</w:t>
      </w:r>
      <w:r w:rsidRPr="007220FA">
        <w:rPr>
          <w:rFonts w:asciiTheme="majorHAnsi" w:hAnsiTheme="majorHAnsi" w:cstheme="majorHAnsi"/>
        </w:rPr>
        <w:t xml:space="preserve"> of the Vaccine Strategy. </w:t>
      </w:r>
      <w:r w:rsidR="00565A8B">
        <w:rPr>
          <w:rFonts w:asciiTheme="majorHAnsi" w:hAnsiTheme="majorHAnsi" w:cstheme="majorHAnsi"/>
        </w:rPr>
        <w:t xml:space="preserve">It does not </w:t>
      </w:r>
      <w:r w:rsidRPr="007220FA">
        <w:rPr>
          <w:rFonts w:asciiTheme="majorHAnsi" w:hAnsiTheme="majorHAnsi" w:cstheme="majorHAnsi"/>
        </w:rPr>
        <w:t xml:space="preserve">analyse or make recommendations into </w:t>
      </w:r>
      <w:r w:rsidR="00565A8B">
        <w:rPr>
          <w:rFonts w:asciiTheme="majorHAnsi" w:hAnsiTheme="majorHAnsi" w:cstheme="majorHAnsi"/>
        </w:rPr>
        <w:t xml:space="preserve">any later stages of the Vaccine Strategy, and any </w:t>
      </w:r>
      <w:r w:rsidR="00C07724" w:rsidRPr="007220FA">
        <w:rPr>
          <w:rFonts w:asciiTheme="majorHAnsi" w:hAnsiTheme="majorHAnsi" w:cstheme="majorHAnsi"/>
        </w:rPr>
        <w:t>i</w:t>
      </w:r>
      <w:r w:rsidRPr="007220FA">
        <w:rPr>
          <w:rFonts w:asciiTheme="majorHAnsi" w:hAnsiTheme="majorHAnsi" w:cstheme="majorHAnsi"/>
        </w:rPr>
        <w:t xml:space="preserve">nformation </w:t>
      </w:r>
      <w:r w:rsidR="00C07724" w:rsidRPr="007220FA">
        <w:rPr>
          <w:rFonts w:asciiTheme="majorHAnsi" w:hAnsiTheme="majorHAnsi" w:cstheme="majorHAnsi"/>
        </w:rPr>
        <w:t>f</w:t>
      </w:r>
      <w:r w:rsidRPr="007220FA">
        <w:rPr>
          <w:rFonts w:asciiTheme="majorHAnsi" w:hAnsiTheme="majorHAnsi" w:cstheme="majorHAnsi"/>
        </w:rPr>
        <w:t xml:space="preserve">lows, or associated privacy risks or compliance issues, that are not described in </w:t>
      </w:r>
      <w:r w:rsidR="008F24B2" w:rsidRPr="007220FA">
        <w:rPr>
          <w:rFonts w:asciiTheme="majorHAnsi" w:hAnsiTheme="majorHAnsi" w:cstheme="majorHAnsi"/>
          <w:b/>
        </w:rPr>
        <w:fldChar w:fldCharType="begin"/>
      </w:r>
      <w:r w:rsidR="008F24B2" w:rsidRPr="007220FA">
        <w:rPr>
          <w:rFonts w:asciiTheme="majorHAnsi" w:hAnsiTheme="majorHAnsi" w:cstheme="majorHAnsi"/>
          <w:b/>
        </w:rPr>
        <w:instrText xml:space="preserve"> REF _Ref55839547 \r \h  \* MERGEFORMAT </w:instrText>
      </w:r>
      <w:r w:rsidR="008F24B2" w:rsidRPr="007220FA">
        <w:rPr>
          <w:rFonts w:asciiTheme="majorHAnsi" w:hAnsiTheme="majorHAnsi" w:cstheme="majorHAnsi"/>
          <w:b/>
        </w:rPr>
      </w:r>
      <w:r w:rsidR="008F24B2" w:rsidRPr="007220FA">
        <w:rPr>
          <w:rFonts w:asciiTheme="majorHAnsi" w:hAnsiTheme="majorHAnsi" w:cstheme="majorHAnsi"/>
          <w:b/>
        </w:rPr>
        <w:fldChar w:fldCharType="separate"/>
      </w:r>
      <w:r w:rsidR="001527AF">
        <w:rPr>
          <w:rFonts w:asciiTheme="majorHAnsi" w:hAnsiTheme="majorHAnsi" w:cstheme="majorHAnsi"/>
          <w:b/>
        </w:rPr>
        <w:t>Part E</w:t>
      </w:r>
      <w:r w:rsidR="008F24B2" w:rsidRPr="007220FA">
        <w:rPr>
          <w:rFonts w:asciiTheme="majorHAnsi" w:hAnsiTheme="majorHAnsi" w:cstheme="majorHAnsi"/>
          <w:b/>
        </w:rPr>
        <w:fldChar w:fldCharType="end"/>
      </w:r>
      <w:r w:rsidR="008F24B2" w:rsidRPr="007220FA">
        <w:rPr>
          <w:rFonts w:asciiTheme="majorHAnsi" w:hAnsiTheme="majorHAnsi" w:cstheme="majorHAnsi"/>
          <w:b/>
        </w:rPr>
        <w:t xml:space="preserve"> [Project Description and Privacy Analysis for Each Change] </w:t>
      </w:r>
      <w:r w:rsidRPr="007220FA">
        <w:rPr>
          <w:rFonts w:asciiTheme="majorHAnsi" w:hAnsiTheme="majorHAnsi" w:cstheme="majorHAnsi"/>
        </w:rPr>
        <w:t xml:space="preserve">of this </w:t>
      </w:r>
      <w:r w:rsidR="00C25998">
        <w:rPr>
          <w:rFonts w:asciiTheme="majorHAnsi" w:hAnsiTheme="majorHAnsi" w:cstheme="majorHAnsi"/>
        </w:rPr>
        <w:t xml:space="preserve">Phase 2a </w:t>
      </w:r>
      <w:r w:rsidR="00565A8B">
        <w:rPr>
          <w:rFonts w:asciiTheme="majorHAnsi" w:hAnsiTheme="majorHAnsi" w:cstheme="majorHAnsi"/>
        </w:rPr>
        <w:t xml:space="preserve">Update </w:t>
      </w:r>
      <w:r w:rsidR="00C25998">
        <w:rPr>
          <w:rFonts w:asciiTheme="majorHAnsi" w:hAnsiTheme="majorHAnsi" w:cstheme="majorHAnsi"/>
        </w:rPr>
        <w:t>PIA</w:t>
      </w:r>
      <w:r w:rsidR="00152831" w:rsidRPr="007220FA">
        <w:rPr>
          <w:rFonts w:asciiTheme="majorHAnsi" w:hAnsiTheme="majorHAnsi" w:cstheme="majorHAnsi"/>
        </w:rPr>
        <w:t xml:space="preserve"> </w:t>
      </w:r>
      <w:r w:rsidRPr="007220FA">
        <w:rPr>
          <w:rFonts w:asciiTheme="majorHAnsi" w:hAnsiTheme="majorHAnsi" w:cstheme="majorHAnsi"/>
        </w:rPr>
        <w:t xml:space="preserve">report. </w:t>
      </w:r>
    </w:p>
    <w:p w14:paraId="17234530" w14:textId="77777777" w:rsidR="00EE6542" w:rsidRPr="007220FA" w:rsidRDefault="00EE6542" w:rsidP="00EE6542">
      <w:r w:rsidRPr="007220FA">
        <w:br w:type="page"/>
      </w:r>
    </w:p>
    <w:p w14:paraId="3F221349" w14:textId="77777777" w:rsidR="00EE6542" w:rsidRPr="007220FA" w:rsidRDefault="00EE6542" w:rsidP="00EE6542">
      <w:pPr>
        <w:pStyle w:val="legalPart"/>
      </w:pPr>
      <w:bookmarkStart w:id="46" w:name="_Ref38457069"/>
      <w:bookmarkStart w:id="47" w:name="_Ref55837053"/>
      <w:bookmarkStart w:id="48" w:name="_Toc57971329"/>
      <w:bookmarkStart w:id="49" w:name="_Toc113279928"/>
      <w:r w:rsidRPr="007220FA">
        <w:lastRenderedPageBreak/>
        <w:t xml:space="preserve">PROJECT DESCRIPTION </w:t>
      </w:r>
      <w:bookmarkEnd w:id="45"/>
      <w:bookmarkEnd w:id="46"/>
      <w:r w:rsidRPr="007220FA">
        <w:t>– OVERVIEW</w:t>
      </w:r>
      <w:bookmarkStart w:id="50" w:name="_Hlk54948379"/>
      <w:bookmarkEnd w:id="47"/>
      <w:bookmarkEnd w:id="48"/>
      <w:bookmarkEnd w:id="49"/>
    </w:p>
    <w:p w14:paraId="4DDA6024" w14:textId="3F3E4943" w:rsidR="00227755" w:rsidRPr="007220FA" w:rsidRDefault="00227755" w:rsidP="00227755">
      <w:pPr>
        <w:pStyle w:val="Heading1"/>
      </w:pPr>
      <w:bookmarkStart w:id="51" w:name="_Toc57971330"/>
      <w:bookmarkStart w:id="52" w:name="_Toc113279929"/>
      <w:bookmarkEnd w:id="50"/>
      <w:bookmarkEnd w:id="51"/>
      <w:r w:rsidRPr="007220FA">
        <w:t xml:space="preserve">Phase </w:t>
      </w:r>
      <w:r w:rsidR="002A5E46" w:rsidRPr="007220FA">
        <w:t>2a</w:t>
      </w:r>
      <w:r w:rsidRPr="007220FA">
        <w:t xml:space="preserve"> of the Vaccine Strategy</w:t>
      </w:r>
      <w:bookmarkEnd w:id="52"/>
      <w:r w:rsidRPr="007220FA">
        <w:t xml:space="preserve"> </w:t>
      </w:r>
    </w:p>
    <w:p w14:paraId="217096FE" w14:textId="4028FF73" w:rsidR="00227755" w:rsidRPr="007220FA" w:rsidRDefault="00227755" w:rsidP="00227755">
      <w:pPr>
        <w:pStyle w:val="Headingpara2"/>
        <w:rPr>
          <w:rFonts w:asciiTheme="majorHAnsi" w:hAnsiTheme="majorHAnsi" w:cstheme="majorHAnsi"/>
        </w:rPr>
      </w:pPr>
      <w:bookmarkStart w:id="53" w:name="_Ref47980714"/>
      <w:r w:rsidRPr="007220FA">
        <w:t>As discussed in the Original PIA</w:t>
      </w:r>
      <w:r w:rsidR="0028592D" w:rsidRPr="007220FA">
        <w:t xml:space="preserve"> report</w:t>
      </w:r>
      <w:r w:rsidRPr="007220FA">
        <w:t>, a</w:t>
      </w:r>
      <w:r w:rsidRPr="007220FA">
        <w:rPr>
          <w:rFonts w:asciiTheme="majorHAnsi" w:hAnsiTheme="majorHAnsi" w:cstheme="majorHAnsi"/>
        </w:rPr>
        <w:t>s part of the Australian Government’s response to the COVID-19 pandemic, Health is implementing the Vaccine Strategy, which aims to support access to, and delivery of, safe and effective COVID-19 vaccines for all</w:t>
      </w:r>
      <w:r w:rsidR="00AA329C" w:rsidRPr="007220FA">
        <w:rPr>
          <w:rFonts w:asciiTheme="majorHAnsi" w:hAnsiTheme="majorHAnsi" w:cstheme="majorHAnsi"/>
        </w:rPr>
        <w:t xml:space="preserve"> </w:t>
      </w:r>
      <w:r w:rsidR="008C3B7B" w:rsidRPr="007220FA">
        <w:rPr>
          <w:rFonts w:asciiTheme="majorHAnsi" w:hAnsiTheme="majorHAnsi" w:cstheme="majorHAnsi"/>
        </w:rPr>
        <w:t>persons in Australia</w:t>
      </w:r>
      <w:r w:rsidRPr="007220FA">
        <w:rPr>
          <w:rFonts w:asciiTheme="majorHAnsi" w:hAnsiTheme="majorHAnsi" w:cstheme="majorHAnsi"/>
        </w:rPr>
        <w:t xml:space="preserve">, as soon as they are available. The Vaccine Strategy is supported by a policy released by Health, which describes the shared and separate responsibilities of the Australian, and State and Territory governments, as well as other key stakeholders, in developing and supporting the implementation of the Vaccine Strategy. </w:t>
      </w:r>
    </w:p>
    <w:p w14:paraId="775D420C" w14:textId="22C2724F" w:rsidR="00227755" w:rsidRPr="007220FA" w:rsidRDefault="00227755" w:rsidP="00227755">
      <w:pPr>
        <w:pStyle w:val="Headingpara2"/>
        <w:rPr>
          <w:rFonts w:asciiTheme="majorHAnsi" w:hAnsiTheme="majorHAnsi" w:cstheme="majorHAnsi"/>
        </w:rPr>
      </w:pPr>
      <w:r w:rsidRPr="007220FA">
        <w:rPr>
          <w:rFonts w:asciiTheme="majorHAnsi" w:hAnsiTheme="majorHAnsi" w:cstheme="majorHAnsi"/>
        </w:rPr>
        <w:t xml:space="preserve">The Vaccine Strategy </w:t>
      </w:r>
      <w:r w:rsidR="00565A8B">
        <w:rPr>
          <w:rFonts w:asciiTheme="majorHAnsi" w:hAnsiTheme="majorHAnsi" w:cstheme="majorHAnsi"/>
        </w:rPr>
        <w:t xml:space="preserve">was planned to be </w:t>
      </w:r>
      <w:r w:rsidRPr="007220FA">
        <w:rPr>
          <w:rFonts w:asciiTheme="majorHAnsi" w:hAnsiTheme="majorHAnsi" w:cstheme="majorHAnsi"/>
        </w:rPr>
        <w:t xml:space="preserve">implemented in </w:t>
      </w:r>
      <w:r w:rsidR="00565A8B">
        <w:rPr>
          <w:rFonts w:asciiTheme="majorHAnsi" w:hAnsiTheme="majorHAnsi" w:cstheme="majorHAnsi"/>
        </w:rPr>
        <w:t xml:space="preserve">the following </w:t>
      </w:r>
      <w:r w:rsidRPr="007220FA">
        <w:rPr>
          <w:rFonts w:asciiTheme="majorHAnsi" w:hAnsiTheme="majorHAnsi" w:cstheme="majorHAnsi"/>
        </w:rPr>
        <w:t>phases:</w:t>
      </w:r>
    </w:p>
    <w:p w14:paraId="4FBBB3E7" w14:textId="5DD8A4E1" w:rsidR="00227755" w:rsidRPr="007220FA" w:rsidRDefault="00227755" w:rsidP="00227755">
      <w:pPr>
        <w:pStyle w:val="Heading3"/>
        <w:rPr>
          <w:rFonts w:asciiTheme="majorHAnsi" w:hAnsiTheme="majorHAnsi" w:cstheme="majorHAnsi"/>
        </w:rPr>
      </w:pPr>
      <w:r w:rsidRPr="007220FA">
        <w:rPr>
          <w:rFonts w:asciiTheme="majorHAnsi" w:hAnsiTheme="majorHAnsi" w:cstheme="majorHAnsi"/>
          <w:b/>
          <w:bCs/>
        </w:rPr>
        <w:t>Phase 1a</w:t>
      </w:r>
      <w:r w:rsidRPr="007220FA">
        <w:rPr>
          <w:rFonts w:asciiTheme="majorHAnsi" w:hAnsiTheme="majorHAnsi" w:cstheme="majorHAnsi"/>
        </w:rPr>
        <w:t xml:space="preserve"> – this phase </w:t>
      </w:r>
      <w:r w:rsidR="00565A8B">
        <w:rPr>
          <w:rFonts w:asciiTheme="majorHAnsi" w:hAnsiTheme="majorHAnsi" w:cstheme="majorHAnsi"/>
        </w:rPr>
        <w:t xml:space="preserve">was to </w:t>
      </w:r>
      <w:r w:rsidRPr="007220FA">
        <w:rPr>
          <w:rFonts w:asciiTheme="majorHAnsi" w:hAnsiTheme="majorHAnsi" w:cstheme="majorHAnsi"/>
        </w:rPr>
        <w:t>cover the initial rollout of a vaccine (a vaccine developed by Pfizer and also a vaccine developed by AstraZeneca) to certain high-priority populations, and the introduction of ICT systems and processes</w:t>
      </w:r>
      <w:r w:rsidR="0038509E" w:rsidRPr="007220FA">
        <w:rPr>
          <w:rFonts w:asciiTheme="majorHAnsi" w:hAnsiTheme="majorHAnsi" w:cstheme="majorHAnsi"/>
        </w:rPr>
        <w:t xml:space="preserve"> to support the COVID-19 vaccine </w:t>
      </w:r>
      <w:proofErr w:type="gramStart"/>
      <w:r w:rsidR="0038509E" w:rsidRPr="007220FA">
        <w:rPr>
          <w:rFonts w:asciiTheme="majorHAnsi" w:hAnsiTheme="majorHAnsi" w:cstheme="majorHAnsi"/>
        </w:rPr>
        <w:t>rollout</w:t>
      </w:r>
      <w:r w:rsidRPr="007220FA">
        <w:rPr>
          <w:rFonts w:asciiTheme="majorHAnsi" w:hAnsiTheme="majorHAnsi" w:cstheme="majorHAnsi"/>
        </w:rPr>
        <w:t>;</w:t>
      </w:r>
      <w:proofErr w:type="gramEnd"/>
      <w:r w:rsidRPr="007220FA">
        <w:rPr>
          <w:rFonts w:asciiTheme="majorHAnsi" w:hAnsiTheme="majorHAnsi" w:cstheme="majorHAnsi"/>
        </w:rPr>
        <w:t xml:space="preserve"> </w:t>
      </w:r>
    </w:p>
    <w:p w14:paraId="6EF19455" w14:textId="7501FA67" w:rsidR="00227755" w:rsidRPr="007220FA" w:rsidRDefault="00227755" w:rsidP="00227755">
      <w:pPr>
        <w:pStyle w:val="Heading3"/>
        <w:rPr>
          <w:rFonts w:asciiTheme="majorHAnsi" w:hAnsiTheme="majorHAnsi" w:cstheme="majorHAnsi"/>
        </w:rPr>
      </w:pPr>
      <w:r w:rsidRPr="007220FA">
        <w:rPr>
          <w:rFonts w:asciiTheme="majorHAnsi" w:hAnsiTheme="majorHAnsi" w:cstheme="majorHAnsi"/>
          <w:b/>
          <w:bCs/>
        </w:rPr>
        <w:t>Phase 1b</w:t>
      </w:r>
      <w:r w:rsidRPr="007220FA">
        <w:rPr>
          <w:rFonts w:asciiTheme="majorHAnsi" w:hAnsiTheme="majorHAnsi" w:cstheme="majorHAnsi"/>
        </w:rPr>
        <w:t xml:space="preserve"> – this phase </w:t>
      </w:r>
      <w:r w:rsidR="00565A8B">
        <w:rPr>
          <w:rFonts w:asciiTheme="majorHAnsi" w:hAnsiTheme="majorHAnsi" w:cstheme="majorHAnsi"/>
        </w:rPr>
        <w:t xml:space="preserve">was to </w:t>
      </w:r>
      <w:r w:rsidRPr="007220FA">
        <w:rPr>
          <w:rFonts w:asciiTheme="majorHAnsi" w:hAnsiTheme="majorHAnsi" w:cstheme="majorHAnsi"/>
        </w:rPr>
        <w:t>cover</w:t>
      </w:r>
      <w:r w:rsidR="00CF33FD" w:rsidRPr="007220FA">
        <w:rPr>
          <w:rFonts w:asciiTheme="majorHAnsi" w:hAnsiTheme="majorHAnsi" w:cstheme="majorHAnsi"/>
        </w:rPr>
        <w:t xml:space="preserve"> </w:t>
      </w:r>
      <w:r w:rsidRPr="007220FA">
        <w:rPr>
          <w:rFonts w:asciiTheme="majorHAnsi" w:hAnsiTheme="majorHAnsi" w:cstheme="majorHAnsi"/>
        </w:rPr>
        <w:t xml:space="preserve">the broader rollout of vaccines to additional populations, and the introduction of further ICT systems and </w:t>
      </w:r>
      <w:proofErr w:type="gramStart"/>
      <w:r w:rsidRPr="007220FA">
        <w:rPr>
          <w:rFonts w:asciiTheme="majorHAnsi" w:hAnsiTheme="majorHAnsi" w:cstheme="majorHAnsi"/>
        </w:rPr>
        <w:t>processes;</w:t>
      </w:r>
      <w:proofErr w:type="gramEnd"/>
    </w:p>
    <w:p w14:paraId="44D484E7" w14:textId="16B8FFB2" w:rsidR="00227755" w:rsidRPr="007220FA" w:rsidRDefault="00227755" w:rsidP="00227755">
      <w:pPr>
        <w:pStyle w:val="Heading3"/>
        <w:rPr>
          <w:rFonts w:asciiTheme="majorHAnsi" w:hAnsiTheme="majorHAnsi" w:cstheme="majorHAnsi"/>
        </w:rPr>
      </w:pPr>
      <w:r w:rsidRPr="007220FA">
        <w:rPr>
          <w:rFonts w:asciiTheme="majorHAnsi" w:hAnsiTheme="majorHAnsi" w:cstheme="majorHAnsi"/>
          <w:b/>
          <w:bCs/>
        </w:rPr>
        <w:t>Phase 2a</w:t>
      </w:r>
      <w:r w:rsidRPr="007220FA">
        <w:rPr>
          <w:rFonts w:asciiTheme="majorHAnsi" w:hAnsiTheme="majorHAnsi" w:cstheme="majorHAnsi"/>
        </w:rPr>
        <w:t xml:space="preserve"> – this phase </w:t>
      </w:r>
      <w:r w:rsidR="00565A8B">
        <w:rPr>
          <w:rFonts w:asciiTheme="majorHAnsi" w:hAnsiTheme="majorHAnsi" w:cstheme="majorHAnsi"/>
        </w:rPr>
        <w:t xml:space="preserve">was to </w:t>
      </w:r>
      <w:r w:rsidRPr="007220FA">
        <w:rPr>
          <w:rFonts w:asciiTheme="majorHAnsi" w:hAnsiTheme="majorHAnsi" w:cstheme="majorHAnsi"/>
        </w:rPr>
        <w:t>cover</w:t>
      </w:r>
      <w:r w:rsidR="00CF33FD" w:rsidRPr="007220FA">
        <w:rPr>
          <w:rFonts w:asciiTheme="majorHAnsi" w:hAnsiTheme="majorHAnsi" w:cstheme="majorHAnsi"/>
        </w:rPr>
        <w:t xml:space="preserve"> </w:t>
      </w:r>
      <w:r w:rsidRPr="007220FA">
        <w:rPr>
          <w:rFonts w:asciiTheme="majorHAnsi" w:hAnsiTheme="majorHAnsi" w:cstheme="majorHAnsi"/>
        </w:rPr>
        <w:t>additional populations or cohorts across Australia</w:t>
      </w:r>
      <w:r w:rsidR="004E0523" w:rsidRPr="007220FA">
        <w:rPr>
          <w:rFonts w:asciiTheme="majorHAnsi" w:hAnsiTheme="majorHAnsi" w:cstheme="majorHAnsi"/>
        </w:rPr>
        <w:t>, and the modification of existing ICT systems and processes (these are discussed in further detail below</w:t>
      </w:r>
      <w:proofErr w:type="gramStart"/>
      <w:r w:rsidR="004E0523" w:rsidRPr="007220FA">
        <w:rPr>
          <w:rFonts w:asciiTheme="majorHAnsi" w:hAnsiTheme="majorHAnsi" w:cstheme="majorHAnsi"/>
        </w:rPr>
        <w:t>)</w:t>
      </w:r>
      <w:r w:rsidRPr="007220FA">
        <w:rPr>
          <w:rFonts w:asciiTheme="majorHAnsi" w:hAnsiTheme="majorHAnsi" w:cstheme="majorHAnsi"/>
        </w:rPr>
        <w:t>;</w:t>
      </w:r>
      <w:proofErr w:type="gramEnd"/>
    </w:p>
    <w:p w14:paraId="27FB6DDB" w14:textId="219BF56B" w:rsidR="00227755" w:rsidRPr="007220FA" w:rsidRDefault="00227755" w:rsidP="00227755">
      <w:pPr>
        <w:pStyle w:val="Heading3"/>
        <w:rPr>
          <w:rFonts w:asciiTheme="majorHAnsi" w:hAnsiTheme="majorHAnsi" w:cstheme="majorHAnsi"/>
        </w:rPr>
      </w:pPr>
      <w:r w:rsidRPr="007220FA">
        <w:rPr>
          <w:rFonts w:asciiTheme="majorHAnsi" w:hAnsiTheme="majorHAnsi" w:cstheme="majorHAnsi"/>
          <w:b/>
          <w:bCs/>
        </w:rPr>
        <w:t>Phase 2b</w:t>
      </w:r>
      <w:r w:rsidRPr="00442AA9">
        <w:rPr>
          <w:rFonts w:asciiTheme="majorHAnsi" w:hAnsiTheme="majorHAnsi" w:cstheme="majorHAnsi"/>
        </w:rPr>
        <w:t xml:space="preserve"> –</w:t>
      </w:r>
      <w:r w:rsidRPr="007220FA">
        <w:rPr>
          <w:rFonts w:asciiTheme="majorHAnsi" w:hAnsiTheme="majorHAnsi" w:cstheme="majorHAnsi"/>
          <w:b/>
          <w:bCs/>
        </w:rPr>
        <w:t xml:space="preserve"> </w:t>
      </w:r>
      <w:r w:rsidRPr="007220FA">
        <w:rPr>
          <w:rFonts w:asciiTheme="majorHAnsi" w:hAnsiTheme="majorHAnsi" w:cstheme="majorHAnsi"/>
        </w:rPr>
        <w:t xml:space="preserve">this phase </w:t>
      </w:r>
      <w:r w:rsidR="00565A8B">
        <w:rPr>
          <w:rFonts w:asciiTheme="majorHAnsi" w:hAnsiTheme="majorHAnsi" w:cstheme="majorHAnsi"/>
        </w:rPr>
        <w:t xml:space="preserve">was to </w:t>
      </w:r>
      <w:r w:rsidRPr="007220FA">
        <w:rPr>
          <w:rFonts w:asciiTheme="majorHAnsi" w:hAnsiTheme="majorHAnsi" w:cstheme="majorHAnsi"/>
        </w:rPr>
        <w:t>cover the rest of the adult population across Australia (including individuals who were eligible in previous phases but were not vaccinated); and</w:t>
      </w:r>
    </w:p>
    <w:p w14:paraId="73B23F86" w14:textId="15C85D76" w:rsidR="00227755" w:rsidRPr="007220FA" w:rsidRDefault="00227755" w:rsidP="00227755">
      <w:pPr>
        <w:pStyle w:val="Heading3"/>
        <w:rPr>
          <w:rFonts w:asciiTheme="majorHAnsi" w:hAnsiTheme="majorHAnsi" w:cstheme="majorHAnsi"/>
        </w:rPr>
      </w:pPr>
      <w:r w:rsidRPr="007220FA">
        <w:rPr>
          <w:rFonts w:asciiTheme="majorHAnsi" w:hAnsiTheme="majorHAnsi" w:cstheme="majorHAnsi"/>
          <w:b/>
          <w:bCs/>
        </w:rPr>
        <w:t>Phase 3</w:t>
      </w:r>
      <w:r w:rsidRPr="007220FA">
        <w:rPr>
          <w:rFonts w:asciiTheme="majorHAnsi" w:hAnsiTheme="majorHAnsi" w:cstheme="majorHAnsi"/>
        </w:rPr>
        <w:t xml:space="preserve"> – this phase </w:t>
      </w:r>
      <w:r w:rsidR="00565A8B">
        <w:rPr>
          <w:rFonts w:asciiTheme="majorHAnsi" w:hAnsiTheme="majorHAnsi" w:cstheme="majorHAnsi"/>
        </w:rPr>
        <w:t xml:space="preserve">was to </w:t>
      </w:r>
      <w:r w:rsidRPr="007220FA">
        <w:rPr>
          <w:rFonts w:asciiTheme="majorHAnsi" w:hAnsiTheme="majorHAnsi" w:cstheme="majorHAnsi"/>
        </w:rPr>
        <w:t xml:space="preserve">cover </w:t>
      </w:r>
      <w:r w:rsidR="00565A8B">
        <w:rPr>
          <w:rFonts w:asciiTheme="majorHAnsi" w:hAnsiTheme="majorHAnsi" w:cstheme="majorHAnsi"/>
        </w:rPr>
        <w:t xml:space="preserve">the roll-out to </w:t>
      </w:r>
      <w:r w:rsidRPr="007220FA">
        <w:rPr>
          <w:rFonts w:asciiTheme="majorHAnsi" w:hAnsiTheme="majorHAnsi" w:cstheme="majorHAnsi"/>
        </w:rPr>
        <w:t xml:space="preserve">children. </w:t>
      </w:r>
    </w:p>
    <w:p w14:paraId="6F1325C4" w14:textId="6B36CE56" w:rsidR="00565A8B" w:rsidRDefault="00565A8B" w:rsidP="00227755">
      <w:pPr>
        <w:pStyle w:val="Headingpara2"/>
      </w:pPr>
      <w:r>
        <w:t>However, in practice Phases 2a, 2b and 3 were condensed, and were effectively rolled out as part of Phase 2a.</w:t>
      </w:r>
    </w:p>
    <w:p w14:paraId="183BF723" w14:textId="0E798285" w:rsidR="00227755" w:rsidRPr="007220FA" w:rsidRDefault="00227755" w:rsidP="00227755">
      <w:pPr>
        <w:pStyle w:val="Headingpara2"/>
      </w:pPr>
      <w:r w:rsidRPr="007220FA">
        <w:t xml:space="preserve">As part of </w:t>
      </w:r>
      <w:r w:rsidRPr="007220FA">
        <w:rPr>
          <w:b/>
          <w:bCs/>
        </w:rPr>
        <w:t xml:space="preserve">Recommendation 1 </w:t>
      </w:r>
      <w:r w:rsidR="00F83AA4" w:rsidRPr="007220FA">
        <w:t xml:space="preserve">in </w:t>
      </w:r>
      <w:r w:rsidRPr="007220FA">
        <w:t>the Original PIA</w:t>
      </w:r>
      <w:r w:rsidR="00F83AA4" w:rsidRPr="007220FA">
        <w:t xml:space="preserve"> report</w:t>
      </w:r>
      <w:r w:rsidR="00523F52">
        <w:t xml:space="preserve"> and Phase 1b Update report</w:t>
      </w:r>
      <w:r w:rsidRPr="007220FA">
        <w:t>, we recommended that Health continue to</w:t>
      </w:r>
      <w:r w:rsidRPr="007220FA">
        <w:rPr>
          <w:rFonts w:asciiTheme="majorHAnsi" w:hAnsiTheme="majorHAnsi" w:cstheme="majorHAnsi"/>
        </w:rPr>
        <w:t xml:space="preserve"> take a ‘privacy-by-design’ approach as the implementation of the Vaccine Strategy progresses. </w:t>
      </w:r>
    </w:p>
    <w:p w14:paraId="4F84AC24" w14:textId="58D3D4B3" w:rsidR="00227755" w:rsidRPr="007220FA" w:rsidRDefault="00227755" w:rsidP="00227755">
      <w:pPr>
        <w:pStyle w:val="Headingpara2"/>
        <w:keepNext/>
        <w:keepLines/>
      </w:pPr>
      <w:r w:rsidRPr="007220FA">
        <w:t xml:space="preserve">As part of </w:t>
      </w:r>
      <w:r w:rsidR="00B32B2C" w:rsidRPr="007220FA">
        <w:t xml:space="preserve">Health’s implementation of this recommendation, </w:t>
      </w:r>
      <w:r w:rsidRPr="007220FA">
        <w:t xml:space="preserve">Maddocks </w:t>
      </w:r>
      <w:r w:rsidR="00565A8B">
        <w:t>was</w:t>
      </w:r>
      <w:r w:rsidRPr="007220FA">
        <w:t xml:space="preserve"> engaged by Health to undertake </w:t>
      </w:r>
      <w:r w:rsidR="00B32B2C" w:rsidRPr="007220FA">
        <w:t xml:space="preserve">this </w:t>
      </w:r>
      <w:r w:rsidR="00410955">
        <w:t xml:space="preserve">Phase 2a </w:t>
      </w:r>
      <w:r w:rsidR="00565A8B">
        <w:t xml:space="preserve">Update </w:t>
      </w:r>
      <w:r w:rsidR="00410955">
        <w:t>PIA</w:t>
      </w:r>
      <w:r w:rsidR="00B32B2C" w:rsidRPr="007220FA">
        <w:t xml:space="preserve"> process </w:t>
      </w:r>
      <w:r w:rsidRPr="007220FA">
        <w:t>in relation to Phase </w:t>
      </w:r>
      <w:r w:rsidR="002D51EB" w:rsidRPr="007220FA">
        <w:t>2a</w:t>
      </w:r>
      <w:r w:rsidRPr="007220FA">
        <w:t xml:space="preserve"> of the Vaccine Strategy, to examine in detail:</w:t>
      </w:r>
    </w:p>
    <w:p w14:paraId="2FCCC449" w14:textId="3A89CC18" w:rsidR="00227755" w:rsidRPr="007220FA" w:rsidRDefault="00227755" w:rsidP="00227755">
      <w:pPr>
        <w:pStyle w:val="Heading3"/>
        <w:keepNext/>
      </w:pPr>
      <w:r w:rsidRPr="007220FA">
        <w:t xml:space="preserve">the impact of </w:t>
      </w:r>
      <w:r w:rsidR="00565A8B">
        <w:t xml:space="preserve">certain </w:t>
      </w:r>
      <w:r w:rsidRPr="007220FA">
        <w:t xml:space="preserve">changes </w:t>
      </w:r>
      <w:r w:rsidR="00857A8E" w:rsidRPr="007220FA">
        <w:t>t</w:t>
      </w:r>
      <w:r w:rsidRPr="007220FA">
        <w:t>o the information flows for the Vaccine Strategy as identified in the Original PIA report</w:t>
      </w:r>
      <w:r w:rsidR="00CC35AC" w:rsidRPr="007220FA">
        <w:t xml:space="preserve"> and </w:t>
      </w:r>
      <w:r w:rsidR="00410955">
        <w:t xml:space="preserve">Phase 1b </w:t>
      </w:r>
      <w:r w:rsidR="00565A8B">
        <w:t xml:space="preserve">Update </w:t>
      </w:r>
      <w:r w:rsidR="00410955">
        <w:t xml:space="preserve">PIA </w:t>
      </w:r>
      <w:proofErr w:type="gramStart"/>
      <w:r w:rsidR="00410955">
        <w:t>report</w:t>
      </w:r>
      <w:r w:rsidRPr="007220FA">
        <w:t>;</w:t>
      </w:r>
      <w:proofErr w:type="gramEnd"/>
    </w:p>
    <w:p w14:paraId="5D92EAE0" w14:textId="220245E0" w:rsidR="00227755" w:rsidRPr="007220FA" w:rsidRDefault="00227755" w:rsidP="00227755">
      <w:pPr>
        <w:pStyle w:val="Heading3"/>
      </w:pPr>
      <w:r w:rsidRPr="007220FA">
        <w:t xml:space="preserve">any additional or changed analysis which is now required </w:t>
      </w:r>
      <w:proofErr w:type="gramStart"/>
      <w:r w:rsidRPr="007220FA">
        <w:t>as a result of</w:t>
      </w:r>
      <w:proofErr w:type="gramEnd"/>
      <w:r w:rsidRPr="007220FA">
        <w:t xml:space="preserve"> </w:t>
      </w:r>
      <w:r w:rsidR="00565A8B">
        <w:t xml:space="preserve">those </w:t>
      </w:r>
      <w:r w:rsidRPr="007220FA">
        <w:t>changes in information flows; and</w:t>
      </w:r>
    </w:p>
    <w:p w14:paraId="684982B7" w14:textId="6B95E28C" w:rsidR="00227755" w:rsidRPr="007220FA" w:rsidRDefault="00227755" w:rsidP="00227755">
      <w:pPr>
        <w:pStyle w:val="Heading3"/>
      </w:pPr>
      <w:r w:rsidRPr="007220FA">
        <w:t xml:space="preserve">any new privacy risks arising out of </w:t>
      </w:r>
      <w:r w:rsidR="00565A8B">
        <w:t xml:space="preserve">those </w:t>
      </w:r>
      <w:r w:rsidRPr="007220FA">
        <w:t>changes, and any recommended mitigation strategies to address those risks.</w:t>
      </w:r>
    </w:p>
    <w:p w14:paraId="6728A389" w14:textId="300B629D" w:rsidR="00227755" w:rsidRPr="007220FA" w:rsidRDefault="00565A8B" w:rsidP="00227755">
      <w:pPr>
        <w:pStyle w:val="Headingpara2"/>
        <w:keepNext/>
      </w:pPr>
      <w:bookmarkStart w:id="54" w:name="_Ref64305242"/>
      <w:r>
        <w:rPr>
          <w:rFonts w:asciiTheme="majorHAnsi" w:hAnsiTheme="majorHAnsi" w:cstheme="majorHAnsi"/>
        </w:rPr>
        <w:t xml:space="preserve">The changes that were examined in this Phase 2a Update PIA, which </w:t>
      </w:r>
      <w:r w:rsidR="00227755" w:rsidRPr="007220FA">
        <w:rPr>
          <w:rFonts w:asciiTheme="majorHAnsi" w:hAnsiTheme="majorHAnsi" w:cstheme="majorHAnsi"/>
        </w:rPr>
        <w:t>differ from Phase 1</w:t>
      </w:r>
      <w:r w:rsidR="002D51EB" w:rsidRPr="007220FA">
        <w:rPr>
          <w:rFonts w:asciiTheme="majorHAnsi" w:hAnsiTheme="majorHAnsi" w:cstheme="majorHAnsi"/>
        </w:rPr>
        <w:t>b</w:t>
      </w:r>
      <w:r w:rsidR="00227755" w:rsidRPr="007220FA">
        <w:rPr>
          <w:rFonts w:asciiTheme="majorHAnsi" w:hAnsiTheme="majorHAnsi" w:cstheme="majorHAnsi"/>
        </w:rPr>
        <w:t xml:space="preserve"> </w:t>
      </w:r>
      <w:r>
        <w:rPr>
          <w:rFonts w:asciiTheme="majorHAnsi" w:hAnsiTheme="majorHAnsi" w:cstheme="majorHAnsi"/>
        </w:rPr>
        <w:t>are</w:t>
      </w:r>
      <w:r w:rsidR="00227755" w:rsidRPr="007220FA">
        <w:rPr>
          <w:rFonts w:asciiTheme="majorHAnsi" w:hAnsiTheme="majorHAnsi" w:cstheme="majorHAnsi"/>
        </w:rPr>
        <w:t>:</w:t>
      </w:r>
      <w:bookmarkEnd w:id="54"/>
    </w:p>
    <w:bookmarkEnd w:id="53"/>
    <w:p w14:paraId="3727FE1B" w14:textId="74F227B5" w:rsidR="005137E3" w:rsidRDefault="00410955" w:rsidP="005137E3">
      <w:pPr>
        <w:pStyle w:val="Heading3"/>
      </w:pPr>
      <w:r>
        <w:t xml:space="preserve">the ability for CPs to administer COVID-19 </w:t>
      </w:r>
      <w:proofErr w:type="gramStart"/>
      <w:r>
        <w:t>vaccines;</w:t>
      </w:r>
      <w:proofErr w:type="gramEnd"/>
    </w:p>
    <w:p w14:paraId="08EA4424" w14:textId="11051CD2" w:rsidR="00410955" w:rsidRDefault="00410955" w:rsidP="005137E3">
      <w:pPr>
        <w:pStyle w:val="Heading3"/>
      </w:pPr>
      <w:r>
        <w:t xml:space="preserve">people aged under 18 years old becoming eligible to use the </w:t>
      </w:r>
      <w:proofErr w:type="gramStart"/>
      <w:r>
        <w:t>BP;</w:t>
      </w:r>
      <w:proofErr w:type="gramEnd"/>
    </w:p>
    <w:p w14:paraId="0C2F5572" w14:textId="606C59EF" w:rsidR="00410955" w:rsidRDefault="00410955" w:rsidP="005137E3">
      <w:pPr>
        <w:pStyle w:val="Heading3"/>
      </w:pPr>
      <w:r>
        <w:lastRenderedPageBreak/>
        <w:t xml:space="preserve">the integration of the BP with the </w:t>
      </w:r>
      <w:proofErr w:type="gramStart"/>
      <w:r>
        <w:t>CVIP;</w:t>
      </w:r>
      <w:proofErr w:type="gramEnd"/>
      <w:r>
        <w:t xml:space="preserve"> </w:t>
      </w:r>
    </w:p>
    <w:p w14:paraId="05633C0F" w14:textId="070B5F86" w:rsidR="00410955" w:rsidRDefault="00410955" w:rsidP="005137E3">
      <w:pPr>
        <w:pStyle w:val="Heading3"/>
      </w:pPr>
      <w:r>
        <w:t xml:space="preserve">enhancements to CVIP, including for the collection of data not prescribed by the AIR, and disclosure from CVIP to permitted bodies; and </w:t>
      </w:r>
    </w:p>
    <w:p w14:paraId="5A5C4F93" w14:textId="29EE27F2" w:rsidR="00410955" w:rsidRPr="007220FA" w:rsidRDefault="00410955" w:rsidP="005137E3">
      <w:pPr>
        <w:pStyle w:val="Heading3"/>
      </w:pPr>
      <w:r>
        <w:t xml:space="preserve">the introduction of data sharing from Commonwealth systems to State and Territory health agencies. </w:t>
      </w:r>
    </w:p>
    <w:p w14:paraId="3FD88CF9" w14:textId="4C1D1B9C" w:rsidR="00227755" w:rsidRPr="007220FA" w:rsidRDefault="00227755" w:rsidP="00227755">
      <w:pPr>
        <w:pStyle w:val="Heading1"/>
      </w:pPr>
      <w:bookmarkStart w:id="55" w:name="_Toc113279930"/>
      <w:r w:rsidRPr="007220FA">
        <w:t xml:space="preserve">Structure of </w:t>
      </w:r>
      <w:r w:rsidRPr="007220FA">
        <w:fldChar w:fldCharType="begin"/>
      </w:r>
      <w:r w:rsidRPr="007220FA">
        <w:instrText xml:space="preserve"> REF _Ref55839547 \w \h </w:instrText>
      </w:r>
      <w:r w:rsidR="00923F8D" w:rsidRPr="007220FA">
        <w:instrText xml:space="preserve"> \* MERGEFORMAT </w:instrText>
      </w:r>
      <w:r w:rsidRPr="007220FA">
        <w:fldChar w:fldCharType="separate"/>
      </w:r>
      <w:r w:rsidR="001527AF">
        <w:t>Part E</w:t>
      </w:r>
      <w:r w:rsidRPr="007220FA">
        <w:fldChar w:fldCharType="end"/>
      </w:r>
      <w:r w:rsidRPr="007220FA">
        <w:t xml:space="preserve"> [Project Description and Privacy Analysis for Each Change]</w:t>
      </w:r>
      <w:bookmarkEnd w:id="55"/>
    </w:p>
    <w:p w14:paraId="71A51428" w14:textId="7385DE22" w:rsidR="00227755" w:rsidRPr="007220FA" w:rsidRDefault="00227755" w:rsidP="00227755">
      <w:pPr>
        <w:pStyle w:val="Headingpara2"/>
      </w:pPr>
      <w:r w:rsidRPr="007220FA">
        <w:t xml:space="preserve">We have analysed each of the changes identified in paragraph </w:t>
      </w:r>
      <w:r w:rsidRPr="007220FA">
        <w:fldChar w:fldCharType="begin"/>
      </w:r>
      <w:r w:rsidRPr="007220FA">
        <w:instrText xml:space="preserve"> REF _Ref64305242 \r \h </w:instrText>
      </w:r>
      <w:r w:rsidR="00923F8D" w:rsidRPr="007220FA">
        <w:instrText xml:space="preserve"> \* MERGEFORMAT </w:instrText>
      </w:r>
      <w:r w:rsidRPr="007220FA">
        <w:fldChar w:fldCharType="separate"/>
      </w:r>
      <w:r w:rsidR="001527AF">
        <w:t>7.6</w:t>
      </w:r>
      <w:r w:rsidRPr="007220FA">
        <w:fldChar w:fldCharType="end"/>
      </w:r>
      <w:r w:rsidRPr="007220FA">
        <w:t xml:space="preserve"> of this </w:t>
      </w:r>
      <w:r w:rsidRPr="007220FA">
        <w:rPr>
          <w:b/>
          <w:bCs/>
        </w:rPr>
        <w:fldChar w:fldCharType="begin"/>
      </w:r>
      <w:r w:rsidRPr="007220FA">
        <w:rPr>
          <w:b/>
          <w:bCs/>
        </w:rPr>
        <w:instrText xml:space="preserve"> REF _Ref55837053 \r \h  \* MERGEFORMAT </w:instrText>
      </w:r>
      <w:r w:rsidRPr="007220FA">
        <w:rPr>
          <w:b/>
          <w:bCs/>
        </w:rPr>
      </w:r>
      <w:r w:rsidRPr="007220FA">
        <w:rPr>
          <w:b/>
          <w:bCs/>
        </w:rPr>
        <w:fldChar w:fldCharType="separate"/>
      </w:r>
      <w:r w:rsidR="001527AF">
        <w:rPr>
          <w:b/>
          <w:bCs/>
        </w:rPr>
        <w:t>Part D</w:t>
      </w:r>
      <w:r w:rsidRPr="007220FA">
        <w:rPr>
          <w:b/>
          <w:bCs/>
        </w:rPr>
        <w:fldChar w:fldCharType="end"/>
      </w:r>
      <w:r w:rsidR="00337A27" w:rsidRPr="007220FA">
        <w:rPr>
          <w:b/>
          <w:bCs/>
        </w:rPr>
        <w:t xml:space="preserve"> [Project Description </w:t>
      </w:r>
      <w:r w:rsidR="001E1E82" w:rsidRPr="007220FA">
        <w:rPr>
          <w:b/>
          <w:bCs/>
        </w:rPr>
        <w:t>–</w:t>
      </w:r>
      <w:r w:rsidR="00337A27" w:rsidRPr="007220FA">
        <w:rPr>
          <w:b/>
          <w:bCs/>
        </w:rPr>
        <w:t xml:space="preserve"> Overview]</w:t>
      </w:r>
      <w:r w:rsidRPr="007220FA">
        <w:rPr>
          <w:b/>
          <w:bCs/>
        </w:rPr>
        <w:t xml:space="preserve"> </w:t>
      </w:r>
      <w:r w:rsidRPr="007220FA">
        <w:t xml:space="preserve">in separate sections below. In each </w:t>
      </w:r>
      <w:r w:rsidR="00565A8B">
        <w:t>S</w:t>
      </w:r>
      <w:r w:rsidRPr="007220FA">
        <w:t xml:space="preserve">ection, we: </w:t>
      </w:r>
    </w:p>
    <w:p w14:paraId="65032B5B" w14:textId="0A77D445" w:rsidR="00227755" w:rsidRPr="007220FA" w:rsidRDefault="00227755" w:rsidP="00227755">
      <w:pPr>
        <w:pStyle w:val="Heading3"/>
      </w:pPr>
      <w:r w:rsidRPr="007220FA">
        <w:t xml:space="preserve">provided further information on the change (by way of a </w:t>
      </w:r>
      <w:r w:rsidR="000E540D" w:rsidRPr="007220FA">
        <w:t>‘</w:t>
      </w:r>
      <w:r w:rsidRPr="007220FA">
        <w:t>Project Description</w:t>
      </w:r>
      <w:r w:rsidR="000E540D" w:rsidRPr="007220FA">
        <w:t>’</w:t>
      </w:r>
      <w:r w:rsidRPr="007220FA">
        <w:t xml:space="preserve"> for each change</w:t>
      </w:r>
      <w:proofErr w:type="gramStart"/>
      <w:r w:rsidRPr="007220FA">
        <w:t>);</w:t>
      </w:r>
      <w:proofErr w:type="gramEnd"/>
    </w:p>
    <w:p w14:paraId="45A32065" w14:textId="41F8C07F" w:rsidR="00227755" w:rsidRPr="007220FA" w:rsidRDefault="00227755" w:rsidP="00227755">
      <w:pPr>
        <w:pStyle w:val="Heading3"/>
      </w:pPr>
      <w:bookmarkStart w:id="56" w:name="_Ref55838387"/>
      <w:r w:rsidRPr="007220FA">
        <w:t xml:space="preserve">considered the privacy impacts of the change, given the requirements of the Privacy Act (the </w:t>
      </w:r>
      <w:r w:rsidRPr="007220FA">
        <w:rPr>
          <w:bCs/>
        </w:rPr>
        <w:t>APPs</w:t>
      </w:r>
      <w:r w:rsidRPr="007220FA">
        <w:t>), including identifying any privacy risks or concerns; and</w:t>
      </w:r>
      <w:bookmarkEnd w:id="56"/>
    </w:p>
    <w:p w14:paraId="1E1E9078" w14:textId="1AC44280" w:rsidR="00227755" w:rsidRPr="007220FA" w:rsidRDefault="00227755" w:rsidP="00227755">
      <w:pPr>
        <w:pStyle w:val="Heading3"/>
      </w:pPr>
      <w:r w:rsidRPr="007220FA">
        <w:t xml:space="preserve">made recommendations designed to: </w:t>
      </w:r>
    </w:p>
    <w:p w14:paraId="159913E7" w14:textId="5526E9EF" w:rsidR="00227755" w:rsidRPr="007220FA" w:rsidRDefault="00227755" w:rsidP="00227755">
      <w:pPr>
        <w:pStyle w:val="Heading4"/>
      </w:pPr>
      <w:r w:rsidRPr="007220FA">
        <w:t xml:space="preserve">address the risks identified as part of our considerations described in paragraph </w:t>
      </w:r>
      <w:r w:rsidRPr="007220FA">
        <w:fldChar w:fldCharType="begin"/>
      </w:r>
      <w:r w:rsidRPr="007220FA">
        <w:instrText xml:space="preserve"> REF _Ref55838387 \r \h </w:instrText>
      </w:r>
      <w:r w:rsidR="00923F8D" w:rsidRPr="007220FA">
        <w:instrText xml:space="preserve"> \* MERGEFORMAT </w:instrText>
      </w:r>
      <w:r w:rsidRPr="007220FA">
        <w:fldChar w:fldCharType="separate"/>
      </w:r>
      <w:r w:rsidR="001527AF">
        <w:t>8.1.2</w:t>
      </w:r>
      <w:r w:rsidRPr="007220FA">
        <w:fldChar w:fldCharType="end"/>
      </w:r>
      <w:r w:rsidRPr="007220FA">
        <w:t xml:space="preserve"> of this </w:t>
      </w:r>
      <w:r w:rsidRPr="007220FA">
        <w:rPr>
          <w:b/>
          <w:bCs/>
        </w:rPr>
        <w:fldChar w:fldCharType="begin"/>
      </w:r>
      <w:r w:rsidRPr="007220FA">
        <w:rPr>
          <w:b/>
          <w:bCs/>
        </w:rPr>
        <w:instrText xml:space="preserve"> REF _Ref55837053 \r \h  \* MERGEFORMAT </w:instrText>
      </w:r>
      <w:r w:rsidRPr="007220FA">
        <w:rPr>
          <w:b/>
          <w:bCs/>
        </w:rPr>
      </w:r>
      <w:r w:rsidRPr="007220FA">
        <w:rPr>
          <w:b/>
          <w:bCs/>
        </w:rPr>
        <w:fldChar w:fldCharType="separate"/>
      </w:r>
      <w:r w:rsidR="001527AF">
        <w:rPr>
          <w:b/>
          <w:bCs/>
        </w:rPr>
        <w:t>Part D</w:t>
      </w:r>
      <w:r w:rsidRPr="007220FA">
        <w:rPr>
          <w:b/>
          <w:bCs/>
        </w:rPr>
        <w:fldChar w:fldCharType="end"/>
      </w:r>
      <w:r w:rsidR="001E1E82" w:rsidRPr="007220FA">
        <w:rPr>
          <w:b/>
          <w:bCs/>
        </w:rPr>
        <w:t xml:space="preserve"> [Project Description – Overview</w:t>
      </w:r>
      <w:proofErr w:type="gramStart"/>
      <w:r w:rsidR="001E1E82" w:rsidRPr="007220FA">
        <w:rPr>
          <w:b/>
          <w:bCs/>
        </w:rPr>
        <w:t>]</w:t>
      </w:r>
      <w:r w:rsidRPr="007220FA">
        <w:t>;</w:t>
      </w:r>
      <w:proofErr w:type="gramEnd"/>
    </w:p>
    <w:p w14:paraId="2C9D4343" w14:textId="77777777" w:rsidR="00227755" w:rsidRPr="007220FA" w:rsidRDefault="00227755" w:rsidP="00227755">
      <w:pPr>
        <w:pStyle w:val="Heading4"/>
      </w:pPr>
      <w:r w:rsidRPr="007220FA">
        <w:t xml:space="preserve">further enhance privacy protections for individuals; and/or </w:t>
      </w:r>
    </w:p>
    <w:p w14:paraId="282A199D" w14:textId="77777777" w:rsidR="00227755" w:rsidRPr="007220FA" w:rsidRDefault="00227755" w:rsidP="00227755">
      <w:pPr>
        <w:pStyle w:val="Heading4"/>
      </w:pPr>
      <w:r w:rsidRPr="007220FA">
        <w:t>further strengthen compliance with the Privacy Act (including the APPs).</w:t>
      </w:r>
    </w:p>
    <w:p w14:paraId="0C7F63D6" w14:textId="4682C1BA" w:rsidR="00B65F47" w:rsidRPr="007220FA" w:rsidRDefault="00227755" w:rsidP="00227755">
      <w:pPr>
        <w:pStyle w:val="Headingpara2"/>
      </w:pPr>
      <w:r w:rsidRPr="007220FA">
        <w:t xml:space="preserve">The analysis below does not address those elements of the APPs which reflect Health’s broader compliance obligations, but only considers those elements that specifically relate to the changes specified in paragraph </w:t>
      </w:r>
      <w:r w:rsidR="00416F52">
        <w:fldChar w:fldCharType="begin"/>
      </w:r>
      <w:r w:rsidR="00416F52">
        <w:instrText xml:space="preserve"> REF _Ref64305242 \r \h </w:instrText>
      </w:r>
      <w:r w:rsidR="00416F52">
        <w:fldChar w:fldCharType="separate"/>
      </w:r>
      <w:r w:rsidR="00416F52">
        <w:t>7.6</w:t>
      </w:r>
      <w:r w:rsidR="00416F52">
        <w:fldChar w:fldCharType="end"/>
      </w:r>
      <w:r w:rsidRPr="007220FA">
        <w:t xml:space="preserve"> of this </w:t>
      </w:r>
      <w:r w:rsidRPr="007220FA">
        <w:rPr>
          <w:b/>
          <w:bCs/>
        </w:rPr>
        <w:fldChar w:fldCharType="begin"/>
      </w:r>
      <w:r w:rsidRPr="007220FA">
        <w:rPr>
          <w:b/>
          <w:bCs/>
        </w:rPr>
        <w:instrText xml:space="preserve"> REF _Ref55837053 \r \h  \* MERGEFORMAT </w:instrText>
      </w:r>
      <w:r w:rsidRPr="007220FA">
        <w:rPr>
          <w:b/>
          <w:bCs/>
        </w:rPr>
      </w:r>
      <w:r w:rsidRPr="007220FA">
        <w:rPr>
          <w:b/>
          <w:bCs/>
        </w:rPr>
        <w:fldChar w:fldCharType="separate"/>
      </w:r>
      <w:r w:rsidR="001527AF">
        <w:rPr>
          <w:b/>
          <w:bCs/>
        </w:rPr>
        <w:t>Part D</w:t>
      </w:r>
      <w:r w:rsidRPr="007220FA">
        <w:rPr>
          <w:b/>
          <w:bCs/>
        </w:rPr>
        <w:fldChar w:fldCharType="end"/>
      </w:r>
      <w:r w:rsidR="001E1E82" w:rsidRPr="007220FA">
        <w:rPr>
          <w:b/>
          <w:bCs/>
        </w:rPr>
        <w:t xml:space="preserve"> [Project Description – Overview]</w:t>
      </w:r>
      <w:r w:rsidRPr="007220FA">
        <w:t>.</w:t>
      </w:r>
    </w:p>
    <w:p w14:paraId="74F1AC22" w14:textId="01ECE692" w:rsidR="00D01FB8" w:rsidRPr="007220FA" w:rsidRDefault="00D01FB8" w:rsidP="00227755">
      <w:pPr>
        <w:pStyle w:val="Headingpara2"/>
      </w:pPr>
      <w:r w:rsidRPr="007220FA">
        <w:t xml:space="preserve">Details of the text of the APPs is set out in the Original PIA report, and we have not replicated this information in this </w:t>
      </w:r>
      <w:r w:rsidR="00410955">
        <w:t xml:space="preserve">Phase 2a </w:t>
      </w:r>
      <w:r w:rsidR="008C1512">
        <w:t xml:space="preserve">Update </w:t>
      </w:r>
      <w:r w:rsidR="00410955">
        <w:t>PIA</w:t>
      </w:r>
      <w:r w:rsidRPr="007220FA">
        <w:t xml:space="preserve"> report. However, the APPs can be found </w:t>
      </w:r>
      <w:r w:rsidR="00772E4E">
        <w:t xml:space="preserve">in Schedule 1 to the </w:t>
      </w:r>
      <w:hyperlink r:id="rId12" w:history="1">
        <w:r w:rsidR="00772E4E">
          <w:rPr>
            <w:rStyle w:val="Hyperlink"/>
          </w:rPr>
          <w:t>Privacy Act</w:t>
        </w:r>
      </w:hyperlink>
      <w:r w:rsidRPr="007220FA">
        <w:t>.</w:t>
      </w:r>
    </w:p>
    <w:p w14:paraId="2D227D3D" w14:textId="77777777" w:rsidR="00CB40E0" w:rsidRPr="007220FA" w:rsidRDefault="00CB40E0" w:rsidP="00CB40E0">
      <w:r w:rsidRPr="007220FA">
        <w:br w:type="page"/>
      </w:r>
    </w:p>
    <w:p w14:paraId="3672E3E6" w14:textId="459625D7" w:rsidR="00A76C92" w:rsidRPr="007220FA" w:rsidRDefault="00A76C92" w:rsidP="001A2A43">
      <w:pPr>
        <w:pStyle w:val="legalPart"/>
      </w:pPr>
      <w:bookmarkStart w:id="57" w:name="_Ref55839547"/>
      <w:bookmarkStart w:id="58" w:name="_Toc113279931"/>
      <w:r w:rsidRPr="007220FA">
        <w:lastRenderedPageBreak/>
        <w:t xml:space="preserve">PROJECT DESCRIPTION AND </w:t>
      </w:r>
      <w:r w:rsidR="00EE6542" w:rsidRPr="007220FA">
        <w:t xml:space="preserve">PRIVACY </w:t>
      </w:r>
      <w:r w:rsidRPr="007220FA">
        <w:t>ANALYSIS</w:t>
      </w:r>
      <w:r w:rsidR="00B65F47" w:rsidRPr="007220FA">
        <w:t xml:space="preserve"> FOR EACH CHANGE</w:t>
      </w:r>
      <w:bookmarkEnd w:id="57"/>
      <w:bookmarkEnd w:id="58"/>
    </w:p>
    <w:p w14:paraId="56C8624E" w14:textId="791866F8" w:rsidR="00CB40E0" w:rsidRPr="007220FA" w:rsidRDefault="00BE2EDC" w:rsidP="004F4CBF">
      <w:pPr>
        <w:pStyle w:val="Sectionheading"/>
        <w:pageBreakBefore w:val="0"/>
      </w:pPr>
      <w:bookmarkStart w:id="59" w:name="_Ref95745691"/>
      <w:bookmarkStart w:id="60" w:name="_Toc113279932"/>
      <w:bookmarkStart w:id="61" w:name="_Hlk78985408"/>
      <w:r w:rsidRPr="007220FA">
        <w:t>Expansion of eligibility to receive and to administer a COVID-19 vaccine</w:t>
      </w:r>
      <w:bookmarkEnd w:id="59"/>
      <w:bookmarkEnd w:id="60"/>
      <w:r w:rsidRPr="007220FA">
        <w:t xml:space="preserve"> </w:t>
      </w:r>
    </w:p>
    <w:p w14:paraId="38333227" w14:textId="7D577E5B" w:rsidR="00961784" w:rsidRPr="00772E4E" w:rsidRDefault="00961784" w:rsidP="00961784">
      <w:pPr>
        <w:pStyle w:val="BodyIndent1"/>
        <w:ind w:left="0"/>
        <w:rPr>
          <w:b/>
          <w:bCs/>
          <w:i/>
          <w:iCs/>
          <w:sz w:val="24"/>
          <w:szCs w:val="24"/>
        </w:rPr>
      </w:pPr>
      <w:r w:rsidRPr="00772E4E">
        <w:rPr>
          <w:b/>
          <w:bCs/>
          <w:i/>
          <w:iCs/>
          <w:sz w:val="24"/>
          <w:szCs w:val="24"/>
        </w:rPr>
        <w:t>Date of Analysis: 5 August 2021</w:t>
      </w:r>
    </w:p>
    <w:p w14:paraId="7922B626" w14:textId="43A32344" w:rsidR="00483409" w:rsidRPr="007220FA" w:rsidRDefault="00483409" w:rsidP="00416F52">
      <w:pPr>
        <w:pStyle w:val="Heading1"/>
        <w:numPr>
          <w:ilvl w:val="0"/>
          <w:numId w:val="42"/>
        </w:numPr>
      </w:pPr>
      <w:bookmarkStart w:id="62" w:name="_Toc113279933"/>
      <w:r w:rsidRPr="007220FA">
        <w:t>Project Description</w:t>
      </w:r>
      <w:bookmarkEnd w:id="62"/>
      <w:r w:rsidRPr="007220FA">
        <w:t xml:space="preserve"> </w:t>
      </w:r>
    </w:p>
    <w:p w14:paraId="09DB7A32" w14:textId="082C62E0" w:rsidR="00BE2EDC" w:rsidRPr="007220FA" w:rsidRDefault="00BE2EDC" w:rsidP="0023099F">
      <w:pPr>
        <w:pStyle w:val="Headingpara2"/>
      </w:pPr>
      <w:r w:rsidRPr="007220FA">
        <w:t xml:space="preserve">As part </w:t>
      </w:r>
      <w:r w:rsidR="006C4C65" w:rsidRPr="007220FA">
        <w:t>o</w:t>
      </w:r>
      <w:r w:rsidRPr="007220FA">
        <w:t xml:space="preserve">f Phase 2a of the Vaccine Strategy, we understand that additional population groups will be eligible to make an appointment to receive </w:t>
      </w:r>
      <w:r w:rsidR="001F7AE2">
        <w:t>a</w:t>
      </w:r>
      <w:r w:rsidR="001F7AE2" w:rsidRPr="007220FA">
        <w:t xml:space="preserve"> </w:t>
      </w:r>
      <w:r w:rsidRPr="007220FA">
        <w:t>COVID-19 vaccine</w:t>
      </w:r>
      <w:r w:rsidRPr="007220FA">
        <w:rPr>
          <w:rStyle w:val="FootnoteReference"/>
        </w:rPr>
        <w:footnoteReference w:id="6"/>
      </w:r>
      <w:r w:rsidRPr="007220FA">
        <w:t xml:space="preserve">. </w:t>
      </w:r>
      <w:r w:rsidR="003C7B53" w:rsidRPr="007220FA">
        <w:t>These include the following:</w:t>
      </w:r>
    </w:p>
    <w:p w14:paraId="0CA05186" w14:textId="14F7BBAF" w:rsidR="003C7B53" w:rsidRPr="007220FA" w:rsidRDefault="00B32313" w:rsidP="003C7B53">
      <w:pPr>
        <w:pStyle w:val="Heading3"/>
      </w:pPr>
      <w:r w:rsidRPr="007220FA">
        <w:t>people</w:t>
      </w:r>
      <w:r w:rsidR="003C7B53" w:rsidRPr="007220FA">
        <w:t xml:space="preserve"> aged between 50 and </w:t>
      </w:r>
      <w:proofErr w:type="gramStart"/>
      <w:r w:rsidR="003C7B53" w:rsidRPr="007220FA">
        <w:t>69;</w:t>
      </w:r>
      <w:proofErr w:type="gramEnd"/>
    </w:p>
    <w:p w14:paraId="2C5C6620" w14:textId="56FE3E64" w:rsidR="003C7B53" w:rsidRPr="007220FA" w:rsidRDefault="00B32313" w:rsidP="003C7B53">
      <w:pPr>
        <w:pStyle w:val="Heading3"/>
      </w:pPr>
      <w:r w:rsidRPr="007220FA">
        <w:t>Aboriginal and</w:t>
      </w:r>
      <w:r w:rsidR="003C7B53" w:rsidRPr="007220FA">
        <w:t xml:space="preserve"> Torres Strait Islander </w:t>
      </w:r>
      <w:r w:rsidRPr="007220FA">
        <w:t>people aged between</w:t>
      </w:r>
      <w:r w:rsidR="003C7B53" w:rsidRPr="007220FA">
        <w:t xml:space="preserve"> 18 and 54; and </w:t>
      </w:r>
    </w:p>
    <w:p w14:paraId="3658BB2B" w14:textId="79A15F23" w:rsidR="003C7B53" w:rsidRPr="007220FA" w:rsidRDefault="00B32313" w:rsidP="003C7B53">
      <w:pPr>
        <w:pStyle w:val="Heading3"/>
      </w:pPr>
      <w:r w:rsidRPr="007220FA">
        <w:t xml:space="preserve">critical and </w:t>
      </w:r>
      <w:proofErr w:type="gramStart"/>
      <w:r w:rsidRPr="007220FA">
        <w:t>high risk</w:t>
      </w:r>
      <w:proofErr w:type="gramEnd"/>
      <w:r w:rsidRPr="007220FA">
        <w:t xml:space="preserve"> workers not otherwise included in </w:t>
      </w:r>
      <w:r w:rsidR="00D13393" w:rsidRPr="007220FA">
        <w:t>P</w:t>
      </w:r>
      <w:r w:rsidRPr="007220FA">
        <w:t>hase 1b</w:t>
      </w:r>
      <w:r w:rsidR="00D13393" w:rsidRPr="007220FA">
        <w:t xml:space="preserve"> of the Vaccine Strategy</w:t>
      </w:r>
      <w:r w:rsidRPr="007220FA">
        <w:t xml:space="preserve">. </w:t>
      </w:r>
    </w:p>
    <w:p w14:paraId="4DC80CC6" w14:textId="77777777" w:rsidR="00D13393" w:rsidRPr="007220FA" w:rsidRDefault="00D13393" w:rsidP="00D13393">
      <w:pPr>
        <w:pStyle w:val="Headingpara2"/>
      </w:pPr>
      <w:r w:rsidRPr="007220FA">
        <w:t xml:space="preserve">Health expects approximately 15.8 million doses of COVID-19 vaccines will be administered during Phase 2a. </w:t>
      </w:r>
    </w:p>
    <w:p w14:paraId="39E7E579" w14:textId="18285899" w:rsidR="00CF06D8" w:rsidRPr="007220FA" w:rsidRDefault="00D13393" w:rsidP="00CF06D8">
      <w:pPr>
        <w:pStyle w:val="Headingpara2"/>
      </w:pPr>
      <w:r w:rsidRPr="007220FA">
        <w:t xml:space="preserve">Additionally, as part of Phase 2a, </w:t>
      </w:r>
      <w:r w:rsidR="005B43E8" w:rsidRPr="007220FA">
        <w:t>Health has</w:t>
      </w:r>
      <w:r w:rsidR="00B06024" w:rsidRPr="007220FA">
        <w:t xml:space="preserve"> </w:t>
      </w:r>
      <w:r w:rsidR="005B43E8" w:rsidRPr="007220FA">
        <w:t xml:space="preserve">introduced the ability for </w:t>
      </w:r>
      <w:r w:rsidR="00AA4C3A" w:rsidRPr="007220FA">
        <w:t>CPs</w:t>
      </w:r>
      <w:r w:rsidR="005B43E8" w:rsidRPr="007220FA">
        <w:t xml:space="preserve"> to administer COVID-19 vaccines (</w:t>
      </w:r>
      <w:proofErr w:type="gramStart"/>
      <w:r w:rsidR="005B43E8" w:rsidRPr="007220FA">
        <w:t>i.e.</w:t>
      </w:r>
      <w:proofErr w:type="gramEnd"/>
      <w:r w:rsidR="005B43E8" w:rsidRPr="007220FA">
        <w:t xml:space="preserve"> </w:t>
      </w:r>
      <w:r w:rsidR="00AA4C3A" w:rsidRPr="007220FA">
        <w:t>CPs</w:t>
      </w:r>
      <w:r w:rsidR="005B43E8" w:rsidRPr="007220FA">
        <w:t xml:space="preserve"> may</w:t>
      </w:r>
      <w:r w:rsidR="00B06024" w:rsidRPr="007220FA">
        <w:t xml:space="preserve"> be Vaccine Providers</w:t>
      </w:r>
      <w:r w:rsidR="005B43E8" w:rsidRPr="007220FA">
        <w:t>)</w:t>
      </w:r>
      <w:r w:rsidR="00B06024" w:rsidRPr="007220FA">
        <w:t>.</w:t>
      </w:r>
      <w:r w:rsidR="00B06024" w:rsidRPr="007220FA">
        <w:rPr>
          <w:rStyle w:val="FootnoteReference"/>
        </w:rPr>
        <w:footnoteReference w:id="7"/>
      </w:r>
      <w:r w:rsidR="00B06024" w:rsidRPr="007220FA">
        <w:t xml:space="preserve"> </w:t>
      </w:r>
    </w:p>
    <w:p w14:paraId="5EDB9F20" w14:textId="43974975" w:rsidR="00CF06D8" w:rsidRPr="007220FA" w:rsidRDefault="00CF06D8" w:rsidP="00CF06D8">
      <w:pPr>
        <w:pStyle w:val="BodyIndent1"/>
        <w:rPr>
          <w:b/>
          <w:bCs/>
          <w:i/>
          <w:iCs/>
        </w:rPr>
      </w:pPr>
      <w:r w:rsidRPr="007220FA">
        <w:rPr>
          <w:b/>
          <w:bCs/>
          <w:i/>
          <w:iCs/>
        </w:rPr>
        <w:t xml:space="preserve">Involvement of CPs in Phase 2a of the Vaccine Strategy </w:t>
      </w:r>
    </w:p>
    <w:p w14:paraId="2BC1E87D" w14:textId="77579BAF" w:rsidR="0023099F" w:rsidRPr="007220FA" w:rsidRDefault="00CF06D8" w:rsidP="00AA4C3A">
      <w:pPr>
        <w:pStyle w:val="Headingpara2"/>
      </w:pPr>
      <w:r w:rsidRPr="007220FA">
        <w:t>We note that</w:t>
      </w:r>
      <w:r w:rsidR="0023099F" w:rsidRPr="007220FA">
        <w:t xml:space="preserve"> CPs have been onboarded to the Vaccine Strategy</w:t>
      </w:r>
      <w:r w:rsidR="00D52318" w:rsidRPr="007220FA">
        <w:t xml:space="preserve"> as Vaccine Providers</w:t>
      </w:r>
      <w:r w:rsidR="0023099F" w:rsidRPr="007220FA">
        <w:t xml:space="preserve"> in the </w:t>
      </w:r>
      <w:r w:rsidR="00340BA2" w:rsidRPr="007220FA">
        <w:t xml:space="preserve">same way as </w:t>
      </w:r>
      <w:r w:rsidR="00A11DCE">
        <w:t>General Practitioners (</w:t>
      </w:r>
      <w:r w:rsidR="00A11DCE">
        <w:rPr>
          <w:b/>
          <w:bCs/>
        </w:rPr>
        <w:t>GPs</w:t>
      </w:r>
      <w:r w:rsidR="00A11DCE">
        <w:t>)</w:t>
      </w:r>
      <w:r w:rsidR="00340BA2" w:rsidRPr="007220FA">
        <w:t xml:space="preserve"> </w:t>
      </w:r>
      <w:r w:rsidR="00D95CC7" w:rsidRPr="007220FA">
        <w:t>were</w:t>
      </w:r>
      <w:r w:rsidR="00340BA2" w:rsidRPr="007220FA">
        <w:t xml:space="preserve"> onboarded as Vaccine Providers </w:t>
      </w:r>
      <w:r w:rsidR="00D95CC7" w:rsidRPr="007220FA">
        <w:t>in</w:t>
      </w:r>
      <w:r w:rsidR="00340BA2" w:rsidRPr="007220FA">
        <w:t xml:space="preserve"> Phase</w:t>
      </w:r>
      <w:r w:rsidR="00AE75E6">
        <w:t> </w:t>
      </w:r>
      <w:r w:rsidR="00340BA2" w:rsidRPr="007220FA">
        <w:t>1b of the Vaccine Strategy</w:t>
      </w:r>
      <w:r w:rsidR="000C51AA">
        <w:rPr>
          <w:rStyle w:val="FootnoteReference"/>
        </w:rPr>
        <w:footnoteReference w:id="8"/>
      </w:r>
      <w:r w:rsidR="000C51AA">
        <w:t>.</w:t>
      </w:r>
      <w:r w:rsidR="001527AF">
        <w:t xml:space="preserve"> </w:t>
      </w:r>
      <w:r w:rsidR="00B72CA9" w:rsidRPr="007220FA">
        <w:t xml:space="preserve">Additionally, </w:t>
      </w:r>
      <w:r w:rsidR="006C4C65" w:rsidRPr="007220FA">
        <w:t>Patients will interact with CPs in the same wa</w:t>
      </w:r>
      <w:r w:rsidR="0035255A">
        <w:t>y</w:t>
      </w:r>
      <w:r w:rsidR="006C4C65" w:rsidRPr="007220FA">
        <w:t xml:space="preserve"> as they currently do with </w:t>
      </w:r>
      <w:r w:rsidR="005E0280">
        <w:t>GPs (</w:t>
      </w:r>
      <w:proofErr w:type="gramStart"/>
      <w:r w:rsidR="006C4C65" w:rsidRPr="007220FA">
        <w:t>i.e.</w:t>
      </w:r>
      <w:proofErr w:type="gramEnd"/>
      <w:r w:rsidR="006C4C65" w:rsidRPr="007220FA">
        <w:t xml:space="preserve"> no new information about Patients will be collected by CPs). </w:t>
      </w:r>
    </w:p>
    <w:p w14:paraId="30C991C9" w14:textId="16CE5889" w:rsidR="00B06024" w:rsidRPr="007220FA" w:rsidRDefault="00B06024" w:rsidP="00B72CA9">
      <w:pPr>
        <w:pStyle w:val="Headingpara2"/>
        <w:rPr>
          <w:b/>
          <w:bCs/>
          <w:i/>
          <w:iCs/>
        </w:rPr>
      </w:pPr>
      <w:r w:rsidRPr="007220FA">
        <w:t>However,</w:t>
      </w:r>
      <w:r w:rsidR="00D95CC7" w:rsidRPr="007220FA">
        <w:t xml:space="preserve"> there is a key difference between CPs and other Vaccine Providers – relevantly, CPs</w:t>
      </w:r>
      <w:r w:rsidRPr="007220FA">
        <w:rPr>
          <w:bCs/>
        </w:rPr>
        <w:t xml:space="preserve"> report to</w:t>
      </w:r>
      <w:r w:rsidR="00D95CC7" w:rsidRPr="007220FA">
        <w:rPr>
          <w:bCs/>
        </w:rPr>
        <w:t>,</w:t>
      </w:r>
      <w:r w:rsidRPr="007220FA">
        <w:rPr>
          <w:bCs/>
        </w:rPr>
        <w:t xml:space="preserve"> and </w:t>
      </w:r>
      <w:r w:rsidR="00B72CA9" w:rsidRPr="007220FA">
        <w:rPr>
          <w:bCs/>
        </w:rPr>
        <w:t>are</w:t>
      </w:r>
      <w:r w:rsidRPr="007220FA">
        <w:rPr>
          <w:bCs/>
        </w:rPr>
        <w:t xml:space="preserve"> paid for administering </w:t>
      </w:r>
      <w:r w:rsidR="00F95BA0">
        <w:rPr>
          <w:bCs/>
        </w:rPr>
        <w:t xml:space="preserve">one of </w:t>
      </w:r>
      <w:r w:rsidRPr="007220FA">
        <w:rPr>
          <w:bCs/>
        </w:rPr>
        <w:t>the COVID-19 vaccine</w:t>
      </w:r>
      <w:r w:rsidR="00F95BA0">
        <w:rPr>
          <w:bCs/>
        </w:rPr>
        <w:t>s</w:t>
      </w:r>
      <w:r w:rsidR="00295328" w:rsidRPr="007220FA">
        <w:rPr>
          <w:rStyle w:val="FootnoteReference"/>
          <w:bCs/>
        </w:rPr>
        <w:footnoteReference w:id="9"/>
      </w:r>
      <w:r w:rsidR="00FC3AC2" w:rsidRPr="007220FA">
        <w:rPr>
          <w:bCs/>
        </w:rPr>
        <w:t xml:space="preserve"> by, </w:t>
      </w:r>
      <w:r w:rsidR="00D95CC7" w:rsidRPr="007220FA">
        <w:rPr>
          <w:bCs/>
        </w:rPr>
        <w:t>the</w:t>
      </w:r>
      <w:r w:rsidRPr="007220FA">
        <w:rPr>
          <w:bCs/>
        </w:rPr>
        <w:t xml:space="preserve"> Pharmacy Programs Administrator (</w:t>
      </w:r>
      <w:r w:rsidRPr="007220FA">
        <w:rPr>
          <w:b/>
          <w:bCs/>
        </w:rPr>
        <w:t>PPA</w:t>
      </w:r>
      <w:r w:rsidRPr="007220FA">
        <w:rPr>
          <w:bCs/>
        </w:rPr>
        <w:t>)</w:t>
      </w:r>
      <w:r w:rsidR="00435254" w:rsidRPr="007220FA">
        <w:rPr>
          <w:bCs/>
        </w:rPr>
        <w:t xml:space="preserve">. </w:t>
      </w:r>
      <w:r w:rsidR="00B72CA9" w:rsidRPr="007220FA">
        <w:rPr>
          <w:bCs/>
        </w:rPr>
        <w:t xml:space="preserve">The </w:t>
      </w:r>
      <w:r w:rsidR="00435254" w:rsidRPr="007220FA">
        <w:rPr>
          <w:bCs/>
        </w:rPr>
        <w:t>PPA is an organisation that is contracted by Health under the Seventh Community Pharmacy Agreement (</w:t>
      </w:r>
      <w:r w:rsidR="00435254" w:rsidRPr="007220FA">
        <w:rPr>
          <w:b/>
        </w:rPr>
        <w:t>7CPA</w:t>
      </w:r>
      <w:r w:rsidR="00435254" w:rsidRPr="007220FA">
        <w:rPr>
          <w:bCs/>
        </w:rPr>
        <w:t>)</w:t>
      </w:r>
      <w:r w:rsidR="00B72CA9" w:rsidRPr="007220FA">
        <w:rPr>
          <w:rStyle w:val="FootnoteReference"/>
          <w:b/>
          <w:bCs/>
        </w:rPr>
        <w:footnoteReference w:id="10"/>
      </w:r>
      <w:r w:rsidR="00B72CA9" w:rsidRPr="007220FA">
        <w:rPr>
          <w:bCs/>
        </w:rPr>
        <w:t xml:space="preserve">. </w:t>
      </w:r>
    </w:p>
    <w:p w14:paraId="099D3CAD" w14:textId="792BFDE0" w:rsidR="00B72CA9" w:rsidRPr="007220FA" w:rsidRDefault="00E543CA" w:rsidP="00B72CA9">
      <w:pPr>
        <w:pStyle w:val="Headingpara2"/>
        <w:rPr>
          <w:b/>
          <w:bCs/>
          <w:i/>
          <w:iCs/>
        </w:rPr>
      </w:pPr>
      <w:r w:rsidRPr="007220FA">
        <w:rPr>
          <w:bCs/>
        </w:rPr>
        <w:t xml:space="preserve">We understand that the information flows associated with CPs reporting to, and being paid by, the PPA are as follows: </w:t>
      </w:r>
    </w:p>
    <w:p w14:paraId="77820076" w14:textId="77444B45" w:rsidR="00B72CA9" w:rsidRPr="007220FA" w:rsidRDefault="00B72CA9" w:rsidP="00B72CA9">
      <w:pPr>
        <w:pStyle w:val="Heading3"/>
      </w:pPr>
      <w:r w:rsidRPr="007220FA">
        <w:t xml:space="preserve">CPs </w:t>
      </w:r>
      <w:r w:rsidRPr="007220FA">
        <w:rPr>
          <w:b/>
          <w:bCs/>
        </w:rPr>
        <w:t>disclose</w:t>
      </w:r>
      <w:r w:rsidRPr="007220FA">
        <w:t xml:space="preserve"> Patient Information (through a configured portal) to the PPA for the purposes of claiming a payment for the administration of </w:t>
      </w:r>
      <w:r w:rsidR="00F95BA0">
        <w:t xml:space="preserve">one of </w:t>
      </w:r>
      <w:r w:rsidRPr="007220FA">
        <w:t>the COVID-19 vaccine</w:t>
      </w:r>
      <w:r w:rsidR="00F95BA0">
        <w:t>s</w:t>
      </w:r>
      <w:r w:rsidRPr="007220FA">
        <w:t>.</w:t>
      </w:r>
      <w:r w:rsidR="00E543CA" w:rsidRPr="007220FA">
        <w:t xml:space="preserve"> </w:t>
      </w:r>
      <w:r w:rsidR="000C719F" w:rsidRPr="007220FA">
        <w:t>This Patient Information comprises of:</w:t>
      </w:r>
    </w:p>
    <w:p w14:paraId="227A26F8" w14:textId="0F1D8DB1" w:rsidR="000C719F" w:rsidRPr="007220FA" w:rsidRDefault="000C719F" w:rsidP="000C719F">
      <w:pPr>
        <w:pStyle w:val="Heading4"/>
      </w:pPr>
      <w:r w:rsidRPr="007220FA">
        <w:lastRenderedPageBreak/>
        <w:t xml:space="preserve">Patients’ </w:t>
      </w:r>
      <w:proofErr w:type="gramStart"/>
      <w:r w:rsidRPr="007220FA">
        <w:t>names;</w:t>
      </w:r>
      <w:proofErr w:type="gramEnd"/>
    </w:p>
    <w:p w14:paraId="7BD17ED7" w14:textId="655EBDFA" w:rsidR="000C719F" w:rsidRPr="007220FA" w:rsidRDefault="000C719F" w:rsidP="000C719F">
      <w:pPr>
        <w:pStyle w:val="Heading4"/>
      </w:pPr>
      <w:r w:rsidRPr="007220FA">
        <w:t xml:space="preserve">Patients’ dates of </w:t>
      </w:r>
      <w:proofErr w:type="gramStart"/>
      <w:r w:rsidRPr="007220FA">
        <w:t>birth;</w:t>
      </w:r>
      <w:proofErr w:type="gramEnd"/>
    </w:p>
    <w:p w14:paraId="7EAB1382" w14:textId="7F05B794" w:rsidR="000C719F" w:rsidRPr="007220FA" w:rsidRDefault="000C719F" w:rsidP="000C719F">
      <w:pPr>
        <w:pStyle w:val="Heading4"/>
      </w:pPr>
      <w:r w:rsidRPr="007220FA">
        <w:t xml:space="preserve">Patients’ Medicare number (if any); and </w:t>
      </w:r>
    </w:p>
    <w:p w14:paraId="7AB8C33F" w14:textId="6D733AB3" w:rsidR="000C719F" w:rsidRPr="007220FA" w:rsidRDefault="000C719F" w:rsidP="000C719F">
      <w:pPr>
        <w:pStyle w:val="Heading4"/>
      </w:pPr>
      <w:r w:rsidRPr="007220FA">
        <w:t xml:space="preserve">information about whether a Patient’s first or second dose (and if second, whether both) were received at the same CP. </w:t>
      </w:r>
    </w:p>
    <w:p w14:paraId="6FFEF3F9" w14:textId="0DB350A7" w:rsidR="00B72CA9" w:rsidRPr="007220FA" w:rsidRDefault="00B72CA9" w:rsidP="00B72CA9">
      <w:pPr>
        <w:pStyle w:val="Heading3"/>
        <w:rPr>
          <w:b/>
          <w:bCs/>
        </w:rPr>
      </w:pPr>
      <w:r w:rsidRPr="007220FA">
        <w:t xml:space="preserve">CPs may </w:t>
      </w:r>
      <w:r w:rsidRPr="007220FA">
        <w:rPr>
          <w:b/>
          <w:bCs/>
        </w:rPr>
        <w:t xml:space="preserve">disclose </w:t>
      </w:r>
      <w:r w:rsidR="000C719F" w:rsidRPr="007220FA">
        <w:t xml:space="preserve">this </w:t>
      </w:r>
      <w:r w:rsidRPr="007220FA">
        <w:t>Patient Information to Health for quality assurance and compliance purposes.</w:t>
      </w:r>
      <w:r w:rsidR="000C719F" w:rsidRPr="007220FA">
        <w:rPr>
          <w:b/>
          <w:bCs/>
        </w:rPr>
        <w:t xml:space="preserve"> </w:t>
      </w:r>
      <w:r w:rsidR="000C719F" w:rsidRPr="007220FA">
        <w:t xml:space="preserve">However, we do not know how this Patient Information is transferred to Health. </w:t>
      </w:r>
    </w:p>
    <w:p w14:paraId="69297943" w14:textId="24ACAC9D" w:rsidR="00B06024" w:rsidRPr="007220FA" w:rsidRDefault="00B72CA9" w:rsidP="00B72CA9">
      <w:pPr>
        <w:pStyle w:val="Heading3"/>
        <w:rPr>
          <w:b/>
          <w:bCs/>
        </w:rPr>
      </w:pPr>
      <w:r w:rsidRPr="007220FA">
        <w:t xml:space="preserve">The PPA </w:t>
      </w:r>
      <w:r w:rsidRPr="007220FA">
        <w:rPr>
          <w:b/>
          <w:bCs/>
        </w:rPr>
        <w:t>uses</w:t>
      </w:r>
      <w:r w:rsidRPr="007220FA">
        <w:t xml:space="preserve"> </w:t>
      </w:r>
      <w:r w:rsidR="006B1ABE" w:rsidRPr="007220FA">
        <w:t xml:space="preserve">the </w:t>
      </w:r>
      <w:r w:rsidRPr="007220FA">
        <w:t xml:space="preserve">Patient Information for the following purposes: </w:t>
      </w:r>
    </w:p>
    <w:p w14:paraId="771DFDBE" w14:textId="0BBB80C4" w:rsidR="00B06024" w:rsidRPr="007220FA" w:rsidRDefault="00FC2BA6" w:rsidP="00B72CA9">
      <w:pPr>
        <w:pStyle w:val="Heading4"/>
      </w:pPr>
      <w:r w:rsidRPr="007220FA">
        <w:t>Patients’ names and dates of birth</w:t>
      </w:r>
      <w:r w:rsidR="00B06024" w:rsidRPr="007220FA">
        <w:t xml:space="preserve"> </w:t>
      </w:r>
      <w:r w:rsidR="00B72CA9" w:rsidRPr="007220FA">
        <w:t>are</w:t>
      </w:r>
      <w:r w:rsidR="00B06024" w:rsidRPr="007220FA">
        <w:t xml:space="preserve"> used for compliance </w:t>
      </w:r>
      <w:proofErr w:type="gramStart"/>
      <w:r w:rsidR="00B06024" w:rsidRPr="007220FA">
        <w:t>purposes;</w:t>
      </w:r>
      <w:proofErr w:type="gramEnd"/>
    </w:p>
    <w:p w14:paraId="549C4C45" w14:textId="3AD4A0FA" w:rsidR="00B06024" w:rsidRPr="007220FA" w:rsidRDefault="00FC2BA6" w:rsidP="00B72CA9">
      <w:pPr>
        <w:pStyle w:val="Heading4"/>
      </w:pPr>
      <w:r w:rsidRPr="007220FA">
        <w:t>Patients’ Medicare card numbers</w:t>
      </w:r>
      <w:r w:rsidR="00B06024" w:rsidRPr="007220FA">
        <w:t xml:space="preserve"> </w:t>
      </w:r>
      <w:r w:rsidR="00B72CA9" w:rsidRPr="007220FA">
        <w:t>are used</w:t>
      </w:r>
      <w:r w:rsidR="00B06024" w:rsidRPr="007220FA">
        <w:t xml:space="preserve"> as a single source of </w:t>
      </w:r>
      <w:r w:rsidR="00F95BA0">
        <w:t xml:space="preserve">verifying the </w:t>
      </w:r>
      <w:r w:rsidR="00B06024" w:rsidRPr="007220FA">
        <w:t>Patient’s identity; and</w:t>
      </w:r>
    </w:p>
    <w:p w14:paraId="1D756F52" w14:textId="6E6C5642" w:rsidR="00B72CA9" w:rsidRPr="007220FA" w:rsidRDefault="00B06024" w:rsidP="00B72CA9">
      <w:pPr>
        <w:pStyle w:val="Heading4"/>
      </w:pPr>
      <w:r w:rsidRPr="007220FA">
        <w:t xml:space="preserve">the number </w:t>
      </w:r>
      <w:r w:rsidR="006B1ABE" w:rsidRPr="007220FA">
        <w:t>of dosages</w:t>
      </w:r>
      <w:r w:rsidRPr="007220FA">
        <w:t xml:space="preserve"> that the Patient received from the CP </w:t>
      </w:r>
      <w:r w:rsidR="00E543CA" w:rsidRPr="007220FA">
        <w:t>is</w:t>
      </w:r>
      <w:r w:rsidRPr="007220FA">
        <w:t xml:space="preserve"> </w:t>
      </w:r>
      <w:r w:rsidR="00B72CA9" w:rsidRPr="007220FA">
        <w:t>used</w:t>
      </w:r>
      <w:r w:rsidRPr="007220FA">
        <w:t xml:space="preserve"> </w:t>
      </w:r>
      <w:r w:rsidR="00E543CA" w:rsidRPr="007220FA">
        <w:t xml:space="preserve">to </w:t>
      </w:r>
      <w:r w:rsidRPr="007220FA">
        <w:t xml:space="preserve">determine the payment amount for the CP. </w:t>
      </w:r>
    </w:p>
    <w:p w14:paraId="6DD70C30" w14:textId="24166258" w:rsidR="00B06024" w:rsidRPr="007220FA" w:rsidRDefault="00B06024" w:rsidP="00B72CA9">
      <w:pPr>
        <w:pStyle w:val="Heading3"/>
      </w:pPr>
      <w:r w:rsidRPr="007220FA">
        <w:t xml:space="preserve">The PPA </w:t>
      </w:r>
      <w:r w:rsidR="00B72CA9" w:rsidRPr="007220FA">
        <w:t>may</w:t>
      </w:r>
      <w:r w:rsidRPr="007220FA">
        <w:t xml:space="preserve"> </w:t>
      </w:r>
      <w:r w:rsidR="00E543CA" w:rsidRPr="007220FA">
        <w:t xml:space="preserve">also </w:t>
      </w:r>
      <w:r w:rsidRPr="007220FA">
        <w:rPr>
          <w:b/>
          <w:bCs/>
        </w:rPr>
        <w:t xml:space="preserve">use </w:t>
      </w:r>
      <w:r w:rsidRPr="007220FA">
        <w:t>Patient Information for compliance and quality assurance purposes, if required by Health</w:t>
      </w:r>
      <w:r w:rsidR="00B72CA9" w:rsidRPr="007220FA">
        <w:t>.</w:t>
      </w:r>
    </w:p>
    <w:p w14:paraId="71597B82" w14:textId="2E06F046" w:rsidR="00B72CA9" w:rsidRPr="007220FA" w:rsidRDefault="00B72CA9" w:rsidP="00B72CA9">
      <w:pPr>
        <w:pStyle w:val="Heading3"/>
      </w:pPr>
      <w:r w:rsidRPr="007220FA">
        <w:t xml:space="preserve">The PPA may </w:t>
      </w:r>
      <w:r w:rsidRPr="007220FA">
        <w:rPr>
          <w:b/>
          <w:bCs/>
        </w:rPr>
        <w:t xml:space="preserve">disclose </w:t>
      </w:r>
      <w:r w:rsidRPr="007220FA">
        <w:t xml:space="preserve">Patient Information to Health, if required by Health for compliance and quality assurance purposes. </w:t>
      </w:r>
      <w:r w:rsidR="006B1ABE" w:rsidRPr="007220FA">
        <w:t>However, we do not know how this Patient Information is transferred to Health.</w:t>
      </w:r>
    </w:p>
    <w:p w14:paraId="4FB3CC76" w14:textId="17E077D5" w:rsidR="00E543CA" w:rsidRPr="007220FA" w:rsidRDefault="00E543CA" w:rsidP="00E543CA">
      <w:pPr>
        <w:pStyle w:val="Headingpara2"/>
      </w:pPr>
      <w:r w:rsidRPr="007220FA">
        <w:t>Relevantly, the consent form provided to Patients before they receive a COVID-19 vaccine has been updated to state:</w:t>
      </w:r>
    </w:p>
    <w:p w14:paraId="62306087" w14:textId="326499A6" w:rsidR="00E543CA" w:rsidRPr="007220FA" w:rsidRDefault="00E543CA" w:rsidP="00E543CA">
      <w:pPr>
        <w:pStyle w:val="Headingpara2"/>
        <w:numPr>
          <w:ilvl w:val="0"/>
          <w:numId w:val="0"/>
        </w:numPr>
        <w:ind w:left="1702"/>
        <w:rPr>
          <w:i/>
          <w:iCs/>
        </w:rPr>
      </w:pPr>
      <w:r w:rsidRPr="007220FA">
        <w:rPr>
          <w:i/>
          <w:iCs/>
        </w:rPr>
        <w:t xml:space="preserve">If you are receiving your vaccination in a Pharmacy, the Pharmacy is required to disclose some of your personal information to the Pharmacy Programs Administrator. This is so the Pharmacy can claim payment from the Australian Government. More information about why this is </w:t>
      </w:r>
      <w:proofErr w:type="gramStart"/>
      <w:r w:rsidRPr="007220FA">
        <w:rPr>
          <w:i/>
          <w:iCs/>
        </w:rPr>
        <w:t>required</w:t>
      </w:r>
      <w:proofErr w:type="gramEnd"/>
      <w:r w:rsidRPr="007220FA">
        <w:rPr>
          <w:i/>
          <w:iCs/>
        </w:rPr>
        <w:t xml:space="preserve"> and the information disclosed is provided at the link above.</w:t>
      </w:r>
    </w:p>
    <w:p w14:paraId="0178BDFD" w14:textId="4DD3F79E" w:rsidR="006B1ABE" w:rsidRPr="007220FA" w:rsidRDefault="00E543CA" w:rsidP="006B1ABE">
      <w:pPr>
        <w:pStyle w:val="Headingpara2"/>
        <w:rPr>
          <w:rFonts w:asciiTheme="minorHAnsi" w:hAnsiTheme="minorHAnsi" w:cstheme="minorHAnsi"/>
        </w:rPr>
      </w:pPr>
      <w:r w:rsidRPr="007220FA">
        <w:t xml:space="preserve">The </w:t>
      </w:r>
      <w:r w:rsidR="005E0280">
        <w:t>Privacy Notice</w:t>
      </w:r>
      <w:r w:rsidRPr="007220FA">
        <w:t xml:space="preserve"> </w:t>
      </w:r>
      <w:r w:rsidRPr="007220FA">
        <w:rPr>
          <w:rFonts w:asciiTheme="minorHAnsi" w:hAnsiTheme="minorHAnsi" w:cstheme="minorHAnsi"/>
        </w:rPr>
        <w:t>above the consent states:</w:t>
      </w:r>
    </w:p>
    <w:p w14:paraId="2C0C7310" w14:textId="7FB5EE02" w:rsidR="00E543CA" w:rsidRPr="007220FA" w:rsidRDefault="00E543CA" w:rsidP="006B1ABE">
      <w:pPr>
        <w:pStyle w:val="Headingpara2"/>
        <w:numPr>
          <w:ilvl w:val="0"/>
          <w:numId w:val="0"/>
        </w:numPr>
        <w:ind w:left="1702"/>
        <w:rPr>
          <w:rFonts w:asciiTheme="minorHAnsi" w:hAnsiTheme="minorHAnsi" w:cstheme="minorHAnsi"/>
          <w:i/>
          <w:iCs/>
        </w:rPr>
      </w:pPr>
      <w:r w:rsidRPr="007220FA">
        <w:rPr>
          <w:rFonts w:asciiTheme="minorHAnsi" w:hAnsiTheme="minorHAnsi" w:cstheme="minorHAnsi"/>
          <w:i/>
          <w:iCs/>
        </w:rPr>
        <w:t>If you receive a COVID-19 vaccination through a Community Pharmacy, you may also be asked to provide consent for your personal information to be sent to the Pharmacy Program Administrator (PPA). This is to allow Pharmacies to claim payments for the vaccines they administer.</w:t>
      </w:r>
    </w:p>
    <w:p w14:paraId="74A705F9" w14:textId="77777777" w:rsidR="00E543CA" w:rsidRPr="007220FA" w:rsidRDefault="00E543CA" w:rsidP="006B1ABE">
      <w:pPr>
        <w:pStyle w:val="NormalWeb"/>
        <w:shd w:val="clear" w:color="auto" w:fill="FFFFFF"/>
        <w:ind w:left="1702"/>
        <w:rPr>
          <w:rFonts w:asciiTheme="minorHAnsi" w:hAnsiTheme="minorHAnsi" w:cstheme="minorHAnsi"/>
          <w:i/>
          <w:iCs/>
          <w:sz w:val="20"/>
          <w:szCs w:val="20"/>
        </w:rPr>
      </w:pPr>
      <w:r w:rsidRPr="007220FA">
        <w:rPr>
          <w:rFonts w:asciiTheme="minorHAnsi" w:hAnsiTheme="minorHAnsi" w:cstheme="minorHAnsi"/>
          <w:i/>
          <w:iCs/>
          <w:sz w:val="20"/>
          <w:szCs w:val="20"/>
        </w:rPr>
        <w:t>The information provided to the PPA may include:</w:t>
      </w:r>
    </w:p>
    <w:p w14:paraId="469D2781" w14:textId="77777777" w:rsidR="00E543CA" w:rsidRPr="007220FA" w:rsidRDefault="00E543CA" w:rsidP="006B1ABE">
      <w:pPr>
        <w:numPr>
          <w:ilvl w:val="0"/>
          <w:numId w:val="27"/>
        </w:numPr>
        <w:shd w:val="clear" w:color="auto" w:fill="FFFFFF"/>
        <w:tabs>
          <w:tab w:val="clear" w:pos="720"/>
          <w:tab w:val="num" w:pos="2422"/>
        </w:tabs>
        <w:spacing w:before="100" w:beforeAutospacing="1" w:after="100" w:afterAutospacing="1"/>
        <w:ind w:left="2422"/>
        <w:rPr>
          <w:rFonts w:asciiTheme="minorHAnsi" w:hAnsiTheme="minorHAnsi" w:cstheme="minorHAnsi"/>
          <w:i/>
          <w:iCs/>
        </w:rPr>
      </w:pPr>
      <w:r w:rsidRPr="007220FA">
        <w:rPr>
          <w:rFonts w:asciiTheme="minorHAnsi" w:hAnsiTheme="minorHAnsi" w:cstheme="minorHAnsi"/>
          <w:i/>
          <w:iCs/>
        </w:rPr>
        <w:t>your name</w:t>
      </w:r>
    </w:p>
    <w:p w14:paraId="1601580F" w14:textId="77777777" w:rsidR="00E543CA" w:rsidRPr="007220FA" w:rsidRDefault="00E543CA" w:rsidP="006B1ABE">
      <w:pPr>
        <w:numPr>
          <w:ilvl w:val="0"/>
          <w:numId w:val="27"/>
        </w:numPr>
        <w:shd w:val="clear" w:color="auto" w:fill="FFFFFF"/>
        <w:tabs>
          <w:tab w:val="clear" w:pos="720"/>
          <w:tab w:val="num" w:pos="2422"/>
        </w:tabs>
        <w:spacing w:before="100" w:beforeAutospacing="1" w:after="100" w:afterAutospacing="1"/>
        <w:ind w:left="2422"/>
        <w:rPr>
          <w:rFonts w:asciiTheme="minorHAnsi" w:hAnsiTheme="minorHAnsi" w:cstheme="minorHAnsi"/>
          <w:i/>
          <w:iCs/>
        </w:rPr>
      </w:pPr>
      <w:r w:rsidRPr="007220FA">
        <w:rPr>
          <w:rFonts w:asciiTheme="minorHAnsi" w:hAnsiTheme="minorHAnsi" w:cstheme="minorHAnsi"/>
          <w:i/>
          <w:iCs/>
        </w:rPr>
        <w:t>your date of birth</w:t>
      </w:r>
    </w:p>
    <w:p w14:paraId="4C9BE2E8" w14:textId="77777777" w:rsidR="00E543CA" w:rsidRPr="007220FA" w:rsidRDefault="00E543CA" w:rsidP="006B1ABE">
      <w:pPr>
        <w:numPr>
          <w:ilvl w:val="0"/>
          <w:numId w:val="27"/>
        </w:numPr>
        <w:shd w:val="clear" w:color="auto" w:fill="FFFFFF"/>
        <w:tabs>
          <w:tab w:val="clear" w:pos="720"/>
          <w:tab w:val="num" w:pos="2422"/>
        </w:tabs>
        <w:spacing w:before="100" w:beforeAutospacing="1" w:after="100" w:afterAutospacing="1"/>
        <w:ind w:left="2422"/>
        <w:rPr>
          <w:rFonts w:asciiTheme="minorHAnsi" w:hAnsiTheme="minorHAnsi" w:cstheme="minorHAnsi"/>
          <w:i/>
          <w:iCs/>
        </w:rPr>
      </w:pPr>
      <w:r w:rsidRPr="007220FA">
        <w:rPr>
          <w:rFonts w:asciiTheme="minorHAnsi" w:hAnsiTheme="minorHAnsi" w:cstheme="minorHAnsi"/>
          <w:i/>
          <w:iCs/>
        </w:rPr>
        <w:t>your Medicare number (if any)</w:t>
      </w:r>
    </w:p>
    <w:p w14:paraId="135CC59C" w14:textId="77777777" w:rsidR="00E543CA" w:rsidRPr="007220FA" w:rsidRDefault="00E543CA" w:rsidP="006B1ABE">
      <w:pPr>
        <w:numPr>
          <w:ilvl w:val="0"/>
          <w:numId w:val="27"/>
        </w:numPr>
        <w:shd w:val="clear" w:color="auto" w:fill="FFFFFF"/>
        <w:tabs>
          <w:tab w:val="clear" w:pos="720"/>
          <w:tab w:val="num" w:pos="2422"/>
        </w:tabs>
        <w:spacing w:before="100" w:beforeAutospacing="1" w:after="100" w:afterAutospacing="1"/>
        <w:ind w:left="2422"/>
        <w:rPr>
          <w:rFonts w:asciiTheme="minorHAnsi" w:hAnsiTheme="minorHAnsi" w:cstheme="minorHAnsi"/>
          <w:i/>
          <w:iCs/>
        </w:rPr>
      </w:pPr>
      <w:r w:rsidRPr="007220FA">
        <w:rPr>
          <w:rFonts w:asciiTheme="minorHAnsi" w:hAnsiTheme="minorHAnsi" w:cstheme="minorHAnsi"/>
          <w:i/>
          <w:iCs/>
        </w:rPr>
        <w:t>whether your first or second dose [and if second, whether both were received at the same pharmacy].</w:t>
      </w:r>
    </w:p>
    <w:p w14:paraId="6915B7A7" w14:textId="77777777" w:rsidR="00E543CA" w:rsidRPr="007220FA" w:rsidRDefault="00E543CA" w:rsidP="006B1ABE">
      <w:pPr>
        <w:pStyle w:val="NormalWeb"/>
        <w:shd w:val="clear" w:color="auto" w:fill="FFFFFF"/>
        <w:ind w:left="1702"/>
        <w:rPr>
          <w:rFonts w:asciiTheme="minorHAnsi" w:hAnsiTheme="minorHAnsi" w:cstheme="minorHAnsi"/>
          <w:i/>
          <w:iCs/>
          <w:sz w:val="20"/>
          <w:szCs w:val="20"/>
        </w:rPr>
      </w:pPr>
      <w:r w:rsidRPr="007220FA">
        <w:rPr>
          <w:rFonts w:asciiTheme="minorHAnsi" w:hAnsiTheme="minorHAnsi" w:cstheme="minorHAnsi"/>
          <w:i/>
          <w:iCs/>
          <w:sz w:val="20"/>
          <w:szCs w:val="20"/>
        </w:rPr>
        <w:t>The PPA will use your information to manage Pharmacy payment claims, for general reporting to us, and for Pharmacy compliance monitoring. We may share your personal information with the PPA for the purposes of compliance or fraud investigations.</w:t>
      </w:r>
    </w:p>
    <w:p w14:paraId="55231067" w14:textId="445424C7" w:rsidR="006B1ABE" w:rsidRPr="007220FA" w:rsidRDefault="00E543CA" w:rsidP="006B1ABE">
      <w:pPr>
        <w:pStyle w:val="NormalWeb"/>
        <w:shd w:val="clear" w:color="auto" w:fill="FFFFFF"/>
        <w:ind w:left="1702"/>
        <w:rPr>
          <w:rFonts w:asciiTheme="minorHAnsi" w:hAnsiTheme="minorHAnsi" w:cstheme="minorHAnsi"/>
          <w:i/>
          <w:iCs/>
          <w:sz w:val="20"/>
          <w:szCs w:val="20"/>
        </w:rPr>
      </w:pPr>
      <w:r w:rsidRPr="007220FA">
        <w:rPr>
          <w:rFonts w:asciiTheme="minorHAnsi" w:hAnsiTheme="minorHAnsi" w:cstheme="minorHAnsi"/>
          <w:i/>
          <w:iCs/>
          <w:sz w:val="20"/>
          <w:szCs w:val="20"/>
        </w:rPr>
        <w:t>The PPA will handle your data in compliance with the Privacy Act and in line with our strong privacy requirements. You can read</w:t>
      </w:r>
      <w:r w:rsidR="001527AF">
        <w:rPr>
          <w:rFonts w:asciiTheme="minorHAnsi" w:hAnsiTheme="minorHAnsi" w:cstheme="minorHAnsi"/>
          <w:i/>
          <w:iCs/>
          <w:sz w:val="20"/>
          <w:szCs w:val="20"/>
        </w:rPr>
        <w:t xml:space="preserve"> their </w:t>
      </w:r>
      <w:hyperlink r:id="rId13" w:history="1">
        <w:r w:rsidR="001527AF" w:rsidRPr="007220FA">
          <w:rPr>
            <w:rStyle w:val="Hyperlink"/>
            <w:rFonts w:asciiTheme="minorHAnsi" w:hAnsiTheme="minorHAnsi" w:cstheme="minorHAnsi"/>
            <w:i/>
            <w:iCs/>
            <w:color w:val="auto"/>
            <w:sz w:val="20"/>
            <w:szCs w:val="20"/>
          </w:rPr>
          <w:t>Privacy Policy</w:t>
        </w:r>
      </w:hyperlink>
      <w:r w:rsidRPr="007220FA">
        <w:rPr>
          <w:rFonts w:asciiTheme="minorHAnsi" w:hAnsiTheme="minorHAnsi" w:cstheme="minorHAnsi"/>
          <w:i/>
          <w:iCs/>
          <w:sz w:val="20"/>
          <w:szCs w:val="20"/>
        </w:rPr>
        <w:t> online.</w:t>
      </w:r>
    </w:p>
    <w:p w14:paraId="4DDB35B6" w14:textId="29D9D6AF" w:rsidR="00E543CA" w:rsidRPr="007220FA" w:rsidRDefault="00E543CA" w:rsidP="006B1ABE">
      <w:pPr>
        <w:pStyle w:val="NormalWeb"/>
        <w:shd w:val="clear" w:color="auto" w:fill="FFFFFF"/>
        <w:ind w:left="1702"/>
        <w:rPr>
          <w:rFonts w:asciiTheme="minorHAnsi" w:hAnsiTheme="minorHAnsi" w:cstheme="minorHAnsi"/>
          <w:i/>
          <w:iCs/>
          <w:sz w:val="20"/>
          <w:szCs w:val="20"/>
        </w:rPr>
      </w:pPr>
      <w:r w:rsidRPr="007220FA">
        <w:rPr>
          <w:rFonts w:asciiTheme="minorHAnsi" w:hAnsiTheme="minorHAnsi" w:cstheme="minorHAnsi"/>
          <w:i/>
          <w:iCs/>
          <w:sz w:val="20"/>
          <w:szCs w:val="20"/>
          <w:shd w:val="clear" w:color="auto" w:fill="FFFFFF"/>
        </w:rPr>
        <w:lastRenderedPageBreak/>
        <w:t>The Pharmacy Program Administrator will store personal information collected as part of the COVID-19 vaccine rollout in their secure, on-shore IT environment. They may provide personal information to us for the purposes of compliance and payment claiming. They may provide aggregate and </w:t>
      </w:r>
      <w:r w:rsidRPr="007220FA">
        <w:rPr>
          <w:rStyle w:val="Strong"/>
          <w:rFonts w:asciiTheme="minorHAnsi" w:hAnsiTheme="minorHAnsi" w:cstheme="minorHAnsi"/>
          <w:i/>
          <w:iCs/>
          <w:sz w:val="20"/>
          <w:szCs w:val="20"/>
          <w:shd w:val="clear" w:color="auto" w:fill="FFFFFF"/>
        </w:rPr>
        <w:t>de-identified</w:t>
      </w:r>
      <w:r w:rsidRPr="007220FA">
        <w:rPr>
          <w:rFonts w:asciiTheme="minorHAnsi" w:hAnsiTheme="minorHAnsi" w:cstheme="minorHAnsi"/>
          <w:i/>
          <w:iCs/>
          <w:sz w:val="20"/>
          <w:szCs w:val="20"/>
          <w:shd w:val="clear" w:color="auto" w:fill="FFFFFF"/>
        </w:rPr>
        <w:t> reports (such as number of people who received vaccines at pharmacies in an area) to us on request</w:t>
      </w:r>
      <w:r w:rsidR="006B1ABE" w:rsidRPr="007220FA">
        <w:rPr>
          <w:rFonts w:asciiTheme="minorHAnsi" w:hAnsiTheme="minorHAnsi" w:cstheme="minorHAnsi"/>
          <w:i/>
          <w:iCs/>
          <w:sz w:val="20"/>
          <w:szCs w:val="20"/>
          <w:shd w:val="clear" w:color="auto" w:fill="FFFFFF"/>
        </w:rPr>
        <w:t>.</w:t>
      </w:r>
    </w:p>
    <w:p w14:paraId="1CA8BFF0" w14:textId="75EDAAB4" w:rsidR="00791E8B" w:rsidRPr="007220FA" w:rsidRDefault="00791E8B" w:rsidP="008C1512">
      <w:pPr>
        <w:pStyle w:val="Heading1"/>
      </w:pPr>
      <w:bookmarkStart w:id="63" w:name="_Toc113279934"/>
      <w:r w:rsidRPr="007220FA">
        <w:t>Privacy impact analysis and compliance</w:t>
      </w:r>
      <w:bookmarkEnd w:id="63"/>
    </w:p>
    <w:p w14:paraId="39BAB29A" w14:textId="27ED2972" w:rsidR="006C26C7" w:rsidRPr="007220FA" w:rsidRDefault="006C26C7" w:rsidP="006C26C7">
      <w:pPr>
        <w:pStyle w:val="BodyIndent1"/>
        <w:rPr>
          <w:b/>
          <w:bCs/>
          <w:i/>
          <w:iCs/>
        </w:rPr>
      </w:pPr>
      <w:r w:rsidRPr="007220FA">
        <w:rPr>
          <w:b/>
          <w:bCs/>
          <w:i/>
          <w:iCs/>
        </w:rPr>
        <w:t>Increased numbers of Patients and Vaccine Providers</w:t>
      </w:r>
    </w:p>
    <w:p w14:paraId="6BB041CB" w14:textId="4E2FDD23" w:rsidR="006C26C7" w:rsidRPr="007220FA" w:rsidRDefault="006C26C7" w:rsidP="006C26C7">
      <w:pPr>
        <w:pStyle w:val="Headingpara2"/>
      </w:pPr>
      <w:r w:rsidRPr="007220FA">
        <w:t>In Phase 2a:</w:t>
      </w:r>
    </w:p>
    <w:p w14:paraId="1D4371E4" w14:textId="6CAA8DA2" w:rsidR="006C26C7" w:rsidRPr="007220FA" w:rsidRDefault="006C26C7" w:rsidP="006C26C7">
      <w:pPr>
        <w:pStyle w:val="Heading3"/>
      </w:pPr>
      <w:r w:rsidRPr="007220FA">
        <w:t xml:space="preserve">there will be significantly greater numbers of Patients whose personal information, including sensitive information, will be handled; and </w:t>
      </w:r>
    </w:p>
    <w:p w14:paraId="66086753" w14:textId="08FB5DE2" w:rsidR="006C26C7" w:rsidRPr="007220FA" w:rsidRDefault="006C26C7" w:rsidP="006C26C7">
      <w:pPr>
        <w:pStyle w:val="Heading3"/>
      </w:pPr>
      <w:r w:rsidRPr="007220FA">
        <w:t>there will be a significantly increased number of Vaccine Providers:</w:t>
      </w:r>
    </w:p>
    <w:p w14:paraId="2E4D4FDD" w14:textId="42BAE0D0" w:rsidR="006C26C7" w:rsidRPr="007220FA" w:rsidRDefault="006C26C7" w:rsidP="006C26C7">
      <w:pPr>
        <w:pStyle w:val="Heading4"/>
      </w:pPr>
      <w:r w:rsidRPr="007220FA">
        <w:t xml:space="preserve">who will be handling personal information about Patients; </w:t>
      </w:r>
      <w:proofErr w:type="gramStart"/>
      <w:r w:rsidRPr="007220FA">
        <w:t>and</w:t>
      </w:r>
      <w:proofErr w:type="gramEnd"/>
      <w:r w:rsidRPr="007220FA">
        <w:t xml:space="preserve"> </w:t>
      </w:r>
    </w:p>
    <w:p w14:paraId="164F616F" w14:textId="002D2062" w:rsidR="006C26C7" w:rsidRPr="007220FA" w:rsidRDefault="006C26C7" w:rsidP="006C26C7">
      <w:pPr>
        <w:pStyle w:val="Heading4"/>
      </w:pPr>
      <w:r w:rsidRPr="007220FA">
        <w:t xml:space="preserve">whose Provider Personnel may have their information handled in connection with Phase 2a. </w:t>
      </w:r>
    </w:p>
    <w:p w14:paraId="749E3F42" w14:textId="6CB0F8D5" w:rsidR="006C26C7" w:rsidRPr="007220FA" w:rsidRDefault="006C26C7" w:rsidP="00CF06D8">
      <w:pPr>
        <w:pStyle w:val="Headingpara2"/>
      </w:pPr>
      <w:r w:rsidRPr="007220FA">
        <w:t>The sheer numbers mean that the privacy risks identified in the Original PIA will necessarily increase, as more personal information about more individuals becomes affected. This highlights the importance of implementing the mitigation strategies we identified in the Original PIA report</w:t>
      </w:r>
      <w:r w:rsidR="00B17C28">
        <w:t xml:space="preserve"> and the </w:t>
      </w:r>
      <w:r w:rsidR="00B17C28" w:rsidRPr="00B17C28">
        <w:t>Phase 1b Update PIA</w:t>
      </w:r>
      <w:r w:rsidRPr="007220FA">
        <w:t>. We consider that implementation of the recommendations in the Original PIA report in relation to Phase 1a</w:t>
      </w:r>
      <w:r w:rsidR="00AE75E6">
        <w:t>,</w:t>
      </w:r>
      <w:r w:rsidRPr="007220FA">
        <w:t xml:space="preserve"> </w:t>
      </w:r>
      <w:r w:rsidR="00B17C28">
        <w:t>and the recommendations in the Phase 1b Update PIA in relation to Phase 1b</w:t>
      </w:r>
      <w:r w:rsidR="00AE75E6">
        <w:t>,</w:t>
      </w:r>
      <w:r w:rsidR="00B17C28">
        <w:t xml:space="preserve"> </w:t>
      </w:r>
      <w:r w:rsidRPr="007220FA">
        <w:t xml:space="preserve">will greatly assist in reducing the likelihood and impact of the privacy risks during Phase 2a. Accordingly, we </w:t>
      </w:r>
      <w:r w:rsidR="00772E4E" w:rsidRPr="00772E4E">
        <w:rPr>
          <w:b/>
          <w:bCs/>
          <w:color w:val="960030" w:themeColor="accent2"/>
        </w:rPr>
        <w:t>recommend</w:t>
      </w:r>
      <w:r w:rsidR="00772E4E" w:rsidRPr="00772E4E">
        <w:rPr>
          <w:color w:val="960030" w:themeColor="accent2"/>
        </w:rPr>
        <w:t xml:space="preserve"> </w:t>
      </w:r>
      <w:r w:rsidRPr="007220FA">
        <w:t xml:space="preserve">that Health continue to work to implement the recommendations of the Original PIA report, as Health indicated it would do in its response to those recommendations. </w:t>
      </w:r>
    </w:p>
    <w:p w14:paraId="1E51EFA8" w14:textId="77777777" w:rsidR="00CF06D8" w:rsidRPr="008C1512" w:rsidRDefault="00CF06D8" w:rsidP="008C1512">
      <w:pPr>
        <w:pStyle w:val="Heading2"/>
        <w:rPr>
          <w:b w:val="0"/>
          <w:bCs/>
        </w:rPr>
      </w:pPr>
      <w:bookmarkStart w:id="64" w:name="_Ref67118637"/>
      <w:proofErr w:type="gramStart"/>
      <w:r w:rsidRPr="008C1512">
        <w:rPr>
          <w:b w:val="0"/>
          <w:bCs/>
        </w:rPr>
        <w:t>In particular, we</w:t>
      </w:r>
      <w:proofErr w:type="gramEnd"/>
      <w:r w:rsidRPr="008C1512">
        <w:rPr>
          <w:b w:val="0"/>
          <w:bCs/>
        </w:rPr>
        <w:t xml:space="preserve"> highlight the importance of Health ensuring that:</w:t>
      </w:r>
      <w:bookmarkEnd w:id="64"/>
    </w:p>
    <w:p w14:paraId="4863B3E2" w14:textId="77777777" w:rsidR="00CF06D8" w:rsidRPr="007220FA" w:rsidRDefault="00CF06D8" w:rsidP="008C1512">
      <w:pPr>
        <w:pStyle w:val="Heading3"/>
      </w:pPr>
      <w:r w:rsidRPr="007220FA">
        <w:t>there is open and transparent communication about how personal information will be handled in connection with the Vaccine Strategy (</w:t>
      </w:r>
      <w:r w:rsidRPr="007220FA">
        <w:rPr>
          <w:b/>
          <w:bCs/>
        </w:rPr>
        <w:t>Recommendation 2</w:t>
      </w:r>
      <w:r w:rsidRPr="007220FA">
        <w:t xml:space="preserve"> of the Original PIA report</w:t>
      </w:r>
      <w:proofErr w:type="gramStart"/>
      <w:r w:rsidRPr="007220FA">
        <w:t>);</w:t>
      </w:r>
      <w:proofErr w:type="gramEnd"/>
    </w:p>
    <w:p w14:paraId="33F8B341" w14:textId="05D7D30D" w:rsidR="00CF06D8" w:rsidRPr="007220FA" w:rsidRDefault="00CF06D8" w:rsidP="008C1512">
      <w:pPr>
        <w:pStyle w:val="Heading3"/>
      </w:pPr>
      <w:r w:rsidRPr="007220FA">
        <w:t>the contractual or other administrative arrangements with Health’s Partners and other third parties impose suitable privacy obligations, including in relation to the protection and security of personal information (</w:t>
      </w:r>
      <w:r w:rsidRPr="007220FA">
        <w:rPr>
          <w:b/>
          <w:bCs/>
        </w:rPr>
        <w:t>Recommendations 4 and 5</w:t>
      </w:r>
      <w:r w:rsidRPr="007220FA">
        <w:t xml:space="preserve"> of the Original PIA report); and</w:t>
      </w:r>
      <w:r w:rsidR="0035255A">
        <w:t xml:space="preserve"> </w:t>
      </w:r>
    </w:p>
    <w:p w14:paraId="096FBA7C" w14:textId="52053627" w:rsidR="00CF06D8" w:rsidRPr="007220FA" w:rsidRDefault="00CF06D8" w:rsidP="008C1512">
      <w:pPr>
        <w:pStyle w:val="Heading3"/>
      </w:pPr>
      <w:r w:rsidRPr="007220FA">
        <w:t>Vaccine Providers are appropriately trained, and provided with suitable guidance, about their privacy obligations (</w:t>
      </w:r>
      <w:r w:rsidRPr="007220FA">
        <w:rPr>
          <w:b/>
          <w:bCs/>
        </w:rPr>
        <w:t>Recommendations 2 and 3</w:t>
      </w:r>
      <w:r w:rsidRPr="007220FA">
        <w:t xml:space="preserve"> of the Original PIA report).</w:t>
      </w:r>
    </w:p>
    <w:p w14:paraId="62A79B5B" w14:textId="2B3A3F61" w:rsidR="00145066" w:rsidRPr="007220FA" w:rsidRDefault="00145066" w:rsidP="00145066">
      <w:pPr>
        <w:pStyle w:val="Heading2"/>
        <w:numPr>
          <w:ilvl w:val="0"/>
          <w:numId w:val="0"/>
        </w:numPr>
        <w:ind w:left="851"/>
        <w:rPr>
          <w:b w:val="0"/>
          <w:bCs/>
          <w:i/>
          <w:iCs/>
        </w:rPr>
      </w:pPr>
      <w:r w:rsidRPr="007220FA">
        <w:rPr>
          <w:i/>
          <w:iCs/>
        </w:rPr>
        <w:t xml:space="preserve">Application of </w:t>
      </w:r>
      <w:r w:rsidR="008C6BC5" w:rsidRPr="007220FA">
        <w:rPr>
          <w:i/>
          <w:iCs/>
        </w:rPr>
        <w:t xml:space="preserve">the </w:t>
      </w:r>
      <w:r w:rsidR="006C65BD" w:rsidRPr="007220FA">
        <w:rPr>
          <w:i/>
          <w:iCs/>
        </w:rPr>
        <w:t>Privacy Act and the APPs</w:t>
      </w:r>
    </w:p>
    <w:p w14:paraId="52FFF089" w14:textId="6CC94881" w:rsidR="00145066" w:rsidRPr="008C1512" w:rsidRDefault="006C65BD" w:rsidP="008C1512">
      <w:pPr>
        <w:pStyle w:val="Heading2"/>
        <w:rPr>
          <w:b w:val="0"/>
          <w:bCs/>
        </w:rPr>
      </w:pPr>
      <w:r w:rsidRPr="008C1512">
        <w:rPr>
          <w:b w:val="0"/>
          <w:bCs/>
        </w:rPr>
        <w:t>We note that the Privacy Act applies to APP entities, meaning ‘agencies’ or ‘</w:t>
      </w:r>
      <w:proofErr w:type="gramStart"/>
      <w:r w:rsidRPr="008C1512">
        <w:rPr>
          <w:b w:val="0"/>
          <w:bCs/>
        </w:rPr>
        <w:t>organisations’</w:t>
      </w:r>
      <w:proofErr w:type="gramEnd"/>
      <w:r w:rsidRPr="008C1512">
        <w:rPr>
          <w:b w:val="0"/>
          <w:bCs/>
        </w:rPr>
        <w:t xml:space="preserve">. Relevantly, section 6c of the Privacy Act defines an organisation: </w:t>
      </w:r>
    </w:p>
    <w:p w14:paraId="3FBBA8FD" w14:textId="77777777" w:rsidR="00145066" w:rsidRPr="007220FA" w:rsidRDefault="00145066" w:rsidP="0095259B">
      <w:pPr>
        <w:pStyle w:val="Headingpara2"/>
        <w:numPr>
          <w:ilvl w:val="0"/>
          <w:numId w:val="0"/>
        </w:numPr>
        <w:ind w:left="1702"/>
        <w:outlineLvl w:val="9"/>
        <w:rPr>
          <w:i/>
          <w:iCs/>
        </w:rPr>
      </w:pPr>
      <w:r w:rsidRPr="007220FA">
        <w:rPr>
          <w:i/>
          <w:iCs/>
        </w:rPr>
        <w:t>An organisation is an individual, body corporate, partnership, unincorporated association, or trust. A ‘small business operator’, which is an operator of a business with an annual turnover of less than $3 million, is not an organisation except where it provides a health service (section 6D(4)(b) of the Privacy Act) or is a contracted service provider for a Commonwealth contract (section 6D(4)(e) of the Privacy Act).</w:t>
      </w:r>
    </w:p>
    <w:p w14:paraId="1D4EB6FF" w14:textId="015BA144" w:rsidR="00145066" w:rsidRPr="008C1512" w:rsidRDefault="00145066" w:rsidP="008C1512">
      <w:pPr>
        <w:pStyle w:val="Heading2"/>
        <w:rPr>
          <w:b w:val="0"/>
          <w:bCs/>
        </w:rPr>
      </w:pPr>
      <w:r w:rsidRPr="008C1512">
        <w:rPr>
          <w:b w:val="0"/>
          <w:bCs/>
        </w:rPr>
        <w:lastRenderedPageBreak/>
        <w:t>A health service includes an activity that is intended or claimed by the individual or person performing it to assess, maintain or improve the individual’s health (s</w:t>
      </w:r>
      <w:r w:rsidR="00357122" w:rsidRPr="008C1512">
        <w:rPr>
          <w:b w:val="0"/>
          <w:bCs/>
        </w:rPr>
        <w:t>ection</w:t>
      </w:r>
      <w:r w:rsidRPr="008C1512">
        <w:rPr>
          <w:b w:val="0"/>
          <w:bCs/>
        </w:rPr>
        <w:t xml:space="preserve"> 6FB(1)(a) of the Privacy Act). </w:t>
      </w:r>
    </w:p>
    <w:p w14:paraId="6FCF1A3E" w14:textId="77777777" w:rsidR="00145066" w:rsidRPr="007220FA" w:rsidRDefault="00145066" w:rsidP="00145066">
      <w:pPr>
        <w:pStyle w:val="Italicsheading"/>
      </w:pPr>
      <w:r w:rsidRPr="007220FA">
        <w:t>Application of APPs to CPs</w:t>
      </w:r>
    </w:p>
    <w:p w14:paraId="772EB2E8" w14:textId="793D2B05" w:rsidR="00145066" w:rsidRPr="008C1512" w:rsidRDefault="00145066" w:rsidP="008C1512">
      <w:pPr>
        <w:pStyle w:val="Heading2"/>
        <w:rPr>
          <w:b w:val="0"/>
          <w:bCs/>
        </w:rPr>
      </w:pPr>
      <w:r w:rsidRPr="008C1512">
        <w:rPr>
          <w:b w:val="0"/>
          <w:bCs/>
        </w:rPr>
        <w:t xml:space="preserve">The CPs are being onboarded to the Vaccine Program </w:t>
      </w:r>
      <w:proofErr w:type="gramStart"/>
      <w:r w:rsidRPr="008C1512">
        <w:rPr>
          <w:b w:val="0"/>
          <w:bCs/>
        </w:rPr>
        <w:t>in order to</w:t>
      </w:r>
      <w:proofErr w:type="gramEnd"/>
      <w:r w:rsidRPr="008C1512">
        <w:rPr>
          <w:b w:val="0"/>
          <w:bCs/>
        </w:rPr>
        <w:t xml:space="preserve"> administer the COVID-19 vaccination, which is intended to protect individuals from </w:t>
      </w:r>
      <w:r w:rsidR="00B85CF2">
        <w:rPr>
          <w:b w:val="0"/>
          <w:bCs/>
        </w:rPr>
        <w:t xml:space="preserve">transmission and </w:t>
      </w:r>
      <w:r w:rsidR="00D42D58">
        <w:rPr>
          <w:b w:val="0"/>
          <w:bCs/>
        </w:rPr>
        <w:t xml:space="preserve">the risk of </w:t>
      </w:r>
      <w:r w:rsidR="00F95BA0">
        <w:rPr>
          <w:b w:val="0"/>
          <w:bCs/>
        </w:rPr>
        <w:t xml:space="preserve">serious illness </w:t>
      </w:r>
      <w:r w:rsidR="00D42D58">
        <w:rPr>
          <w:b w:val="0"/>
          <w:bCs/>
        </w:rPr>
        <w:t>from</w:t>
      </w:r>
      <w:r w:rsidR="00F95BA0">
        <w:rPr>
          <w:b w:val="0"/>
          <w:bCs/>
        </w:rPr>
        <w:t xml:space="preserve"> </w:t>
      </w:r>
      <w:r w:rsidRPr="008C1512">
        <w:rPr>
          <w:b w:val="0"/>
          <w:bCs/>
        </w:rPr>
        <w:t xml:space="preserve">COVID-19, thus maintaining their health. The CPs provide a service which falls under the definition of a health service and </w:t>
      </w:r>
      <w:r w:rsidR="005E0280" w:rsidRPr="008C1512">
        <w:rPr>
          <w:b w:val="0"/>
          <w:bCs/>
        </w:rPr>
        <w:t>are therefore</w:t>
      </w:r>
      <w:r w:rsidRPr="008C1512">
        <w:rPr>
          <w:b w:val="0"/>
          <w:bCs/>
        </w:rPr>
        <w:t xml:space="preserve"> organisations under the Privacy Act, obligated to comply with the Privacy Act.</w:t>
      </w:r>
    </w:p>
    <w:p w14:paraId="55926E2F" w14:textId="77777777" w:rsidR="00145066" w:rsidRPr="007220FA" w:rsidRDefault="00145066" w:rsidP="00145066">
      <w:pPr>
        <w:pStyle w:val="Italicsheading"/>
      </w:pPr>
      <w:r w:rsidRPr="007220FA">
        <w:t>Application of APPs to PPA</w:t>
      </w:r>
    </w:p>
    <w:p w14:paraId="6D99DD4F" w14:textId="77777777" w:rsidR="00145066" w:rsidRPr="007220FA" w:rsidRDefault="00145066" w:rsidP="00145066">
      <w:pPr>
        <w:pStyle w:val="Heading2"/>
        <w:rPr>
          <w:b w:val="0"/>
          <w:bCs/>
        </w:rPr>
      </w:pPr>
      <w:r w:rsidRPr="007220FA">
        <w:rPr>
          <w:b w:val="0"/>
          <w:bCs/>
        </w:rPr>
        <w:t xml:space="preserve">The PPA has been contracted by Health to facilitate the payment of the CPs. Therefore, the PPA is an organisation under section 6D(4)(e) of the Privacy Act and is obligated to comply with the Privacy Act. </w:t>
      </w:r>
    </w:p>
    <w:p w14:paraId="02A638E3" w14:textId="77777777" w:rsidR="00145066" w:rsidRPr="007220FA" w:rsidRDefault="00145066" w:rsidP="00145066">
      <w:pPr>
        <w:pStyle w:val="Heading2"/>
        <w:numPr>
          <w:ilvl w:val="0"/>
          <w:numId w:val="0"/>
        </w:numPr>
        <w:ind w:left="851"/>
        <w:rPr>
          <w:i/>
          <w:iCs/>
        </w:rPr>
      </w:pPr>
      <w:r w:rsidRPr="007220FA">
        <w:rPr>
          <w:i/>
          <w:iCs/>
        </w:rPr>
        <w:t>Transparency regarding the handling of Patient Information</w:t>
      </w:r>
    </w:p>
    <w:p w14:paraId="3DE0FB56" w14:textId="77777777" w:rsidR="00145066" w:rsidRPr="007220FA" w:rsidRDefault="00145066" w:rsidP="00145066">
      <w:pPr>
        <w:pStyle w:val="Heading2"/>
        <w:rPr>
          <w:b w:val="0"/>
          <w:bCs/>
        </w:rPr>
      </w:pPr>
      <w:r w:rsidRPr="007220FA">
        <w:rPr>
          <w:b w:val="0"/>
          <w:bCs/>
        </w:rPr>
        <w:t>It is important that individuals who provide their personal information to an APP entity are aware of how their personal information will be handled by that entity.</w:t>
      </w:r>
      <w:r w:rsidRPr="007220FA">
        <w:t xml:space="preserve"> </w:t>
      </w:r>
      <w:r w:rsidRPr="007220FA">
        <w:rPr>
          <w:b w:val="0"/>
          <w:bCs/>
        </w:rPr>
        <w:t xml:space="preserve">APP 1 requires that the APP entity have a clearly expressed and up to date policy about the management of personal information by the entity, including all the information listed in APP 1.4. APP 5 requires that the APP entity ensures the individual is aware of how and why their personal information will be collected, and any other information listed in APP 5.2, at or before the entity collects that information. </w:t>
      </w:r>
    </w:p>
    <w:p w14:paraId="7B16E5C9" w14:textId="65E81AAB" w:rsidR="00145066" w:rsidRPr="007220FA" w:rsidRDefault="00145066" w:rsidP="005D13DD">
      <w:pPr>
        <w:pStyle w:val="Headingpara2"/>
      </w:pPr>
      <w:r w:rsidRPr="007220FA">
        <w:t xml:space="preserve">The management of personal information following the onboarding of pharmacists to the </w:t>
      </w:r>
      <w:r w:rsidR="005D13DD" w:rsidRPr="005D13DD">
        <w:t>Vaccin</w:t>
      </w:r>
      <w:r w:rsidR="0007488F">
        <w:t>e</w:t>
      </w:r>
      <w:r w:rsidR="005D13DD" w:rsidRPr="005D13DD">
        <w:t xml:space="preserve"> Strategy</w:t>
      </w:r>
      <w:r w:rsidR="005D13DD" w:rsidRPr="005D13DD" w:rsidDel="005D13DD">
        <w:t xml:space="preserve"> </w:t>
      </w:r>
      <w:r w:rsidRPr="007220FA">
        <w:t>has been publicised and expressed in the following ways:</w:t>
      </w:r>
    </w:p>
    <w:p w14:paraId="387A552B" w14:textId="6DAB4C20" w:rsidR="00145066" w:rsidRPr="007220FA" w:rsidRDefault="00145066" w:rsidP="00145066">
      <w:pPr>
        <w:pStyle w:val="Heading3"/>
      </w:pPr>
      <w:r w:rsidRPr="007220FA">
        <w:t xml:space="preserve">the PPA </w:t>
      </w:r>
      <w:r w:rsidR="005E0280">
        <w:t>P</w:t>
      </w:r>
      <w:r w:rsidRPr="007220FA">
        <w:t xml:space="preserve">rivacy </w:t>
      </w:r>
      <w:r w:rsidR="005E0280">
        <w:t>P</w:t>
      </w:r>
      <w:r w:rsidRPr="007220FA">
        <w:t>olicy</w:t>
      </w:r>
      <w:r w:rsidRPr="007220FA">
        <w:rPr>
          <w:rStyle w:val="FootnoteReference"/>
        </w:rPr>
        <w:footnoteReference w:id="11"/>
      </w:r>
      <w:r w:rsidRPr="007220FA">
        <w:t xml:space="preserve"> available on the PPA website (</w:t>
      </w:r>
      <w:proofErr w:type="gramStart"/>
      <w:r w:rsidRPr="007220FA">
        <w:t>i.e.</w:t>
      </w:r>
      <w:proofErr w:type="gramEnd"/>
      <w:r w:rsidRPr="007220FA">
        <w:t xml:space="preserve"> APP 1 notice);</w:t>
      </w:r>
    </w:p>
    <w:p w14:paraId="482223EB" w14:textId="2D8788E9" w:rsidR="00145066" w:rsidRPr="007220FA" w:rsidRDefault="00145066" w:rsidP="00145066">
      <w:pPr>
        <w:pStyle w:val="Heading3"/>
      </w:pPr>
      <w:r w:rsidRPr="007220FA">
        <w:t xml:space="preserve">the </w:t>
      </w:r>
      <w:r w:rsidR="005E0280">
        <w:t>Privacy Notice</w:t>
      </w:r>
      <w:r w:rsidRPr="007220FA">
        <w:t xml:space="preserve"> that will be provided to each Patient prior to their COVID-19 vaccination (</w:t>
      </w:r>
      <w:proofErr w:type="gramStart"/>
      <w:r w:rsidRPr="007220FA">
        <w:t>i.e.</w:t>
      </w:r>
      <w:proofErr w:type="gramEnd"/>
      <w:r w:rsidRPr="007220FA">
        <w:t xml:space="preserve"> APP 5 notice); and </w:t>
      </w:r>
    </w:p>
    <w:p w14:paraId="60C8CB48" w14:textId="421A7441" w:rsidR="00145066" w:rsidRPr="007220FA" w:rsidRDefault="00145066" w:rsidP="00145066">
      <w:pPr>
        <w:pStyle w:val="Heading3"/>
      </w:pPr>
      <w:r w:rsidRPr="007220FA">
        <w:t xml:space="preserve">the COVID-19 collection notice, available on the </w:t>
      </w:r>
      <w:proofErr w:type="gramStart"/>
      <w:r w:rsidRPr="007220FA">
        <w:t>Health</w:t>
      </w:r>
      <w:proofErr w:type="gramEnd"/>
      <w:r w:rsidRPr="007220FA">
        <w:t xml:space="preserve"> website (i.e.</w:t>
      </w:r>
      <w:r w:rsidR="005E0280">
        <w:t xml:space="preserve"> Privacy Policy</w:t>
      </w:r>
      <w:r w:rsidRPr="007220FA">
        <w:t>).</w:t>
      </w:r>
      <w:r w:rsidRPr="007220FA">
        <w:rPr>
          <w:rStyle w:val="FootnoteReference"/>
        </w:rPr>
        <w:footnoteReference w:id="12"/>
      </w:r>
      <w:r w:rsidRPr="007220FA">
        <w:t xml:space="preserve"> </w:t>
      </w:r>
    </w:p>
    <w:p w14:paraId="122B6BFD" w14:textId="7880CF99" w:rsidR="00145066" w:rsidRPr="007220FA" w:rsidRDefault="00145066" w:rsidP="00145066">
      <w:pPr>
        <w:pStyle w:val="Headingpara2"/>
      </w:pPr>
      <w:r w:rsidRPr="007220FA">
        <w:t xml:space="preserve">Maddocks drafted the </w:t>
      </w:r>
      <w:r w:rsidR="005E0280">
        <w:t>Privacy Notice</w:t>
      </w:r>
      <w:r w:rsidRPr="007220FA">
        <w:t xml:space="preserve">, which provides up to date information about why and how the personal information will be collected and will be provided to the Patient at the time that that the CP collects the information about the individual. The </w:t>
      </w:r>
      <w:r w:rsidR="005E0280">
        <w:t>Privacy Notice</w:t>
      </w:r>
      <w:r w:rsidRPr="007220FA">
        <w:t xml:space="preserve"> includes all the relevant information listed in</w:t>
      </w:r>
      <w:r w:rsidR="00E50F67" w:rsidRPr="007220FA">
        <w:t xml:space="preserve"> APP</w:t>
      </w:r>
      <w:r w:rsidRPr="007220FA">
        <w:t xml:space="preserve"> 5.2 and therefore meets the requirements of APP 5.</w:t>
      </w:r>
    </w:p>
    <w:p w14:paraId="26DA92CB" w14:textId="0578A9BA" w:rsidR="00145066" w:rsidRPr="007220FA" w:rsidRDefault="00145066" w:rsidP="00145066">
      <w:pPr>
        <w:pStyle w:val="Headingpara2"/>
      </w:pPr>
      <w:r w:rsidRPr="007220FA">
        <w:t xml:space="preserve">Maddocks has reviewed the PPA </w:t>
      </w:r>
      <w:r w:rsidR="005E0280">
        <w:t>P</w:t>
      </w:r>
      <w:r w:rsidRPr="007220FA">
        <w:t xml:space="preserve">rivacy </w:t>
      </w:r>
      <w:r w:rsidR="005E0280">
        <w:t>P</w:t>
      </w:r>
      <w:r w:rsidRPr="007220FA">
        <w:t xml:space="preserve">olicy and the </w:t>
      </w:r>
      <w:r w:rsidR="005E0280">
        <w:t>‘</w:t>
      </w:r>
      <w:r w:rsidRPr="007220FA">
        <w:t>collection notice</w:t>
      </w:r>
      <w:r w:rsidR="005E0280">
        <w:t>’ (</w:t>
      </w:r>
      <w:proofErr w:type="gramStart"/>
      <w:r w:rsidR="005E0280">
        <w:t>i.e.</w:t>
      </w:r>
      <w:proofErr w:type="gramEnd"/>
      <w:r w:rsidR="005E0280">
        <w:t xml:space="preserve"> Privacy Policy)</w:t>
      </w:r>
      <w:r w:rsidRPr="007220FA">
        <w:t xml:space="preserve"> available on the Health website, and can confirm that all the required information about the management of personal information listed in APP 1.4 is available and up to date as per the current plan with regards to the onboarding of </w:t>
      </w:r>
      <w:r w:rsidR="00E50F67" w:rsidRPr="007220FA">
        <w:t xml:space="preserve">CPs </w:t>
      </w:r>
      <w:r w:rsidRPr="007220FA">
        <w:t xml:space="preserve">to the </w:t>
      </w:r>
      <w:bookmarkStart w:id="65" w:name="_Hlk98765706"/>
      <w:r w:rsidR="0007488F">
        <w:t xml:space="preserve">Vaccine </w:t>
      </w:r>
      <w:r w:rsidR="005E0280">
        <w:t>Strategy</w:t>
      </w:r>
      <w:bookmarkEnd w:id="65"/>
      <w:r w:rsidR="005E0280">
        <w:t xml:space="preserve">. </w:t>
      </w:r>
    </w:p>
    <w:p w14:paraId="2A3E2CF8" w14:textId="72661852" w:rsidR="00145066" w:rsidRPr="007220FA" w:rsidRDefault="00145066" w:rsidP="00145066">
      <w:pPr>
        <w:pStyle w:val="BodyIndent1"/>
        <w:rPr>
          <w:b/>
          <w:bCs/>
          <w:i/>
          <w:iCs/>
        </w:rPr>
      </w:pPr>
      <w:r w:rsidRPr="007220FA">
        <w:rPr>
          <w:b/>
          <w:bCs/>
          <w:i/>
          <w:iCs/>
        </w:rPr>
        <w:t>Disclosure of Patient Information by CPs</w:t>
      </w:r>
      <w:r w:rsidR="006D2959" w:rsidRPr="007220FA">
        <w:rPr>
          <w:b/>
          <w:bCs/>
          <w:i/>
          <w:iCs/>
        </w:rPr>
        <w:t xml:space="preserve"> to the PPA </w:t>
      </w:r>
    </w:p>
    <w:p w14:paraId="2E4FFAEA" w14:textId="3544C4AD" w:rsidR="00145066" w:rsidRPr="007220FA" w:rsidRDefault="00E50F67" w:rsidP="00145066">
      <w:pPr>
        <w:pStyle w:val="Headingpara2"/>
        <w:rPr>
          <w:rFonts w:asciiTheme="majorHAnsi" w:hAnsiTheme="majorHAnsi" w:cstheme="majorHAnsi"/>
          <w:b/>
        </w:rPr>
      </w:pPr>
      <w:r w:rsidRPr="007220FA">
        <w:t>APP 6 provides that a</w:t>
      </w:r>
      <w:r w:rsidR="00145066" w:rsidRPr="007220FA">
        <w:t xml:space="preserve">n APP entity that holds personal information about an individual that was collected for a particular purpose (the primary purpose) must not use or disclose the information for another purpose </w:t>
      </w:r>
      <w:r w:rsidRPr="007220FA">
        <w:t xml:space="preserve">(the secondary purpose) </w:t>
      </w:r>
      <w:r w:rsidR="00145066" w:rsidRPr="007220FA">
        <w:t xml:space="preserve">unless the individual has consented </w:t>
      </w:r>
      <w:r w:rsidRPr="007220FA">
        <w:t xml:space="preserve">to </w:t>
      </w:r>
      <w:r w:rsidR="00145066" w:rsidRPr="007220FA">
        <w:t>the use or disclosure of the information for that purpose</w:t>
      </w:r>
      <w:r w:rsidR="00145066" w:rsidRPr="007220FA">
        <w:rPr>
          <w:rFonts w:asciiTheme="majorHAnsi" w:hAnsiTheme="majorHAnsi" w:cstheme="majorHAnsi"/>
        </w:rPr>
        <w:t>, or APP 6.2 or APP 6.3 applies</w:t>
      </w:r>
      <w:r w:rsidRPr="007220FA">
        <w:rPr>
          <w:rFonts w:asciiTheme="majorHAnsi" w:hAnsiTheme="majorHAnsi" w:cstheme="majorHAnsi"/>
        </w:rPr>
        <w:t>.</w:t>
      </w:r>
    </w:p>
    <w:p w14:paraId="4D59AE29" w14:textId="15908BA0" w:rsidR="00145066" w:rsidRPr="007220FA" w:rsidRDefault="00145066" w:rsidP="00E50F67">
      <w:pPr>
        <w:pStyle w:val="Headingpara2"/>
        <w:keepNext/>
        <w:keepLines/>
      </w:pPr>
      <w:r w:rsidRPr="007220FA">
        <w:lastRenderedPageBreak/>
        <w:t xml:space="preserve">The primary purpose of the CP collecting Patient Information is to report this information to the PPA </w:t>
      </w:r>
      <w:proofErr w:type="gramStart"/>
      <w:r w:rsidRPr="007220FA">
        <w:t>in order to</w:t>
      </w:r>
      <w:proofErr w:type="gramEnd"/>
      <w:r w:rsidRPr="007220FA">
        <w:t xml:space="preserve"> receive payment for the administration of </w:t>
      </w:r>
      <w:r w:rsidR="001F7AE2">
        <w:t xml:space="preserve">one of </w:t>
      </w:r>
      <w:r w:rsidRPr="007220FA">
        <w:t>the COVID-19 vaccine</w:t>
      </w:r>
      <w:r w:rsidR="001F7AE2">
        <w:t>s</w:t>
      </w:r>
      <w:r w:rsidRPr="007220FA">
        <w:t xml:space="preserve">. </w:t>
      </w:r>
      <w:r w:rsidRPr="007220FA">
        <w:rPr>
          <w:rFonts w:asciiTheme="majorHAnsi" w:hAnsiTheme="majorHAnsi" w:cstheme="majorHAnsi"/>
        </w:rPr>
        <w:t>We consider that the disclosure of the Patient Information by the CP to the PPA is for the purposes of facilitating their payment for administering the vaccine, the primary purpose, and therefore complies with APP 6.1.</w:t>
      </w:r>
    </w:p>
    <w:p w14:paraId="047B3BDB" w14:textId="77777777" w:rsidR="00145066" w:rsidRPr="007220FA" w:rsidRDefault="00145066" w:rsidP="00145066">
      <w:pPr>
        <w:pStyle w:val="Headingpara2"/>
      </w:pPr>
      <w:r w:rsidRPr="007220FA">
        <w:t xml:space="preserve">We note that the CPs may also use the Patient Information for </w:t>
      </w:r>
      <w:proofErr w:type="gramStart"/>
      <w:r w:rsidRPr="007220FA">
        <w:t>business as usual</w:t>
      </w:r>
      <w:proofErr w:type="gramEnd"/>
      <w:r w:rsidRPr="007220FA">
        <w:t xml:space="preserve"> practices.</w:t>
      </w:r>
      <w:r w:rsidRPr="007220FA">
        <w:rPr>
          <w:rStyle w:val="FootnoteReference"/>
        </w:rPr>
        <w:footnoteReference w:id="13"/>
      </w:r>
    </w:p>
    <w:p w14:paraId="06B3F5B0" w14:textId="47707A69" w:rsidR="00145066" w:rsidRPr="007220FA" w:rsidRDefault="00145066" w:rsidP="00145066">
      <w:pPr>
        <w:pStyle w:val="Bolditalicsheading"/>
      </w:pPr>
      <w:r w:rsidRPr="007220FA">
        <w:t>Use of Patient Information by</w:t>
      </w:r>
      <w:r w:rsidR="006D2959" w:rsidRPr="007220FA">
        <w:t xml:space="preserve"> the</w:t>
      </w:r>
      <w:r w:rsidRPr="007220FA">
        <w:t xml:space="preserve"> PPA</w:t>
      </w:r>
    </w:p>
    <w:p w14:paraId="40E50C19" w14:textId="3D260549" w:rsidR="00145066" w:rsidRPr="007220FA" w:rsidRDefault="00145066" w:rsidP="00145066">
      <w:pPr>
        <w:pStyle w:val="Headingpara2"/>
      </w:pPr>
      <w:r w:rsidRPr="007220FA">
        <w:t xml:space="preserve">The primary purpose of the PPA </w:t>
      </w:r>
      <w:r w:rsidRPr="007220FA">
        <w:rPr>
          <w:bCs/>
        </w:rPr>
        <w:t>collecting</w:t>
      </w:r>
      <w:r w:rsidRPr="007220FA">
        <w:t xml:space="preserve"> the Patient Information is to facilitate payment to the CPs for the administration of </w:t>
      </w:r>
      <w:r w:rsidR="001D607F">
        <w:t xml:space="preserve">COVID-19 </w:t>
      </w:r>
      <w:r w:rsidRPr="007220FA">
        <w:t xml:space="preserve">vaccines. The PPA will use the Patient’s Medicare number to verify their identity, and information </w:t>
      </w:r>
      <w:r w:rsidR="001D607F" w:rsidRPr="007220FA">
        <w:t>a</w:t>
      </w:r>
      <w:r w:rsidR="001D607F">
        <w:t>bout</w:t>
      </w:r>
      <w:r w:rsidR="001D607F" w:rsidRPr="007220FA">
        <w:t xml:space="preserve"> </w:t>
      </w:r>
      <w:r w:rsidRPr="007220FA">
        <w:t xml:space="preserve">the number </w:t>
      </w:r>
      <w:r w:rsidR="0008468E">
        <w:t xml:space="preserve">of </w:t>
      </w:r>
      <w:r w:rsidR="001D607F">
        <w:t>doses</w:t>
      </w:r>
      <w:r w:rsidR="001D607F" w:rsidRPr="007220FA">
        <w:t xml:space="preserve"> </w:t>
      </w:r>
      <w:r w:rsidRPr="007220FA">
        <w:t xml:space="preserve">that the Patient </w:t>
      </w:r>
      <w:r w:rsidR="001D607F">
        <w:t>has</w:t>
      </w:r>
      <w:r w:rsidRPr="007220FA">
        <w:t xml:space="preserve"> </w:t>
      </w:r>
      <w:r w:rsidR="001D607F">
        <w:t xml:space="preserve">had </w:t>
      </w:r>
      <w:r w:rsidRPr="007220FA">
        <w:t>administered</w:t>
      </w:r>
      <w:r w:rsidR="001D607F">
        <w:t xml:space="preserve"> to them</w:t>
      </w:r>
      <w:r w:rsidRPr="007220FA">
        <w:t xml:space="preserve"> will be used to determine the payment amount owed to the CP. </w:t>
      </w:r>
      <w:r w:rsidRPr="007220FA">
        <w:rPr>
          <w:rFonts w:asciiTheme="majorHAnsi" w:hAnsiTheme="majorHAnsi" w:cstheme="majorHAnsi"/>
        </w:rPr>
        <w:t xml:space="preserve">We consider that this use of the Patient Information is for the purposes of facilitating the payment of CPs for administering </w:t>
      </w:r>
      <w:r w:rsidR="001D607F">
        <w:rPr>
          <w:rFonts w:asciiTheme="majorHAnsi" w:hAnsiTheme="majorHAnsi" w:cstheme="majorHAnsi"/>
        </w:rPr>
        <w:t xml:space="preserve">a COVID-19 </w:t>
      </w:r>
      <w:r w:rsidRPr="007220FA">
        <w:rPr>
          <w:rFonts w:asciiTheme="majorHAnsi" w:hAnsiTheme="majorHAnsi" w:cstheme="majorHAnsi"/>
        </w:rPr>
        <w:t>vaccine, the primary purpose, and therefore complies with APP 6.1.</w:t>
      </w:r>
    </w:p>
    <w:p w14:paraId="2E0DE689" w14:textId="1DD96784" w:rsidR="00145066" w:rsidRPr="007220FA" w:rsidRDefault="00145066" w:rsidP="00145066">
      <w:pPr>
        <w:pStyle w:val="Heading2"/>
        <w:rPr>
          <w:b w:val="0"/>
          <w:bCs/>
        </w:rPr>
      </w:pPr>
      <w:r w:rsidRPr="007220FA">
        <w:rPr>
          <w:b w:val="0"/>
          <w:bCs/>
        </w:rPr>
        <w:t xml:space="preserve">A secondary purpose of the PPA collecting Patient Information is to </w:t>
      </w:r>
      <w:r w:rsidRPr="007220FA">
        <w:rPr>
          <w:b w:val="0"/>
        </w:rPr>
        <w:t xml:space="preserve">undertake compliance and quality assurance activities. The </w:t>
      </w:r>
      <w:r w:rsidR="00C72ADD">
        <w:rPr>
          <w:b w:val="0"/>
        </w:rPr>
        <w:t>Privacy Notice</w:t>
      </w:r>
      <w:r w:rsidRPr="007220FA">
        <w:rPr>
          <w:b w:val="0"/>
        </w:rPr>
        <w:t xml:space="preserve"> provided to the Patient prior to the collection of the Patient Information informs and requires Patient to consent to this secondary use of their information. As </w:t>
      </w:r>
      <w:r w:rsidR="00102DF5">
        <w:rPr>
          <w:b w:val="0"/>
        </w:rPr>
        <w:t xml:space="preserve">a COVID-19 </w:t>
      </w:r>
      <w:r w:rsidRPr="007220FA">
        <w:rPr>
          <w:b w:val="0"/>
        </w:rPr>
        <w:t xml:space="preserve">vaccine cannot be administered to the Patient without receiving verbal or written consent to the information contained within the </w:t>
      </w:r>
      <w:r w:rsidR="00C72ADD">
        <w:rPr>
          <w:b w:val="0"/>
        </w:rPr>
        <w:t>Privacy Notice</w:t>
      </w:r>
      <w:r w:rsidRPr="007220FA">
        <w:rPr>
          <w:b w:val="0"/>
        </w:rPr>
        <w:t xml:space="preserve">, all recipients of </w:t>
      </w:r>
      <w:r w:rsidR="00102DF5">
        <w:rPr>
          <w:b w:val="0"/>
        </w:rPr>
        <w:t>a COVID-19</w:t>
      </w:r>
      <w:r w:rsidR="00AD0518">
        <w:rPr>
          <w:b w:val="0"/>
        </w:rPr>
        <w:t xml:space="preserve"> </w:t>
      </w:r>
      <w:r w:rsidRPr="007220FA">
        <w:rPr>
          <w:b w:val="0"/>
        </w:rPr>
        <w:t xml:space="preserve">vaccine </w:t>
      </w:r>
      <w:r w:rsidR="00102DF5">
        <w:rPr>
          <w:b w:val="0"/>
        </w:rPr>
        <w:t xml:space="preserve">from a CP </w:t>
      </w:r>
      <w:r w:rsidRPr="007220FA">
        <w:rPr>
          <w:b w:val="0"/>
        </w:rPr>
        <w:t xml:space="preserve">will have consented to the secondary use of the Patient Information. </w:t>
      </w:r>
      <w:proofErr w:type="gramStart"/>
      <w:r w:rsidRPr="007220FA">
        <w:rPr>
          <w:b w:val="0"/>
        </w:rPr>
        <w:t>Thus</w:t>
      </w:r>
      <w:proofErr w:type="gramEnd"/>
      <w:r w:rsidRPr="007220FA">
        <w:rPr>
          <w:b w:val="0"/>
        </w:rPr>
        <w:t xml:space="preserve"> the secondary use is permissible under the APPs.</w:t>
      </w:r>
    </w:p>
    <w:p w14:paraId="6651EC3C" w14:textId="5BEF9278" w:rsidR="00145066" w:rsidRPr="007220FA" w:rsidRDefault="00145066" w:rsidP="00145066">
      <w:pPr>
        <w:pStyle w:val="BodyIndent1"/>
        <w:ind w:left="0" w:firstLine="851"/>
        <w:rPr>
          <w:b/>
          <w:bCs/>
          <w:i/>
          <w:iCs/>
        </w:rPr>
      </w:pPr>
      <w:r w:rsidRPr="007220FA">
        <w:rPr>
          <w:b/>
          <w:bCs/>
          <w:i/>
          <w:iCs/>
        </w:rPr>
        <w:t xml:space="preserve">Disclosure of Patient Information by </w:t>
      </w:r>
      <w:r w:rsidR="006D2959" w:rsidRPr="007220FA">
        <w:rPr>
          <w:b/>
          <w:bCs/>
          <w:i/>
          <w:iCs/>
        </w:rPr>
        <w:t xml:space="preserve">the </w:t>
      </w:r>
      <w:r w:rsidRPr="007220FA">
        <w:rPr>
          <w:b/>
          <w:bCs/>
          <w:i/>
          <w:iCs/>
        </w:rPr>
        <w:t>PPA</w:t>
      </w:r>
    </w:p>
    <w:p w14:paraId="6FE0AB29" w14:textId="4B155417" w:rsidR="00145066" w:rsidRPr="007220FA" w:rsidRDefault="00145066" w:rsidP="00145066">
      <w:pPr>
        <w:pStyle w:val="Heading2"/>
        <w:rPr>
          <w:b w:val="0"/>
          <w:bCs/>
        </w:rPr>
      </w:pPr>
      <w:r w:rsidRPr="007220FA">
        <w:rPr>
          <w:b w:val="0"/>
          <w:bCs/>
        </w:rPr>
        <w:t xml:space="preserve">Another secondary purpose of the PPA collecting the Patient Information is to disclose the information to Health </w:t>
      </w:r>
      <w:proofErr w:type="gramStart"/>
      <w:r w:rsidRPr="007220FA">
        <w:rPr>
          <w:b w:val="0"/>
          <w:bCs/>
        </w:rPr>
        <w:t>in order to</w:t>
      </w:r>
      <w:proofErr w:type="gramEnd"/>
      <w:r w:rsidRPr="007220FA">
        <w:rPr>
          <w:b w:val="0"/>
          <w:bCs/>
        </w:rPr>
        <w:t xml:space="preserve"> provide assistance with Health’s compliance and quality assurance activities. </w:t>
      </w:r>
      <w:r w:rsidRPr="007220FA">
        <w:rPr>
          <w:b w:val="0"/>
        </w:rPr>
        <w:t xml:space="preserve">The </w:t>
      </w:r>
      <w:r w:rsidR="00C72ADD">
        <w:rPr>
          <w:b w:val="0"/>
        </w:rPr>
        <w:t>Privacy Notice</w:t>
      </w:r>
      <w:r w:rsidRPr="007220FA">
        <w:rPr>
          <w:b w:val="0"/>
        </w:rPr>
        <w:t xml:space="preserve"> provided to the Patient prior to the collection of the Patient Information informs and requires Patient</w:t>
      </w:r>
      <w:r w:rsidR="00AD0518">
        <w:rPr>
          <w:b w:val="0"/>
        </w:rPr>
        <w:t>s</w:t>
      </w:r>
      <w:r w:rsidRPr="007220FA">
        <w:rPr>
          <w:b w:val="0"/>
        </w:rPr>
        <w:t xml:space="preserve"> to consent to this secondary use of their information, and therefore complies with APP 6.1(a).</w:t>
      </w:r>
    </w:p>
    <w:p w14:paraId="19133D48" w14:textId="530EFF9D" w:rsidR="00145066" w:rsidRPr="007220FA" w:rsidRDefault="00145066" w:rsidP="00145066">
      <w:pPr>
        <w:pStyle w:val="Heading2"/>
        <w:numPr>
          <w:ilvl w:val="0"/>
          <w:numId w:val="0"/>
        </w:numPr>
        <w:rPr>
          <w:b w:val="0"/>
          <w:bCs/>
        </w:rPr>
      </w:pPr>
    </w:p>
    <w:p w14:paraId="6B220E70" w14:textId="10F2250F" w:rsidR="006641A2" w:rsidRPr="007220FA" w:rsidRDefault="0020223C" w:rsidP="0020223C">
      <w:r w:rsidRPr="007220FA">
        <w:br w:type="page"/>
      </w:r>
      <w:bookmarkStart w:id="66" w:name="_Toc38274231"/>
      <w:bookmarkStart w:id="67" w:name="_Toc43472415"/>
    </w:p>
    <w:p w14:paraId="6831439C" w14:textId="58FA8AD9" w:rsidR="002E53DC" w:rsidRPr="007220FA" w:rsidRDefault="002E53DC" w:rsidP="002E53DC">
      <w:pPr>
        <w:pStyle w:val="Sectionheading"/>
      </w:pPr>
      <w:bookmarkStart w:id="68" w:name="_Ref94534372"/>
      <w:bookmarkStart w:id="69" w:name="_Toc113279935"/>
      <w:bookmarkEnd w:id="61"/>
      <w:r w:rsidRPr="007220FA">
        <w:lastRenderedPageBreak/>
        <w:t xml:space="preserve">Expansion of eligibility to use the Booking Platform (BP) to </w:t>
      </w:r>
      <w:r w:rsidR="0072608D" w:rsidRPr="007220FA">
        <w:t>Patients under 18 years of age</w:t>
      </w:r>
      <w:bookmarkEnd w:id="68"/>
      <w:bookmarkEnd w:id="69"/>
    </w:p>
    <w:p w14:paraId="1EAD9102" w14:textId="77D6C0A1" w:rsidR="00961784" w:rsidRPr="00772E4E" w:rsidRDefault="00961784" w:rsidP="00961784">
      <w:pPr>
        <w:pStyle w:val="BodyIndent1"/>
        <w:ind w:left="0"/>
        <w:rPr>
          <w:b/>
          <w:bCs/>
          <w:i/>
          <w:iCs/>
          <w:sz w:val="24"/>
          <w:szCs w:val="24"/>
        </w:rPr>
      </w:pPr>
      <w:r w:rsidRPr="00772E4E">
        <w:rPr>
          <w:b/>
          <w:bCs/>
          <w:i/>
          <w:iCs/>
          <w:sz w:val="24"/>
          <w:szCs w:val="24"/>
        </w:rPr>
        <w:t>Date of Analysis: 7 September 2021</w:t>
      </w:r>
    </w:p>
    <w:p w14:paraId="5F339256" w14:textId="36505C8C" w:rsidR="00E50F67" w:rsidRPr="007220FA" w:rsidRDefault="00E50F67" w:rsidP="00416F52">
      <w:pPr>
        <w:pStyle w:val="Heading1"/>
        <w:numPr>
          <w:ilvl w:val="0"/>
          <w:numId w:val="43"/>
        </w:numPr>
      </w:pPr>
      <w:bookmarkStart w:id="70" w:name="_Toc113279936"/>
      <w:r w:rsidRPr="007220FA">
        <w:t>Project Description</w:t>
      </w:r>
      <w:bookmarkEnd w:id="70"/>
    </w:p>
    <w:p w14:paraId="5881DA43" w14:textId="3305F3DC" w:rsidR="00E50F67" w:rsidRPr="007220FA" w:rsidRDefault="00E50F67" w:rsidP="00E50F67">
      <w:pPr>
        <w:pStyle w:val="Headingpara2"/>
      </w:pPr>
      <w:r w:rsidRPr="007220FA">
        <w:t>The</w:t>
      </w:r>
      <w:r w:rsidR="008356F4">
        <w:t xml:space="preserve"> Phase 1b </w:t>
      </w:r>
      <w:r w:rsidR="008C1512">
        <w:t xml:space="preserve">Update </w:t>
      </w:r>
      <w:r w:rsidR="008356F4">
        <w:t>PIA</w:t>
      </w:r>
      <w:r w:rsidR="00347982" w:rsidRPr="007220FA">
        <w:t xml:space="preserve"> </w:t>
      </w:r>
      <w:r w:rsidRPr="007220FA">
        <w:t xml:space="preserve">report contemplated </w:t>
      </w:r>
      <w:proofErr w:type="gramStart"/>
      <w:r w:rsidRPr="007220FA">
        <w:t>that children</w:t>
      </w:r>
      <w:proofErr w:type="gramEnd"/>
      <w:r w:rsidRPr="007220FA">
        <w:t xml:space="preserve"> under 18 years of age (</w:t>
      </w:r>
      <w:r w:rsidRPr="007220FA">
        <w:rPr>
          <w:b/>
          <w:bCs/>
        </w:rPr>
        <w:t>Minors</w:t>
      </w:r>
      <w:r w:rsidRPr="007220FA">
        <w:t xml:space="preserve">) would only receive COVID-19 vaccines as part of Phase 3 of the Vaccine Strategy, unless there were extenuating circumstances (i.e. a Minor fell into a high-risk category). Additionally, the </w:t>
      </w:r>
      <w:r w:rsidR="008356F4">
        <w:t xml:space="preserve">Phase 1b </w:t>
      </w:r>
      <w:r w:rsidR="008C1512">
        <w:t xml:space="preserve">Update </w:t>
      </w:r>
      <w:r w:rsidR="008356F4">
        <w:t>PIA</w:t>
      </w:r>
      <w:r w:rsidRPr="007220FA">
        <w:t xml:space="preserve"> report reflected that Health had decided that Minors would not be able to use automated processes such as the BP to make an appointment, and Health would instead develop a tailored pathway for </w:t>
      </w:r>
      <w:r w:rsidR="00102DF5">
        <w:t xml:space="preserve">Minors to </w:t>
      </w:r>
      <w:r w:rsidRPr="007220FA">
        <w:t>mak</w:t>
      </w:r>
      <w:r w:rsidR="00102DF5">
        <w:t>e</w:t>
      </w:r>
      <w:r w:rsidRPr="007220FA">
        <w:t xml:space="preserve"> bookings. </w:t>
      </w:r>
    </w:p>
    <w:p w14:paraId="089F2132" w14:textId="6EE1B300" w:rsidR="00E50F67" w:rsidRPr="007220FA" w:rsidRDefault="00E50F67" w:rsidP="00E50F67">
      <w:pPr>
        <w:pStyle w:val="Headingpara2"/>
      </w:pPr>
      <w:r w:rsidRPr="007220FA">
        <w:t>Accordingly, we recommended (</w:t>
      </w:r>
      <w:r w:rsidRPr="007220FA">
        <w:rPr>
          <w:b/>
          <w:bCs/>
        </w:rPr>
        <w:t xml:space="preserve">Recommendation 2 </w:t>
      </w:r>
      <w:r w:rsidRPr="00442AA9">
        <w:t xml:space="preserve">in </w:t>
      </w:r>
      <w:r w:rsidRPr="007220FA">
        <w:t xml:space="preserve">the </w:t>
      </w:r>
      <w:r w:rsidR="008356F4">
        <w:t xml:space="preserve">Phase 1b </w:t>
      </w:r>
      <w:r w:rsidR="008C1512">
        <w:t xml:space="preserve">Update </w:t>
      </w:r>
      <w:r w:rsidR="008356F4">
        <w:t>PIA</w:t>
      </w:r>
      <w:r w:rsidRPr="007220FA">
        <w:t xml:space="preserve"> report) that Health should consider developing tailored communication and explanatory materials, and/or alternative processes for Minors aged 15 or older, to ensure that these Minors were able to understand and communicate valid consent. Additionally, we suggested that Health may wish to implement alternative processes that are specifically designed for Minors, such as tailored booking services that would provide an opportunity to assess the individual’s capacity to provide consent and to deliver targeted information. </w:t>
      </w:r>
    </w:p>
    <w:p w14:paraId="5BC9415F" w14:textId="5620FD76" w:rsidR="00E50F67" w:rsidRPr="007220FA" w:rsidRDefault="00E50F67" w:rsidP="00E50F67">
      <w:pPr>
        <w:pStyle w:val="Headingpara2"/>
      </w:pPr>
      <w:r w:rsidRPr="007220FA">
        <w:t xml:space="preserve">However, since the </w:t>
      </w:r>
      <w:r w:rsidR="008356F4">
        <w:t xml:space="preserve">Phase 1b </w:t>
      </w:r>
      <w:r w:rsidR="008C1512">
        <w:t xml:space="preserve">Update </w:t>
      </w:r>
      <w:r w:rsidR="008356F4">
        <w:t>PIA</w:t>
      </w:r>
      <w:r w:rsidRPr="007220FA">
        <w:t xml:space="preserve"> report was finalised, there have been rapid changes in the COVID-19 environment in Australia (including wide-spread outbreaks in certain areas and changes in medical advice about risk levels for various cohorts). Accordingly, the Vaccine Strategy has been updated to allow more Minors to access COVID-19 vaccines as part of Phase 2a of the Vaccine Strategy. Additionally, Health is allowing bookings for Minors to be made through the BP. </w:t>
      </w:r>
    </w:p>
    <w:p w14:paraId="52DDBAEB" w14:textId="50AD646A" w:rsidR="00E50F67" w:rsidRPr="007220FA" w:rsidRDefault="00E50F67" w:rsidP="00E50F67">
      <w:pPr>
        <w:pStyle w:val="Headingpara2"/>
      </w:pPr>
      <w:r w:rsidRPr="007220FA">
        <w:t>Minors who are over 15 will be able to use existing mechanisms (including making bookings through the BP) to make an appointment for, and receive a COVID-19 vaccination, in the same manner as a</w:t>
      </w:r>
      <w:r w:rsidR="00347982" w:rsidRPr="007220FA">
        <w:t>n</w:t>
      </w:r>
      <w:r w:rsidRPr="007220FA">
        <w:t xml:space="preserve"> adult can (except that we understand that there are no plans for Minors to be able to use the </w:t>
      </w:r>
      <w:r w:rsidR="00307065">
        <w:t>Register Your Interest (</w:t>
      </w:r>
      <w:r w:rsidR="00307065">
        <w:rPr>
          <w:b/>
          <w:bCs/>
        </w:rPr>
        <w:t>RYI</w:t>
      </w:r>
      <w:r w:rsidR="00307065">
        <w:t>)</w:t>
      </w:r>
      <w:r w:rsidRPr="007220FA">
        <w:t xml:space="preserve"> solution, so </w:t>
      </w:r>
      <w:r w:rsidR="005D13DD">
        <w:t xml:space="preserve">we </w:t>
      </w:r>
      <w:r w:rsidRPr="007220FA">
        <w:t>have not considered it further in this P</w:t>
      </w:r>
      <w:r w:rsidR="007C6EDE">
        <w:t xml:space="preserve">hase 2a </w:t>
      </w:r>
      <w:r w:rsidR="008C1512">
        <w:t xml:space="preserve">Update </w:t>
      </w:r>
      <w:r w:rsidR="007C6EDE">
        <w:t xml:space="preserve">PIA </w:t>
      </w:r>
      <w:r w:rsidRPr="007220FA">
        <w:t>report).</w:t>
      </w:r>
    </w:p>
    <w:p w14:paraId="1F58A84F" w14:textId="77777777" w:rsidR="00E50F67" w:rsidRPr="007220FA" w:rsidRDefault="00E50F67" w:rsidP="00E50F67">
      <w:pPr>
        <w:pStyle w:val="Headingpara2"/>
      </w:pPr>
      <w:r w:rsidRPr="007220FA">
        <w:t xml:space="preserve">In addition, </w:t>
      </w:r>
      <w:proofErr w:type="gramStart"/>
      <w:r w:rsidRPr="007220FA">
        <w:t>Parents</w:t>
      </w:r>
      <w:proofErr w:type="gramEnd"/>
      <w:r w:rsidRPr="007220FA">
        <w:t xml:space="preserve"> or guardians (and presumably any others who have the necessary legal authority) of Minors who are under 15 are able to use existing mechanisms (including making bookings through the BP) on behalf of the Minor.</w:t>
      </w:r>
    </w:p>
    <w:p w14:paraId="273D977F" w14:textId="77777777" w:rsidR="00E50F67" w:rsidRPr="007220FA" w:rsidRDefault="00E50F67" w:rsidP="00E50F67">
      <w:pPr>
        <w:pStyle w:val="Headingpara2"/>
      </w:pPr>
      <w:r w:rsidRPr="007220FA">
        <w:t xml:space="preserve">In both cases, the information flows for Minors are the same as for other Patients. </w:t>
      </w:r>
    </w:p>
    <w:p w14:paraId="00E9B0D7" w14:textId="77777777" w:rsidR="00E50F67" w:rsidRPr="007220FA" w:rsidRDefault="00E50F67" w:rsidP="00E50F67">
      <w:pPr>
        <w:pStyle w:val="Heading1"/>
      </w:pPr>
      <w:bookmarkStart w:id="71" w:name="_Ref95746000"/>
      <w:bookmarkStart w:id="72" w:name="_Toc113279937"/>
      <w:r w:rsidRPr="007220FA">
        <w:t>Privacy impact analysis and compliance</w:t>
      </w:r>
      <w:bookmarkEnd w:id="71"/>
      <w:bookmarkEnd w:id="72"/>
    </w:p>
    <w:p w14:paraId="2031E972" w14:textId="65494613" w:rsidR="00E50F67" w:rsidRPr="007220FA" w:rsidRDefault="00E50F67" w:rsidP="00E50F67">
      <w:pPr>
        <w:pStyle w:val="Headingpara2"/>
      </w:pPr>
      <w:r w:rsidRPr="007220FA">
        <w:t>The major privacy issue for consideration with the introduction of Minors into the Vaccine Strategy, in circumstances where the information flows for Minors are the same as for other Patients, is the extent to which Minors can provide valid consent to the handling of their personal information, as required for the delivery of COVID-19 vaccine</w:t>
      </w:r>
      <w:r w:rsidR="007868E5">
        <w:t>s</w:t>
      </w:r>
      <w:r w:rsidRPr="007220FA">
        <w:t xml:space="preserve">. </w:t>
      </w:r>
    </w:p>
    <w:p w14:paraId="35D57CE1" w14:textId="77777777" w:rsidR="00E50F67" w:rsidRPr="007220FA" w:rsidRDefault="00E50F67" w:rsidP="00E50F67">
      <w:pPr>
        <w:pStyle w:val="BodyIndent1"/>
        <w:rPr>
          <w:i/>
          <w:iCs/>
          <w:u w:val="single"/>
        </w:rPr>
      </w:pPr>
      <w:r w:rsidRPr="007220FA">
        <w:rPr>
          <w:i/>
          <w:iCs/>
          <w:u w:val="single"/>
        </w:rPr>
        <w:t xml:space="preserve">Minors between 15 and 17 years of age </w:t>
      </w:r>
    </w:p>
    <w:p w14:paraId="5A248723" w14:textId="77777777" w:rsidR="00E50F67" w:rsidRPr="007220FA" w:rsidRDefault="00E50F67" w:rsidP="00E50F67">
      <w:pPr>
        <w:pStyle w:val="Headingpara2"/>
      </w:pPr>
      <w:r w:rsidRPr="007220FA">
        <w:t xml:space="preserve">Guidance from the OAIC indicates that, if it is not practical for an APP entity to assess the capacity of individuals under the age of 18 on a case-by-case basis, it may presume that an individual aged 15 and over has sufficient capacity to consent (unless the APP entity is aware of circumstances which would alter that presumption), and conversely, it should not be presumed that an individual aged under 15 has capacity to give consent. </w:t>
      </w:r>
    </w:p>
    <w:p w14:paraId="46611F22" w14:textId="7345B72D" w:rsidR="00E50F67" w:rsidRPr="007220FA" w:rsidRDefault="00E50F67" w:rsidP="00E50F67">
      <w:pPr>
        <w:pStyle w:val="Headingpara2"/>
      </w:pPr>
      <w:r w:rsidRPr="007220FA">
        <w:lastRenderedPageBreak/>
        <w:t>We therefore consider that Health can assume that any Minor aged 15 and over has the capacity to consent to the collection and handling of their personal information, as required for the delivery of the COVID-19 vaccine</w:t>
      </w:r>
      <w:r w:rsidR="007868E5">
        <w:t>s</w:t>
      </w:r>
      <w:r w:rsidRPr="007220FA">
        <w:t xml:space="preserve">. </w:t>
      </w:r>
    </w:p>
    <w:p w14:paraId="16F437E4" w14:textId="77777777" w:rsidR="00E50F67" w:rsidRPr="007220FA" w:rsidRDefault="00E50F67" w:rsidP="00E50F67">
      <w:pPr>
        <w:pStyle w:val="Headingpara2"/>
      </w:pPr>
      <w:r w:rsidRPr="007220FA">
        <w:t xml:space="preserve">However, it is important that Health ensures that its forms and explanatory materials are sufficiently simple </w:t>
      </w:r>
      <w:proofErr w:type="gramStart"/>
      <w:r w:rsidRPr="007220FA">
        <w:t>so as to</w:t>
      </w:r>
      <w:proofErr w:type="gramEnd"/>
      <w:r w:rsidRPr="007220FA">
        <w:t xml:space="preserve"> be understood by Minors between 15 and 17 years of age. This will assist Health to demonstrate that it is obtaining informed consent from these Minors. </w:t>
      </w:r>
    </w:p>
    <w:p w14:paraId="3210E5D1" w14:textId="16ACCCDF" w:rsidR="00E50F67" w:rsidRPr="007220FA" w:rsidRDefault="00E50F67" w:rsidP="00E50F67">
      <w:pPr>
        <w:pStyle w:val="Headingpara2"/>
      </w:pPr>
      <w:r w:rsidRPr="007220FA">
        <w:t>We have had the opportunity to work closely with Health as it has prepared and finalised a range of explanatory materials and forms in connection with the Vaccine Strategy (</w:t>
      </w:r>
      <w:proofErr w:type="gramStart"/>
      <w:r w:rsidRPr="007220FA">
        <w:t>e.g.</w:t>
      </w:r>
      <w:proofErr w:type="gramEnd"/>
      <w:r w:rsidRPr="007220FA">
        <w:t xml:space="preserve"> the BP Privacy Policy, the BP </w:t>
      </w:r>
      <w:r w:rsidR="00EA66F9">
        <w:t>Privacy</w:t>
      </w:r>
      <w:r w:rsidRPr="007220FA">
        <w:t xml:space="preserve"> Notice and </w:t>
      </w:r>
      <w:r w:rsidR="00680BE4">
        <w:t>consent form</w:t>
      </w:r>
      <w:r w:rsidRPr="007220FA">
        <w:t>). We are satisfied that Health has taken steps to ensure that these documents and forms are drafted in plain English, with the intent that they be able to be understood by a wide range of audiences (</w:t>
      </w:r>
      <w:proofErr w:type="gramStart"/>
      <w:r w:rsidRPr="007220FA">
        <w:t>e.g.</w:t>
      </w:r>
      <w:proofErr w:type="gramEnd"/>
      <w:r w:rsidRPr="007220FA">
        <w:t xml:space="preserve"> including Patients with basic English skills). </w:t>
      </w:r>
    </w:p>
    <w:p w14:paraId="4D4D6169" w14:textId="50E96ADD" w:rsidR="00E50F67" w:rsidRPr="007220FA" w:rsidRDefault="00E50F67" w:rsidP="00E50F67">
      <w:pPr>
        <w:pStyle w:val="Headingpara2"/>
      </w:pPr>
      <w:r w:rsidRPr="007220FA">
        <w:t xml:space="preserve">It is also important to consider the time and resources that would need to be diverted from other activities to tailor resources for the </w:t>
      </w:r>
      <w:proofErr w:type="gramStart"/>
      <w:r w:rsidRPr="007220FA">
        <w:t>15-17 year</w:t>
      </w:r>
      <w:r w:rsidR="00AC13F4">
        <w:t xml:space="preserve"> old</w:t>
      </w:r>
      <w:proofErr w:type="gramEnd"/>
      <w:r w:rsidRPr="007220FA">
        <w:t xml:space="preserve"> cohort. The practicalities of having different notices and forms available for differently aged Patients, and the need for consistent processes to ensure the vaccination process is as fast and effective as possible, is also relevant. In these circumstances, we now do not consider it practicable, or necessary, for Health to develop new versions of forms and material that is targeted specifically at Minors aged 15-17 years of age.  </w:t>
      </w:r>
    </w:p>
    <w:p w14:paraId="2C9ED4DC" w14:textId="07A2D36C" w:rsidR="00E50F67" w:rsidRPr="007220FA" w:rsidRDefault="00E50F67" w:rsidP="00E50F67">
      <w:pPr>
        <w:pStyle w:val="BodyIndent1"/>
        <w:rPr>
          <w:i/>
          <w:iCs/>
          <w:u w:val="single"/>
        </w:rPr>
      </w:pPr>
      <w:r w:rsidRPr="007220FA">
        <w:rPr>
          <w:i/>
          <w:iCs/>
          <w:u w:val="single"/>
        </w:rPr>
        <w:t xml:space="preserve">Minors under 15 years of age </w:t>
      </w:r>
      <w:r w:rsidR="00772E4E">
        <w:rPr>
          <w:i/>
          <w:iCs/>
          <w:u w:val="single"/>
        </w:rPr>
        <w:t>(including children 12-15 years; children 5-11 years; and children under 5 years)</w:t>
      </w:r>
    </w:p>
    <w:p w14:paraId="6458BBFC" w14:textId="38A6C0B0" w:rsidR="00E50F67" w:rsidRPr="007220FA" w:rsidRDefault="00E50F67" w:rsidP="00E50F67">
      <w:pPr>
        <w:pStyle w:val="Headingpara2"/>
      </w:pPr>
      <w:r w:rsidRPr="007220FA">
        <w:t>In most cases, it will be appropriate for Health to ensure that valid consent to the handling of the personal information about a Minor under 15 years of age is obtained from the Minor’s parent or legal guardian. This will provide appropriate authority for the handling of personal information, in the same way as for an adult.</w:t>
      </w:r>
    </w:p>
    <w:p w14:paraId="3B309800" w14:textId="538491BD" w:rsidR="00E50F67" w:rsidRPr="007220FA" w:rsidRDefault="00E50F67" w:rsidP="00E50F67">
      <w:pPr>
        <w:pStyle w:val="Headingpara2"/>
      </w:pPr>
      <w:r w:rsidRPr="007220FA">
        <w:t xml:space="preserve">In this regard, we note that the </w:t>
      </w:r>
      <w:r w:rsidR="00680BE4">
        <w:t>consent form</w:t>
      </w:r>
      <w:r w:rsidRPr="007220FA">
        <w:t xml:space="preserve"> already includes a section that allows a parent or legal guardian to provide their consent on behalf of a Patient. We consider that this is appropriate from a privacy perspective. </w:t>
      </w:r>
    </w:p>
    <w:p w14:paraId="52440F97" w14:textId="77777777" w:rsidR="00E50F67" w:rsidRPr="007220FA" w:rsidRDefault="00E50F67" w:rsidP="00E50F67">
      <w:pPr>
        <w:pStyle w:val="Headingpara2"/>
      </w:pPr>
      <w:r w:rsidRPr="007220FA">
        <w:t xml:space="preserve">The BP allows a booking to be made for ‘someone else’ – </w:t>
      </w:r>
      <w:proofErr w:type="gramStart"/>
      <w:r w:rsidRPr="007220FA">
        <w:t>i.e.</w:t>
      </w:r>
      <w:proofErr w:type="gramEnd"/>
      <w:r w:rsidRPr="007220FA">
        <w:t xml:space="preserve"> the BP allows parents or guardians to make an appointment on behalf of a Minor. We consider that this is a privacy-enhancing feature of the BP. </w:t>
      </w:r>
    </w:p>
    <w:p w14:paraId="1816FAA9" w14:textId="6601CD28" w:rsidR="00E50F67" w:rsidRPr="007220FA" w:rsidRDefault="00E50F67" w:rsidP="00E50F67">
      <w:pPr>
        <w:pStyle w:val="Headingpara2"/>
      </w:pPr>
      <w:r w:rsidRPr="007220FA">
        <w:t xml:space="preserve">However, we understand that the BP does not </w:t>
      </w:r>
      <w:r w:rsidRPr="007220FA">
        <w:rPr>
          <w:i/>
          <w:iCs/>
        </w:rPr>
        <w:t xml:space="preserve">require </w:t>
      </w:r>
      <w:r w:rsidRPr="007220FA">
        <w:t>a person</w:t>
      </w:r>
      <w:r w:rsidR="00D27E95">
        <w:t xml:space="preserve"> who</w:t>
      </w:r>
      <w:r w:rsidRPr="007220FA">
        <w:t xml:space="preserve"> is under 15 years of age to ensure that their parent or guardian’s consent is obtained before they are able to book an appointment for a COVID-19 vaccine (including providing consent for the associated collection and handling of their personal information). For example, even if a Minor enters a date of birth indicating that they are 12 years of age, the BP does not contain technical measures that requires a parent or guardian to confirm that they have consented to the handling of the Minor’s personal information. </w:t>
      </w:r>
    </w:p>
    <w:p w14:paraId="449AE0F6" w14:textId="77777777" w:rsidR="00E50F67" w:rsidRPr="007220FA" w:rsidRDefault="00E50F67" w:rsidP="00E50F67">
      <w:pPr>
        <w:pStyle w:val="Headingpara2"/>
      </w:pPr>
      <w:r w:rsidRPr="007220FA">
        <w:t xml:space="preserve">If a Patient indicates that they are under 15 years of age, Health should not assume that the Patient has the requisite capacity to provide consent to the handling of their personal information. </w:t>
      </w:r>
      <w:proofErr w:type="gramStart"/>
      <w:r w:rsidRPr="007220FA">
        <w:t>A number of</w:t>
      </w:r>
      <w:proofErr w:type="gramEnd"/>
      <w:r w:rsidRPr="007220FA">
        <w:t xml:space="preserve"> APP compliance risks associated with subsequent collections, uses and disclosures of personal information during the vaccination process are mitigated by the obtaining of consent at the BP stage. </w:t>
      </w:r>
    </w:p>
    <w:p w14:paraId="04B526B8" w14:textId="41FA3463" w:rsidR="00E50F67" w:rsidRPr="007220FA" w:rsidRDefault="00E50F67" w:rsidP="00E50F67">
      <w:pPr>
        <w:pStyle w:val="Headingpara2"/>
      </w:pPr>
      <w:r w:rsidRPr="007220FA">
        <w:t xml:space="preserve">We accordingly </w:t>
      </w:r>
      <w:r w:rsidRPr="00772E4E">
        <w:rPr>
          <w:b/>
          <w:bCs/>
          <w:color w:val="960030" w:themeColor="accent2"/>
        </w:rPr>
        <w:t>recommend</w:t>
      </w:r>
      <w:r w:rsidRPr="00772E4E">
        <w:rPr>
          <w:color w:val="960030" w:themeColor="accent2"/>
        </w:rPr>
        <w:t xml:space="preserve"> </w:t>
      </w:r>
      <w:r w:rsidRPr="007220FA">
        <w:t>that Health consider requiring HealthEngine</w:t>
      </w:r>
      <w:r w:rsidR="0095249D">
        <w:t xml:space="preserve"> Pty Ltd (</w:t>
      </w:r>
      <w:r w:rsidR="0095249D">
        <w:rPr>
          <w:b/>
          <w:bCs/>
        </w:rPr>
        <w:t>HealthEngine</w:t>
      </w:r>
      <w:r w:rsidR="0095249D">
        <w:t>)</w:t>
      </w:r>
      <w:r w:rsidRPr="007220FA">
        <w:t>, as the provider and operator of the BP, to ensure that if a Patient indicates that they are under 15 years of age, the Patient is notified that a parent or legal guardian must complete the booking on their behalf by entering their details and providing the required consent (or, as discussed below, the Patient must contact Health or another nominated entity if the Patient does not have a parent or legal guardian who can make a booking for them)</w:t>
      </w:r>
      <w:r w:rsidR="00680BE4">
        <w:rPr>
          <w:color w:val="82002A" w:themeColor="accent1"/>
        </w:rPr>
        <w:t xml:space="preserve">. </w:t>
      </w:r>
    </w:p>
    <w:p w14:paraId="349B2328" w14:textId="1BA901EC" w:rsidR="00E50F67" w:rsidRPr="007220FA" w:rsidRDefault="00E50F67" w:rsidP="00C1421D">
      <w:pPr>
        <w:pStyle w:val="Headingpara2"/>
        <w:keepNext/>
        <w:keepLines/>
      </w:pPr>
      <w:bookmarkStart w:id="73" w:name="_Ref81893147"/>
      <w:r w:rsidRPr="007220FA">
        <w:lastRenderedPageBreak/>
        <w:t>We understand that there may be extenuating circumstances in which a</w:t>
      </w:r>
      <w:r w:rsidR="00772E4E">
        <w:t>n older</w:t>
      </w:r>
      <w:r w:rsidRPr="007220FA">
        <w:t xml:space="preserve"> Minor under 15 years of age does not have a parent or legal guardian available to provide consent on their behalf (</w:t>
      </w:r>
      <w:proofErr w:type="gramStart"/>
      <w:r w:rsidRPr="007220FA">
        <w:t>e.g.</w:t>
      </w:r>
      <w:proofErr w:type="gramEnd"/>
      <w:r w:rsidRPr="007220FA">
        <w:t xml:space="preserve"> if they are emancipated or otherwise do not have any contact with a parent or legal guardian). We consider it is important that Health implement processes so that these Minors can, where appropriate, provide informed consent to the collection and handling of their personal information </w:t>
      </w:r>
      <w:proofErr w:type="gramStart"/>
      <w:r w:rsidRPr="007220FA">
        <w:t>in the course of</w:t>
      </w:r>
      <w:proofErr w:type="gramEnd"/>
      <w:r w:rsidRPr="007220FA">
        <w:t xml:space="preserve"> receiving a COVID-19 vaccine. </w:t>
      </w:r>
    </w:p>
    <w:p w14:paraId="3EA085DB" w14:textId="01DADEEE" w:rsidR="00E50F67" w:rsidRPr="007220FA" w:rsidRDefault="00E50F67" w:rsidP="00E50F67">
      <w:pPr>
        <w:pStyle w:val="Headingpara2"/>
      </w:pPr>
      <w:r w:rsidRPr="007220FA">
        <w:t xml:space="preserve">Accordingly, we </w:t>
      </w:r>
      <w:r w:rsidR="00772E4E" w:rsidRPr="00772E4E">
        <w:rPr>
          <w:b/>
          <w:bCs/>
          <w:color w:val="960030" w:themeColor="accent2"/>
        </w:rPr>
        <w:t>recommend</w:t>
      </w:r>
      <w:r w:rsidR="00772E4E" w:rsidRPr="00772E4E">
        <w:rPr>
          <w:color w:val="960030" w:themeColor="accent2"/>
        </w:rPr>
        <w:t xml:space="preserve"> </w:t>
      </w:r>
      <w:r w:rsidRPr="007220FA">
        <w:t>that Health consider ensuring that there are current alternative booking systems in place that would provide an opportunity to assess individuals’ capacity to provide consent, and to deliver targeted information</w:t>
      </w:r>
      <w:r w:rsidR="0095249D" w:rsidRPr="0095249D">
        <w:t xml:space="preserve">. </w:t>
      </w:r>
      <w:r w:rsidRPr="0095249D">
        <w:t xml:space="preserve">For </w:t>
      </w:r>
      <w:r w:rsidRPr="007220FA">
        <w:t>example, Health may wish to consider requiring these Minors</w:t>
      </w:r>
      <w:r w:rsidR="0095249D">
        <w:t xml:space="preserve"> to</w:t>
      </w:r>
      <w:r w:rsidRPr="007220FA">
        <w:t xml:space="preserve"> contact a Health tailored booking service, or a Vaccination Provider who is </w:t>
      </w:r>
      <w:r w:rsidR="0095249D">
        <w:t xml:space="preserve">a </w:t>
      </w:r>
      <w:r w:rsidRPr="007220FA">
        <w:t>health professional, who can gauge their capacity to provide informed consent</w:t>
      </w:r>
      <w:r w:rsidRPr="007220FA">
        <w:rPr>
          <w:rStyle w:val="FootnoteReference"/>
        </w:rPr>
        <w:footnoteReference w:id="14"/>
      </w:r>
      <w:r w:rsidRPr="007220FA">
        <w:t>.</w:t>
      </w:r>
      <w:bookmarkEnd w:id="73"/>
    </w:p>
    <w:p w14:paraId="59AE08BB" w14:textId="20B72211" w:rsidR="00772E4E" w:rsidRPr="00772E4E" w:rsidRDefault="00772E4E" w:rsidP="00772E4E">
      <w:pPr>
        <w:pStyle w:val="Headingpara2"/>
        <w:numPr>
          <w:ilvl w:val="0"/>
          <w:numId w:val="0"/>
        </w:numPr>
        <w:ind w:left="851"/>
        <w:rPr>
          <w:i/>
          <w:iCs/>
        </w:rPr>
      </w:pPr>
      <w:r w:rsidRPr="00772E4E">
        <w:rPr>
          <w:i/>
          <w:iCs/>
        </w:rPr>
        <w:t>Addendum</w:t>
      </w:r>
      <w:r>
        <w:rPr>
          <w:i/>
          <w:iCs/>
        </w:rPr>
        <w:t xml:space="preserve"> – Children under 12 years (completed 20 December 2021)</w:t>
      </w:r>
    </w:p>
    <w:p w14:paraId="68EEC09F" w14:textId="7467B8BE" w:rsidR="00006814" w:rsidRPr="007220FA" w:rsidRDefault="00772E4E" w:rsidP="00330F21">
      <w:pPr>
        <w:pStyle w:val="Headingpara2"/>
      </w:pPr>
      <w:r>
        <w:t xml:space="preserve">Further to the above, </w:t>
      </w:r>
      <w:r w:rsidR="00006814" w:rsidRPr="007220FA">
        <w:t xml:space="preserve">Minors aged between 5 – 11 years of age </w:t>
      </w:r>
      <w:r>
        <w:t xml:space="preserve">will be eligible to receive </w:t>
      </w:r>
      <w:r w:rsidR="00006814" w:rsidRPr="007220FA">
        <w:t>a vaccine</w:t>
      </w:r>
      <w:r w:rsidR="00872229">
        <w:t xml:space="preserve"> in January 2022.</w:t>
      </w:r>
      <w:r>
        <w:rPr>
          <w:rStyle w:val="FootnoteReference"/>
        </w:rPr>
        <w:footnoteReference w:id="15"/>
      </w:r>
      <w:r w:rsidR="00006814" w:rsidRPr="007220FA">
        <w:t xml:space="preserve"> We do not consider that the </w:t>
      </w:r>
      <w:r w:rsidR="00373E08" w:rsidRPr="007220FA">
        <w:t>introduction of this new cohort of eligible Patients raises an</w:t>
      </w:r>
      <w:r w:rsidR="0095249D">
        <w:t>y</w:t>
      </w:r>
      <w:r w:rsidR="00373E08" w:rsidRPr="007220FA">
        <w:t xml:space="preserve"> </w:t>
      </w:r>
      <w:r>
        <w:t xml:space="preserve">additional </w:t>
      </w:r>
      <w:r w:rsidR="00373E08" w:rsidRPr="007220FA">
        <w:t xml:space="preserve">privacy risks that have not been </w:t>
      </w:r>
      <w:r>
        <w:t xml:space="preserve">already </w:t>
      </w:r>
      <w:r w:rsidR="00373E08" w:rsidRPr="007220FA">
        <w:t xml:space="preserve">considered in this </w:t>
      </w:r>
      <w:r w:rsidR="00405A10" w:rsidRPr="007220FA">
        <w:rPr>
          <w:b/>
          <w:bCs/>
        </w:rPr>
        <w:fldChar w:fldCharType="begin"/>
      </w:r>
      <w:r w:rsidR="00405A10" w:rsidRPr="007220FA">
        <w:rPr>
          <w:b/>
          <w:bCs/>
        </w:rPr>
        <w:instrText xml:space="preserve"> REF _Ref94534372 \r \h  \* MERGEFORMAT </w:instrText>
      </w:r>
      <w:r w:rsidR="00405A10" w:rsidRPr="007220FA">
        <w:rPr>
          <w:b/>
          <w:bCs/>
        </w:rPr>
      </w:r>
      <w:r w:rsidR="00405A10" w:rsidRPr="007220FA">
        <w:rPr>
          <w:b/>
          <w:bCs/>
        </w:rPr>
        <w:fldChar w:fldCharType="separate"/>
      </w:r>
      <w:r w:rsidR="00405A10">
        <w:rPr>
          <w:b/>
          <w:bCs/>
        </w:rPr>
        <w:t>Section B</w:t>
      </w:r>
      <w:r w:rsidR="00405A10" w:rsidRPr="007220FA">
        <w:rPr>
          <w:b/>
          <w:bCs/>
        </w:rPr>
        <w:fldChar w:fldCharType="end"/>
      </w:r>
      <w:r w:rsidR="00405A10" w:rsidRPr="007220FA">
        <w:rPr>
          <w:b/>
          <w:bCs/>
        </w:rPr>
        <w:t xml:space="preserve"> [Expansion of eligibility to use the Booking Platform (BP) to Patients under 18 years of age]</w:t>
      </w:r>
      <w:r w:rsidR="00405A10" w:rsidRPr="007220FA">
        <w:t>.</w:t>
      </w:r>
    </w:p>
    <w:p w14:paraId="5E4425E2" w14:textId="77777777" w:rsidR="002E53DC" w:rsidRPr="007220FA" w:rsidRDefault="002E53DC" w:rsidP="002E53DC">
      <w:r w:rsidRPr="007220FA">
        <w:br w:type="page"/>
      </w:r>
    </w:p>
    <w:p w14:paraId="5BA46C53" w14:textId="357B0EF8" w:rsidR="0082637F" w:rsidRPr="007220FA" w:rsidRDefault="00273E88" w:rsidP="00915D05">
      <w:pPr>
        <w:pStyle w:val="Sectionheading"/>
        <w:pageBreakBefore w:val="0"/>
      </w:pPr>
      <w:bookmarkStart w:id="74" w:name="_Ref94506121"/>
      <w:bookmarkStart w:id="75" w:name="_Toc113279938"/>
      <w:bookmarkStart w:id="76" w:name="_Hlk94536532"/>
      <w:r w:rsidRPr="007220FA">
        <w:lastRenderedPageBreak/>
        <w:t>Integration of the Commonwealth-Procured Booking Platform (BP) and the Clinician Vaccine Integrated Platform (CVIP) solution</w:t>
      </w:r>
      <w:bookmarkEnd w:id="74"/>
      <w:bookmarkEnd w:id="75"/>
    </w:p>
    <w:bookmarkEnd w:id="76"/>
    <w:p w14:paraId="469BB6DD" w14:textId="0799067F" w:rsidR="00F32CE1" w:rsidRPr="008C1512" w:rsidRDefault="00F32CE1" w:rsidP="00F32CE1">
      <w:pPr>
        <w:pStyle w:val="BodyIndent1"/>
        <w:ind w:left="0"/>
        <w:rPr>
          <w:b/>
          <w:bCs/>
          <w:i/>
          <w:iCs/>
          <w:sz w:val="24"/>
          <w:szCs w:val="24"/>
        </w:rPr>
      </w:pPr>
      <w:r w:rsidRPr="008C1512">
        <w:rPr>
          <w:b/>
          <w:bCs/>
          <w:i/>
          <w:iCs/>
          <w:sz w:val="24"/>
          <w:szCs w:val="24"/>
        </w:rPr>
        <w:t xml:space="preserve">Date of Analysis: </w:t>
      </w:r>
      <w:r w:rsidR="00F46EA2" w:rsidRPr="008C1512">
        <w:rPr>
          <w:b/>
          <w:bCs/>
          <w:i/>
          <w:iCs/>
          <w:sz w:val="24"/>
          <w:szCs w:val="24"/>
        </w:rPr>
        <w:t xml:space="preserve">1 September 2021 </w:t>
      </w:r>
    </w:p>
    <w:p w14:paraId="4DDC9786" w14:textId="77777777" w:rsidR="0082637F" w:rsidRPr="007220FA" w:rsidRDefault="0082637F" w:rsidP="00416F52">
      <w:pPr>
        <w:pStyle w:val="Heading1"/>
        <w:numPr>
          <w:ilvl w:val="0"/>
          <w:numId w:val="44"/>
        </w:numPr>
      </w:pPr>
      <w:bookmarkStart w:id="77" w:name="_Toc113279939"/>
      <w:r w:rsidRPr="007220FA">
        <w:t>Project Description</w:t>
      </w:r>
      <w:bookmarkEnd w:id="77"/>
    </w:p>
    <w:p w14:paraId="3BB57784" w14:textId="03726337" w:rsidR="001A6D7F" w:rsidRPr="007220FA" w:rsidRDefault="001A6D7F" w:rsidP="001A6D7F">
      <w:pPr>
        <w:pStyle w:val="Headingpara2"/>
      </w:pPr>
      <w:r w:rsidRPr="007220FA">
        <w:t xml:space="preserve">As described in the </w:t>
      </w:r>
      <w:r w:rsidR="0095249D">
        <w:t>Phase 1b</w:t>
      </w:r>
      <w:r w:rsidR="008C1512">
        <w:t xml:space="preserve"> Update</w:t>
      </w:r>
      <w:r w:rsidR="0095249D">
        <w:t xml:space="preserve"> PIA</w:t>
      </w:r>
      <w:r w:rsidRPr="007220FA">
        <w:t xml:space="preserve"> report:</w:t>
      </w:r>
    </w:p>
    <w:p w14:paraId="3BB6D706" w14:textId="3C810FD1" w:rsidR="001A6D7F" w:rsidRPr="007220FA" w:rsidRDefault="001A6D7F" w:rsidP="001A6D7F">
      <w:pPr>
        <w:pStyle w:val="Heading3"/>
      </w:pPr>
      <w:r w:rsidRPr="007220FA">
        <w:t xml:space="preserve">Health has procured </w:t>
      </w:r>
      <w:r w:rsidR="00150BA4" w:rsidRPr="007220FA">
        <w:t>the BP</w:t>
      </w:r>
      <w:r w:rsidRPr="007220FA">
        <w:t xml:space="preserve"> from HealthEngine Pty Ltd to facilitate on-line bookings for members of the Australian public who wish to book an appointment to receive their COVID</w:t>
      </w:r>
      <w:r w:rsidRPr="007220FA">
        <w:noBreakHyphen/>
        <w:t>19 vaccination with a Vaccine Provider who does not already have, or does not wish to use, their own booking systems; and</w:t>
      </w:r>
    </w:p>
    <w:p w14:paraId="7063D360" w14:textId="177DED11" w:rsidR="001A6D7F" w:rsidRPr="007220FA" w:rsidRDefault="001A6D7F" w:rsidP="001A6D7F">
      <w:pPr>
        <w:pStyle w:val="Heading3"/>
      </w:pPr>
      <w:r w:rsidRPr="007220FA">
        <w:t xml:space="preserve">Health (in cooperation with </w:t>
      </w:r>
      <w:r w:rsidR="0095249D">
        <w:t xml:space="preserve">the </w:t>
      </w:r>
      <w:r w:rsidRPr="007220FA">
        <w:t xml:space="preserve">ADHA) has implemented the </w:t>
      </w:r>
      <w:r w:rsidR="00150BA4" w:rsidRPr="007220FA">
        <w:t>CVIP</w:t>
      </w:r>
      <w:r w:rsidRPr="007220FA">
        <w:t xml:space="preserve"> solution, including </w:t>
      </w:r>
      <w:r w:rsidR="00150BA4" w:rsidRPr="007220FA">
        <w:t>the CVIP App</w:t>
      </w:r>
      <w:r w:rsidRPr="007220FA">
        <w:t xml:space="preserve">, to allow Vaccinators administering a COVID-19 vaccine to access the </w:t>
      </w:r>
      <w:r w:rsidR="00150BA4" w:rsidRPr="007220FA">
        <w:t>AIR</w:t>
      </w:r>
      <w:r w:rsidRPr="007220FA">
        <w:t xml:space="preserve"> and submit required information about vaccinations administered to the AIR. </w:t>
      </w:r>
    </w:p>
    <w:p w14:paraId="40B0EDAE" w14:textId="5F469A7F" w:rsidR="001A6D7F" w:rsidRPr="007220FA" w:rsidRDefault="001A6D7F" w:rsidP="001A6D7F">
      <w:pPr>
        <w:pStyle w:val="Headingpara2"/>
      </w:pPr>
      <w:r w:rsidRPr="007220FA">
        <w:t xml:space="preserve">At the time that the </w:t>
      </w:r>
      <w:r w:rsidR="0095249D">
        <w:t xml:space="preserve">Phase 1b </w:t>
      </w:r>
      <w:r w:rsidR="008C1512">
        <w:t xml:space="preserve">Update </w:t>
      </w:r>
      <w:r w:rsidR="0095249D">
        <w:t>PIA</w:t>
      </w:r>
      <w:r w:rsidRPr="007220FA">
        <w:t xml:space="preserve"> was undertaken, although information about Patients which was collected as part of the BP was transferred to Vaccine Providers, there were no plans to integrate the BP and CVIP systems so that information about Patients who have booked an appointment would be automatically populated into the CVIP solution.</w:t>
      </w:r>
    </w:p>
    <w:p w14:paraId="5E9B03F3" w14:textId="32A1E283" w:rsidR="001A6D7F" w:rsidRPr="007220FA" w:rsidRDefault="001A6D7F" w:rsidP="001A6D7F">
      <w:pPr>
        <w:pStyle w:val="Headingpara2"/>
      </w:pPr>
      <w:r w:rsidRPr="007220FA">
        <w:t xml:space="preserve">This means that Vaccine Providers who are using both the BP and CVIP solutions need to extract information from the BP solution to their own systems, and then separately enter and use that information in the CVIP App (the Phase 1b </w:t>
      </w:r>
      <w:r w:rsidR="008C1512">
        <w:t xml:space="preserve">Update </w:t>
      </w:r>
      <w:r w:rsidRPr="007220FA">
        <w:t>PIA report sets out how either the Patient can enter their relevant information via a webform, or the Vaccinator could seek the relevant information from the Patient during their appointment and then enter it into the CVIP App).</w:t>
      </w:r>
    </w:p>
    <w:p w14:paraId="7BF37603" w14:textId="09C8B888" w:rsidR="001A6D7F" w:rsidRPr="007220FA" w:rsidRDefault="001A6D7F" w:rsidP="001A6D7F">
      <w:pPr>
        <w:pStyle w:val="Headingpara2"/>
      </w:pPr>
      <w:r w:rsidRPr="007220FA">
        <w:t>For some Vaccine Providers, particularly State</w:t>
      </w:r>
      <w:r w:rsidR="0095249D">
        <w:t>s</w:t>
      </w:r>
      <w:r w:rsidRPr="007220FA">
        <w:t xml:space="preserve"> and Territories operating large vaccination clinics, this process of receiving information from the BP and then separately using that information to enter it into the CVIP solution, has proved to be resource intensive, requiring additional time and personnel for Vaccine Providers to process vaccinations. </w:t>
      </w:r>
    </w:p>
    <w:p w14:paraId="46035124" w14:textId="3CB6CB9C" w:rsidR="001A6D7F" w:rsidRPr="007220FA" w:rsidRDefault="001A6D7F" w:rsidP="001A6D7F">
      <w:pPr>
        <w:pStyle w:val="Headingpara2"/>
      </w:pPr>
      <w:r w:rsidRPr="007220FA">
        <w:t xml:space="preserve">Therefore, Health (together with </w:t>
      </w:r>
      <w:r w:rsidR="0095249D">
        <w:t xml:space="preserve">the </w:t>
      </w:r>
      <w:r w:rsidRPr="007220FA">
        <w:t xml:space="preserve">ADHA) intends to further develop and integrate the BP and CVIP solutions to allow the one-way transfer of Patient Information from the BP to the CVIP. </w:t>
      </w:r>
    </w:p>
    <w:p w14:paraId="084CBC41" w14:textId="43143C61" w:rsidR="001A6D7F" w:rsidRPr="007220FA" w:rsidRDefault="001A6D7F" w:rsidP="001A6D7F">
      <w:pPr>
        <w:pStyle w:val="Headingpara2"/>
      </w:pPr>
      <w:r w:rsidRPr="007220FA">
        <w:t>Where a Vaccine Provider has demonstrated to Health that there is a need for the integration in relation to a vaccination clinic operated by it (</w:t>
      </w:r>
      <w:r w:rsidRPr="007220FA">
        <w:rPr>
          <w:b/>
          <w:bCs/>
        </w:rPr>
        <w:t>Clinic</w:t>
      </w:r>
      <w:r w:rsidRPr="007220FA">
        <w:t>)</w:t>
      </w:r>
      <w:r w:rsidRPr="007220FA">
        <w:rPr>
          <w:rStyle w:val="FootnoteReference"/>
        </w:rPr>
        <w:footnoteReference w:id="16"/>
      </w:r>
      <w:r w:rsidRPr="007220FA">
        <w:t>, the BP will automatically send to the CVIP information held in the BP about Patients who have booked an appointment to receive a COVID-19 vaccination at that Clinic.</w:t>
      </w:r>
      <w:r w:rsidR="00AE75E6">
        <w:rPr>
          <w:rStyle w:val="FootnoteReference"/>
        </w:rPr>
        <w:footnoteReference w:id="17"/>
      </w:r>
      <w:r w:rsidRPr="007220FA">
        <w:t xml:space="preserve"> </w:t>
      </w:r>
    </w:p>
    <w:p w14:paraId="02DECBDB" w14:textId="204E949B" w:rsidR="001A6D7F" w:rsidRPr="007220FA" w:rsidRDefault="001A6D7F" w:rsidP="00AE75E6">
      <w:pPr>
        <w:pStyle w:val="Headingpara2"/>
        <w:keepLines/>
        <w:rPr>
          <w:b/>
          <w:bCs/>
        </w:rPr>
      </w:pPr>
      <w:r w:rsidRPr="007220FA">
        <w:lastRenderedPageBreak/>
        <w:t xml:space="preserve">For clarity, the integration will only apply where the relevant Vaccine Provider has chosen to use both the BP and CVIP systems for their Clinic (the integration discussed in this </w:t>
      </w:r>
      <w:r w:rsidR="0081549D" w:rsidRPr="007220FA">
        <w:rPr>
          <w:b/>
          <w:bCs/>
        </w:rPr>
        <w:fldChar w:fldCharType="begin"/>
      </w:r>
      <w:r w:rsidR="0081549D" w:rsidRPr="007220FA">
        <w:rPr>
          <w:b/>
          <w:bCs/>
        </w:rPr>
        <w:instrText xml:space="preserve"> REF _Ref94506121 \r \h  \* MERGEFORMAT </w:instrText>
      </w:r>
      <w:r w:rsidR="0081549D" w:rsidRPr="007220FA">
        <w:rPr>
          <w:b/>
          <w:bCs/>
        </w:rPr>
      </w:r>
      <w:r w:rsidR="0081549D" w:rsidRPr="007220FA">
        <w:rPr>
          <w:b/>
          <w:bCs/>
        </w:rPr>
        <w:fldChar w:fldCharType="separate"/>
      </w:r>
      <w:r w:rsidR="001527AF">
        <w:rPr>
          <w:b/>
          <w:bCs/>
        </w:rPr>
        <w:t>Section C</w:t>
      </w:r>
      <w:r w:rsidR="0081549D" w:rsidRPr="007220FA">
        <w:rPr>
          <w:b/>
          <w:bCs/>
        </w:rPr>
        <w:fldChar w:fldCharType="end"/>
      </w:r>
      <w:r w:rsidR="0081549D" w:rsidRPr="007220FA">
        <w:rPr>
          <w:b/>
          <w:bCs/>
        </w:rPr>
        <w:t xml:space="preserve"> [Integration of the Commonwealth-Procured Booking Platform (BP) and the Clinician Vaccine Integrated Platform (CVIP) solution]</w:t>
      </w:r>
      <w:r w:rsidR="0081549D" w:rsidRPr="007220FA">
        <w:t xml:space="preserve"> </w:t>
      </w:r>
      <w:r w:rsidRPr="007220FA">
        <w:t xml:space="preserve">will not result in the BP sending information to any other systems used by a Vaccine Provider or the Commonwealth). </w:t>
      </w:r>
    </w:p>
    <w:p w14:paraId="383F338D" w14:textId="77777777" w:rsidR="001A6D7F" w:rsidRPr="007220FA" w:rsidRDefault="001A6D7F" w:rsidP="00AE75E6">
      <w:pPr>
        <w:pStyle w:val="Heading2"/>
        <w:keepNext w:val="0"/>
        <w:rPr>
          <w:b w:val="0"/>
          <w:bCs/>
        </w:rPr>
      </w:pPr>
      <w:r w:rsidRPr="007220FA">
        <w:rPr>
          <w:b w:val="0"/>
          <w:bCs/>
        </w:rPr>
        <w:t>The following is a summary of the information flows that will result from the integration of the BP and CVIP:</w:t>
      </w:r>
    </w:p>
    <w:p w14:paraId="6BA97B65" w14:textId="77777777" w:rsidR="001A6D7F" w:rsidRPr="007220FA" w:rsidRDefault="001A6D7F" w:rsidP="001A6D7F">
      <w:pPr>
        <w:pStyle w:val="Headingpara2"/>
        <w:numPr>
          <w:ilvl w:val="0"/>
          <w:numId w:val="0"/>
        </w:numPr>
        <w:ind w:left="851"/>
        <w:rPr>
          <w:b/>
          <w:bCs/>
          <w:i/>
          <w:iCs/>
        </w:rPr>
      </w:pPr>
      <w:r w:rsidRPr="007220FA">
        <w:rPr>
          <w:b/>
          <w:bCs/>
          <w:i/>
          <w:iCs/>
        </w:rPr>
        <w:t>Patient Information is provided to the BP (no change to existing information flows)</w:t>
      </w:r>
    </w:p>
    <w:p w14:paraId="5FEFB3FF" w14:textId="13AE5176" w:rsidR="001A6D7F" w:rsidRPr="007220FA" w:rsidRDefault="001A6D7F" w:rsidP="001A6D7F">
      <w:pPr>
        <w:pStyle w:val="Headingpara2"/>
      </w:pPr>
      <w:r w:rsidRPr="007220FA">
        <w:t xml:space="preserve">As described in the Phase 1b </w:t>
      </w:r>
      <w:r w:rsidR="008564AD">
        <w:t xml:space="preserve">Update </w:t>
      </w:r>
      <w:r w:rsidRPr="007220FA">
        <w:t xml:space="preserve">PIA report, if a Patient’s chosen Vaccine Provider is using the BP, the Patient will enter the following information into the BP </w:t>
      </w:r>
      <w:proofErr w:type="gramStart"/>
      <w:r w:rsidRPr="007220FA">
        <w:t>in order to</w:t>
      </w:r>
      <w:proofErr w:type="gramEnd"/>
      <w:r w:rsidRPr="007220FA">
        <w:t xml:space="preserve"> make an appointment with that Vaccine Provider</w:t>
      </w:r>
      <w:r w:rsidRPr="007220FA">
        <w:rPr>
          <w:rStyle w:val="FootnoteReference"/>
        </w:rPr>
        <w:footnoteReference w:id="18"/>
      </w:r>
      <w:r w:rsidRPr="007220FA">
        <w:t xml:space="preserve">: </w:t>
      </w:r>
    </w:p>
    <w:p w14:paraId="09D92378" w14:textId="77777777" w:rsidR="001A6D7F" w:rsidRPr="007220FA" w:rsidRDefault="001A6D7F" w:rsidP="001A6D7F">
      <w:pPr>
        <w:pStyle w:val="Heading3"/>
      </w:pPr>
      <w:r w:rsidRPr="007220FA">
        <w:t xml:space="preserve">whether the booking is being made for themselves or whether they are booking on behalf of someone </w:t>
      </w:r>
      <w:proofErr w:type="gramStart"/>
      <w:r w:rsidRPr="007220FA">
        <w:t>else;</w:t>
      </w:r>
      <w:proofErr w:type="gramEnd"/>
    </w:p>
    <w:p w14:paraId="6A32604C" w14:textId="77777777" w:rsidR="001A6D7F" w:rsidRPr="007220FA" w:rsidRDefault="001A6D7F" w:rsidP="001A6D7F">
      <w:pPr>
        <w:pStyle w:val="Heading3"/>
      </w:pPr>
      <w:r w:rsidRPr="007220FA">
        <w:t xml:space="preserve">whether they are an existing patient of the Vaccine Provider, or they are a new </w:t>
      </w:r>
      <w:proofErr w:type="gramStart"/>
      <w:r w:rsidRPr="007220FA">
        <w:t>patient;</w:t>
      </w:r>
      <w:proofErr w:type="gramEnd"/>
    </w:p>
    <w:p w14:paraId="29A53C2C" w14:textId="77777777" w:rsidR="001A6D7F" w:rsidRPr="007220FA" w:rsidRDefault="001A6D7F" w:rsidP="001A6D7F">
      <w:pPr>
        <w:pStyle w:val="Heading3"/>
      </w:pPr>
      <w:r w:rsidRPr="007220FA">
        <w:t xml:space="preserve">their full </w:t>
      </w:r>
      <w:proofErr w:type="gramStart"/>
      <w:r w:rsidRPr="007220FA">
        <w:t>name;</w:t>
      </w:r>
      <w:proofErr w:type="gramEnd"/>
    </w:p>
    <w:p w14:paraId="4302216D" w14:textId="77777777" w:rsidR="001A6D7F" w:rsidRPr="007220FA" w:rsidRDefault="001A6D7F" w:rsidP="001A6D7F">
      <w:pPr>
        <w:pStyle w:val="Heading3"/>
      </w:pPr>
      <w:r w:rsidRPr="007220FA">
        <w:t xml:space="preserve">their preferred </w:t>
      </w:r>
      <w:proofErr w:type="gramStart"/>
      <w:r w:rsidRPr="007220FA">
        <w:t>name;</w:t>
      </w:r>
      <w:proofErr w:type="gramEnd"/>
    </w:p>
    <w:p w14:paraId="43C92A57" w14:textId="77777777" w:rsidR="001A6D7F" w:rsidRPr="007220FA" w:rsidRDefault="001A6D7F" w:rsidP="001A6D7F">
      <w:pPr>
        <w:pStyle w:val="Heading3"/>
      </w:pPr>
      <w:r w:rsidRPr="007220FA">
        <w:t xml:space="preserve">their email </w:t>
      </w:r>
      <w:proofErr w:type="gramStart"/>
      <w:r w:rsidRPr="007220FA">
        <w:t>address;</w:t>
      </w:r>
      <w:proofErr w:type="gramEnd"/>
    </w:p>
    <w:p w14:paraId="176A19FC" w14:textId="77777777" w:rsidR="001A6D7F" w:rsidRPr="007220FA" w:rsidRDefault="001A6D7F" w:rsidP="001A6D7F">
      <w:pPr>
        <w:pStyle w:val="Heading3"/>
      </w:pPr>
      <w:r w:rsidRPr="007220FA">
        <w:t xml:space="preserve">their mobile phone </w:t>
      </w:r>
      <w:proofErr w:type="gramStart"/>
      <w:r w:rsidRPr="007220FA">
        <w:t>number;</w:t>
      </w:r>
      <w:proofErr w:type="gramEnd"/>
    </w:p>
    <w:p w14:paraId="5C738BDF" w14:textId="77777777" w:rsidR="001A6D7F" w:rsidRPr="007220FA" w:rsidRDefault="001A6D7F" w:rsidP="001A6D7F">
      <w:pPr>
        <w:pStyle w:val="Heading3"/>
      </w:pPr>
      <w:r w:rsidRPr="007220FA">
        <w:t xml:space="preserve">their </w:t>
      </w:r>
      <w:proofErr w:type="gramStart"/>
      <w:r w:rsidRPr="007220FA">
        <w:t>address;</w:t>
      </w:r>
      <w:proofErr w:type="gramEnd"/>
    </w:p>
    <w:p w14:paraId="57C9D41C" w14:textId="77777777" w:rsidR="001A6D7F" w:rsidRPr="007220FA" w:rsidRDefault="001A6D7F" w:rsidP="001A6D7F">
      <w:pPr>
        <w:pStyle w:val="Heading3"/>
      </w:pPr>
      <w:r w:rsidRPr="007220FA">
        <w:t>their date of birth; and</w:t>
      </w:r>
    </w:p>
    <w:p w14:paraId="74DB17CD" w14:textId="77777777" w:rsidR="001A6D7F" w:rsidRPr="007220FA" w:rsidRDefault="001A6D7F" w:rsidP="001A6D7F">
      <w:pPr>
        <w:pStyle w:val="Heading3"/>
      </w:pPr>
      <w:r w:rsidRPr="007220FA">
        <w:t>their Medicare card details (including Individual Reference Number (</w:t>
      </w:r>
      <w:r w:rsidRPr="007220FA">
        <w:rPr>
          <w:b/>
          <w:bCs/>
        </w:rPr>
        <w:t>IRN</w:t>
      </w:r>
      <w:r w:rsidRPr="007220FA">
        <w:t>), and the card’s expiry date).</w:t>
      </w:r>
    </w:p>
    <w:p w14:paraId="142D0751" w14:textId="77777777" w:rsidR="001A6D7F" w:rsidRPr="007220FA" w:rsidRDefault="001A6D7F" w:rsidP="001A6D7F">
      <w:pPr>
        <w:pStyle w:val="Headingpara2"/>
      </w:pPr>
      <w:r w:rsidRPr="007220FA">
        <w:t>After a booking is made, this information about the Patient, and details about the appointment with the Vaccine Provider (including information about the relevant Clinic for which the appointment is made), is stored on the HealthEngine platform.</w:t>
      </w:r>
    </w:p>
    <w:p w14:paraId="1E7E5B03" w14:textId="55995550" w:rsidR="001A6D7F" w:rsidRPr="007220FA" w:rsidRDefault="001A6D7F" w:rsidP="001A6D7F">
      <w:pPr>
        <w:pStyle w:val="BodyIndent1"/>
        <w:keepNext/>
        <w:keepLines/>
        <w:rPr>
          <w:b/>
          <w:bCs/>
          <w:i/>
          <w:iCs/>
        </w:rPr>
      </w:pPr>
      <w:r w:rsidRPr="007220FA">
        <w:rPr>
          <w:b/>
          <w:bCs/>
          <w:i/>
          <w:iCs/>
        </w:rPr>
        <w:t>BP collates and sends Patient Information to the CVIP</w:t>
      </w:r>
    </w:p>
    <w:p w14:paraId="7076387C" w14:textId="77777777" w:rsidR="001A6D7F" w:rsidRPr="007220FA" w:rsidRDefault="001A6D7F" w:rsidP="001A6D7F">
      <w:pPr>
        <w:pStyle w:val="Headingpara2"/>
        <w:keepNext/>
        <w:keepLines/>
      </w:pPr>
      <w:r w:rsidRPr="007220FA">
        <w:t xml:space="preserve">It is intended that as a result of the proposed changes to the BP solution, the BP solution will, once each day (early in the morning, </w:t>
      </w:r>
      <w:proofErr w:type="gramStart"/>
      <w:r w:rsidRPr="007220FA">
        <w:t>e.g.</w:t>
      </w:r>
      <w:proofErr w:type="gramEnd"/>
      <w:r w:rsidRPr="007220FA">
        <w:t xml:space="preserve"> 3am), collate information into a .CSV file about Patients who have booked appointments for that day with the Vaccine Provider at each Clinic. </w:t>
      </w:r>
    </w:p>
    <w:p w14:paraId="0261E84F" w14:textId="77777777" w:rsidR="001A6D7F" w:rsidRPr="007220FA" w:rsidRDefault="001A6D7F" w:rsidP="001A6D7F">
      <w:pPr>
        <w:pStyle w:val="Headingpara2"/>
        <w:keepNext/>
        <w:keepLines/>
      </w:pPr>
      <w:r w:rsidRPr="007220FA">
        <w:t>The .CSV file will contain a package of information (</w:t>
      </w:r>
      <w:r w:rsidRPr="007220FA">
        <w:rPr>
          <w:b/>
          <w:bCs/>
        </w:rPr>
        <w:t>BP Information</w:t>
      </w:r>
      <w:r w:rsidRPr="007220FA">
        <w:t>) in respect of the Vaccine Provider that contains, for each Patient who has booked an appointment for that day with the relevant Vaccine Provider:</w:t>
      </w:r>
    </w:p>
    <w:p w14:paraId="0119CA89" w14:textId="77777777" w:rsidR="001A6D7F" w:rsidRPr="007220FA" w:rsidRDefault="001A6D7F" w:rsidP="001A6D7F">
      <w:pPr>
        <w:pStyle w:val="Heading3"/>
      </w:pPr>
      <w:r w:rsidRPr="007220FA">
        <w:t>the following details about the Patient:</w:t>
      </w:r>
    </w:p>
    <w:p w14:paraId="557BA736" w14:textId="77777777" w:rsidR="001A6D7F" w:rsidRPr="007220FA" w:rsidRDefault="001A6D7F" w:rsidP="001A6D7F">
      <w:pPr>
        <w:pStyle w:val="Heading4"/>
      </w:pPr>
      <w:r w:rsidRPr="007220FA">
        <w:t xml:space="preserve">the unique identifier allocated to the Patient by the </w:t>
      </w:r>
      <w:proofErr w:type="gramStart"/>
      <w:r w:rsidRPr="007220FA">
        <w:t>BP;</w:t>
      </w:r>
      <w:proofErr w:type="gramEnd"/>
    </w:p>
    <w:p w14:paraId="03CAB15C" w14:textId="77777777" w:rsidR="001A6D7F" w:rsidRPr="007220FA" w:rsidRDefault="001A6D7F" w:rsidP="001A6D7F">
      <w:pPr>
        <w:pStyle w:val="Heading4"/>
      </w:pPr>
      <w:r w:rsidRPr="007220FA">
        <w:t xml:space="preserve">the Patient’s full </w:t>
      </w:r>
      <w:proofErr w:type="gramStart"/>
      <w:r w:rsidRPr="007220FA">
        <w:t>name;</w:t>
      </w:r>
      <w:proofErr w:type="gramEnd"/>
    </w:p>
    <w:p w14:paraId="1202C8A1" w14:textId="77777777" w:rsidR="001A6D7F" w:rsidRPr="007220FA" w:rsidRDefault="001A6D7F" w:rsidP="001A6D7F">
      <w:pPr>
        <w:pStyle w:val="Heading4"/>
      </w:pPr>
      <w:r w:rsidRPr="007220FA">
        <w:lastRenderedPageBreak/>
        <w:t xml:space="preserve">the Patient’s date of </w:t>
      </w:r>
      <w:proofErr w:type="gramStart"/>
      <w:r w:rsidRPr="007220FA">
        <w:t>birth;</w:t>
      </w:r>
      <w:proofErr w:type="gramEnd"/>
    </w:p>
    <w:p w14:paraId="0FD7706E" w14:textId="77777777" w:rsidR="001A6D7F" w:rsidRPr="007220FA" w:rsidRDefault="001A6D7F" w:rsidP="001A6D7F">
      <w:pPr>
        <w:pStyle w:val="Heading4"/>
      </w:pPr>
      <w:r w:rsidRPr="007220FA">
        <w:t xml:space="preserve">the Patient’s </w:t>
      </w:r>
      <w:proofErr w:type="gramStart"/>
      <w:r w:rsidRPr="007220FA">
        <w:t>gender;</w:t>
      </w:r>
      <w:proofErr w:type="gramEnd"/>
    </w:p>
    <w:p w14:paraId="5700D851" w14:textId="77777777" w:rsidR="001A6D7F" w:rsidRPr="007220FA" w:rsidRDefault="001A6D7F" w:rsidP="001A6D7F">
      <w:pPr>
        <w:pStyle w:val="Heading4"/>
      </w:pPr>
      <w:r w:rsidRPr="007220FA">
        <w:t xml:space="preserve">whether the Patient provided a Medicare card and, if they did, the Medicare card number and </w:t>
      </w:r>
      <w:proofErr w:type="gramStart"/>
      <w:r w:rsidRPr="007220FA">
        <w:t>IRN;</w:t>
      </w:r>
      <w:proofErr w:type="gramEnd"/>
    </w:p>
    <w:p w14:paraId="567789A5" w14:textId="77777777" w:rsidR="001A6D7F" w:rsidRPr="007220FA" w:rsidRDefault="001A6D7F" w:rsidP="001A6D7F">
      <w:pPr>
        <w:pStyle w:val="Heading4"/>
      </w:pPr>
      <w:r w:rsidRPr="007220FA">
        <w:t>the Patient’s full address; and</w:t>
      </w:r>
    </w:p>
    <w:p w14:paraId="42E86033" w14:textId="77777777" w:rsidR="001A6D7F" w:rsidRPr="007220FA" w:rsidRDefault="001A6D7F" w:rsidP="001A6D7F">
      <w:pPr>
        <w:pStyle w:val="Heading3"/>
      </w:pPr>
      <w:r w:rsidRPr="007220FA">
        <w:t>the following details about the Vaccine Provider:</w:t>
      </w:r>
    </w:p>
    <w:p w14:paraId="67BF5586" w14:textId="77777777" w:rsidR="001A6D7F" w:rsidRPr="007220FA" w:rsidRDefault="001A6D7F" w:rsidP="001A6D7F">
      <w:pPr>
        <w:pStyle w:val="Heading4"/>
      </w:pPr>
      <w:r w:rsidRPr="007220FA">
        <w:t xml:space="preserve">the unique identification number allocated to the Vaccine Provider by the </w:t>
      </w:r>
      <w:proofErr w:type="gramStart"/>
      <w:r w:rsidRPr="007220FA">
        <w:t>BP;</w:t>
      </w:r>
      <w:proofErr w:type="gramEnd"/>
    </w:p>
    <w:p w14:paraId="3240DD15" w14:textId="77777777" w:rsidR="001A6D7F" w:rsidRPr="007220FA" w:rsidRDefault="001A6D7F" w:rsidP="001A6D7F">
      <w:pPr>
        <w:pStyle w:val="Heading4"/>
      </w:pPr>
      <w:r w:rsidRPr="007220FA">
        <w:t xml:space="preserve">name; and </w:t>
      </w:r>
    </w:p>
    <w:p w14:paraId="7D6E3B94" w14:textId="77777777" w:rsidR="001A6D7F" w:rsidRPr="007220FA" w:rsidRDefault="001A6D7F" w:rsidP="001A6D7F">
      <w:pPr>
        <w:pStyle w:val="Heading4"/>
      </w:pPr>
      <w:r w:rsidRPr="007220FA">
        <w:t xml:space="preserve">the relevant Clinic address. </w:t>
      </w:r>
    </w:p>
    <w:p w14:paraId="08F08B83" w14:textId="77777777" w:rsidR="001A6D7F" w:rsidRPr="007220FA" w:rsidRDefault="001A6D7F" w:rsidP="001A6D7F">
      <w:pPr>
        <w:pStyle w:val="Headingpara2"/>
      </w:pPr>
      <w:r w:rsidRPr="007220FA">
        <w:t>Although the BP does also collect other information if any person makes a booking on behalf of another person (</w:t>
      </w:r>
      <w:proofErr w:type="gramStart"/>
      <w:r w:rsidRPr="007220FA">
        <w:t>i.e.</w:t>
      </w:r>
      <w:proofErr w:type="gramEnd"/>
      <w:r w:rsidRPr="007220FA">
        <w:t xml:space="preserve"> the name and contact details of a legal guardian for a Patient), the BP Information will not include any information about any such third parties. </w:t>
      </w:r>
    </w:p>
    <w:p w14:paraId="0F24E60D" w14:textId="0113E518" w:rsidR="001A6D7F" w:rsidRPr="007220FA" w:rsidRDefault="001A6D7F" w:rsidP="001A6D7F">
      <w:pPr>
        <w:pStyle w:val="Headingpara2"/>
        <w:keepNext/>
        <w:keepLines/>
      </w:pPr>
      <w:r w:rsidRPr="007220FA">
        <w:t>The BP Information will then be sent via an Application Programming Interface (</w:t>
      </w:r>
      <w:r w:rsidRPr="007220FA">
        <w:rPr>
          <w:b/>
          <w:bCs/>
        </w:rPr>
        <w:t>API</w:t>
      </w:r>
      <w:r w:rsidRPr="007220FA">
        <w:t>) to the CVIP</w:t>
      </w:r>
      <w:r w:rsidRPr="007220FA">
        <w:rPr>
          <w:rStyle w:val="FootnoteReference"/>
        </w:rPr>
        <w:footnoteReference w:id="19"/>
      </w:r>
      <w:r w:rsidRPr="007220FA">
        <w:t xml:space="preserve"> where it will be stored. The CVIP solution will then send a code back to the BP which will confirm successful transfer of the BP Information.</w:t>
      </w:r>
    </w:p>
    <w:p w14:paraId="159A42D0" w14:textId="3B0348A5" w:rsidR="001A6D7F" w:rsidRPr="007220FA" w:rsidRDefault="001A6D7F" w:rsidP="001A6D7F">
      <w:pPr>
        <w:pStyle w:val="Headingpara2"/>
        <w:keepNext/>
        <w:keepLines/>
      </w:pPr>
      <w:r w:rsidRPr="007220FA">
        <w:t xml:space="preserve">Throughout the day, the BP solution will continue to collate and send at regular intervals further .CSV files with updated details about </w:t>
      </w:r>
      <w:proofErr w:type="gramStart"/>
      <w:r w:rsidRPr="007220FA">
        <w:t>Patient</w:t>
      </w:r>
      <w:proofErr w:type="gramEnd"/>
      <w:r w:rsidRPr="007220FA">
        <w:t xml:space="preserve"> </w:t>
      </w:r>
      <w:r w:rsidR="0081549D" w:rsidRPr="007220FA">
        <w:t>b</w:t>
      </w:r>
      <w:r w:rsidRPr="007220FA">
        <w:t xml:space="preserve">ookings (e.g. the new .CSV file will update the previously sent file to reflect any cancellations or changes to bookings, or new Patient bookings for that day). </w:t>
      </w:r>
    </w:p>
    <w:p w14:paraId="5A01E0FB" w14:textId="77777777" w:rsidR="001A6D7F" w:rsidRPr="007220FA" w:rsidRDefault="001A6D7F" w:rsidP="001A6D7F">
      <w:pPr>
        <w:pStyle w:val="Headingpara2"/>
      </w:pPr>
      <w:bookmarkStart w:id="78" w:name="_Ref75266279"/>
      <w:r w:rsidRPr="007220FA">
        <w:t>This step</w:t>
      </w:r>
      <w:r w:rsidRPr="007220FA">
        <w:rPr>
          <w:b/>
          <w:bCs/>
        </w:rPr>
        <w:t xml:space="preserve"> </w:t>
      </w:r>
      <w:r w:rsidRPr="007220FA">
        <w:t>will therefore involve:</w:t>
      </w:r>
    </w:p>
    <w:p w14:paraId="1520D899" w14:textId="77777777" w:rsidR="001A6D7F" w:rsidRPr="007220FA" w:rsidRDefault="001A6D7F" w:rsidP="001A6D7F">
      <w:pPr>
        <w:pStyle w:val="Heading3"/>
      </w:pPr>
      <w:r w:rsidRPr="007220FA">
        <w:t xml:space="preserve">a new </w:t>
      </w:r>
      <w:r w:rsidRPr="007220FA">
        <w:rPr>
          <w:b/>
          <w:bCs/>
        </w:rPr>
        <w:t xml:space="preserve">use </w:t>
      </w:r>
      <w:r w:rsidRPr="007220FA">
        <w:t>of the</w:t>
      </w:r>
      <w:r w:rsidRPr="007220FA">
        <w:rPr>
          <w:b/>
          <w:bCs/>
        </w:rPr>
        <w:t xml:space="preserve"> </w:t>
      </w:r>
      <w:r w:rsidRPr="007220FA">
        <w:t>collected Patient Information by HealthEngine, which is the entity contracted by Health to provide and operate the BP, when it collates the BP Information; and</w:t>
      </w:r>
    </w:p>
    <w:p w14:paraId="28223023" w14:textId="747A2659" w:rsidR="001A6D7F" w:rsidRPr="007220FA" w:rsidRDefault="001A6D7F" w:rsidP="001A6D7F">
      <w:pPr>
        <w:pStyle w:val="Heading3"/>
      </w:pPr>
      <w:r w:rsidRPr="007220FA">
        <w:t xml:space="preserve">a </w:t>
      </w:r>
      <w:r w:rsidRPr="007220FA">
        <w:rPr>
          <w:b/>
          <w:bCs/>
        </w:rPr>
        <w:t>disclosure</w:t>
      </w:r>
      <w:r w:rsidRPr="007220FA">
        <w:t xml:space="preserve"> of BP Information by HealthEngine to the Commonwealth and a corresponding </w:t>
      </w:r>
      <w:r w:rsidRPr="007220FA">
        <w:rPr>
          <w:b/>
          <w:bCs/>
        </w:rPr>
        <w:t>collection</w:t>
      </w:r>
      <w:r w:rsidRPr="007220FA">
        <w:t xml:space="preserve"> of BP Information by the Commonwealth.</w:t>
      </w:r>
    </w:p>
    <w:bookmarkEnd w:id="78"/>
    <w:p w14:paraId="429D7E4A" w14:textId="0AE6BE88" w:rsidR="001A6D7F" w:rsidRPr="007220FA" w:rsidRDefault="001A6D7F" w:rsidP="001A6D7F">
      <w:pPr>
        <w:pStyle w:val="BodyIndent1"/>
        <w:keepNext/>
        <w:rPr>
          <w:b/>
          <w:bCs/>
          <w:i/>
          <w:iCs/>
        </w:rPr>
      </w:pPr>
      <w:r w:rsidRPr="007220FA">
        <w:rPr>
          <w:b/>
          <w:bCs/>
          <w:i/>
          <w:iCs/>
        </w:rPr>
        <w:t xml:space="preserve">Vaccine Providers access and can extract the BP Information from the CVIP </w:t>
      </w:r>
    </w:p>
    <w:p w14:paraId="2F02B2FA" w14:textId="0B45BA26" w:rsidR="001A6D7F" w:rsidRPr="007220FA" w:rsidRDefault="001A6D7F" w:rsidP="001A6D7F">
      <w:pPr>
        <w:pStyle w:val="Headingpara2"/>
      </w:pPr>
      <w:r w:rsidRPr="007220FA">
        <w:t xml:space="preserve">As discussed in the Phase 1b </w:t>
      </w:r>
      <w:r w:rsidR="008564AD">
        <w:t xml:space="preserve">Update </w:t>
      </w:r>
      <w:r w:rsidRPr="007220FA">
        <w:t>PIA report, authorised personnel of a Vaccine Provider can already access the CVIP via a PRODA log-in.</w:t>
      </w:r>
    </w:p>
    <w:p w14:paraId="1598EF59" w14:textId="0D02E9DF" w:rsidR="001A6D7F" w:rsidRPr="007220FA" w:rsidRDefault="001A6D7F" w:rsidP="001A6D7F">
      <w:pPr>
        <w:pStyle w:val="Headingpara2"/>
      </w:pPr>
      <w:r w:rsidRPr="007220FA">
        <w:t>The proposed changes will mean that after logging in, all personnel of the Vaccine Provider who have been authorised to access the CVIP for a Clinic will be able to access the BP Information of all Patients who have booked to receive a COVID-19 vaccination with the Vaccine Provider in that Clinic on that day (</w:t>
      </w:r>
      <w:r w:rsidRPr="007220FA">
        <w:rPr>
          <w:b/>
          <w:bCs/>
        </w:rPr>
        <w:t>Clinic Registration List</w:t>
      </w:r>
      <w:r w:rsidRPr="007220FA">
        <w:t xml:space="preserve">). The Clinic Registration List will only display Patients who have been booked with that Vaccine Provider at that Clinic. </w:t>
      </w:r>
    </w:p>
    <w:p w14:paraId="2722EA99" w14:textId="77777777" w:rsidR="001A6D7F" w:rsidRPr="007220FA" w:rsidRDefault="001A6D7F" w:rsidP="001A6D7F">
      <w:pPr>
        <w:pStyle w:val="Headingpara2"/>
        <w:keepNext/>
        <w:keepLines/>
      </w:pPr>
      <w:r w:rsidRPr="007220FA">
        <w:lastRenderedPageBreak/>
        <w:t xml:space="preserve">It is anticipated that the view displayed to the authorised personnel of the Vaccine Provider may be </w:t>
      </w:r>
      <w:proofErr w:type="gramStart"/>
      <w:r w:rsidRPr="007220FA">
        <w:t>similar to</w:t>
      </w:r>
      <w:proofErr w:type="gramEnd"/>
      <w:r w:rsidRPr="007220FA">
        <w:t xml:space="preserve"> the following</w:t>
      </w:r>
      <w:r w:rsidRPr="007220FA">
        <w:rPr>
          <w:rStyle w:val="FootnoteReference"/>
        </w:rPr>
        <w:footnoteReference w:id="20"/>
      </w:r>
      <w:r w:rsidRPr="007220FA">
        <w:t xml:space="preserve">: </w:t>
      </w:r>
    </w:p>
    <w:p w14:paraId="018EAB14" w14:textId="77777777" w:rsidR="001A6D7F" w:rsidRPr="007220FA" w:rsidRDefault="001A6D7F" w:rsidP="001A6D7F">
      <w:pPr>
        <w:keepNext/>
        <w:kinsoku w:val="0"/>
        <w:overflowPunct w:val="0"/>
        <w:autoSpaceDE w:val="0"/>
        <w:autoSpaceDN w:val="0"/>
        <w:adjustRightInd w:val="0"/>
        <w:rPr>
          <w:rFonts w:ascii="Times New Roman" w:hAnsi="Times New Roman"/>
        </w:rPr>
      </w:pPr>
    </w:p>
    <w:p w14:paraId="5945DA48" w14:textId="77777777" w:rsidR="001A6D7F" w:rsidRPr="007220FA" w:rsidRDefault="001A6D7F" w:rsidP="001A6D7F">
      <w:pPr>
        <w:kinsoku w:val="0"/>
        <w:overflowPunct w:val="0"/>
        <w:autoSpaceDE w:val="0"/>
        <w:autoSpaceDN w:val="0"/>
        <w:adjustRightInd w:val="0"/>
        <w:spacing w:before="2"/>
      </w:pPr>
      <w:r w:rsidRPr="007220FA">
        <w:rPr>
          <w:noProof/>
        </w:rPr>
        <w:drawing>
          <wp:inline distT="0" distB="0" distL="0" distR="0" wp14:anchorId="68EAFBCA" wp14:editId="1B1F9890">
            <wp:extent cx="5759450" cy="2480945"/>
            <wp:effectExtent l="0" t="0" r="0" b="0"/>
            <wp:docPr id="23" name="Picture 23" descr="Screenshot of the anticipated view displayed to authorised personnel of the Vaccine prov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he anticipated view displayed to authorised personnel of the Vaccine provider "/>
                    <pic:cNvPicPr/>
                  </pic:nvPicPr>
                  <pic:blipFill>
                    <a:blip r:embed="rId14"/>
                    <a:stretch>
                      <a:fillRect/>
                    </a:stretch>
                  </pic:blipFill>
                  <pic:spPr>
                    <a:xfrm>
                      <a:off x="0" y="0"/>
                      <a:ext cx="5759450" cy="2480945"/>
                    </a:xfrm>
                    <a:prstGeom prst="rect">
                      <a:avLst/>
                    </a:prstGeom>
                  </pic:spPr>
                </pic:pic>
              </a:graphicData>
            </a:graphic>
          </wp:inline>
        </w:drawing>
      </w:r>
    </w:p>
    <w:p w14:paraId="67D3E8F4" w14:textId="77777777" w:rsidR="001A6D7F" w:rsidRPr="007220FA" w:rsidRDefault="001A6D7F" w:rsidP="001A6D7F">
      <w:pPr>
        <w:pStyle w:val="Headingpara2"/>
        <w:keepNext/>
      </w:pPr>
      <w:r w:rsidRPr="007220FA">
        <w:t>Authorised Vaccine Provider personnel will be able to extract the Clinic Registration List to the Vaccine Provider’s own ICT systems.</w:t>
      </w:r>
    </w:p>
    <w:p w14:paraId="479CB40E" w14:textId="77777777" w:rsidR="001A6D7F" w:rsidRPr="007220FA" w:rsidRDefault="001A6D7F" w:rsidP="001A6D7F">
      <w:pPr>
        <w:pStyle w:val="Headingpara2"/>
      </w:pPr>
      <w:r w:rsidRPr="007220FA">
        <w:t>This step</w:t>
      </w:r>
      <w:r w:rsidRPr="007220FA">
        <w:rPr>
          <w:b/>
          <w:bCs/>
        </w:rPr>
        <w:t xml:space="preserve"> </w:t>
      </w:r>
      <w:r w:rsidRPr="007220FA">
        <w:t xml:space="preserve">will involve a </w:t>
      </w:r>
      <w:r w:rsidRPr="007220FA">
        <w:rPr>
          <w:b/>
          <w:bCs/>
        </w:rPr>
        <w:t>disclosure</w:t>
      </w:r>
      <w:r w:rsidRPr="007220FA">
        <w:t xml:space="preserve"> and </w:t>
      </w:r>
      <w:r w:rsidRPr="007220FA">
        <w:rPr>
          <w:b/>
          <w:bCs/>
        </w:rPr>
        <w:t xml:space="preserve">use </w:t>
      </w:r>
      <w:r w:rsidRPr="007220FA">
        <w:t xml:space="preserve">of BP Information by the Commonwealth to the Vaccine Provider, and a </w:t>
      </w:r>
      <w:r w:rsidRPr="007220FA">
        <w:rPr>
          <w:b/>
          <w:bCs/>
        </w:rPr>
        <w:t>collection</w:t>
      </w:r>
      <w:r w:rsidRPr="007220FA">
        <w:t xml:space="preserve"> of BP Information by the Vaccine Provider if they extract the Clinic Registration List.</w:t>
      </w:r>
    </w:p>
    <w:p w14:paraId="61B447A3" w14:textId="7C1475C5" w:rsidR="001A6D7F" w:rsidRPr="007220FA" w:rsidRDefault="001A6D7F" w:rsidP="001A6D7F">
      <w:pPr>
        <w:pStyle w:val="Headingpara2"/>
      </w:pPr>
      <w:r w:rsidRPr="007220FA">
        <w:t xml:space="preserve">For completeness, we note that if a Patient attends without having made a booking or for any other reason they are not on the Clinic Registration List, the Vaccinator can still use the existing CVIP processes to search for that Patient’s record in the AIR or create a new record (as described in the Phase 1b </w:t>
      </w:r>
      <w:r w:rsidR="00C2500F">
        <w:t xml:space="preserve">Update </w:t>
      </w:r>
      <w:r w:rsidRPr="007220FA">
        <w:t>PIA report).</w:t>
      </w:r>
    </w:p>
    <w:p w14:paraId="5C2D2E27" w14:textId="77777777" w:rsidR="001A6D7F" w:rsidRPr="007220FA" w:rsidRDefault="001A6D7F" w:rsidP="001A6D7F">
      <w:pPr>
        <w:pStyle w:val="BodyIndent1"/>
        <w:keepNext/>
        <w:rPr>
          <w:b/>
          <w:bCs/>
          <w:i/>
          <w:iCs/>
        </w:rPr>
      </w:pPr>
      <w:r w:rsidRPr="007220FA">
        <w:rPr>
          <w:b/>
          <w:bCs/>
          <w:i/>
          <w:iCs/>
        </w:rPr>
        <w:t>Step 4: The Vaccine Provider uses the BP Information</w:t>
      </w:r>
    </w:p>
    <w:p w14:paraId="4C506443" w14:textId="1BC7916E" w:rsidR="001A6D7F" w:rsidRPr="007220FA" w:rsidRDefault="001A6D7F" w:rsidP="001A6D7F">
      <w:pPr>
        <w:pStyle w:val="Headingpara2"/>
        <w:keepNext/>
      </w:pPr>
      <w:bookmarkStart w:id="79" w:name="_Ref75264578"/>
      <w:r w:rsidRPr="007220FA">
        <w:t>If the Vaccine Provider extracts the Clinic Registration List from the CVIP, it is intended that the Vaccine Provider may use</w:t>
      </w:r>
      <w:r w:rsidRPr="007220FA">
        <w:rPr>
          <w:b/>
          <w:bCs/>
        </w:rPr>
        <w:t xml:space="preserve"> </w:t>
      </w:r>
      <w:r w:rsidRPr="007220FA">
        <w:t>the extracted</w:t>
      </w:r>
      <w:r w:rsidRPr="007220FA">
        <w:rPr>
          <w:b/>
          <w:bCs/>
        </w:rPr>
        <w:t xml:space="preserve"> </w:t>
      </w:r>
      <w:r w:rsidRPr="007220FA">
        <w:t>BP Information to:</w:t>
      </w:r>
      <w:bookmarkEnd w:id="79"/>
    </w:p>
    <w:p w14:paraId="43232CDD" w14:textId="77777777" w:rsidR="001A6D7F" w:rsidRPr="007220FA" w:rsidRDefault="001A6D7F" w:rsidP="001A6D7F">
      <w:pPr>
        <w:pStyle w:val="Heading3"/>
      </w:pPr>
      <w:r w:rsidRPr="007220FA">
        <w:t xml:space="preserve">assist with checking in </w:t>
      </w:r>
      <w:proofErr w:type="gramStart"/>
      <w:r w:rsidRPr="007220FA">
        <w:t>Patients</w:t>
      </w:r>
      <w:proofErr w:type="gramEnd"/>
      <w:r w:rsidRPr="007220FA">
        <w:t xml:space="preserve"> as they arrive for their appointment (e.g. ensuring that the reception area has a list of Patients who are scheduled to attend that day, and to check them off as having arrived); and</w:t>
      </w:r>
    </w:p>
    <w:p w14:paraId="377D01E9" w14:textId="77777777" w:rsidR="001A6D7F" w:rsidRPr="007220FA" w:rsidRDefault="001A6D7F" w:rsidP="001A6D7F">
      <w:pPr>
        <w:pStyle w:val="Heading3"/>
      </w:pPr>
      <w:r w:rsidRPr="007220FA">
        <w:t>check the details contained in the Clinic Registration List against the identity documents provided by the Patient on arrival at the Vaccine Provider’s clinic, to verify that the Patient has a booking.</w:t>
      </w:r>
    </w:p>
    <w:p w14:paraId="51BF2980" w14:textId="656CD344" w:rsidR="001A6D7F" w:rsidRPr="007220FA" w:rsidRDefault="001A6D7F" w:rsidP="00EB4FDA">
      <w:pPr>
        <w:pStyle w:val="Heading2"/>
        <w:keepNext w:val="0"/>
        <w:rPr>
          <w:b w:val="0"/>
          <w:bCs/>
        </w:rPr>
      </w:pPr>
      <w:r w:rsidRPr="007220FA">
        <w:rPr>
          <w:b w:val="0"/>
          <w:bCs/>
        </w:rPr>
        <w:t xml:space="preserve">In addition, when the Vaccine Provider’s authorised personnel access the CVIP, they will be able to click on a Patient in the Clinic Registration List to use the BP Information about that Patient to search the AIR for the Patient’s AIR record, if one exists, or to create a new AIR record (as per the processes described in the Phase 1b </w:t>
      </w:r>
      <w:r w:rsidR="00C2500F">
        <w:rPr>
          <w:b w:val="0"/>
          <w:bCs/>
        </w:rPr>
        <w:t xml:space="preserve">Update </w:t>
      </w:r>
      <w:r w:rsidRPr="007220FA">
        <w:rPr>
          <w:b w:val="0"/>
          <w:bCs/>
        </w:rPr>
        <w:t xml:space="preserve">PIA report). It is anticipated that this may either be done by the Vaccinator during the consultation with the Patient, or by another authorised Provider </w:t>
      </w:r>
      <w:r w:rsidR="00170712">
        <w:rPr>
          <w:b w:val="0"/>
          <w:bCs/>
        </w:rPr>
        <w:t>P</w:t>
      </w:r>
      <w:r w:rsidRPr="007220FA">
        <w:rPr>
          <w:b w:val="0"/>
          <w:bCs/>
        </w:rPr>
        <w:t>ersonnel in advance of the Patient arriving (to reduce Vaccinator time and effort during the Patient consultation). If it is done in advance of the vaccination consultation, the Patient’s AIR record would be stored in the CVIP and then accessed by the Vaccinator during the consultation by clicking on the relevant Patient name in the Clinic Registration List (</w:t>
      </w:r>
      <w:proofErr w:type="gramStart"/>
      <w:r w:rsidRPr="007220FA">
        <w:rPr>
          <w:b w:val="0"/>
          <w:bCs/>
        </w:rPr>
        <w:t>i.e.</w:t>
      </w:r>
      <w:proofErr w:type="gramEnd"/>
      <w:r w:rsidRPr="007220FA">
        <w:rPr>
          <w:b w:val="0"/>
          <w:bCs/>
        </w:rPr>
        <w:t xml:space="preserve"> clicking on the Patient’s name will take the Vaccinator to the Patient’s AIR record as stored in the CVIP).</w:t>
      </w:r>
    </w:p>
    <w:p w14:paraId="2DA7F5E2" w14:textId="440CF5FE" w:rsidR="001A6D7F" w:rsidRPr="007220FA" w:rsidRDefault="001A6D7F" w:rsidP="00EB4FDA">
      <w:pPr>
        <w:pStyle w:val="Headingpara2"/>
        <w:keepNext/>
        <w:keepLines/>
      </w:pPr>
      <w:r w:rsidRPr="007220FA">
        <w:lastRenderedPageBreak/>
        <w:t xml:space="preserve">From this point, the information flows will be as per the Phase 1b </w:t>
      </w:r>
      <w:r w:rsidR="00C2500F">
        <w:t xml:space="preserve">Update </w:t>
      </w:r>
      <w:r w:rsidRPr="007220FA">
        <w:t>PIA report (</w:t>
      </w:r>
      <w:proofErr w:type="gramStart"/>
      <w:r w:rsidRPr="007220FA">
        <w:t>i.e.</w:t>
      </w:r>
      <w:proofErr w:type="gramEnd"/>
      <w:r w:rsidRPr="007220FA">
        <w:t xml:space="preserve"> the Vaccinator will input the Patient’s vaccination information into the Patient’s AIR record, the amended AIR record will be stored in the CVIP, and then transferred to the AIR at the end of each day). </w:t>
      </w:r>
    </w:p>
    <w:p w14:paraId="1F90A589" w14:textId="472D0E72" w:rsidR="001A6D7F" w:rsidRPr="007220FA" w:rsidRDefault="001A6D7F" w:rsidP="001A6D7F">
      <w:pPr>
        <w:pStyle w:val="Headingpara2"/>
      </w:pPr>
      <w:r w:rsidRPr="007220FA">
        <w:t>All information in the CVIP will continue to be deleted within 24 hours of the next scheduled upload of information to the AIR</w:t>
      </w:r>
      <w:r w:rsidRPr="007220FA">
        <w:rPr>
          <w:rStyle w:val="FootnoteReference"/>
        </w:rPr>
        <w:footnoteReference w:id="21"/>
      </w:r>
      <w:r w:rsidRPr="007220FA">
        <w:t xml:space="preserve">. This will include the Clinic Registration List (and the BP Information in the Clinic Registration List). This is irrespective of </w:t>
      </w:r>
      <w:proofErr w:type="gramStart"/>
      <w:r w:rsidRPr="007220FA">
        <w:t>whether or not</w:t>
      </w:r>
      <w:proofErr w:type="gramEnd"/>
      <w:r w:rsidRPr="007220FA">
        <w:t xml:space="preserve"> the Patient actually attends the relevant Clinic, received a vaccination, or an AIR </w:t>
      </w:r>
      <w:r w:rsidR="00170712">
        <w:t>r</w:t>
      </w:r>
      <w:r w:rsidRPr="007220FA">
        <w:t>ecord is submitted to the AIR.</w:t>
      </w:r>
    </w:p>
    <w:p w14:paraId="0B2B48B9" w14:textId="77777777" w:rsidR="001A6D7F" w:rsidRPr="007220FA" w:rsidRDefault="001A6D7F" w:rsidP="001A6D7F">
      <w:pPr>
        <w:pStyle w:val="Headingpara2"/>
      </w:pPr>
      <w:r w:rsidRPr="007220FA">
        <w:t xml:space="preserve">If during interactions with the Patient, </w:t>
      </w:r>
      <w:proofErr w:type="gramStart"/>
      <w:r w:rsidRPr="007220FA">
        <w:t>an authorised personnel of the Vaccine Provider</w:t>
      </w:r>
      <w:proofErr w:type="gramEnd"/>
      <w:r w:rsidRPr="007220FA">
        <w:t xml:space="preserve"> identifies an error in the information in the Clinic Registration List, the Vaccine Provider will be able to effectively amend that information by using the correct information to search for the Patient’s AIR record using the CVIP App. The incorrect information in the Clinic Registration List will then be deleted after the AIR record with the correct information is sent to the AIR. No amended Patient Information will be sent from CVIP back to the BP. </w:t>
      </w:r>
    </w:p>
    <w:p w14:paraId="16918D6B" w14:textId="77777777" w:rsidR="001A6D7F" w:rsidRPr="007220FA" w:rsidRDefault="001A6D7F" w:rsidP="001A6D7F">
      <w:pPr>
        <w:pStyle w:val="Headingpara2"/>
      </w:pPr>
      <w:r w:rsidRPr="007220FA">
        <w:t>This step</w:t>
      </w:r>
      <w:r w:rsidRPr="007220FA">
        <w:rPr>
          <w:b/>
          <w:bCs/>
        </w:rPr>
        <w:t xml:space="preserve"> </w:t>
      </w:r>
      <w:r w:rsidRPr="007220FA">
        <w:t xml:space="preserve">will involve </w:t>
      </w:r>
      <w:r w:rsidRPr="007220FA">
        <w:rPr>
          <w:b/>
          <w:bCs/>
        </w:rPr>
        <w:t>uses</w:t>
      </w:r>
      <w:r w:rsidRPr="007220FA">
        <w:t xml:space="preserve"> of the BP Information by the Vaccine Provider.</w:t>
      </w:r>
    </w:p>
    <w:p w14:paraId="1600AA38" w14:textId="77777777" w:rsidR="00791E8B" w:rsidRPr="007220FA" w:rsidRDefault="00791E8B" w:rsidP="008C1512">
      <w:pPr>
        <w:pStyle w:val="Heading1"/>
      </w:pPr>
      <w:bookmarkStart w:id="80" w:name="_Toc113279940"/>
      <w:r w:rsidRPr="007220FA">
        <w:t>Privacy impact analysis and compliance</w:t>
      </w:r>
      <w:bookmarkEnd w:id="80"/>
    </w:p>
    <w:p w14:paraId="4134EA22" w14:textId="77777777" w:rsidR="007F4DB7" w:rsidRPr="007220FA" w:rsidRDefault="007F4DB7" w:rsidP="007F4DB7">
      <w:pPr>
        <w:pStyle w:val="Bolditalicsheading"/>
        <w:keepNext/>
      </w:pPr>
      <w:bookmarkStart w:id="81" w:name="_Ref38132346"/>
      <w:bookmarkStart w:id="82" w:name="_Toc38136534"/>
      <w:r w:rsidRPr="007220FA">
        <w:t>Transparency regarding the handling of Patient Information</w:t>
      </w:r>
    </w:p>
    <w:p w14:paraId="260702E1" w14:textId="77777777" w:rsidR="007F4DB7" w:rsidRPr="007220FA" w:rsidRDefault="007F4DB7" w:rsidP="007F4DB7">
      <w:pPr>
        <w:pStyle w:val="Headingpara2"/>
        <w:keepNext/>
      </w:pPr>
      <w:r w:rsidRPr="007220FA">
        <w:t xml:space="preserve">It is important that individuals who provide their personal information, or the personal information of another individual, to the BP are made aware of how personal information will be handled by the BP if the proposed integration occurs. </w:t>
      </w:r>
    </w:p>
    <w:p w14:paraId="7606341F" w14:textId="718AA6EE" w:rsidR="007F4DB7" w:rsidRPr="007220FA" w:rsidRDefault="007F4DB7" w:rsidP="007F4DB7">
      <w:pPr>
        <w:pStyle w:val="Headingpara2"/>
      </w:pPr>
      <w:r w:rsidRPr="007220FA">
        <w:t>We have reviewed the BP Privacy Policy</w:t>
      </w:r>
      <w:r w:rsidRPr="007220FA">
        <w:rPr>
          <w:rStyle w:val="FootnoteReference"/>
        </w:rPr>
        <w:footnoteReference w:id="22"/>
      </w:r>
      <w:r w:rsidRPr="007220FA">
        <w:t xml:space="preserve"> and the BP </w:t>
      </w:r>
      <w:r w:rsidR="00170712">
        <w:t>Privacy</w:t>
      </w:r>
      <w:r w:rsidRPr="007220FA">
        <w:t xml:space="preserve"> Notice (</w:t>
      </w:r>
      <w:proofErr w:type="gramStart"/>
      <w:r w:rsidRPr="007220FA">
        <w:t>i.e.</w:t>
      </w:r>
      <w:proofErr w:type="gramEnd"/>
      <w:r w:rsidRPr="007220FA">
        <w:t xml:space="preserve"> APP 5 notice)</w:t>
      </w:r>
      <w:r w:rsidRPr="007220FA">
        <w:rPr>
          <w:rStyle w:val="FootnoteReference"/>
        </w:rPr>
        <w:footnoteReference w:id="23"/>
      </w:r>
      <w:r w:rsidRPr="007220FA">
        <w:t xml:space="preserve"> and consider that these documents should be updated to describe how the personal information (sensitive information) of Patients will be handled as a result of the proposed integration of the BP and the CVIP solutions. </w:t>
      </w:r>
      <w:proofErr w:type="gramStart"/>
      <w:r w:rsidRPr="007220FA">
        <w:t>In particular, we</w:t>
      </w:r>
      <w:proofErr w:type="gramEnd"/>
      <w:r w:rsidRPr="007220FA">
        <w:t xml:space="preserve"> </w:t>
      </w:r>
      <w:r w:rsidR="00416F52" w:rsidRPr="00772E4E">
        <w:rPr>
          <w:b/>
          <w:bCs/>
          <w:color w:val="960030" w:themeColor="accent2"/>
        </w:rPr>
        <w:t>recommend</w:t>
      </w:r>
      <w:r w:rsidRPr="007220FA">
        <w:t xml:space="preserve"> that these documents:</w:t>
      </w:r>
    </w:p>
    <w:p w14:paraId="670A86EA" w14:textId="77777777" w:rsidR="007F4DB7" w:rsidRPr="007220FA" w:rsidRDefault="007F4DB7" w:rsidP="007F4DB7">
      <w:pPr>
        <w:pStyle w:val="Heading3"/>
      </w:pPr>
      <w:r w:rsidRPr="007220FA">
        <w:t>make it clear to Patients that if their chosen Vaccine Provider is using the CVIP solution:</w:t>
      </w:r>
    </w:p>
    <w:p w14:paraId="19E6B061" w14:textId="77777777" w:rsidR="007F4DB7" w:rsidRPr="007220FA" w:rsidRDefault="007F4DB7" w:rsidP="007F4DB7">
      <w:pPr>
        <w:pStyle w:val="Heading4"/>
      </w:pPr>
      <w:r w:rsidRPr="007220FA">
        <w:t>some of their personal information (which should ideally be specified) may be automatically transferred to that solution to assist the Vaccine Provider manage their bookings and undertake their mandatory reporting about the Patient’s vaccination to the AIR; and</w:t>
      </w:r>
    </w:p>
    <w:p w14:paraId="420925E5" w14:textId="77777777" w:rsidR="007F4DB7" w:rsidRPr="007220FA" w:rsidRDefault="007F4DB7" w:rsidP="007F4DB7">
      <w:pPr>
        <w:pStyle w:val="Heading4"/>
      </w:pPr>
      <w:r w:rsidRPr="007220FA">
        <w:t>the Vaccine Provider will be able to download their personal information and store it on their ICT systems; and</w:t>
      </w:r>
    </w:p>
    <w:p w14:paraId="73FFA5EB" w14:textId="5029DE7D" w:rsidR="007F4DB7" w:rsidRPr="007220FA" w:rsidRDefault="007F4DB7" w:rsidP="00772E4E">
      <w:pPr>
        <w:pStyle w:val="Heading3"/>
        <w:keepLines/>
      </w:pPr>
      <w:r w:rsidRPr="007220FA">
        <w:t xml:space="preserve">contain a link to Health’s website with further information about the CVIP, including the CVIP </w:t>
      </w:r>
      <w:r w:rsidR="00170712">
        <w:t>Privacy</w:t>
      </w:r>
      <w:r w:rsidRPr="007220FA">
        <w:t xml:space="preserve"> Notice</w:t>
      </w:r>
      <w:r w:rsidRPr="007220FA">
        <w:rPr>
          <w:rStyle w:val="FootnoteReference"/>
        </w:rPr>
        <w:footnoteReference w:id="24"/>
      </w:r>
      <w:r w:rsidR="00772E4E">
        <w:t>.</w:t>
      </w:r>
    </w:p>
    <w:p w14:paraId="0DFE90E0" w14:textId="44E0EECC" w:rsidR="007F4DB7" w:rsidRPr="007220FA" w:rsidRDefault="007F4DB7" w:rsidP="007F4DB7">
      <w:pPr>
        <w:pStyle w:val="Headingpara2"/>
        <w:keepNext/>
        <w:keepLines/>
      </w:pPr>
      <w:r w:rsidRPr="007220FA">
        <w:lastRenderedPageBreak/>
        <w:t xml:space="preserve">In addition, we </w:t>
      </w:r>
      <w:r w:rsidR="00772E4E" w:rsidRPr="00772E4E">
        <w:rPr>
          <w:b/>
          <w:bCs/>
          <w:color w:val="960030" w:themeColor="accent2"/>
        </w:rPr>
        <w:t>recommend</w:t>
      </w:r>
      <w:r w:rsidR="00772E4E" w:rsidRPr="00772E4E">
        <w:rPr>
          <w:color w:val="960030" w:themeColor="accent2"/>
        </w:rPr>
        <w:t xml:space="preserve"> </w:t>
      </w:r>
      <w:r w:rsidRPr="007220FA">
        <w:t xml:space="preserve">that the CVIP </w:t>
      </w:r>
      <w:r w:rsidR="00170712">
        <w:t>Privacy</w:t>
      </w:r>
      <w:r w:rsidRPr="007220FA">
        <w:t xml:space="preserve"> Notice also be amended to reflect the additional potential collection of personal information from the BP, because under APP</w:t>
      </w:r>
      <w:r w:rsidR="00442AA9">
        <w:t> </w:t>
      </w:r>
      <w:r w:rsidRPr="007220FA">
        <w:t xml:space="preserve">5.2(b) if personal information </w:t>
      </w:r>
      <w:r w:rsidR="00DD0B44">
        <w:t>about</w:t>
      </w:r>
      <w:r w:rsidRPr="007220FA">
        <w:t xml:space="preserve"> an individual is collected from someone other than the individual </w:t>
      </w:r>
      <w:r w:rsidR="00DD0B44">
        <w:t>to whom the information relates</w:t>
      </w:r>
      <w:r w:rsidRPr="007220FA">
        <w:t>, then the individual should be made aware of the name of the entity from which their personal information was collected and the method of collection.</w:t>
      </w:r>
    </w:p>
    <w:p w14:paraId="7A08A242" w14:textId="77777777" w:rsidR="007F4DB7" w:rsidRPr="007220FA" w:rsidRDefault="007F4DB7" w:rsidP="007F4DB7">
      <w:pPr>
        <w:pStyle w:val="BodyIndent1"/>
        <w:rPr>
          <w:b/>
          <w:bCs/>
          <w:i/>
          <w:iCs/>
        </w:rPr>
      </w:pPr>
      <w:r w:rsidRPr="007220FA">
        <w:rPr>
          <w:b/>
          <w:bCs/>
          <w:i/>
          <w:iCs/>
        </w:rPr>
        <w:t xml:space="preserve">Collection of Patient Information </w:t>
      </w:r>
    </w:p>
    <w:p w14:paraId="3845C9B8" w14:textId="4BE0F5C6" w:rsidR="007F4DB7" w:rsidRPr="007220FA" w:rsidRDefault="007F4DB7" w:rsidP="007F4DB7">
      <w:pPr>
        <w:pStyle w:val="BodyIndent1"/>
        <w:rPr>
          <w:u w:val="single"/>
        </w:rPr>
      </w:pPr>
      <w:r w:rsidRPr="007220FA">
        <w:rPr>
          <w:u w:val="single"/>
        </w:rPr>
        <w:t xml:space="preserve">Collection of the BP Information by </w:t>
      </w:r>
      <w:r w:rsidR="004A0E9C">
        <w:rPr>
          <w:u w:val="single"/>
        </w:rPr>
        <w:t xml:space="preserve">the </w:t>
      </w:r>
      <w:r w:rsidRPr="007220FA">
        <w:rPr>
          <w:u w:val="single"/>
        </w:rPr>
        <w:t>CVIP</w:t>
      </w:r>
    </w:p>
    <w:p w14:paraId="6858688A" w14:textId="7E76DCA9" w:rsidR="007F4DB7" w:rsidRPr="007220FA" w:rsidRDefault="007F4DB7" w:rsidP="007F4DB7">
      <w:pPr>
        <w:pStyle w:val="Headingpara2"/>
      </w:pPr>
      <w:r w:rsidRPr="007220FA">
        <w:t>At the time of writing</w:t>
      </w:r>
      <w:r w:rsidR="008C1512">
        <w:t xml:space="preserve"> of this Section</w:t>
      </w:r>
      <w:r w:rsidRPr="007220FA">
        <w:t>, responsibility for administration of the CVIP solution on behalf of the Commonwealth rests with Health</w:t>
      </w:r>
      <w:r w:rsidRPr="007220FA">
        <w:rPr>
          <w:rStyle w:val="FootnoteReference"/>
        </w:rPr>
        <w:footnoteReference w:id="25"/>
      </w:r>
      <w:r w:rsidRPr="007220FA">
        <w:t xml:space="preserve">. Information stored in the CVIP </w:t>
      </w:r>
      <w:proofErr w:type="gramStart"/>
      <w:r w:rsidRPr="007220FA">
        <w:t>is considered to be</w:t>
      </w:r>
      <w:proofErr w:type="gramEnd"/>
      <w:r w:rsidRPr="007220FA">
        <w:t xml:space="preserve"> information that has been collected by Health, rather than information that has been collected by the Vaccine Provider, or Services Australia (who operates the AIR using Services Australia infrastructure).</w:t>
      </w:r>
    </w:p>
    <w:p w14:paraId="22AF6807" w14:textId="28402DF8" w:rsidR="007F4DB7" w:rsidRPr="007220FA" w:rsidRDefault="007F4DB7" w:rsidP="007F4DB7">
      <w:pPr>
        <w:pStyle w:val="Headingpara2"/>
      </w:pPr>
      <w:r w:rsidRPr="007220FA">
        <w:t>This means that the</w:t>
      </w:r>
      <w:r w:rsidRPr="007220FA">
        <w:rPr>
          <w:b/>
          <w:bCs/>
        </w:rPr>
        <w:t xml:space="preserve"> </w:t>
      </w:r>
      <w:r w:rsidRPr="007220FA">
        <w:t xml:space="preserve">proposed integration of the CVIP and BP solutions will mean there will be a new collection by Health of some new information, when the BP Information is received in the CVIP. </w:t>
      </w:r>
    </w:p>
    <w:p w14:paraId="3E368B9E" w14:textId="05FB0A0A" w:rsidR="007F4DB7" w:rsidRPr="007220FA" w:rsidRDefault="007F4DB7" w:rsidP="007F4DB7">
      <w:pPr>
        <w:pStyle w:val="Headingpara2"/>
      </w:pPr>
      <w:r w:rsidRPr="007220FA">
        <w:t xml:space="preserve">As discussed in the Original PIA report, </w:t>
      </w:r>
      <w:proofErr w:type="gramStart"/>
      <w:r w:rsidRPr="007220FA">
        <w:t>all of</w:t>
      </w:r>
      <w:proofErr w:type="gramEnd"/>
      <w:r w:rsidRPr="007220FA">
        <w:t xml:space="preserve"> the above Patient </w:t>
      </w:r>
      <w:r w:rsidR="00DD0B44">
        <w:t>I</w:t>
      </w:r>
      <w:r w:rsidRPr="007220FA">
        <w:t>nformation will be sensitive information (being health information under s</w:t>
      </w:r>
      <w:r w:rsidR="00F46EA2" w:rsidRPr="007220FA">
        <w:t>ection</w:t>
      </w:r>
      <w:r w:rsidRPr="007220FA">
        <w:t xml:space="preserve"> 6FA of the Privacy Act).</w:t>
      </w:r>
    </w:p>
    <w:p w14:paraId="4D96F348" w14:textId="77777777" w:rsidR="007F4DB7" w:rsidRPr="007220FA" w:rsidRDefault="007F4DB7" w:rsidP="007F4DB7">
      <w:pPr>
        <w:pStyle w:val="Headingpara2"/>
      </w:pPr>
      <w:r w:rsidRPr="007220FA">
        <w:t>The new collection raises two privacy issues:</w:t>
      </w:r>
    </w:p>
    <w:p w14:paraId="32FFE48D" w14:textId="77777777" w:rsidR="007F4DB7" w:rsidRPr="007220FA" w:rsidRDefault="007F4DB7" w:rsidP="007F4DB7">
      <w:pPr>
        <w:pStyle w:val="Heading3"/>
      </w:pPr>
      <w:r w:rsidRPr="007220FA">
        <w:t>is the collection of the BP Information by Health authorised, consistent with the requirements of APP 3.3; and</w:t>
      </w:r>
    </w:p>
    <w:p w14:paraId="1DEFD56F" w14:textId="77777777" w:rsidR="007F4DB7" w:rsidRPr="007220FA" w:rsidRDefault="007F4DB7" w:rsidP="007F4DB7">
      <w:pPr>
        <w:pStyle w:val="Heading3"/>
      </w:pPr>
      <w:r w:rsidRPr="007220FA">
        <w:t>does the collected personal information represent the minimum amount of personal information required for the purposes of collection (as per the ‘data minimisation principle’)?</w:t>
      </w:r>
    </w:p>
    <w:p w14:paraId="14DBBF7F" w14:textId="7B919A83" w:rsidR="007F4DB7" w:rsidRPr="007220FA" w:rsidRDefault="007F4DB7" w:rsidP="007F4DB7">
      <w:pPr>
        <w:pStyle w:val="Headingpara2"/>
      </w:pPr>
      <w:bookmarkStart w:id="83" w:name="_Ref75425504"/>
      <w:r w:rsidRPr="007220FA">
        <w:rPr>
          <w:rFonts w:cs="Arial"/>
        </w:rPr>
        <w:t xml:space="preserve">In accordance with APP 3.3, </w:t>
      </w:r>
      <w:r w:rsidR="004A0E9C">
        <w:rPr>
          <w:rFonts w:cs="Arial"/>
        </w:rPr>
        <w:t xml:space="preserve">the </w:t>
      </w:r>
      <w:r w:rsidRPr="007220FA">
        <w:rPr>
          <w:rFonts w:cs="Arial"/>
        </w:rPr>
        <w:t>CVIP must not collect sensitive information about the Patient unless:</w:t>
      </w:r>
      <w:bookmarkEnd w:id="83"/>
    </w:p>
    <w:p w14:paraId="4D4E1924" w14:textId="77777777" w:rsidR="007F4DB7" w:rsidRPr="007220FA" w:rsidRDefault="007F4DB7" w:rsidP="007F4DB7">
      <w:pPr>
        <w:pStyle w:val="Heading3"/>
      </w:pPr>
      <w:r w:rsidRPr="007220FA">
        <w:t>the individual consents to the collection of the sensitive information; and</w:t>
      </w:r>
    </w:p>
    <w:p w14:paraId="48276826" w14:textId="2BEEE9A5" w:rsidR="007F4DB7" w:rsidRPr="007220FA" w:rsidRDefault="007F4DB7" w:rsidP="007F4DB7">
      <w:pPr>
        <w:pStyle w:val="Heading3"/>
      </w:pPr>
      <w:r w:rsidRPr="007220FA">
        <w:t xml:space="preserve">the information is reasonably necessary for, or directly related to, one or more of </w:t>
      </w:r>
      <w:r w:rsidR="004A0E9C">
        <w:t xml:space="preserve">the </w:t>
      </w:r>
      <w:r w:rsidRPr="007220FA">
        <w:t>CVIP’s functions or activities,</w:t>
      </w:r>
    </w:p>
    <w:p w14:paraId="2AD34D20" w14:textId="41304974" w:rsidR="007F4DB7" w:rsidRPr="007220FA" w:rsidRDefault="007F4DB7" w:rsidP="007F4DB7">
      <w:pPr>
        <w:pStyle w:val="Heading3"/>
        <w:numPr>
          <w:ilvl w:val="0"/>
          <w:numId w:val="0"/>
        </w:numPr>
        <w:ind w:left="851"/>
      </w:pPr>
      <w:r w:rsidRPr="007220FA">
        <w:t xml:space="preserve">or another exception in APP 3.4 applies. To date, all of the information that has been stored in the CVIP has been characterised as information that is authorised by the </w:t>
      </w:r>
      <w:r w:rsidRPr="007220FA">
        <w:rPr>
          <w:i/>
          <w:iCs/>
        </w:rPr>
        <w:t xml:space="preserve">Australian Immunisation Register Act 2015 </w:t>
      </w:r>
      <w:r w:rsidRPr="007220FA">
        <w:t>(Cth) (</w:t>
      </w:r>
      <w:r w:rsidRPr="007220FA">
        <w:rPr>
          <w:b/>
          <w:bCs/>
        </w:rPr>
        <w:t>AIR Act</w:t>
      </w:r>
      <w:r w:rsidRPr="007220FA">
        <w:t>), because it has been collected ‘</w:t>
      </w:r>
      <w:r w:rsidRPr="00546872">
        <w:rPr>
          <w:i/>
          <w:iCs/>
        </w:rPr>
        <w:t>for the purposes of including that information in the</w:t>
      </w:r>
      <w:r w:rsidRPr="007220FA">
        <w:t xml:space="preserve"> [AIR]’ under section 22(1) of the AIR </w:t>
      </w:r>
      <w:proofErr w:type="gramStart"/>
      <w:r w:rsidRPr="007220FA">
        <w:t>Act, and</w:t>
      </w:r>
      <w:proofErr w:type="gramEnd"/>
      <w:r w:rsidRPr="007220FA">
        <w:t xml:space="preserve"> is therefore authorised by APP 3.4(b).</w:t>
      </w:r>
    </w:p>
    <w:p w14:paraId="07429DDE" w14:textId="77777777" w:rsidR="007F4DB7" w:rsidRPr="007220FA" w:rsidRDefault="007F4DB7" w:rsidP="007F4DB7">
      <w:pPr>
        <w:pStyle w:val="Headingpara2"/>
      </w:pPr>
      <w:bookmarkStart w:id="84" w:name="_Ref75426142"/>
      <w:r w:rsidRPr="007220FA">
        <w:t>Some of the BP Information received from the BP will still have been collected, and will be used, for the purposes of including that information in the AIR (it will just have been collected from the BP, rather than directly from the Patient). For example, the Patient’s name, date of birth, gender, and Medicare number (if the Patient has a Medicare number), and the day of the vaccination, are all matters needed to allow the Vaccinator to find the correct AIR record for the Patient and/or to undertake the mandatory reporting to the AIR</w:t>
      </w:r>
      <w:r w:rsidRPr="007220FA">
        <w:rPr>
          <w:rStyle w:val="FootnoteReference"/>
        </w:rPr>
        <w:footnoteReference w:id="26"/>
      </w:r>
      <w:r w:rsidRPr="007220FA">
        <w:t xml:space="preserve">. </w:t>
      </w:r>
    </w:p>
    <w:p w14:paraId="21AF0DF0" w14:textId="6E0AA6EE" w:rsidR="007F4DB7" w:rsidRPr="007220FA" w:rsidRDefault="007F4DB7" w:rsidP="007F4DB7">
      <w:pPr>
        <w:pStyle w:val="Headingpara2"/>
        <w:keepLines/>
      </w:pPr>
      <w:bookmarkStart w:id="85" w:name="_Ref76063121"/>
      <w:r w:rsidRPr="007220FA">
        <w:lastRenderedPageBreak/>
        <w:t xml:space="preserve">However, it is difficult to see how some other BP Information items can be justified as having been collected and used for the purposes of the AIR. For example, the time for the Patient’s appointment, the unique identification numbers allocated by the BP, and the relevant Clinic address are not items of information that are required to be provided to the AIR, or otherwise relevant for the purposes of the AIR. We do not think that APP 3.4(b) can be relied upon to authorise the collection of these items. We do not think that any other exception in APP 3.4 would operate to authorise the collection of these items (for completeness, we do not think a Patient making a booking would reasonably expect HealthEngine to transfer the information to another Health system (APP 3.4(a)) or that a permitted general situation would apply </w:t>
      </w:r>
      <w:proofErr w:type="gramStart"/>
      <w:r w:rsidRPr="007220FA">
        <w:t>so as to</w:t>
      </w:r>
      <w:proofErr w:type="gramEnd"/>
      <w:r w:rsidRPr="007220FA">
        <w:t xml:space="preserve"> authorise the collection (APP 3.4(b)</w:t>
      </w:r>
      <w:r w:rsidR="00546872">
        <w:t>)</w:t>
      </w:r>
      <w:r w:rsidRPr="007220FA">
        <w:t>.</w:t>
      </w:r>
      <w:bookmarkEnd w:id="85"/>
    </w:p>
    <w:p w14:paraId="53B6842E" w14:textId="77777777" w:rsidR="007F4DB7" w:rsidRPr="007220FA" w:rsidRDefault="007F4DB7" w:rsidP="007F4DB7">
      <w:pPr>
        <w:pStyle w:val="Headingpara2"/>
      </w:pPr>
      <w:r w:rsidRPr="007220FA">
        <w:t xml:space="preserve">This means that the consent of the Patient to collection of their personal information in the CVIP will need to be obtained at the point that they make a booking using the BP. </w:t>
      </w:r>
    </w:p>
    <w:p w14:paraId="1BF9CA4E" w14:textId="77777777" w:rsidR="007F4DB7" w:rsidRPr="007220FA" w:rsidRDefault="007F4DB7" w:rsidP="007F4DB7">
      <w:pPr>
        <w:pStyle w:val="Headingpara2"/>
      </w:pPr>
      <w:r w:rsidRPr="007220FA">
        <w:t>The consent to the collection of sensitive information is sought of the Patient at the time the Patient makes a booking for an appointment to receive a COVID-19 vaccine. The Patient is provided with the following:</w:t>
      </w:r>
      <w:bookmarkEnd w:id="84"/>
    </w:p>
    <w:p w14:paraId="58D2D3E6" w14:textId="77777777" w:rsidR="007F4DB7" w:rsidRPr="007220FA" w:rsidRDefault="007F4DB7" w:rsidP="007F4DB7">
      <w:pPr>
        <w:pStyle w:val="correspQuote"/>
        <w:ind w:left="1702"/>
        <w:rPr>
          <w:i/>
          <w:iCs/>
          <w:sz w:val="20"/>
          <w:szCs w:val="22"/>
        </w:rPr>
      </w:pPr>
      <w:r w:rsidRPr="007220FA">
        <w:rPr>
          <w:i/>
          <w:iCs/>
          <w:sz w:val="20"/>
          <w:szCs w:val="22"/>
        </w:rPr>
        <w:t xml:space="preserve">By continuing with your </w:t>
      </w:r>
      <w:proofErr w:type="gramStart"/>
      <w:r w:rsidRPr="007220FA">
        <w:rPr>
          <w:i/>
          <w:iCs/>
          <w:sz w:val="20"/>
          <w:szCs w:val="22"/>
        </w:rPr>
        <w:t>booking</w:t>
      </w:r>
      <w:proofErr w:type="gramEnd"/>
      <w:r w:rsidRPr="007220FA">
        <w:rPr>
          <w:i/>
          <w:iCs/>
          <w:sz w:val="20"/>
          <w:szCs w:val="22"/>
        </w:rPr>
        <w:t xml:space="preserve"> you agree to HealthEngine’s Terms of Use, Privacy Policy and Collection Notice…</w:t>
      </w:r>
    </w:p>
    <w:p w14:paraId="2B17F5EC" w14:textId="747BA32D" w:rsidR="007F4DB7" w:rsidRPr="007220FA" w:rsidRDefault="007F4DB7" w:rsidP="007F4DB7">
      <w:pPr>
        <w:pStyle w:val="Headingpara2"/>
      </w:pPr>
      <w:r w:rsidRPr="007220FA">
        <w:t xml:space="preserve">If the BP Privacy Policy and the BP </w:t>
      </w:r>
      <w:r w:rsidR="00546872">
        <w:t>Privacy</w:t>
      </w:r>
      <w:r w:rsidRPr="007220FA">
        <w:t xml:space="preserve"> Notice are amended as per</w:t>
      </w:r>
      <w:r w:rsidR="00772E4E">
        <w:t xml:space="preserve"> our recommendation</w:t>
      </w:r>
      <w:r w:rsidRPr="007220FA">
        <w:t xml:space="preserve"> above, it will then be arguable that consent will have been obtained for the collection by Health of their BP Information in the CVIP.</w:t>
      </w:r>
    </w:p>
    <w:p w14:paraId="514230A1" w14:textId="35AA597A" w:rsidR="007F4DB7" w:rsidRPr="007220FA" w:rsidRDefault="007F4DB7" w:rsidP="007F4DB7">
      <w:pPr>
        <w:pStyle w:val="Headingpara2"/>
      </w:pPr>
      <w:r w:rsidRPr="007220FA">
        <w:t xml:space="preserve">However, </w:t>
      </w:r>
      <w:proofErr w:type="gramStart"/>
      <w:r w:rsidRPr="007220FA">
        <w:t>in order to</w:t>
      </w:r>
      <w:proofErr w:type="gramEnd"/>
      <w:r w:rsidRPr="007220FA">
        <w:t xml:space="preserve"> ensure that the Patient is fully informed before giving their consent, it would be preferable if the BP could expressly display the relevant wording to the Patient, rather than the Patient needing to click through to, and then read, the relatively lengthy BP Privacy Policy and BP </w:t>
      </w:r>
      <w:r w:rsidR="00546872">
        <w:t>Privacy</w:t>
      </w:r>
      <w:r w:rsidRPr="007220FA">
        <w:t xml:space="preserve"> Notice to find out about this collection. We therefore </w:t>
      </w:r>
      <w:r w:rsidR="00772E4E" w:rsidRPr="00772E4E">
        <w:rPr>
          <w:b/>
          <w:bCs/>
          <w:color w:val="960030" w:themeColor="accent2"/>
        </w:rPr>
        <w:t>recommend</w:t>
      </w:r>
      <w:r w:rsidR="00772E4E" w:rsidRPr="00772E4E">
        <w:rPr>
          <w:color w:val="960030" w:themeColor="accent2"/>
        </w:rPr>
        <w:t xml:space="preserve"> </w:t>
      </w:r>
      <w:r w:rsidRPr="007220FA">
        <w:t xml:space="preserve">that Health explore whether it is feasible for wording similar to the following to be displayed to </w:t>
      </w:r>
      <w:proofErr w:type="gramStart"/>
      <w:r w:rsidRPr="007220FA">
        <w:t>Patients</w:t>
      </w:r>
      <w:proofErr w:type="gramEnd"/>
      <w:r w:rsidRPr="007220FA">
        <w:t>:</w:t>
      </w:r>
    </w:p>
    <w:p w14:paraId="73507EC8" w14:textId="77777777" w:rsidR="007F4DB7" w:rsidRPr="007220FA" w:rsidRDefault="007F4DB7" w:rsidP="007F4DB7">
      <w:pPr>
        <w:pStyle w:val="Headingpara2"/>
        <w:numPr>
          <w:ilvl w:val="0"/>
          <w:numId w:val="0"/>
        </w:numPr>
        <w:ind w:left="1702"/>
      </w:pPr>
      <w:r w:rsidRPr="007220FA">
        <w:rPr>
          <w:i/>
          <w:iCs/>
        </w:rPr>
        <w:t xml:space="preserve">If you proceed with this booking, your personal information will be collated and provided to your selected Healthcare Professional, and potentially also to the CVIP solution operated by the Commonwealth that is used by your Healthcare Professional to report your vaccination to the Australian Immunisation Register. You can find out more about this in our </w:t>
      </w:r>
      <w:r w:rsidRPr="007220FA">
        <w:rPr>
          <w:i/>
          <w:iCs/>
          <w:u w:val="single"/>
        </w:rPr>
        <w:t>privacy policy.</w:t>
      </w:r>
    </w:p>
    <w:p w14:paraId="503AF90D" w14:textId="77777777" w:rsidR="007F4DB7" w:rsidRPr="007220FA" w:rsidRDefault="007F4DB7" w:rsidP="007F4DB7">
      <w:pPr>
        <w:pStyle w:val="Headingpara2"/>
      </w:pPr>
      <w:r w:rsidRPr="007220FA">
        <w:t>In addition, consent should also be able to be refused (</w:t>
      </w:r>
      <w:proofErr w:type="gramStart"/>
      <w:r w:rsidRPr="007220FA">
        <w:t>i.e.</w:t>
      </w:r>
      <w:proofErr w:type="gramEnd"/>
      <w:r w:rsidRPr="007220FA">
        <w:t xml:space="preserve"> to the extent possible it should not be ‘bundled’ with other consents) or withdrawn at a later stage. We understand that neither of these are likely to be practical in the circumstances (even if the BP solution could technically be amended so that Patients could select not to provide their Patient Information to the CVIP solution, this would defeat the intended purpose of the integration - because the Clinic Registration List would not be complete, the Vaccine Provider would still need to check and manually extract the relevant information from the BP solution and then compare this against the Clinic Registration List).</w:t>
      </w:r>
    </w:p>
    <w:p w14:paraId="0171568C" w14:textId="6EBA86A2" w:rsidR="007F4DB7" w:rsidRPr="007220FA" w:rsidRDefault="007F4DB7" w:rsidP="007F4DB7">
      <w:pPr>
        <w:pStyle w:val="Headingpara2"/>
      </w:pPr>
      <w:r w:rsidRPr="007220FA">
        <w:t>Given this, we suggest it is even more important that Patients be clearly told about the disclosure to, and collection by, the CVIP system so that they understand that this is an integral part of their consent (see</w:t>
      </w:r>
      <w:r w:rsidR="00772E4E">
        <w:t xml:space="preserve"> our recommendation </w:t>
      </w:r>
      <w:r w:rsidRPr="007220FA">
        <w:t>above).</w:t>
      </w:r>
    </w:p>
    <w:p w14:paraId="7411DEC5" w14:textId="77777777" w:rsidR="007F4DB7" w:rsidRPr="007220FA" w:rsidRDefault="007F4DB7" w:rsidP="007F4DB7">
      <w:pPr>
        <w:pStyle w:val="Headingpara2"/>
      </w:pPr>
      <w:r w:rsidRPr="007220FA">
        <w:t>Assuming that Patient consent is obtained, it will still be necessary for APP 3.3(a)(i) to be satisfied and ensure that the collected information is reasonably necessary for, or directly related to, one or more of Health’s functions.</w:t>
      </w:r>
    </w:p>
    <w:p w14:paraId="6C9C2852" w14:textId="61A79EAB" w:rsidR="007F4DB7" w:rsidRPr="007220FA" w:rsidRDefault="007F4DB7" w:rsidP="007F4DB7">
      <w:pPr>
        <w:pStyle w:val="Headingpara2"/>
        <w:keepNext/>
        <w:keepLines/>
      </w:pPr>
      <w:r w:rsidRPr="007220FA">
        <w:lastRenderedPageBreak/>
        <w:t xml:space="preserve">As set out in the Original PIA report, and the Phase 1b </w:t>
      </w:r>
      <w:r w:rsidR="00C2500F">
        <w:t xml:space="preserve">Update </w:t>
      </w:r>
      <w:r w:rsidRPr="007220FA">
        <w:t>PIA report, Health’s functions and activities include ensuring as smooth and seamless roll-out of the Vaccine Strategy as possible. In our view, this includes ensuring that systems and processes provided for use by Vaccine Providers facilitate efficient and effective administration of vaccinations. We therefore consider that, as a general principle, the collection of BP Information in the CVIP is reasonably necessary for, or directly related to that function.</w:t>
      </w:r>
    </w:p>
    <w:p w14:paraId="3DC3C7CD" w14:textId="41C3E4F2" w:rsidR="007F4DB7" w:rsidRPr="007220FA" w:rsidRDefault="007F4DB7" w:rsidP="007F4DB7">
      <w:pPr>
        <w:pStyle w:val="Headingpara2"/>
        <w:keepNext/>
        <w:keepLines/>
      </w:pPr>
      <w:r w:rsidRPr="007220FA">
        <w:t>However, it is also necessary to be satisfied that each piece of BP Information is needed for that function, so that the collection of the BP Information is consistent with the data minimisation principle. We note that not all of the information that provided by the Patient to the BP will be sent to the CVIP (</w:t>
      </w:r>
      <w:proofErr w:type="gramStart"/>
      <w:r w:rsidRPr="007220FA">
        <w:t>e.g.</w:t>
      </w:r>
      <w:proofErr w:type="gramEnd"/>
      <w:r w:rsidRPr="007220FA">
        <w:t xml:space="preserve"> the Patient’s preferred name, email address and mobile phone number, and details about any other person making the booking on behalf of the Patient</w:t>
      </w:r>
      <w:r w:rsidR="00A416AB" w:rsidRPr="007220FA">
        <w:t>,</w:t>
      </w:r>
      <w:r w:rsidRPr="007220FA">
        <w:t xml:space="preserve"> will not be sent). We consider that not including this information in the BP Information is a privacy-enhancing feature.</w:t>
      </w:r>
    </w:p>
    <w:p w14:paraId="1AD4E09C" w14:textId="77777777" w:rsidR="007F4DB7" w:rsidRPr="007220FA" w:rsidRDefault="007F4DB7" w:rsidP="007F4DB7">
      <w:pPr>
        <w:pStyle w:val="Headingpara2"/>
      </w:pPr>
      <w:r w:rsidRPr="007220FA">
        <w:t>We consider that it is appropriate that the BP Information include personal information that is required for the CVIP solution to search for the Patient in the AIR, or to create a new AIR record if the Patient does not have one. This will include the Patient’s name, date of birth and Medicare card number.</w:t>
      </w:r>
    </w:p>
    <w:p w14:paraId="73B9920B" w14:textId="3B376BF4" w:rsidR="007F4DB7" w:rsidRPr="007220FA" w:rsidRDefault="007F4DB7" w:rsidP="007F4DB7">
      <w:pPr>
        <w:pStyle w:val="Headingpara2"/>
      </w:pPr>
      <w:bookmarkStart w:id="86" w:name="_Ref76044382"/>
      <w:r w:rsidRPr="007220FA">
        <w:t xml:space="preserve">We do note that these functions will only be relevant if the Patient </w:t>
      </w:r>
      <w:proofErr w:type="gramStart"/>
      <w:r w:rsidRPr="007220FA">
        <w:t>actually attends</w:t>
      </w:r>
      <w:proofErr w:type="gramEnd"/>
      <w:r w:rsidRPr="007220FA">
        <w:t xml:space="preserve"> for their booked appointment, and then has a vaccination administered (otherwise there is no need for their Patient Information to be reported to the AIR). We also note that the proposed integration will facilitate collection of a Patient record from the AIR in anticipation of the Patient attending (</w:t>
      </w:r>
      <w:proofErr w:type="gramStart"/>
      <w:r w:rsidRPr="007220FA">
        <w:t>i.e.</w:t>
      </w:r>
      <w:proofErr w:type="gramEnd"/>
      <w:r w:rsidRPr="007220FA">
        <w:t xml:space="preserve"> the proposed integration will change the current arrangements, under which an AIR record is only collected in the CVIP if the Patient has attended the Clinic</w:t>
      </w:r>
      <w:r w:rsidR="00A416AB" w:rsidRPr="007220FA">
        <w:t>)</w:t>
      </w:r>
      <w:r w:rsidRPr="007220FA">
        <w:t>.</w:t>
      </w:r>
      <w:bookmarkEnd w:id="86"/>
      <w:r w:rsidRPr="007220FA">
        <w:t xml:space="preserve"> </w:t>
      </w:r>
    </w:p>
    <w:p w14:paraId="312493E0" w14:textId="32B8A605" w:rsidR="007F4DB7" w:rsidRPr="007220FA" w:rsidRDefault="007F4DB7" w:rsidP="007F4DB7">
      <w:pPr>
        <w:pStyle w:val="Headingpara2"/>
      </w:pPr>
      <w:r w:rsidRPr="007220FA">
        <w:t>While this is a risk, we note that in the majority of cases a Patient is likely to attend (particularly given the recent media attention on the potential shortage of vaccines and difficulties in obtaining appointments), and that the BP Information and any AIR record that is ‘called up’ but not used will be deleted shortly after the end of the day if it is apparent that the Patient does not attend, or if they attended but were unable to receive a vaccination (e.g. because they had an influenza vaccination within</w:t>
      </w:r>
      <w:r w:rsidR="00A416AB" w:rsidRPr="007220FA">
        <w:t xml:space="preserve"> the</w:t>
      </w:r>
      <w:r w:rsidRPr="007220FA">
        <w:t xml:space="preserve"> 14 days prior to attending their COVID-19 vaccine). We note that the BP Information, and the AIR record, will still be collected so that they can be used for the purposes of the AIR. In these circumstances, we think that it is not unreasonable for the CVIP to collect the BP Information even though there is a risk that the Patient may not actually attend so that the collection would therefore not be needed. </w:t>
      </w:r>
    </w:p>
    <w:p w14:paraId="6349D728" w14:textId="2348D056" w:rsidR="007F4DB7" w:rsidRPr="007220FA" w:rsidRDefault="007F4DB7" w:rsidP="007F4DB7">
      <w:pPr>
        <w:pStyle w:val="Headingpara2"/>
      </w:pPr>
      <w:bookmarkStart w:id="87" w:name="_Ref76132721"/>
      <w:r w:rsidRPr="007220FA">
        <w:t>As discussed above, we also note that the BP Information does include some Patient Information that is not needed for the purposes of the AIR. We are satisfied however that all of items these appear to be able to be justified as reasonably necessary for the Vaccine Provider to undertake its functions and activities associated with the vaccine rollout in an efficient and effective manner, and therefore that APP 3.3 is satisfied.</w:t>
      </w:r>
      <w:bookmarkEnd w:id="87"/>
    </w:p>
    <w:p w14:paraId="22D0111E" w14:textId="12B1C495" w:rsidR="007F4DB7" w:rsidRPr="007220FA" w:rsidRDefault="007F4DB7" w:rsidP="007F4DB7">
      <w:pPr>
        <w:pStyle w:val="Headingpara2"/>
      </w:pPr>
      <w:r w:rsidRPr="007220FA">
        <w:t xml:space="preserve">For completeness, we also consider that the proposed collection in </w:t>
      </w:r>
      <w:r w:rsidR="004A0E9C">
        <w:t xml:space="preserve">the </w:t>
      </w:r>
      <w:r w:rsidRPr="007220FA">
        <w:t xml:space="preserve">CVIP will not be inconsistent with APP 3.5, which requires that the collection must be by lawful and fair means. Collection of information is not lawful where it is in breach of legislation, would constitute a civil wrong, or is contrary to a court or tribunal order. We do not consider that there is any reason that the collection of Patient Information into </w:t>
      </w:r>
      <w:r w:rsidR="004A0E9C">
        <w:t xml:space="preserve">the </w:t>
      </w:r>
      <w:r w:rsidRPr="007220FA">
        <w:t xml:space="preserve">CVIP would not be by ‘fair means’, particularly if </w:t>
      </w:r>
      <w:r w:rsidR="00772E4E">
        <w:t xml:space="preserve">the above recommendations </w:t>
      </w:r>
      <w:r w:rsidRPr="007220FA">
        <w:t>are implemented.</w:t>
      </w:r>
    </w:p>
    <w:p w14:paraId="232D81D8" w14:textId="571E7F85" w:rsidR="007F4DB7" w:rsidRPr="007220FA" w:rsidRDefault="007F4DB7" w:rsidP="007F4DB7">
      <w:pPr>
        <w:pStyle w:val="Headingpara2"/>
      </w:pPr>
      <w:bookmarkStart w:id="88" w:name="_Ref76044384"/>
      <w:r w:rsidRPr="007220FA">
        <w:t xml:space="preserve">We also note that if </w:t>
      </w:r>
      <w:r w:rsidR="00772E4E">
        <w:t xml:space="preserve">these recommendations </w:t>
      </w:r>
      <w:r w:rsidRPr="007220FA">
        <w:t>are implemented, so that the Patient will have consented to the collection, APP 3.6 will also be satisfied.</w:t>
      </w:r>
      <w:bookmarkEnd w:id="88"/>
    </w:p>
    <w:p w14:paraId="23DAFC0F" w14:textId="77777777" w:rsidR="007F4DB7" w:rsidRPr="007220FA" w:rsidRDefault="007F4DB7" w:rsidP="007F4DB7">
      <w:pPr>
        <w:pStyle w:val="Headingpara2"/>
        <w:keepNext/>
        <w:numPr>
          <w:ilvl w:val="0"/>
          <w:numId w:val="0"/>
        </w:numPr>
        <w:ind w:left="851"/>
        <w:rPr>
          <w:u w:val="single"/>
        </w:rPr>
      </w:pPr>
      <w:r w:rsidRPr="007220FA">
        <w:rPr>
          <w:u w:val="single"/>
        </w:rPr>
        <w:t>Collection of BP Information by Vaccine Provider</w:t>
      </w:r>
    </w:p>
    <w:p w14:paraId="230494F5" w14:textId="41B048F7" w:rsidR="007F4DB7" w:rsidRPr="007220FA" w:rsidRDefault="007F4DB7" w:rsidP="007F4DB7">
      <w:pPr>
        <w:pStyle w:val="Headingpara2"/>
      </w:pPr>
      <w:r w:rsidRPr="007220FA">
        <w:t>Vaccine Providers will be able to extract (download) the Clinic Registration List (containing the BP Information) from</w:t>
      </w:r>
      <w:r w:rsidR="004A0E9C">
        <w:t xml:space="preserve"> the</w:t>
      </w:r>
      <w:r w:rsidRPr="007220FA">
        <w:t xml:space="preserve"> CVIP to their own ICT systems. This will also be a collection of sensitive information.</w:t>
      </w:r>
    </w:p>
    <w:p w14:paraId="01D335C0" w14:textId="77777777" w:rsidR="007F4DB7" w:rsidRPr="007220FA" w:rsidRDefault="007F4DB7" w:rsidP="007F4DB7">
      <w:pPr>
        <w:pStyle w:val="Headingpara2"/>
      </w:pPr>
      <w:r w:rsidRPr="007220FA">
        <w:lastRenderedPageBreak/>
        <w:t>For collection to be compliant with APP 3.3, the individual must have consented to the collection of their sensitive information and the information must be reasonably necessary for one or more of the entity’s functions or activities.</w:t>
      </w:r>
    </w:p>
    <w:p w14:paraId="1EC1C9D0" w14:textId="480EFC3D" w:rsidR="007F4DB7" w:rsidRPr="007220FA" w:rsidRDefault="007F4DB7" w:rsidP="007F4DB7">
      <w:pPr>
        <w:pStyle w:val="Headingpara2"/>
      </w:pPr>
      <w:r w:rsidRPr="007220FA">
        <w:t xml:space="preserve">As discussed in the Phase 1b </w:t>
      </w:r>
      <w:r w:rsidR="00852FD9">
        <w:t xml:space="preserve">Update </w:t>
      </w:r>
      <w:r w:rsidRPr="007220FA">
        <w:t xml:space="preserve">PIA report, Patients will provide consent to the collection of their personal information when they use the BP. Both the BP Privacy Policy and the BP </w:t>
      </w:r>
      <w:r w:rsidR="00546872">
        <w:t>Privacy</w:t>
      </w:r>
      <w:r w:rsidRPr="007220FA">
        <w:t xml:space="preserve"> Notice clearly state that the Patient’s personal information will be disclosed to health professionals (</w:t>
      </w:r>
      <w:proofErr w:type="gramStart"/>
      <w:r w:rsidRPr="007220FA">
        <w:t>i.e.</w:t>
      </w:r>
      <w:proofErr w:type="gramEnd"/>
      <w:r w:rsidRPr="007220FA">
        <w:t xml:space="preserve"> Vaccine Providers). In our view, the current wording is sufficient to authorise collection by the Vaccine Provider from the BP via the CVIP.</w:t>
      </w:r>
    </w:p>
    <w:p w14:paraId="0B67F9D9" w14:textId="6A832AA7" w:rsidR="007F4DB7" w:rsidRPr="007220FA" w:rsidRDefault="007F4DB7" w:rsidP="007F4DB7">
      <w:pPr>
        <w:pStyle w:val="Headingpara2"/>
        <w:rPr>
          <w:b/>
          <w:bCs/>
          <w:i/>
          <w:iCs/>
        </w:rPr>
      </w:pPr>
      <w:r w:rsidRPr="007220FA">
        <w:t xml:space="preserve">The discussion above in paragraphs </w:t>
      </w:r>
      <w:r w:rsidRPr="007220FA">
        <w:fldChar w:fldCharType="begin"/>
      </w:r>
      <w:r w:rsidRPr="007220FA">
        <w:instrText xml:space="preserve"> REF _Ref76044382 \r \h </w:instrText>
      </w:r>
      <w:r w:rsidR="00AB1CB9" w:rsidRPr="007220FA">
        <w:instrText xml:space="preserve"> \* MERGEFORMAT </w:instrText>
      </w:r>
      <w:r w:rsidRPr="007220FA">
        <w:fldChar w:fldCharType="separate"/>
      </w:r>
      <w:r w:rsidR="00442AA9">
        <w:t>2.21</w:t>
      </w:r>
      <w:r w:rsidRPr="007220FA">
        <w:fldChar w:fldCharType="end"/>
      </w:r>
      <w:r w:rsidRPr="007220FA">
        <w:t xml:space="preserve"> to </w:t>
      </w:r>
      <w:r w:rsidRPr="007220FA">
        <w:fldChar w:fldCharType="begin"/>
      </w:r>
      <w:r w:rsidRPr="007220FA">
        <w:instrText xml:space="preserve"> REF _Ref76132721 \r \h </w:instrText>
      </w:r>
      <w:r w:rsidR="00AB1CB9" w:rsidRPr="007220FA">
        <w:instrText xml:space="preserve"> \* MERGEFORMAT </w:instrText>
      </w:r>
      <w:r w:rsidRPr="007220FA">
        <w:fldChar w:fldCharType="separate"/>
      </w:r>
      <w:r w:rsidR="00442AA9">
        <w:t>2.23</w:t>
      </w:r>
      <w:r w:rsidRPr="007220FA">
        <w:fldChar w:fldCharType="end"/>
      </w:r>
      <w:r w:rsidRPr="007220FA">
        <w:t xml:space="preserve"> will also apply to justify the collection as being reasonably necessary for the functions and activities of the Vaccine Provider. In addition, we are satisfied that nothing suggests that this collection is by means that are unlawful or unfair (so that APP 3.5 will be satisfied), and that the Patient will have consented to the collection of their personal information from someone other than the Patient (so that APP 3.6 will be satisfied). </w:t>
      </w:r>
    </w:p>
    <w:p w14:paraId="2EE8B6AD" w14:textId="392D1D62" w:rsidR="007F4DB7" w:rsidRPr="007220FA" w:rsidRDefault="007F4DB7" w:rsidP="007F4DB7">
      <w:pPr>
        <w:pStyle w:val="Headingpara2"/>
        <w:rPr>
          <w:b/>
          <w:bCs/>
          <w:i/>
          <w:iCs/>
        </w:rPr>
      </w:pPr>
      <w:r w:rsidRPr="007220FA">
        <w:t xml:space="preserve">Therefore, if </w:t>
      </w:r>
      <w:r w:rsidR="00772E4E">
        <w:t xml:space="preserve">the above recommendations </w:t>
      </w:r>
      <w:r w:rsidRPr="007220FA">
        <w:t>are implemented,</w:t>
      </w:r>
      <w:r w:rsidRPr="007220FA">
        <w:rPr>
          <w:b/>
          <w:bCs/>
        </w:rPr>
        <w:t xml:space="preserve"> </w:t>
      </w:r>
      <w:r w:rsidRPr="007220FA">
        <w:t>we consider the collection of Patient Information by Vaccine Providers will be compliant with APP 3.</w:t>
      </w:r>
    </w:p>
    <w:p w14:paraId="30B4D135" w14:textId="77777777" w:rsidR="007F4DB7" w:rsidRPr="007220FA" w:rsidRDefault="007F4DB7" w:rsidP="007F4DB7">
      <w:pPr>
        <w:pStyle w:val="Headingpara2"/>
        <w:numPr>
          <w:ilvl w:val="0"/>
          <w:numId w:val="0"/>
        </w:numPr>
        <w:ind w:left="851"/>
        <w:rPr>
          <w:b/>
          <w:bCs/>
          <w:i/>
          <w:iCs/>
          <w:u w:val="single"/>
        </w:rPr>
      </w:pPr>
      <w:r w:rsidRPr="007220FA">
        <w:rPr>
          <w:u w:val="single"/>
        </w:rPr>
        <w:t>Collection of protected information as defined in the AIR Act</w:t>
      </w:r>
    </w:p>
    <w:p w14:paraId="23CAA73C" w14:textId="77777777" w:rsidR="007F4DB7" w:rsidRPr="007220FA" w:rsidRDefault="007F4DB7" w:rsidP="007F4DB7">
      <w:pPr>
        <w:pStyle w:val="Headingpara2"/>
      </w:pPr>
      <w:bookmarkStart w:id="89" w:name="_Ref76068772"/>
      <w:r w:rsidRPr="007220FA">
        <w:t xml:space="preserve">Finally, we note that there may be an issue if some BP Information is ‘protected information’ under the AIR Act. </w:t>
      </w:r>
      <w:bookmarkStart w:id="90" w:name="_Ref76063201"/>
      <w:bookmarkStart w:id="91" w:name="_Ref75341933"/>
      <w:r w:rsidRPr="007220FA">
        <w:t>Personal information that is:</w:t>
      </w:r>
      <w:bookmarkEnd w:id="89"/>
      <w:bookmarkEnd w:id="90"/>
    </w:p>
    <w:p w14:paraId="307E7F7D" w14:textId="77777777" w:rsidR="007F4DB7" w:rsidRPr="007220FA" w:rsidRDefault="007F4DB7" w:rsidP="007F4DB7">
      <w:pPr>
        <w:pStyle w:val="Heading3"/>
      </w:pPr>
      <w:r w:rsidRPr="007220FA">
        <w:t xml:space="preserve">obtained under, or in accordance with, the AIR </w:t>
      </w:r>
      <w:proofErr w:type="gramStart"/>
      <w:r w:rsidRPr="007220FA">
        <w:t>Act;</w:t>
      </w:r>
      <w:proofErr w:type="gramEnd"/>
      <w:r w:rsidRPr="007220FA">
        <w:t xml:space="preserve"> </w:t>
      </w:r>
    </w:p>
    <w:p w14:paraId="7FEDBE51" w14:textId="1097DD0C" w:rsidR="007F4DB7" w:rsidRPr="007220FA" w:rsidRDefault="007F4DB7" w:rsidP="007F4DB7">
      <w:pPr>
        <w:pStyle w:val="Heading3"/>
      </w:pPr>
      <w:r w:rsidRPr="007220FA">
        <w:t>derived from a record of information that</w:t>
      </w:r>
      <w:r w:rsidR="00A416AB" w:rsidRPr="007220FA">
        <w:t xml:space="preserve"> is</w:t>
      </w:r>
      <w:r w:rsidRPr="007220FA">
        <w:t xml:space="preserve"> made under, or in accordance with, the AIR Act: or</w:t>
      </w:r>
    </w:p>
    <w:p w14:paraId="5EAB1672" w14:textId="2D07DE6A" w:rsidR="007F4DB7" w:rsidRPr="007220FA" w:rsidRDefault="007F4DB7" w:rsidP="007F4DB7">
      <w:pPr>
        <w:pStyle w:val="Heading3"/>
      </w:pPr>
      <w:r w:rsidRPr="007220FA">
        <w:t>derived from a disclosure or use of information that was made under, or in accordance with, the AIR Act</w:t>
      </w:r>
      <w:r w:rsidR="00A416AB" w:rsidRPr="007220FA">
        <w:t>,</w:t>
      </w:r>
    </w:p>
    <w:p w14:paraId="6488F857" w14:textId="21EC662C" w:rsidR="007F4DB7" w:rsidRPr="007220FA" w:rsidRDefault="007F4DB7" w:rsidP="007F4DB7">
      <w:pPr>
        <w:pStyle w:val="Heading3"/>
        <w:numPr>
          <w:ilvl w:val="0"/>
          <w:numId w:val="0"/>
        </w:numPr>
        <w:ind w:left="851"/>
      </w:pPr>
      <w:r w:rsidRPr="007220FA">
        <w:t>will be ‘protected information’, and subject to the restrictions on making a record of, and on use and disclosure of, protected information in the AIR Act (see section</w:t>
      </w:r>
      <w:r w:rsidR="00A416AB" w:rsidRPr="007220FA">
        <w:t>s</w:t>
      </w:r>
      <w:r w:rsidRPr="007220FA">
        <w:t> 22(2) and 23)).</w:t>
      </w:r>
    </w:p>
    <w:p w14:paraId="75AC1524" w14:textId="0280E4EA" w:rsidR="007F4DB7" w:rsidRPr="007220FA" w:rsidRDefault="007F4DB7" w:rsidP="007F4DB7">
      <w:pPr>
        <w:pStyle w:val="Headingpara2"/>
      </w:pPr>
      <w:bookmarkStart w:id="92" w:name="_Ref76063204"/>
      <w:r w:rsidRPr="007220FA">
        <w:t>To date, all information stored in the CVIP has been ‘protected information’. This is because:</w:t>
      </w:r>
    </w:p>
    <w:p w14:paraId="65B409BA" w14:textId="25DA9DE1" w:rsidR="007F4DB7" w:rsidRPr="007220FA" w:rsidRDefault="007F4DB7" w:rsidP="007F4DB7">
      <w:pPr>
        <w:pStyle w:val="Heading3"/>
      </w:pPr>
      <w:r w:rsidRPr="007220FA">
        <w:t>it is clear that all of the information that has been stored in the CVIP after retrieval from the AIR (</w:t>
      </w:r>
      <w:proofErr w:type="gramStart"/>
      <w:r w:rsidRPr="007220FA">
        <w:t>i.e.</w:t>
      </w:r>
      <w:proofErr w:type="gramEnd"/>
      <w:r w:rsidRPr="007220FA">
        <w:t xml:space="preserve"> a Patient’s AIR record that is ‘called up’ from the AIR) is ‘protected information’; and</w:t>
      </w:r>
    </w:p>
    <w:p w14:paraId="46E603F4" w14:textId="4EE79569" w:rsidR="007F4DB7" w:rsidRPr="007220FA" w:rsidRDefault="007F4DB7" w:rsidP="007F4DB7">
      <w:pPr>
        <w:pStyle w:val="Heading3"/>
      </w:pPr>
      <w:r w:rsidRPr="007220FA">
        <w:t>the other information that has been collected from the Patient in order to call up, or create, the Patient’s AIR record, or which is otherwise entered into the CVIP by the Vaccinator after administration of the vaccine, is personal information that has been obtained under or in accordance with the AIR Act (</w:t>
      </w:r>
      <w:proofErr w:type="gramStart"/>
      <w:r w:rsidRPr="007220FA">
        <w:t>i.e.</w:t>
      </w:r>
      <w:proofErr w:type="gramEnd"/>
      <w:r w:rsidRPr="007220FA">
        <w:t xml:space="preserve"> it was collected for the purposes of including the information in the AIR, in accordance with section 22(1)). </w:t>
      </w:r>
    </w:p>
    <w:p w14:paraId="01328A40" w14:textId="6779405B" w:rsidR="007F4DB7" w:rsidRPr="007220FA" w:rsidRDefault="007F4DB7" w:rsidP="007F4DB7">
      <w:pPr>
        <w:pStyle w:val="Headingpara2"/>
        <w:keepLines/>
      </w:pPr>
      <w:r w:rsidRPr="007220FA">
        <w:t xml:space="preserve">In our view, the proposed integration will change this position, because while some of the BP Information will continue to satisfy the definition of ‘protected information’ because it will still have been obtained for the purposes of including it in the AIR, not all of the BP Information will meet this test – that is, the information discussed in paragraph </w:t>
      </w:r>
      <w:r w:rsidRPr="007220FA">
        <w:fldChar w:fldCharType="begin"/>
      </w:r>
      <w:r w:rsidRPr="007220FA">
        <w:instrText xml:space="preserve"> REF _Ref76063121 \r \h </w:instrText>
      </w:r>
      <w:r w:rsidR="00AB1CB9" w:rsidRPr="007220FA">
        <w:instrText xml:space="preserve"> \* MERGEFORMAT </w:instrText>
      </w:r>
      <w:r w:rsidRPr="007220FA">
        <w:fldChar w:fldCharType="separate"/>
      </w:r>
      <w:r w:rsidR="00442AA9">
        <w:t>2.10</w:t>
      </w:r>
      <w:r w:rsidRPr="007220FA">
        <w:fldChar w:fldCharType="end"/>
      </w:r>
      <w:r w:rsidRPr="007220FA">
        <w:t xml:space="preserve"> above will not have been obtained in order for it to be provided it to the AIR or for other purposes of the AIR, but rather to facilitate the effective and efficient administration of the Clinic.</w:t>
      </w:r>
      <w:bookmarkEnd w:id="92"/>
    </w:p>
    <w:bookmarkEnd w:id="91"/>
    <w:p w14:paraId="0AEE6E3A" w14:textId="77777777" w:rsidR="007F4DB7" w:rsidRPr="007220FA" w:rsidRDefault="007F4DB7" w:rsidP="007F4DB7">
      <w:pPr>
        <w:pStyle w:val="Headingpara2"/>
      </w:pPr>
      <w:r w:rsidRPr="007220FA">
        <w:t>For the BP information that is ‘protected information’, a record can only be made of it (and it can only be used or disclosed) if one of the circumstances set out in section 22(2) of the AIR Act applies.</w:t>
      </w:r>
    </w:p>
    <w:p w14:paraId="78076AA7" w14:textId="7B3DF87B" w:rsidR="007F4DB7" w:rsidRPr="007220FA" w:rsidRDefault="007F4DB7" w:rsidP="00826607">
      <w:pPr>
        <w:pStyle w:val="Headingpara2"/>
        <w:keepNext/>
        <w:keepLines/>
      </w:pPr>
      <w:r w:rsidRPr="007220FA">
        <w:lastRenderedPageBreak/>
        <w:t xml:space="preserve">We understand that Health is satisfied that section 22(2)(a) of the AIR Act will continue </w:t>
      </w:r>
      <w:r w:rsidR="00A416AB" w:rsidRPr="007220FA">
        <w:t xml:space="preserve">to </w:t>
      </w:r>
      <w:r w:rsidRPr="007220FA">
        <w:t>operate to authorise the collection in the CVIP by Health of any BP Information which is protected information, where that information has been obtained for the purposes of inputting it into the AIR.</w:t>
      </w:r>
    </w:p>
    <w:p w14:paraId="4F938E3A" w14:textId="29677268" w:rsidR="007F4DB7" w:rsidRPr="007220FA" w:rsidRDefault="007F4DB7" w:rsidP="007F4DB7">
      <w:pPr>
        <w:pStyle w:val="Headingpara2"/>
      </w:pPr>
      <w:r w:rsidRPr="007220FA">
        <w:t>Under section 22(2)(a)(iv) of the AIR Act, a ‘recognised vaccination provider’ (</w:t>
      </w:r>
      <w:proofErr w:type="gramStart"/>
      <w:r w:rsidRPr="007220FA">
        <w:t>i.e.</w:t>
      </w:r>
      <w:proofErr w:type="gramEnd"/>
      <w:r w:rsidRPr="007220FA">
        <w:t xml:space="preserve"> the Vaccine Provider/Vaccinator) is permitted to make a record of, use, and disclose protected information, but only if they do so for the purposes of the AIR. While we consider this operates to permit use of the BP Information to search the AIR and to report to the AIR, we do not think that it operates to permit a Vaccine Provider to make a record of BP Information which is protected information, or use or disclose that information, for the purposes of Clinic administration (</w:t>
      </w:r>
      <w:proofErr w:type="gramStart"/>
      <w:r w:rsidRPr="007220FA">
        <w:t>e.g.</w:t>
      </w:r>
      <w:proofErr w:type="gramEnd"/>
      <w:r w:rsidRPr="007220FA">
        <w:t xml:space="preserve"> checking in Patients or confirming Patient bookings). This is because general Clinic administration does not fall within any of the purposes of the AIR, as set out in section 10 of the AIR Act. </w:t>
      </w:r>
    </w:p>
    <w:p w14:paraId="6AC42B8C" w14:textId="77777777" w:rsidR="007F4DB7" w:rsidRPr="007220FA" w:rsidRDefault="007F4DB7" w:rsidP="007F4DB7">
      <w:pPr>
        <w:pStyle w:val="Headingpara2"/>
      </w:pPr>
      <w:r w:rsidRPr="007220FA">
        <w:t xml:space="preserve">Use and disclosure of protected information that is not authorised by section 22 of the AIR Act is an offence (with a penalty of </w:t>
      </w:r>
      <w:proofErr w:type="gramStart"/>
      <w:r w:rsidRPr="007220FA">
        <w:t>2 year</w:t>
      </w:r>
      <w:proofErr w:type="gramEnd"/>
      <w:r w:rsidRPr="007220FA">
        <w:t xml:space="preserve"> imprisonment or 120 penalty units or both), unless (among other things), the use and disclosure is with the express or implied consent of the person to whom the information relates (i.e. the Patient).</w:t>
      </w:r>
    </w:p>
    <w:p w14:paraId="02C789F5" w14:textId="7DA7ABC0" w:rsidR="007F4DB7" w:rsidRPr="007220FA" w:rsidRDefault="007F4DB7" w:rsidP="007F4DB7">
      <w:pPr>
        <w:pStyle w:val="Headingpara2"/>
      </w:pPr>
      <w:r w:rsidRPr="007220FA">
        <w:t xml:space="preserve">We note that </w:t>
      </w:r>
      <w:r w:rsidR="00772E4E">
        <w:t xml:space="preserve">our recommendations above </w:t>
      </w:r>
      <w:r w:rsidRPr="007220FA">
        <w:t>are designed to ensure that the Patient’s consent is obtained to authorise the disclosure of all BP Information to the Vaccine Provider, and the Vaccine Provider’s use of it for mandatory reporting to the AIR, but the proposed wording does not cover collection, disclosure and use for the purposes of Clinic administration.</w:t>
      </w:r>
    </w:p>
    <w:p w14:paraId="3C04254A" w14:textId="32CB1E76" w:rsidR="007F4DB7" w:rsidRPr="007220FA" w:rsidRDefault="007F4DB7" w:rsidP="007F4DB7">
      <w:pPr>
        <w:pStyle w:val="Headingpara2"/>
      </w:pPr>
      <w:bookmarkStart w:id="93" w:name="_Ref76068777"/>
      <w:r w:rsidRPr="007220FA">
        <w:t xml:space="preserve">Therefore, we </w:t>
      </w:r>
      <w:r w:rsidR="00772E4E" w:rsidRPr="00772E4E">
        <w:rPr>
          <w:b/>
          <w:bCs/>
          <w:color w:val="960030" w:themeColor="accent2"/>
        </w:rPr>
        <w:t>recommend</w:t>
      </w:r>
      <w:r w:rsidR="00772E4E" w:rsidRPr="00772E4E">
        <w:rPr>
          <w:color w:val="960030" w:themeColor="accent2"/>
        </w:rPr>
        <w:t xml:space="preserve"> </w:t>
      </w:r>
      <w:r w:rsidRPr="007220FA">
        <w:t>that Health:</w:t>
      </w:r>
      <w:bookmarkEnd w:id="93"/>
    </w:p>
    <w:p w14:paraId="061764F3" w14:textId="2E2D216F" w:rsidR="007F4DB7" w:rsidRPr="007220FA" w:rsidRDefault="007F4DB7" w:rsidP="007F4DB7">
      <w:pPr>
        <w:pStyle w:val="Heading3"/>
      </w:pPr>
      <w:r w:rsidRPr="007220FA">
        <w:t xml:space="preserve">further consider the form of consent obtained from </w:t>
      </w:r>
      <w:proofErr w:type="gramStart"/>
      <w:r w:rsidRPr="007220FA">
        <w:t>Patients</w:t>
      </w:r>
      <w:proofErr w:type="gramEnd"/>
      <w:r w:rsidRPr="007220FA">
        <w:t xml:space="preserve"> when using the BP, to ensure that the Patient expressly consents to the Vaccine Provider making a record of the Clinic Registration List, and all contemplated uses of the Clinic Registration List by the Vaccine Provider, if it is downloaded by the Vaccine Provider; </w:t>
      </w:r>
    </w:p>
    <w:p w14:paraId="4A887952" w14:textId="77777777" w:rsidR="007F4DB7" w:rsidRPr="007220FA" w:rsidRDefault="007F4DB7" w:rsidP="007F4DB7">
      <w:pPr>
        <w:pStyle w:val="Heading3"/>
      </w:pPr>
      <w:r w:rsidRPr="007220FA">
        <w:t>alternatively, consider whether the making of a record and use of protected information by the Vaccine Provider are specified purposes that are, or could be, authorised by the Minister under section 22(3) of the AIR Act; or</w:t>
      </w:r>
    </w:p>
    <w:p w14:paraId="70A31DB8" w14:textId="017CDD6E" w:rsidR="007F4DB7" w:rsidRPr="007220FA" w:rsidRDefault="007F4DB7" w:rsidP="00DB6820">
      <w:pPr>
        <w:pStyle w:val="Heading3"/>
      </w:pPr>
      <w:r w:rsidRPr="007220FA">
        <w:t>consider whether Vaccine Providers should not be permitted to download the Clinic Registration List from the CVIP at all, particularly if Vaccine Providers will be permitted to download additional information directly from the BP</w:t>
      </w:r>
      <w:r w:rsidR="004F2481" w:rsidRPr="007220FA">
        <w:t>.</w:t>
      </w:r>
    </w:p>
    <w:p w14:paraId="7EE4E0FF" w14:textId="77777777" w:rsidR="007F4DB7" w:rsidRPr="007220FA" w:rsidRDefault="007F4DB7" w:rsidP="007F4DB7">
      <w:pPr>
        <w:pStyle w:val="BodyIndent1"/>
        <w:keepNext/>
        <w:rPr>
          <w:b/>
          <w:bCs/>
          <w:i/>
          <w:iCs/>
        </w:rPr>
      </w:pPr>
      <w:r w:rsidRPr="007220FA">
        <w:rPr>
          <w:b/>
          <w:bCs/>
          <w:i/>
          <w:iCs/>
        </w:rPr>
        <w:t>Disclosures and uses of Patient Information</w:t>
      </w:r>
    </w:p>
    <w:p w14:paraId="2D988C47" w14:textId="137273A2" w:rsidR="007F4DB7" w:rsidRPr="007220FA" w:rsidRDefault="007F4DB7" w:rsidP="007F4DB7">
      <w:pPr>
        <w:pStyle w:val="Headingpara2"/>
        <w:keepNext/>
      </w:pPr>
      <w:r w:rsidRPr="007220FA">
        <w:t xml:space="preserve">The proposed integration of the CVIP and the BP will result in: </w:t>
      </w:r>
    </w:p>
    <w:p w14:paraId="504A3A29" w14:textId="77777777" w:rsidR="007F4DB7" w:rsidRPr="007220FA" w:rsidRDefault="007F4DB7" w:rsidP="007F4DB7">
      <w:pPr>
        <w:pStyle w:val="Heading3"/>
      </w:pPr>
      <w:r w:rsidRPr="007220FA">
        <w:t xml:space="preserve">an additional new </w:t>
      </w:r>
      <w:r w:rsidRPr="007220FA">
        <w:rPr>
          <w:b/>
          <w:bCs/>
        </w:rPr>
        <w:t>use</w:t>
      </w:r>
      <w:r w:rsidRPr="007220FA">
        <w:t xml:space="preserve"> of the Patient Information by HealthEngine (when it prepares the .CSV file containing the BP Information</w:t>
      </w:r>
      <w:proofErr w:type="gramStart"/>
      <w:r w:rsidRPr="007220FA">
        <w:t>);</w:t>
      </w:r>
      <w:proofErr w:type="gramEnd"/>
    </w:p>
    <w:p w14:paraId="4AA623D7" w14:textId="0ED485B5" w:rsidR="007F4DB7" w:rsidRPr="007220FA" w:rsidRDefault="007F4DB7" w:rsidP="007F4DB7">
      <w:pPr>
        <w:pStyle w:val="Heading3"/>
      </w:pPr>
      <w:r w:rsidRPr="007220FA">
        <w:t xml:space="preserve">the </w:t>
      </w:r>
      <w:r w:rsidRPr="007220FA">
        <w:rPr>
          <w:b/>
          <w:bCs/>
        </w:rPr>
        <w:t>disclosure</w:t>
      </w:r>
      <w:r w:rsidRPr="007220FA">
        <w:t xml:space="preserve"> of the Patient Information from HealthEngine to Health (when the BP sends the BP Information to the CVIP</w:t>
      </w:r>
      <w:proofErr w:type="gramStart"/>
      <w:r w:rsidRPr="007220FA">
        <w:t>);</w:t>
      </w:r>
      <w:proofErr w:type="gramEnd"/>
      <w:r w:rsidRPr="007220FA">
        <w:t xml:space="preserve"> </w:t>
      </w:r>
    </w:p>
    <w:p w14:paraId="62B9CCFD" w14:textId="64794F72" w:rsidR="007F4DB7" w:rsidRPr="007220FA" w:rsidRDefault="007F4DB7" w:rsidP="007F4DB7">
      <w:pPr>
        <w:pStyle w:val="Heading3"/>
      </w:pPr>
      <w:r w:rsidRPr="007220FA">
        <w:t xml:space="preserve">the </w:t>
      </w:r>
      <w:r w:rsidRPr="007220FA">
        <w:rPr>
          <w:b/>
          <w:bCs/>
        </w:rPr>
        <w:t>disclosure</w:t>
      </w:r>
      <w:r w:rsidRPr="007220FA">
        <w:t xml:space="preserve"> of Patient Information from Health to the Vaccine Provider (when the Vaccine Provider or Vaccinator accesses the CVIP and views the BP Information; or when the Vaccine Provider or Vaccinator extracts (downloads) the Clinic Registration List containing BP Information</w:t>
      </w:r>
      <w:proofErr w:type="gramStart"/>
      <w:r w:rsidRPr="007220FA">
        <w:t>);</w:t>
      </w:r>
      <w:proofErr w:type="gramEnd"/>
      <w:r w:rsidRPr="007220FA">
        <w:t xml:space="preserve"> </w:t>
      </w:r>
    </w:p>
    <w:p w14:paraId="0CF9F69B" w14:textId="14686C94" w:rsidR="007F4DB7" w:rsidRPr="007220FA" w:rsidRDefault="007F4DB7" w:rsidP="007F4DB7">
      <w:pPr>
        <w:pStyle w:val="Heading3"/>
      </w:pPr>
      <w:r w:rsidRPr="007220FA">
        <w:t xml:space="preserve">the </w:t>
      </w:r>
      <w:r w:rsidRPr="007220FA">
        <w:rPr>
          <w:b/>
          <w:bCs/>
        </w:rPr>
        <w:t>use</w:t>
      </w:r>
      <w:r w:rsidRPr="007220FA">
        <w:t xml:space="preserve"> of the Patient Information in the CVIP by the Vaccine Provider or Vaccinator (when it uses the BP Information to search the AIR to call up an AIR record, or to create a new AIR record, for the Patient); and</w:t>
      </w:r>
    </w:p>
    <w:p w14:paraId="6C7652FA" w14:textId="1CE9B583" w:rsidR="007F4DB7" w:rsidRPr="007220FA" w:rsidRDefault="007F4DB7" w:rsidP="007F4DB7">
      <w:pPr>
        <w:pStyle w:val="Heading3"/>
      </w:pPr>
      <w:r w:rsidRPr="007220FA">
        <w:t xml:space="preserve">the </w:t>
      </w:r>
      <w:r w:rsidRPr="007220FA">
        <w:rPr>
          <w:b/>
          <w:bCs/>
        </w:rPr>
        <w:t>use</w:t>
      </w:r>
      <w:r w:rsidRPr="007220FA">
        <w:t xml:space="preserve"> of the Patient Information to check-in Patients and for other purposes related to the administration of vaccinations.</w:t>
      </w:r>
    </w:p>
    <w:p w14:paraId="125A2347" w14:textId="0C262991" w:rsidR="007F4DB7" w:rsidRPr="007220FA" w:rsidRDefault="007F4DB7" w:rsidP="007F4DB7">
      <w:pPr>
        <w:pStyle w:val="Headingpara2"/>
      </w:pPr>
      <w:r w:rsidRPr="007220FA">
        <w:lastRenderedPageBreak/>
        <w:t>Under APP 6.1, if personal information about an individual is collected for a particular purpose, then the entity that collected and holds that information must not disclose it for a secondary purpose unless the individual has consented or there is an exception available under APP 6.2 or</w:t>
      </w:r>
      <w:r w:rsidR="00546872">
        <w:t xml:space="preserve"> APP</w:t>
      </w:r>
      <w:r w:rsidRPr="007220FA">
        <w:t xml:space="preserve"> 6.3.</w:t>
      </w:r>
    </w:p>
    <w:p w14:paraId="27082858" w14:textId="77777777" w:rsidR="007F4DB7" w:rsidRPr="007220FA" w:rsidRDefault="007F4DB7" w:rsidP="007F4DB7">
      <w:pPr>
        <w:pStyle w:val="Headingpara2"/>
        <w:numPr>
          <w:ilvl w:val="0"/>
          <w:numId w:val="0"/>
        </w:numPr>
        <w:ind w:left="851"/>
        <w:rPr>
          <w:u w:val="single"/>
        </w:rPr>
      </w:pPr>
      <w:r w:rsidRPr="007220FA">
        <w:rPr>
          <w:u w:val="single"/>
        </w:rPr>
        <w:t>Use of the Patient Information by HealthEngine and disclosure to the CVIP</w:t>
      </w:r>
    </w:p>
    <w:p w14:paraId="7F0091BB" w14:textId="61200212" w:rsidR="007F4DB7" w:rsidRPr="007220FA" w:rsidRDefault="007F4DB7" w:rsidP="007F4DB7">
      <w:pPr>
        <w:pStyle w:val="Headingpara2"/>
      </w:pPr>
      <w:r w:rsidRPr="007220FA">
        <w:t xml:space="preserve">The Phase 1b </w:t>
      </w:r>
      <w:r w:rsidR="00A85133">
        <w:t xml:space="preserve">Update </w:t>
      </w:r>
      <w:r w:rsidRPr="007220FA">
        <w:t xml:space="preserve">PIA </w:t>
      </w:r>
      <w:r w:rsidR="00546872">
        <w:t xml:space="preserve">report </w:t>
      </w:r>
      <w:r w:rsidRPr="007220FA">
        <w:t xml:space="preserve">noted that the Patient Information collected through the BP has been collected for the primary purpose of facilitating the booking of an appointment to receive a COVID-19 vaccine. Further, the BP currently informs Patients that </w:t>
      </w:r>
      <w:r w:rsidRPr="007220FA">
        <w:rPr>
          <w:rFonts w:cs="Arial"/>
        </w:rPr>
        <w:t xml:space="preserve">their personal information </w:t>
      </w:r>
      <w:r w:rsidR="00546872">
        <w:rPr>
          <w:rFonts w:cs="Arial"/>
        </w:rPr>
        <w:t>‘</w:t>
      </w:r>
      <w:r w:rsidRPr="007220FA">
        <w:rPr>
          <w:rFonts w:cs="Arial"/>
          <w:i/>
          <w:iCs/>
        </w:rPr>
        <w:t xml:space="preserve">may be disclosed to health professionals that you </w:t>
      </w:r>
      <w:r w:rsidRPr="00546872">
        <w:rPr>
          <w:rFonts w:cs="Arial"/>
        </w:rPr>
        <w:t>[the Patient]</w:t>
      </w:r>
      <w:r w:rsidRPr="007220FA">
        <w:rPr>
          <w:rFonts w:cs="Arial"/>
          <w:i/>
          <w:iCs/>
        </w:rPr>
        <w:t xml:space="preserve"> have selected and their practise </w:t>
      </w:r>
      <w:r w:rsidRPr="00546872">
        <w:rPr>
          <w:rFonts w:cs="Arial"/>
        </w:rPr>
        <w:t>[sic]</w:t>
      </w:r>
      <w:r w:rsidRPr="007220FA">
        <w:rPr>
          <w:rFonts w:cs="Arial"/>
          <w:i/>
          <w:iCs/>
        </w:rPr>
        <w:t xml:space="preserve"> for the purpose of arranging appointments</w:t>
      </w:r>
      <w:r w:rsidR="00546872">
        <w:rPr>
          <w:rFonts w:cs="Arial"/>
        </w:rPr>
        <w:t>’</w:t>
      </w:r>
      <w:r w:rsidRPr="007220FA">
        <w:rPr>
          <w:rFonts w:cs="Arial"/>
        </w:rPr>
        <w:t xml:space="preserve"> (from the BP Privacy Policy) and that the BP </w:t>
      </w:r>
      <w:r w:rsidR="00546872">
        <w:rPr>
          <w:rFonts w:cs="Arial"/>
        </w:rPr>
        <w:t>‘</w:t>
      </w:r>
      <w:r w:rsidRPr="007220FA">
        <w:rPr>
          <w:rFonts w:cs="Arial"/>
          <w:i/>
          <w:iCs/>
        </w:rPr>
        <w:t>will disclose your personal information to Health Professionals so that health appointments can take place</w:t>
      </w:r>
      <w:r w:rsidR="00546872">
        <w:rPr>
          <w:rFonts w:cs="Arial"/>
        </w:rPr>
        <w:t>’</w:t>
      </w:r>
      <w:r w:rsidRPr="007220FA">
        <w:rPr>
          <w:rFonts w:cs="Arial"/>
        </w:rPr>
        <w:t xml:space="preserve"> (from the BP </w:t>
      </w:r>
      <w:r w:rsidR="00546872">
        <w:rPr>
          <w:rFonts w:cs="Arial"/>
        </w:rPr>
        <w:t>Privacy</w:t>
      </w:r>
      <w:r w:rsidRPr="007220FA">
        <w:rPr>
          <w:rFonts w:cs="Arial"/>
        </w:rPr>
        <w:t xml:space="preserve"> Notice).</w:t>
      </w:r>
    </w:p>
    <w:p w14:paraId="53E3A400" w14:textId="18814289" w:rsidR="007F4DB7" w:rsidRPr="007220FA" w:rsidRDefault="007F4DB7" w:rsidP="007F4DB7">
      <w:pPr>
        <w:pStyle w:val="Headingpara2"/>
      </w:pPr>
      <w:r w:rsidRPr="007220FA">
        <w:rPr>
          <w:rFonts w:cs="Arial"/>
        </w:rPr>
        <w:t xml:space="preserve">As discussed above, we have </w:t>
      </w:r>
      <w:r w:rsidR="00772E4E" w:rsidRPr="00772E4E">
        <w:rPr>
          <w:b/>
          <w:bCs/>
          <w:color w:val="960030" w:themeColor="accent2"/>
        </w:rPr>
        <w:t>recommend</w:t>
      </w:r>
      <w:r w:rsidR="00772E4E">
        <w:rPr>
          <w:b/>
          <w:bCs/>
          <w:color w:val="960030" w:themeColor="accent2"/>
        </w:rPr>
        <w:t>ed</w:t>
      </w:r>
      <w:r w:rsidR="00772E4E" w:rsidRPr="00772E4E">
        <w:rPr>
          <w:color w:val="960030" w:themeColor="accent2"/>
        </w:rPr>
        <w:t xml:space="preserve"> </w:t>
      </w:r>
      <w:r w:rsidRPr="007220FA">
        <w:rPr>
          <w:rFonts w:cs="Arial"/>
        </w:rPr>
        <w:t xml:space="preserve">that the BP Privacy Policy and the BP </w:t>
      </w:r>
      <w:r w:rsidR="00546872">
        <w:rPr>
          <w:rFonts w:cs="Arial"/>
        </w:rPr>
        <w:t>Privacy</w:t>
      </w:r>
      <w:r w:rsidRPr="007220FA">
        <w:rPr>
          <w:rFonts w:cs="Arial"/>
        </w:rPr>
        <w:t xml:space="preserve"> Notice be updated to make Patients aware of the new use by HealthEngine, and the new disclosure of their Patient Information to the </w:t>
      </w:r>
      <w:proofErr w:type="gramStart"/>
      <w:r w:rsidRPr="007220FA">
        <w:rPr>
          <w:rFonts w:cs="Arial"/>
        </w:rPr>
        <w:t>CVIP, and</w:t>
      </w:r>
      <w:proofErr w:type="gramEnd"/>
      <w:r w:rsidRPr="007220FA">
        <w:rPr>
          <w:rFonts w:cs="Arial"/>
        </w:rPr>
        <w:t xml:space="preserve"> obtaining informed consent to these uses and disclosures</w:t>
      </w:r>
      <w:r w:rsidR="00546872" w:rsidRPr="00546872">
        <w:t>.</w:t>
      </w:r>
      <w:r w:rsidR="00546872">
        <w:rPr>
          <w:color w:val="82002A" w:themeColor="accent1"/>
        </w:rPr>
        <w:t xml:space="preserve"> </w:t>
      </w:r>
      <w:r w:rsidRPr="00546872">
        <w:rPr>
          <w:rFonts w:cs="Arial"/>
        </w:rPr>
        <w:t>This</w:t>
      </w:r>
      <w:r w:rsidRPr="007220FA">
        <w:rPr>
          <w:rFonts w:cs="Arial"/>
        </w:rPr>
        <w:t xml:space="preserve"> will mean that, even if these uses and disclosures </w:t>
      </w:r>
      <w:proofErr w:type="gramStart"/>
      <w:r w:rsidRPr="007220FA">
        <w:rPr>
          <w:rFonts w:cs="Arial"/>
        </w:rPr>
        <w:t>are considered to be</w:t>
      </w:r>
      <w:proofErr w:type="gramEnd"/>
      <w:r w:rsidRPr="007220FA">
        <w:rPr>
          <w:rFonts w:cs="Arial"/>
        </w:rPr>
        <w:t xml:space="preserve"> for secondary purposes, the Patient’s consent will have been obtained.</w:t>
      </w:r>
    </w:p>
    <w:p w14:paraId="5F177195" w14:textId="77777777" w:rsidR="007F4DB7" w:rsidRPr="007220FA" w:rsidRDefault="007F4DB7" w:rsidP="007F4DB7">
      <w:pPr>
        <w:pStyle w:val="Headingpara2"/>
        <w:numPr>
          <w:ilvl w:val="0"/>
          <w:numId w:val="0"/>
        </w:numPr>
        <w:ind w:left="851"/>
        <w:rPr>
          <w:u w:val="single"/>
        </w:rPr>
      </w:pPr>
      <w:r w:rsidRPr="007220FA">
        <w:rPr>
          <w:u w:val="single"/>
        </w:rPr>
        <w:t>Disclosure of BP Information in the CVIP to the Vaccine Provider</w:t>
      </w:r>
    </w:p>
    <w:p w14:paraId="216D5C50" w14:textId="77777777" w:rsidR="007F4DB7" w:rsidRPr="007220FA" w:rsidRDefault="007F4DB7" w:rsidP="007F4DB7">
      <w:pPr>
        <w:pStyle w:val="Headingpara2"/>
      </w:pPr>
      <w:r w:rsidRPr="007220FA">
        <w:t>We consider that disclosure to, and use by the Vaccine Provider (including a Vaccinator) of the BP Information in the CVIP for the purposes of the AIR (</w:t>
      </w:r>
      <w:proofErr w:type="gramStart"/>
      <w:r w:rsidRPr="007220FA">
        <w:t>i.e.</w:t>
      </w:r>
      <w:proofErr w:type="gramEnd"/>
      <w:r w:rsidRPr="007220FA">
        <w:t xml:space="preserve"> using the information for the purposes of searching/creating a Patient record, and undertaking mandatory reporting to the AIR) is authorised by the AIR Act (section 22(1)). This means that these disclosures are therefore permitted under APP 6.2(b).</w:t>
      </w:r>
    </w:p>
    <w:p w14:paraId="7B7B3436" w14:textId="5122A823" w:rsidR="007F4DB7" w:rsidRPr="007220FA" w:rsidRDefault="007F4DB7" w:rsidP="007F4DB7">
      <w:pPr>
        <w:pStyle w:val="Headingpara2"/>
      </w:pPr>
      <w:r w:rsidRPr="007220FA">
        <w:t>We consider that extraction and then use of the Clinic Registration List from the CVIP by the Vaccine Provider for the purposes of facilitating the Patient checking in for their appointment, and other purposes connected with the vaccination process, to be either within the scope of the primary purpose for collection (the Patient arranging an appointment with the Vaccine Provider), or something that Patients would reasonably expect (particularly if they are made aware of this as per</w:t>
      </w:r>
      <w:r w:rsidR="00772E4E">
        <w:t xml:space="preserve"> our recommendations)</w:t>
      </w:r>
      <w:r w:rsidR="004F2481" w:rsidRPr="007220FA">
        <w:rPr>
          <w:rFonts w:cs="Arial"/>
        </w:rPr>
        <w:t xml:space="preserve">, </w:t>
      </w:r>
      <w:r w:rsidRPr="007220FA">
        <w:t>which has a sufficiently close nexus so as to be directly related to the primary purpose. This means that these uses will be permitted under APP 6.2(a).</w:t>
      </w:r>
    </w:p>
    <w:p w14:paraId="408F02F0" w14:textId="45E11276" w:rsidR="007F4DB7" w:rsidRPr="007220FA" w:rsidRDefault="007F4DB7" w:rsidP="007F4DB7">
      <w:pPr>
        <w:pStyle w:val="Headingpara2"/>
      </w:pPr>
      <w:r w:rsidRPr="007220FA">
        <w:t>We note that, once contained in the Vaccine Provider’s systems, Health will no longer have any control over the Vaccine Provider’s use of the BP Information and therefore will be unable to take steps to ensure that it is not used for further (secondary) purposes. While some Vaccine Providers will be bound by the Privacy Act (as an ‘organisation’) and therefore be subject to limits on secondary uses of the BP Information, others may not.</w:t>
      </w:r>
      <w:bookmarkStart w:id="94" w:name="_Ref76131157"/>
      <w:r w:rsidRPr="007220FA">
        <w:rPr>
          <w:rStyle w:val="FootnoteReference"/>
        </w:rPr>
        <w:footnoteReference w:id="27"/>
      </w:r>
      <w:bookmarkEnd w:id="94"/>
      <w:r w:rsidRPr="007220FA">
        <w:t xml:space="preserve"> Accordingly we </w:t>
      </w:r>
      <w:r w:rsidR="00772E4E" w:rsidRPr="00772E4E">
        <w:rPr>
          <w:b/>
          <w:bCs/>
          <w:color w:val="960030" w:themeColor="accent2"/>
        </w:rPr>
        <w:t>recommend</w:t>
      </w:r>
      <w:r w:rsidR="00772E4E" w:rsidRPr="00772E4E">
        <w:rPr>
          <w:color w:val="960030" w:themeColor="accent2"/>
        </w:rPr>
        <w:t xml:space="preserve"> </w:t>
      </w:r>
      <w:r w:rsidRPr="007220FA">
        <w:t>that Health, when determining whether there is a need for the integration of the BP and CVIP for a particular Vaccine Provider, to consider this issue and, if necessary, enter into appropriate arrangements with the Vaccine Provider that limits the use of the extracted BP Information to use for the purposes of the administration of vaccines to Patients, or for other specific situations (such as those in APP 6.2). Such arrangements could include obligations to only use the Clinic Registration List received from the BP:</w:t>
      </w:r>
    </w:p>
    <w:p w14:paraId="49708CD3" w14:textId="4EC7E10E" w:rsidR="007F4DB7" w:rsidRPr="007220FA" w:rsidRDefault="007F4DB7" w:rsidP="007F4DB7">
      <w:pPr>
        <w:pStyle w:val="Heading3"/>
      </w:pPr>
      <w:r w:rsidRPr="007220FA">
        <w:t xml:space="preserve">for Clinic operation and administration in connection with COVID-19 </w:t>
      </w:r>
      <w:proofErr w:type="gramStart"/>
      <w:r w:rsidRPr="007220FA">
        <w:t>vaccinations;</w:t>
      </w:r>
      <w:proofErr w:type="gramEnd"/>
    </w:p>
    <w:p w14:paraId="7DD75A1C" w14:textId="77777777" w:rsidR="007F4DB7" w:rsidRPr="007220FA" w:rsidRDefault="007F4DB7" w:rsidP="007F4DB7">
      <w:pPr>
        <w:pStyle w:val="Heading3"/>
      </w:pPr>
      <w:r w:rsidRPr="007220FA">
        <w:t>to de-identify the information as needed before disclosing it to anyone else; or</w:t>
      </w:r>
    </w:p>
    <w:p w14:paraId="49A8CDBF" w14:textId="77777777" w:rsidR="007F4DB7" w:rsidRPr="007220FA" w:rsidRDefault="007F4DB7" w:rsidP="00772E4E">
      <w:pPr>
        <w:pStyle w:val="Heading3"/>
      </w:pPr>
      <w:r w:rsidRPr="007220FA">
        <w:t>for other specified purposes agreed with Health</w:t>
      </w:r>
    </w:p>
    <w:p w14:paraId="6BE9EFAD" w14:textId="668E0990" w:rsidR="007F4DB7" w:rsidRPr="007220FA" w:rsidRDefault="007F4DB7" w:rsidP="00772E4E">
      <w:pPr>
        <w:pStyle w:val="Heading3"/>
        <w:numPr>
          <w:ilvl w:val="0"/>
          <w:numId w:val="0"/>
        </w:numPr>
        <w:ind w:left="851"/>
      </w:pPr>
      <w:r w:rsidRPr="007220FA">
        <w:t>and to ensure anyone that they permit to have access to the Clinic Registration List also agrees to these limitations.</w:t>
      </w:r>
    </w:p>
    <w:p w14:paraId="089CB125" w14:textId="77777777" w:rsidR="007F4DB7" w:rsidRPr="007220FA" w:rsidRDefault="007F4DB7" w:rsidP="00772E4E">
      <w:pPr>
        <w:pStyle w:val="Headingpara2"/>
        <w:keepNext/>
        <w:numPr>
          <w:ilvl w:val="0"/>
          <w:numId w:val="0"/>
        </w:numPr>
        <w:ind w:left="851"/>
        <w:rPr>
          <w:u w:val="single"/>
        </w:rPr>
      </w:pPr>
      <w:r w:rsidRPr="007220FA">
        <w:rPr>
          <w:u w:val="single"/>
        </w:rPr>
        <w:lastRenderedPageBreak/>
        <w:t>Use and Disclosure of Protected Information</w:t>
      </w:r>
    </w:p>
    <w:p w14:paraId="7E447E20" w14:textId="7CA14179" w:rsidR="007F4DB7" w:rsidRPr="007220FA" w:rsidRDefault="007F4DB7" w:rsidP="007F4DB7">
      <w:pPr>
        <w:pStyle w:val="Headingpara2"/>
      </w:pPr>
      <w:r w:rsidRPr="007220FA">
        <w:t xml:space="preserve">For completeness, we note that the discussion in paragraphs </w:t>
      </w:r>
      <w:r w:rsidRPr="007220FA">
        <w:fldChar w:fldCharType="begin"/>
      </w:r>
      <w:r w:rsidRPr="007220FA">
        <w:instrText xml:space="preserve"> REF _Ref76068772 \r \h </w:instrText>
      </w:r>
      <w:r w:rsidR="00AB1CB9" w:rsidRPr="007220FA">
        <w:instrText xml:space="preserve"> \* MERGEFORMAT </w:instrText>
      </w:r>
      <w:r w:rsidRPr="007220FA">
        <w:fldChar w:fldCharType="separate"/>
      </w:r>
      <w:r w:rsidR="00442AA9">
        <w:t>2.31</w:t>
      </w:r>
      <w:r w:rsidRPr="007220FA">
        <w:fldChar w:fldCharType="end"/>
      </w:r>
      <w:r w:rsidRPr="007220FA">
        <w:t xml:space="preserve"> to </w:t>
      </w:r>
      <w:r w:rsidRPr="007220FA">
        <w:fldChar w:fldCharType="begin"/>
      </w:r>
      <w:r w:rsidRPr="007220FA">
        <w:instrText xml:space="preserve"> REF _Ref76068777 \r \h </w:instrText>
      </w:r>
      <w:r w:rsidR="00AB1CB9" w:rsidRPr="007220FA">
        <w:instrText xml:space="preserve"> \* MERGEFORMAT </w:instrText>
      </w:r>
      <w:r w:rsidRPr="007220FA">
        <w:fldChar w:fldCharType="separate"/>
      </w:r>
      <w:r w:rsidR="00442AA9">
        <w:t>2.39</w:t>
      </w:r>
      <w:r w:rsidRPr="007220FA">
        <w:fldChar w:fldCharType="end"/>
      </w:r>
      <w:r w:rsidRPr="007220FA">
        <w:t xml:space="preserve"> above also applies to the Vaccine Provider’s use of the protected information.</w:t>
      </w:r>
    </w:p>
    <w:p w14:paraId="24A79FD7" w14:textId="77777777" w:rsidR="007F4DB7" w:rsidRPr="007220FA" w:rsidRDefault="007F4DB7" w:rsidP="007F4DB7">
      <w:pPr>
        <w:pStyle w:val="Headingpara2"/>
        <w:numPr>
          <w:ilvl w:val="0"/>
          <w:numId w:val="0"/>
        </w:numPr>
        <w:ind w:left="851"/>
      </w:pPr>
      <w:r w:rsidRPr="007220FA">
        <w:rPr>
          <w:b/>
          <w:bCs/>
          <w:i/>
          <w:iCs/>
        </w:rPr>
        <w:t xml:space="preserve">Security, </w:t>
      </w:r>
      <w:proofErr w:type="gramStart"/>
      <w:r w:rsidRPr="007220FA">
        <w:rPr>
          <w:b/>
          <w:bCs/>
          <w:i/>
          <w:iCs/>
        </w:rPr>
        <w:t>retention</w:t>
      </w:r>
      <w:proofErr w:type="gramEnd"/>
      <w:r w:rsidRPr="007220FA">
        <w:rPr>
          <w:b/>
          <w:bCs/>
          <w:i/>
          <w:iCs/>
        </w:rPr>
        <w:t xml:space="preserve"> and quality of Patient Information</w:t>
      </w:r>
    </w:p>
    <w:p w14:paraId="4DABCBA7" w14:textId="2A7F3E2A" w:rsidR="007F4DB7" w:rsidRPr="007220FA" w:rsidRDefault="007F4DB7" w:rsidP="007F4DB7">
      <w:pPr>
        <w:pStyle w:val="Headingpara2"/>
      </w:pPr>
      <w:r w:rsidRPr="007220FA">
        <w:t xml:space="preserve">We note a potential risk that all authorised personnel of a Vaccine Provider will be able to see information about </w:t>
      </w:r>
      <w:proofErr w:type="gramStart"/>
      <w:r w:rsidRPr="007220FA">
        <w:t>all of</w:t>
      </w:r>
      <w:proofErr w:type="gramEnd"/>
      <w:r w:rsidRPr="007220FA">
        <w:t xml:space="preserve"> the Patients who have made a booking at that Clinic. While there is an inherent risk of more people being able to see Patient Information (currently a Vaccinator can only see information about a Patient who has provided them with a QR Code after they use the webform or who has provided them with their details; after the proposed integration a Vaccinator will be able to see all Patients in the Clinic Registration List). However, we note that steps have been taken so that authorised </w:t>
      </w:r>
      <w:r w:rsidR="00546872">
        <w:t>Provider Personnel</w:t>
      </w:r>
      <w:r w:rsidRPr="007220FA">
        <w:t xml:space="preserve"> from the Vaccine Provider can only see or download a Clinic Registration List containing BP Information about Patients who have booked at their Clinics (and not all Clinics). </w:t>
      </w:r>
    </w:p>
    <w:p w14:paraId="52B0A99F" w14:textId="77777777" w:rsidR="007F4DB7" w:rsidRPr="007220FA" w:rsidRDefault="007F4DB7" w:rsidP="007F4DB7">
      <w:pPr>
        <w:pStyle w:val="Headingpara2"/>
      </w:pPr>
      <w:r w:rsidRPr="007220FA">
        <w:t>We understand that Health (through the AHDA) has taken steps to ensure that the proposed integration will not affect the security of the CVIP solution, or the AIR.</w:t>
      </w:r>
    </w:p>
    <w:p w14:paraId="5E681E70" w14:textId="77777777" w:rsidR="007F4DB7" w:rsidRPr="007220FA" w:rsidRDefault="007F4DB7" w:rsidP="007F4DB7">
      <w:pPr>
        <w:pStyle w:val="Headingpara2"/>
      </w:pPr>
      <w:r w:rsidRPr="007220FA">
        <w:t>As discussed above, after download of the Clinic Registration List, Health will have no ability to control the security of the BP Information. While some Vaccine Providers will be bound by the Privacy Act (as an ‘organisation’) and therefore be subject to an obligation to take reasonable steps to protect that information, others may not.</w:t>
      </w:r>
      <w:r w:rsidRPr="007220FA">
        <w:rPr>
          <w:rStyle w:val="FootnoteReference"/>
        </w:rPr>
        <w:footnoteReference w:id="28"/>
      </w:r>
      <w:r w:rsidRPr="007220FA">
        <w:t xml:space="preserve"> </w:t>
      </w:r>
    </w:p>
    <w:p w14:paraId="5B649B2F" w14:textId="286C5CE4" w:rsidR="007F4DB7" w:rsidRPr="007220FA" w:rsidRDefault="007F4DB7" w:rsidP="007F4DB7">
      <w:pPr>
        <w:pStyle w:val="Headingpara2"/>
      </w:pPr>
      <w:r w:rsidRPr="007220FA">
        <w:t>Accordingly</w:t>
      </w:r>
      <w:r w:rsidR="00A85133">
        <w:t>,</w:t>
      </w:r>
      <w:r w:rsidRPr="007220FA">
        <w:t xml:space="preserve"> we </w:t>
      </w:r>
      <w:r w:rsidR="00772E4E" w:rsidRPr="00772E4E">
        <w:rPr>
          <w:b/>
          <w:bCs/>
          <w:color w:val="960030" w:themeColor="accent2"/>
        </w:rPr>
        <w:t>recommend</w:t>
      </w:r>
      <w:r w:rsidR="00772E4E" w:rsidRPr="00772E4E">
        <w:rPr>
          <w:color w:val="960030" w:themeColor="accent2"/>
        </w:rPr>
        <w:t xml:space="preserve"> </w:t>
      </w:r>
      <w:r w:rsidRPr="007220FA">
        <w:t xml:space="preserve">that Health, when determining whether there is a need for the integration of the BP and </w:t>
      </w:r>
      <w:r w:rsidR="004A0E9C">
        <w:t xml:space="preserve">the </w:t>
      </w:r>
      <w:r w:rsidRPr="007220FA">
        <w:t xml:space="preserve">CVIP for a particular Vaccine Provider, to consider this issue and, if necessary, </w:t>
      </w:r>
      <w:proofErr w:type="gramStart"/>
      <w:r w:rsidRPr="007220FA">
        <w:t>enter into</w:t>
      </w:r>
      <w:proofErr w:type="gramEnd"/>
      <w:r w:rsidRPr="007220FA">
        <w:t xml:space="preserve"> appropriate arrangements with the Vaccine Provider that contain obligations for the Vaccine Provider to:</w:t>
      </w:r>
    </w:p>
    <w:p w14:paraId="3DA23483" w14:textId="77777777" w:rsidR="007F4DB7" w:rsidRPr="007220FA" w:rsidRDefault="007F4DB7" w:rsidP="007F4DB7">
      <w:pPr>
        <w:pStyle w:val="Heading3"/>
      </w:pPr>
      <w:r w:rsidRPr="007220FA">
        <w:t xml:space="preserve">store the BP Information (and any hard copy print outs) </w:t>
      </w:r>
      <w:proofErr w:type="gramStart"/>
      <w:r w:rsidRPr="007220FA">
        <w:t>securely;</w:t>
      </w:r>
      <w:proofErr w:type="gramEnd"/>
      <w:r w:rsidRPr="007220FA">
        <w:t xml:space="preserve"> </w:t>
      </w:r>
    </w:p>
    <w:p w14:paraId="12C568A6" w14:textId="77777777" w:rsidR="007F4DB7" w:rsidRPr="007220FA" w:rsidRDefault="007F4DB7" w:rsidP="007F4DB7">
      <w:pPr>
        <w:pStyle w:val="Heading3"/>
      </w:pPr>
      <w:r w:rsidRPr="007220FA">
        <w:t xml:space="preserve">store the BP Information within Australia, and not disclose it outside of </w:t>
      </w:r>
      <w:proofErr w:type="gramStart"/>
      <w:r w:rsidRPr="007220FA">
        <w:t>Australia;</w:t>
      </w:r>
      <w:proofErr w:type="gramEnd"/>
    </w:p>
    <w:p w14:paraId="3A4C60BA" w14:textId="77777777" w:rsidR="007F4DB7" w:rsidRPr="007220FA" w:rsidRDefault="007F4DB7" w:rsidP="007F4DB7">
      <w:pPr>
        <w:pStyle w:val="Heading3"/>
      </w:pPr>
      <w:r w:rsidRPr="007220FA">
        <w:t>not give, or allow anyone else to access, the BP Information, unless they are under similar obligations as the Vaccine Provider in relation to it; and</w:t>
      </w:r>
    </w:p>
    <w:p w14:paraId="1F2790CB" w14:textId="70A0E19A" w:rsidR="007F4DB7" w:rsidRPr="007220FA" w:rsidRDefault="007F4DB7" w:rsidP="007F4DB7">
      <w:pPr>
        <w:pStyle w:val="Heading3"/>
      </w:pPr>
      <w:r w:rsidRPr="007220FA">
        <w:t>delete the BP Information after an agreed period (so that it is not retained for longer than needed)</w:t>
      </w:r>
      <w:r w:rsidR="009B5B1F" w:rsidRPr="007220FA">
        <w:t>.</w:t>
      </w:r>
    </w:p>
    <w:p w14:paraId="23BB1B28" w14:textId="215CA042" w:rsidR="00791E8B" w:rsidRPr="00330F21" w:rsidRDefault="007F4DB7" w:rsidP="00330F21">
      <w:pPr>
        <w:pStyle w:val="Headingpara2"/>
        <w:keepNext/>
        <w:keepLines/>
      </w:pPr>
      <w:r w:rsidRPr="007220FA">
        <w:t>Finally, we note that the integrated solution will allow for information that is inputted into the BP, by the Patient or by a third party, which contains typographical or other errors (</w:t>
      </w:r>
      <w:proofErr w:type="gramStart"/>
      <w:r w:rsidRPr="007220FA">
        <w:t>i.e.</w:t>
      </w:r>
      <w:proofErr w:type="gramEnd"/>
      <w:r w:rsidRPr="007220FA">
        <w:t xml:space="preserve"> if the Patient changes address or updates their Medicare card) between making the appointment and attending the appointment), to be effectively corrected in the CVIP before being sent to the AIR</w:t>
      </w:r>
      <w:r w:rsidRPr="007220FA">
        <w:rPr>
          <w:rStyle w:val="FootnoteReference"/>
        </w:rPr>
        <w:footnoteReference w:id="29"/>
      </w:r>
      <w:r w:rsidRPr="007220FA">
        <w:t>. We consider this to be compliant with APP 10 and a privacy-enhancing feature.</w:t>
      </w:r>
      <w:bookmarkEnd w:id="81"/>
      <w:bookmarkEnd w:id="82"/>
    </w:p>
    <w:p w14:paraId="2595F37B" w14:textId="5B301AFD" w:rsidR="00CB40E0" w:rsidRPr="007220FA" w:rsidRDefault="00DC16E7" w:rsidP="004F4CBF">
      <w:pPr>
        <w:pStyle w:val="Sectionheading"/>
      </w:pPr>
      <w:bookmarkStart w:id="95" w:name="_Ref75445950"/>
      <w:bookmarkStart w:id="96" w:name="_Ref77143424"/>
      <w:bookmarkStart w:id="97" w:name="_Toc113279941"/>
      <w:r w:rsidRPr="007220FA">
        <w:lastRenderedPageBreak/>
        <w:t xml:space="preserve">Changes to </w:t>
      </w:r>
      <w:r w:rsidR="00000D74" w:rsidRPr="007220FA">
        <w:t xml:space="preserve">handling of information related to the </w:t>
      </w:r>
      <w:r w:rsidRPr="007220FA">
        <w:t>CVIP</w:t>
      </w:r>
      <w:bookmarkEnd w:id="95"/>
      <w:bookmarkEnd w:id="96"/>
      <w:bookmarkEnd w:id="97"/>
      <w:r w:rsidRPr="007220FA">
        <w:t xml:space="preserve"> </w:t>
      </w:r>
    </w:p>
    <w:p w14:paraId="5F88433C" w14:textId="1D89446F" w:rsidR="008017B9" w:rsidRPr="008C1512" w:rsidRDefault="008017B9" w:rsidP="008017B9">
      <w:pPr>
        <w:pStyle w:val="BodyIndent1"/>
        <w:ind w:left="0"/>
        <w:rPr>
          <w:b/>
          <w:bCs/>
          <w:i/>
          <w:iCs/>
          <w:sz w:val="24"/>
          <w:szCs w:val="24"/>
        </w:rPr>
      </w:pPr>
      <w:r w:rsidRPr="008C1512">
        <w:rPr>
          <w:b/>
          <w:bCs/>
          <w:i/>
          <w:iCs/>
          <w:sz w:val="24"/>
          <w:szCs w:val="24"/>
        </w:rPr>
        <w:t xml:space="preserve">Date of Analysis: 22 September 2021 </w:t>
      </w:r>
    </w:p>
    <w:p w14:paraId="0D396677" w14:textId="26672848" w:rsidR="00A8139C" w:rsidRPr="007220FA" w:rsidRDefault="00A8139C" w:rsidP="00416F52">
      <w:pPr>
        <w:pStyle w:val="Heading1"/>
        <w:numPr>
          <w:ilvl w:val="0"/>
          <w:numId w:val="45"/>
        </w:numPr>
      </w:pPr>
      <w:bookmarkStart w:id="98" w:name="_Toc113279942"/>
      <w:bookmarkEnd w:id="66"/>
      <w:bookmarkEnd w:id="67"/>
      <w:r w:rsidRPr="007220FA">
        <w:t>Project Description</w:t>
      </w:r>
      <w:bookmarkEnd w:id="98"/>
    </w:p>
    <w:p w14:paraId="12F40AE2" w14:textId="0B658BEC" w:rsidR="00DF6AC6" w:rsidRPr="007220FA" w:rsidRDefault="008F59A7" w:rsidP="00DF6AC6">
      <w:pPr>
        <w:pStyle w:val="Headingpara2"/>
      </w:pPr>
      <w:r w:rsidRPr="007220FA">
        <w:t xml:space="preserve">As discussed in </w:t>
      </w:r>
      <w:r w:rsidR="00D37275" w:rsidRPr="007220FA">
        <w:t>Section</w:t>
      </w:r>
      <w:r w:rsidR="00D37275" w:rsidRPr="007220FA">
        <w:rPr>
          <w:b/>
          <w:bCs/>
        </w:rPr>
        <w:t xml:space="preserve"> </w:t>
      </w:r>
      <w:r w:rsidR="00D37275" w:rsidRPr="007220FA">
        <w:t xml:space="preserve">E of </w:t>
      </w:r>
      <w:r w:rsidR="008017B9" w:rsidRPr="007220FA">
        <w:t xml:space="preserve">the Phase 1a </w:t>
      </w:r>
      <w:r w:rsidR="00A85133">
        <w:t xml:space="preserve">Update </w:t>
      </w:r>
      <w:r w:rsidR="008017B9" w:rsidRPr="007220FA">
        <w:t>PIA report</w:t>
      </w:r>
      <w:r w:rsidRPr="007220FA">
        <w:t xml:space="preserve">, Health is responsible for the implementation of the </w:t>
      </w:r>
      <w:r w:rsidR="008017B9" w:rsidRPr="007220FA">
        <w:t xml:space="preserve">CVIP, </w:t>
      </w:r>
      <w:r w:rsidRPr="007220FA">
        <w:t xml:space="preserve">but is working in very close conjunction with the </w:t>
      </w:r>
      <w:r w:rsidR="008017B9" w:rsidRPr="007220FA">
        <w:t>ADHA</w:t>
      </w:r>
      <w:r w:rsidRPr="007220FA">
        <w:t xml:space="preserve"> as well as Services Australia</w:t>
      </w:r>
      <w:r w:rsidR="00DF6AC6" w:rsidRPr="007220FA">
        <w:t>, to deliver this component of the Vaccine Strategy</w:t>
      </w:r>
      <w:r w:rsidRPr="007220FA">
        <w:t xml:space="preserve">. </w:t>
      </w:r>
      <w:r w:rsidR="00D37275" w:rsidRPr="007220FA">
        <w:t xml:space="preserve">The CVIP </w:t>
      </w:r>
      <w:r w:rsidR="008017B9" w:rsidRPr="007220FA">
        <w:t>A</w:t>
      </w:r>
      <w:r w:rsidR="005C74AD">
        <w:t>pp</w:t>
      </w:r>
      <w:r w:rsidR="00D37275" w:rsidRPr="007220FA">
        <w:t xml:space="preserve"> </w:t>
      </w:r>
      <w:r w:rsidR="000B0B8F" w:rsidRPr="007220FA">
        <w:t xml:space="preserve">(which was developed </w:t>
      </w:r>
      <w:r w:rsidR="00D37275" w:rsidRPr="007220FA">
        <w:t>as part of the CVIP solution</w:t>
      </w:r>
      <w:r w:rsidR="000B0B8F" w:rsidRPr="007220FA">
        <w:t xml:space="preserve">) </w:t>
      </w:r>
      <w:r w:rsidR="00D37275" w:rsidRPr="007220FA">
        <w:t xml:space="preserve">was intended to streamline the uploading of vaccination data into the </w:t>
      </w:r>
      <w:r w:rsidR="008017B9" w:rsidRPr="007220FA">
        <w:t>AIR</w:t>
      </w:r>
      <w:r w:rsidR="00D37275" w:rsidRPr="007220FA">
        <w:t>, with use being optional for Vaccine Providers (Vaccine Providers who already have their own systems that they use to transmit information to the AIR could continue to use those systems).</w:t>
      </w:r>
    </w:p>
    <w:p w14:paraId="5B6F5C40" w14:textId="62452F50" w:rsidR="008F59A7" w:rsidRPr="007220FA" w:rsidRDefault="000B0B8F" w:rsidP="008F59A7">
      <w:pPr>
        <w:pStyle w:val="Headingpara2"/>
      </w:pPr>
      <w:r w:rsidRPr="007220FA">
        <w:t xml:space="preserve">Since operationalisation of the CVIP (including the CVIP App), </w:t>
      </w:r>
      <w:r w:rsidR="00BD3C63" w:rsidRPr="007220FA">
        <w:t>the role of the CVIP has been under consideration</w:t>
      </w:r>
      <w:r w:rsidR="00364F42" w:rsidRPr="007220FA">
        <w:t xml:space="preserve">. </w:t>
      </w:r>
      <w:proofErr w:type="gramStart"/>
      <w:r w:rsidR="00364F42" w:rsidRPr="007220FA">
        <w:t>In particular,</w:t>
      </w:r>
      <w:r w:rsidR="00311445" w:rsidRPr="007220FA">
        <w:t xml:space="preserve"> Health</w:t>
      </w:r>
      <w:proofErr w:type="gramEnd"/>
      <w:r w:rsidR="00311445" w:rsidRPr="007220FA">
        <w:t xml:space="preserve"> has considered the extent to which it can disclose information collected through the CVIP to State and Territory health departments or agencies. This is</w:t>
      </w:r>
      <w:r w:rsidR="00364F42" w:rsidRPr="007220FA">
        <w:t xml:space="preserve"> because </w:t>
      </w:r>
      <w:r w:rsidRPr="007220FA">
        <w:t xml:space="preserve">South Australia requested </w:t>
      </w:r>
      <w:r w:rsidR="00364F42" w:rsidRPr="007220FA">
        <w:t>that it</w:t>
      </w:r>
      <w:r w:rsidRPr="007220FA">
        <w:t xml:space="preserve"> be provided with information (collected through the CVIP App) about </w:t>
      </w:r>
      <w:proofErr w:type="gramStart"/>
      <w:r w:rsidRPr="007220FA">
        <w:t>Patients</w:t>
      </w:r>
      <w:proofErr w:type="gramEnd"/>
      <w:r w:rsidRPr="007220FA">
        <w:t xml:space="preserve"> attending certain publicly</w:t>
      </w:r>
      <w:r w:rsidR="00B32047" w:rsidRPr="007220FA">
        <w:t>-</w:t>
      </w:r>
      <w:r w:rsidRPr="007220FA">
        <w:t>run vaccination clinics in South Australia (</w:t>
      </w:r>
      <w:r w:rsidRPr="007220FA">
        <w:rPr>
          <w:b/>
          <w:bCs/>
        </w:rPr>
        <w:t>SA Clinics</w:t>
      </w:r>
      <w:r w:rsidRPr="007220FA">
        <w:t>).</w:t>
      </w:r>
    </w:p>
    <w:p w14:paraId="1984FC49" w14:textId="4E95257E" w:rsidR="00311445" w:rsidRPr="007220FA" w:rsidRDefault="00311445" w:rsidP="008F59A7">
      <w:pPr>
        <w:pStyle w:val="Headingpara2"/>
      </w:pPr>
      <w:r w:rsidRPr="007220FA">
        <w:t xml:space="preserve">In this </w:t>
      </w:r>
      <w:r w:rsidRPr="007220FA">
        <w:rPr>
          <w:b/>
          <w:bCs/>
        </w:rPr>
        <w:fldChar w:fldCharType="begin"/>
      </w:r>
      <w:r w:rsidRPr="007220FA">
        <w:rPr>
          <w:b/>
          <w:bCs/>
        </w:rPr>
        <w:instrText xml:space="preserve"> REF _Ref77143424 \r \h  \* MERGEFORMAT </w:instrText>
      </w:r>
      <w:r w:rsidRPr="007220FA">
        <w:rPr>
          <w:b/>
          <w:bCs/>
        </w:rPr>
      </w:r>
      <w:r w:rsidRPr="007220FA">
        <w:rPr>
          <w:b/>
          <w:bCs/>
        </w:rPr>
        <w:fldChar w:fldCharType="separate"/>
      </w:r>
      <w:r w:rsidR="001527AF">
        <w:rPr>
          <w:b/>
          <w:bCs/>
        </w:rPr>
        <w:t>Section D</w:t>
      </w:r>
      <w:r w:rsidRPr="007220FA">
        <w:rPr>
          <w:b/>
          <w:bCs/>
        </w:rPr>
        <w:fldChar w:fldCharType="end"/>
      </w:r>
      <w:r w:rsidR="008017B9" w:rsidRPr="007220FA">
        <w:rPr>
          <w:b/>
          <w:bCs/>
        </w:rPr>
        <w:t xml:space="preserve"> [Changes to handling of information related to the CVIP]</w:t>
      </w:r>
      <w:r w:rsidRPr="007220FA">
        <w:rPr>
          <w:b/>
          <w:bCs/>
        </w:rPr>
        <w:t xml:space="preserve"> </w:t>
      </w:r>
      <w:r w:rsidRPr="007220FA">
        <w:t xml:space="preserve">we have described the approach taken by Health to the disclosure of Patient Information collected through </w:t>
      </w:r>
      <w:r w:rsidR="00A14EFE">
        <w:t xml:space="preserve">the </w:t>
      </w:r>
      <w:r w:rsidRPr="007220FA">
        <w:t>CVIP to SA Clinics. I</w:t>
      </w:r>
      <w:r w:rsidR="000106C1" w:rsidRPr="007220FA">
        <w:t xml:space="preserve">f other State and Territory health departments or agencies also request that they be provided with Patient Information collected through </w:t>
      </w:r>
      <w:r w:rsidR="00A14EFE">
        <w:t xml:space="preserve">the </w:t>
      </w:r>
      <w:r w:rsidR="000106C1" w:rsidRPr="007220FA">
        <w:t xml:space="preserve">CVIP, we note that a number of the practical mechanisms and privacy risks and recommendations discussed in this </w:t>
      </w:r>
      <w:r w:rsidR="000106C1" w:rsidRPr="007220FA">
        <w:rPr>
          <w:b/>
          <w:bCs/>
        </w:rPr>
        <w:fldChar w:fldCharType="begin"/>
      </w:r>
      <w:r w:rsidR="000106C1" w:rsidRPr="007220FA">
        <w:rPr>
          <w:b/>
          <w:bCs/>
        </w:rPr>
        <w:instrText xml:space="preserve"> REF _Ref77143424 \r \h  \* MERGEFORMAT </w:instrText>
      </w:r>
      <w:r w:rsidR="000106C1" w:rsidRPr="007220FA">
        <w:rPr>
          <w:b/>
          <w:bCs/>
        </w:rPr>
      </w:r>
      <w:r w:rsidR="000106C1" w:rsidRPr="007220FA">
        <w:rPr>
          <w:b/>
          <w:bCs/>
        </w:rPr>
        <w:fldChar w:fldCharType="separate"/>
      </w:r>
      <w:r w:rsidR="001527AF">
        <w:rPr>
          <w:b/>
          <w:bCs/>
        </w:rPr>
        <w:t>Section D</w:t>
      </w:r>
      <w:r w:rsidR="000106C1" w:rsidRPr="007220FA">
        <w:rPr>
          <w:b/>
          <w:bCs/>
        </w:rPr>
        <w:fldChar w:fldCharType="end"/>
      </w:r>
      <w:r w:rsidR="008017B9" w:rsidRPr="007220FA">
        <w:rPr>
          <w:b/>
          <w:bCs/>
        </w:rPr>
        <w:t xml:space="preserve"> [Changes to handling of information related to the CVIP]</w:t>
      </w:r>
      <w:r w:rsidR="000106C1" w:rsidRPr="007220FA">
        <w:rPr>
          <w:b/>
          <w:bCs/>
        </w:rPr>
        <w:t xml:space="preserve"> </w:t>
      </w:r>
      <w:r w:rsidR="000106C1" w:rsidRPr="007220FA">
        <w:t xml:space="preserve">are likely to apply. However, as the factual circumstances regarding each proposed disclosure are likely to be different, we </w:t>
      </w:r>
      <w:r w:rsidR="00772E4E" w:rsidRPr="00772E4E">
        <w:rPr>
          <w:b/>
          <w:bCs/>
          <w:color w:val="960030" w:themeColor="accent2"/>
        </w:rPr>
        <w:t>recommend</w:t>
      </w:r>
      <w:r w:rsidR="00772E4E" w:rsidRPr="00772E4E">
        <w:rPr>
          <w:color w:val="960030" w:themeColor="accent2"/>
        </w:rPr>
        <w:t xml:space="preserve"> </w:t>
      </w:r>
      <w:r w:rsidR="000106C1" w:rsidRPr="007220FA">
        <w:t xml:space="preserve">that before disclosing any Patient Information collected through the CVIP to State and Territory health departments or agencies, Health carefully consider the privacy implications of doing so. </w:t>
      </w:r>
    </w:p>
    <w:p w14:paraId="52A7DC9B" w14:textId="5400B4B1" w:rsidR="00000D74" w:rsidRPr="007220FA" w:rsidRDefault="00321108" w:rsidP="00000D74">
      <w:pPr>
        <w:pStyle w:val="Bolditalicsheading"/>
      </w:pPr>
      <w:r w:rsidRPr="007220FA">
        <w:t>A</w:t>
      </w:r>
      <w:r w:rsidR="00000D74" w:rsidRPr="007220FA">
        <w:t xml:space="preserve">pproach to </w:t>
      </w:r>
      <w:r w:rsidR="00374F78" w:rsidRPr="007220FA">
        <w:t xml:space="preserve">disclosing Patient Information collected through </w:t>
      </w:r>
      <w:r w:rsidR="00A14EFE">
        <w:t xml:space="preserve">the </w:t>
      </w:r>
      <w:r w:rsidR="00374F78" w:rsidRPr="007220FA">
        <w:t>CVIP to</w:t>
      </w:r>
      <w:r w:rsidR="00000D74" w:rsidRPr="007220FA">
        <w:t xml:space="preserve"> SA Clinics</w:t>
      </w:r>
    </w:p>
    <w:p w14:paraId="719F223A" w14:textId="76BCA2E3" w:rsidR="008F59A7" w:rsidRPr="007220FA" w:rsidRDefault="000B0B8F" w:rsidP="002E53DC">
      <w:pPr>
        <w:pStyle w:val="Headingpara2"/>
      </w:pPr>
      <w:r w:rsidRPr="007220FA">
        <w:t>To facilitate this provision of information, it was proposed that the following would occur (</w:t>
      </w:r>
      <w:r w:rsidR="007D5C0E" w:rsidRPr="007220FA">
        <w:t>in addition to the processes described in paragraphs 19.4.1 to 19.4.6 of Section E of</w:t>
      </w:r>
      <w:r w:rsidR="0044448F" w:rsidRPr="007220FA">
        <w:t xml:space="preserve"> the Phase 1b</w:t>
      </w:r>
      <w:r w:rsidR="007D5C0E" w:rsidRPr="007220FA">
        <w:t xml:space="preserve"> </w:t>
      </w:r>
      <w:r w:rsidR="00A85133">
        <w:t xml:space="preserve">Update </w:t>
      </w:r>
      <w:r w:rsidR="007D5C0E" w:rsidRPr="007220FA">
        <w:t xml:space="preserve">PIA </w:t>
      </w:r>
      <w:r w:rsidR="0044448F" w:rsidRPr="007220FA">
        <w:t>report</w:t>
      </w:r>
      <w:r w:rsidR="007D5C0E" w:rsidRPr="007220FA">
        <w:t xml:space="preserve">): </w:t>
      </w:r>
    </w:p>
    <w:p w14:paraId="37C70F4B" w14:textId="06D8FED9" w:rsidR="002E53DC" w:rsidRPr="007220FA" w:rsidRDefault="002E53DC" w:rsidP="007D5C0E">
      <w:pPr>
        <w:pStyle w:val="Heading3"/>
      </w:pPr>
      <w:r w:rsidRPr="007220FA">
        <w:t>After a Vaccinator in a</w:t>
      </w:r>
      <w:r w:rsidR="00374F78" w:rsidRPr="007220FA">
        <w:t>n</w:t>
      </w:r>
      <w:r w:rsidRPr="007220FA">
        <w:t xml:space="preserve"> SA Clinic used the CVIP App to call up the Patient’s details from the AIR (or to create a new AIR record), and enter the information that is collected for the purposes of, and required to be provided to, the AIR (</w:t>
      </w:r>
      <w:r w:rsidRPr="007220FA">
        <w:rPr>
          <w:b/>
          <w:bCs/>
        </w:rPr>
        <w:t>AIR Information</w:t>
      </w:r>
      <w:r w:rsidRPr="007220FA">
        <w:t xml:space="preserve">), </w:t>
      </w:r>
      <w:r w:rsidR="007D5C0E" w:rsidRPr="007220FA">
        <w:t xml:space="preserve">the Vaccinator would </w:t>
      </w:r>
      <w:r w:rsidRPr="007220FA">
        <w:t>use an optional drop-down menu to select one of a number of defined categories of eligibility (to receive a COVID-19 vaccine) that best reflect</w:t>
      </w:r>
      <w:r w:rsidR="007D5C0E" w:rsidRPr="007220FA">
        <w:t>ed</w:t>
      </w:r>
      <w:r w:rsidRPr="007220FA">
        <w:t xml:space="preserve"> the category of eligibility into which the Patient falls (</w:t>
      </w:r>
      <w:r w:rsidRPr="007220FA">
        <w:rPr>
          <w:b/>
          <w:bCs/>
        </w:rPr>
        <w:t>Eligibility Information</w:t>
      </w:r>
      <w:r w:rsidRPr="007220FA">
        <w:t>).</w:t>
      </w:r>
    </w:p>
    <w:p w14:paraId="6AA27C39" w14:textId="284C5B46" w:rsidR="002E53DC" w:rsidRPr="007220FA" w:rsidRDefault="002E53DC" w:rsidP="007D5C0E">
      <w:pPr>
        <w:pStyle w:val="Heading3"/>
      </w:pPr>
      <w:r w:rsidRPr="007220FA">
        <w:t xml:space="preserve">This Eligibility Information, together with AIR Information, </w:t>
      </w:r>
      <w:r w:rsidR="007D5C0E" w:rsidRPr="007220FA">
        <w:t xml:space="preserve">would </w:t>
      </w:r>
      <w:r w:rsidRPr="007220FA">
        <w:t>be stored on the CVIP</w:t>
      </w:r>
      <w:r w:rsidR="007D5C0E" w:rsidRPr="007220FA">
        <w:t>,</w:t>
      </w:r>
      <w:r w:rsidRPr="007220FA">
        <w:t xml:space="preserve"> where it </w:t>
      </w:r>
      <w:r w:rsidR="007D5C0E" w:rsidRPr="007220FA">
        <w:t xml:space="preserve">would </w:t>
      </w:r>
      <w:r w:rsidRPr="007220FA">
        <w:t>be retained for 24 hours.</w:t>
      </w:r>
    </w:p>
    <w:p w14:paraId="2F5C50B5" w14:textId="4D87E5D0" w:rsidR="007D5C0E" w:rsidRPr="007220FA" w:rsidRDefault="002E53DC" w:rsidP="007D5C0E">
      <w:pPr>
        <w:pStyle w:val="Heading3"/>
      </w:pPr>
      <w:r w:rsidRPr="007220FA">
        <w:t xml:space="preserve">Within the </w:t>
      </w:r>
      <w:proofErr w:type="gramStart"/>
      <w:r w:rsidRPr="007220FA">
        <w:t>24 hour</w:t>
      </w:r>
      <w:proofErr w:type="gramEnd"/>
      <w:r w:rsidRPr="007220FA">
        <w:t xml:space="preserve"> period, </w:t>
      </w:r>
      <w:r w:rsidR="005C74AD">
        <w:t xml:space="preserve">the </w:t>
      </w:r>
      <w:r w:rsidRPr="007220FA">
        <w:t xml:space="preserve">ADHA </w:t>
      </w:r>
      <w:r w:rsidR="007D5C0E" w:rsidRPr="007220FA">
        <w:t>would</w:t>
      </w:r>
      <w:r w:rsidRPr="007220FA">
        <w:t xml:space="preserve"> access the CVIP and download all stored information about Patients who have attended a SA Clinic (this </w:t>
      </w:r>
      <w:r w:rsidR="007D5C0E" w:rsidRPr="007220FA">
        <w:t xml:space="preserve">information would </w:t>
      </w:r>
      <w:r w:rsidRPr="007220FA">
        <w:t xml:space="preserve">include both AIR Information and Eligibility Information). </w:t>
      </w:r>
    </w:p>
    <w:p w14:paraId="3AC2CB46" w14:textId="4CA04DFD" w:rsidR="007D5C0E" w:rsidRPr="007220FA" w:rsidRDefault="005C74AD" w:rsidP="007D5C0E">
      <w:pPr>
        <w:pStyle w:val="Heading3"/>
      </w:pPr>
      <w:r>
        <w:t xml:space="preserve">The </w:t>
      </w:r>
      <w:r w:rsidR="002E53DC" w:rsidRPr="007220FA">
        <w:t xml:space="preserve">ADHA </w:t>
      </w:r>
      <w:r w:rsidR="007D5C0E" w:rsidRPr="007220FA">
        <w:t xml:space="preserve">would </w:t>
      </w:r>
      <w:r w:rsidR="002E53DC" w:rsidRPr="007220FA">
        <w:t>store this information on its</w:t>
      </w:r>
      <w:r w:rsidR="007D5C0E" w:rsidRPr="007220FA">
        <w:t xml:space="preserve"> secure</w:t>
      </w:r>
      <w:r w:rsidR="002E53DC" w:rsidRPr="007220FA">
        <w:t xml:space="preserve"> ICT systems, then compile it into reports. The reports </w:t>
      </w:r>
      <w:r w:rsidR="007D5C0E" w:rsidRPr="007220FA">
        <w:t xml:space="preserve">would: </w:t>
      </w:r>
    </w:p>
    <w:p w14:paraId="12F7B90B" w14:textId="747155B6" w:rsidR="007D5C0E" w:rsidRPr="007220FA" w:rsidRDefault="007D5C0E" w:rsidP="007D5C0E">
      <w:pPr>
        <w:pStyle w:val="Heading4"/>
      </w:pPr>
      <w:r w:rsidRPr="007220FA">
        <w:t>include</w:t>
      </w:r>
      <w:r w:rsidR="002E53DC" w:rsidRPr="007220FA">
        <w:t xml:space="preserve"> an amalgamation of all information extracted from the CVIP</w:t>
      </w:r>
      <w:r w:rsidRPr="007220FA">
        <w:t>; and</w:t>
      </w:r>
    </w:p>
    <w:p w14:paraId="76847796" w14:textId="28A19F6E" w:rsidR="002E53DC" w:rsidRPr="007220FA" w:rsidRDefault="002E53DC" w:rsidP="007D5C0E">
      <w:pPr>
        <w:pStyle w:val="Heading4"/>
      </w:pPr>
      <w:r w:rsidRPr="007220FA">
        <w:lastRenderedPageBreak/>
        <w:t>contain unit-level records with information about individual (identified) Patients.</w:t>
      </w:r>
    </w:p>
    <w:p w14:paraId="504DE053" w14:textId="3AF22CF1" w:rsidR="00E77C8F" w:rsidRPr="007220FA" w:rsidRDefault="005C74AD" w:rsidP="007D5C0E">
      <w:pPr>
        <w:pStyle w:val="Heading3"/>
      </w:pPr>
      <w:r>
        <w:t xml:space="preserve">The </w:t>
      </w:r>
      <w:r w:rsidR="002E53DC" w:rsidRPr="007220FA">
        <w:t xml:space="preserve">ADHA </w:t>
      </w:r>
      <w:r w:rsidR="007D5C0E" w:rsidRPr="007220FA">
        <w:t>would</w:t>
      </w:r>
      <w:r w:rsidR="002E53DC" w:rsidRPr="007220FA">
        <w:t xml:space="preserve"> allow access </w:t>
      </w:r>
      <w:r w:rsidR="007D5C0E" w:rsidRPr="007220FA">
        <w:t xml:space="preserve">to these reports </w:t>
      </w:r>
      <w:r w:rsidR="002E53DC" w:rsidRPr="007220FA">
        <w:t xml:space="preserve">by </w:t>
      </w:r>
      <w:r w:rsidR="00265992" w:rsidRPr="007220FA">
        <w:t>‘</w:t>
      </w:r>
      <w:r w:rsidR="002E53DC" w:rsidRPr="007220FA">
        <w:t>SA Health</w:t>
      </w:r>
      <w:r w:rsidR="00265992" w:rsidRPr="007220FA">
        <w:t>’ via the CVIP</w:t>
      </w:r>
      <w:r w:rsidR="002E53DC" w:rsidRPr="007220FA">
        <w:t xml:space="preserve">. The SA Health website indicates that this is a brand name for the health portfolio of services and agencies responsible to the South Australian Minister for Health, including the South Australian Department of Health and Wellbeing, but also a range of other networks, </w:t>
      </w:r>
      <w:proofErr w:type="gramStart"/>
      <w:r w:rsidR="002E53DC" w:rsidRPr="007220FA">
        <w:t>organisations</w:t>
      </w:r>
      <w:proofErr w:type="gramEnd"/>
      <w:r w:rsidR="002E53DC" w:rsidRPr="007220FA">
        <w:t xml:space="preserve"> and entities. </w:t>
      </w:r>
      <w:r w:rsidR="007D5C0E" w:rsidRPr="007220FA">
        <w:t xml:space="preserve">For the purposes of this </w:t>
      </w:r>
      <w:r w:rsidR="007C5100">
        <w:t xml:space="preserve">Phase 2a </w:t>
      </w:r>
      <w:r w:rsidR="00A85133">
        <w:t xml:space="preserve">Update </w:t>
      </w:r>
      <w:r w:rsidR="007C5100">
        <w:t>PIA</w:t>
      </w:r>
      <w:r w:rsidR="007D5C0E" w:rsidRPr="007220FA">
        <w:t xml:space="preserve"> report, </w:t>
      </w:r>
      <w:r w:rsidR="002E53DC" w:rsidRPr="007220FA">
        <w:t xml:space="preserve">we have assumed that access </w:t>
      </w:r>
      <w:r w:rsidR="007D5C0E" w:rsidRPr="007220FA">
        <w:t xml:space="preserve">was proposed to </w:t>
      </w:r>
      <w:r w:rsidR="002E53DC" w:rsidRPr="007220FA">
        <w:t>be granted to individuals within the Department of Health and Wellbeing (</w:t>
      </w:r>
      <w:r w:rsidR="002E53DC" w:rsidRPr="007220FA">
        <w:rPr>
          <w:b/>
          <w:bCs/>
        </w:rPr>
        <w:t>SA government</w:t>
      </w:r>
      <w:r w:rsidR="002E53DC" w:rsidRPr="007220FA">
        <w:t xml:space="preserve">). </w:t>
      </w:r>
    </w:p>
    <w:p w14:paraId="52ECB060" w14:textId="6990F315" w:rsidR="002E53DC" w:rsidRPr="007220FA" w:rsidRDefault="001303FF" w:rsidP="00E77C8F">
      <w:pPr>
        <w:pStyle w:val="Heading3"/>
        <w:keepLines/>
      </w:pPr>
      <w:r w:rsidRPr="007220FA">
        <w:t>We understand that</w:t>
      </w:r>
      <w:r w:rsidR="00E77C8F" w:rsidRPr="007220FA">
        <w:t xml:space="preserve"> Health has satisfied itself that there is a genuine need for these reports (including the AIR Information and Eligibility Information) by the SA government, as they are important tools to support it in monitoring </w:t>
      </w:r>
      <w:r w:rsidR="007C5100">
        <w:t>its</w:t>
      </w:r>
      <w:r w:rsidR="00E77C8F" w:rsidRPr="007220FA">
        <w:t xml:space="preserve"> implementation and the progress of the vaccine rollout, such as how many eligible people in a front-line health role have been vaccinated.</w:t>
      </w:r>
    </w:p>
    <w:p w14:paraId="6A08F551" w14:textId="1F39DCE9" w:rsidR="00000D74" w:rsidRPr="007220FA" w:rsidRDefault="00000D74" w:rsidP="001303FF">
      <w:pPr>
        <w:pStyle w:val="Bolditalicsheading"/>
        <w:keepNext/>
      </w:pPr>
      <w:r w:rsidRPr="007220FA">
        <w:t>AIR Information protected by the AIR Act</w:t>
      </w:r>
    </w:p>
    <w:p w14:paraId="7D6257E2" w14:textId="2A97D912" w:rsidR="007D5C0E" w:rsidRPr="007220FA" w:rsidRDefault="00000D74" w:rsidP="00000D74">
      <w:pPr>
        <w:pStyle w:val="Headingpara2"/>
      </w:pPr>
      <w:r w:rsidRPr="007220FA">
        <w:t>T</w:t>
      </w:r>
      <w:r w:rsidR="00144516" w:rsidRPr="007220FA">
        <w:t xml:space="preserve">he AIR Information was protected by the </w:t>
      </w:r>
      <w:r w:rsidR="007C5100">
        <w:t>AIR Act</w:t>
      </w:r>
      <w:r w:rsidR="00144516" w:rsidRPr="007220FA">
        <w:t xml:space="preserve"> (meaning that AIR Information could only be recorded, </w:t>
      </w:r>
      <w:proofErr w:type="gramStart"/>
      <w:r w:rsidR="00144516" w:rsidRPr="007220FA">
        <w:t>disclosed</w:t>
      </w:r>
      <w:proofErr w:type="gramEnd"/>
      <w:r w:rsidR="00144516" w:rsidRPr="007220FA">
        <w:t xml:space="preserve"> or used in a range of circumstances)</w:t>
      </w:r>
      <w:r w:rsidRPr="007220FA">
        <w:t>. Accordingly,</w:t>
      </w:r>
      <w:r w:rsidR="00144516" w:rsidRPr="007220FA">
        <w:t xml:space="preserve"> </w:t>
      </w:r>
      <w:r w:rsidRPr="007220FA">
        <w:t xml:space="preserve">under section 22(3) of the AIR Act, </w:t>
      </w:r>
      <w:r w:rsidR="00144516" w:rsidRPr="007220FA">
        <w:t>the Minister for Health made public interest certificate</w:t>
      </w:r>
      <w:r w:rsidRPr="007220FA">
        <w:t>s</w:t>
      </w:r>
      <w:r w:rsidR="00144516" w:rsidRPr="007220FA">
        <w:t xml:space="preserve"> (</w:t>
      </w:r>
      <w:r w:rsidR="00144516" w:rsidRPr="007220FA">
        <w:rPr>
          <w:b/>
          <w:bCs/>
        </w:rPr>
        <w:t>PIC</w:t>
      </w:r>
      <w:r w:rsidRPr="007220FA">
        <w:rPr>
          <w:b/>
          <w:bCs/>
        </w:rPr>
        <w:t>s</w:t>
      </w:r>
      <w:r w:rsidR="00144516" w:rsidRPr="007220FA">
        <w:t>)</w:t>
      </w:r>
      <w:r w:rsidRPr="007220FA">
        <w:t xml:space="preserve"> to authorise specified classes of persons from the ADHA and the SA government to make a record of, disclose and otherwise use certain types of protected information (as defined in the AIR Act) for certain specified purposes (and the Minister for Health satisfied themselves that making such PICs was in the public interest)</w:t>
      </w:r>
      <w:r w:rsidR="00144516" w:rsidRPr="007220FA">
        <w:t>.</w:t>
      </w:r>
    </w:p>
    <w:p w14:paraId="18811A08" w14:textId="03B91737" w:rsidR="00000D74" w:rsidRPr="007220FA" w:rsidRDefault="00000D74" w:rsidP="00000D74">
      <w:pPr>
        <w:pStyle w:val="Headingpara2"/>
      </w:pPr>
      <w:bookmarkStart w:id="99" w:name="_Ref75445931"/>
      <w:r w:rsidRPr="007220FA">
        <w:t xml:space="preserve">The making of these PICs provided legislative authority for the collection, use and disclosure of AIR Information (about Patients and about Vaccinators) by </w:t>
      </w:r>
      <w:r w:rsidR="007C5100">
        <w:t xml:space="preserve">the </w:t>
      </w:r>
      <w:r w:rsidRPr="007220FA">
        <w:t>ADHA and the SA government (for the purposes of the APPs).</w:t>
      </w:r>
      <w:bookmarkEnd w:id="99"/>
    </w:p>
    <w:p w14:paraId="6D2173A1" w14:textId="151859F7" w:rsidR="00000D74" w:rsidRPr="007220FA" w:rsidRDefault="00FA1650" w:rsidP="00000D74">
      <w:pPr>
        <w:pStyle w:val="Bolditalicsheading"/>
      </w:pPr>
      <w:r w:rsidRPr="007220FA">
        <w:t>Change</w:t>
      </w:r>
      <w:r w:rsidR="007A4EF0" w:rsidRPr="007220FA">
        <w:t>s to</w:t>
      </w:r>
      <w:r w:rsidRPr="007220FA">
        <w:t xml:space="preserve"> h</w:t>
      </w:r>
      <w:r w:rsidR="00000D74" w:rsidRPr="007220FA">
        <w:t xml:space="preserve">andling of AIR Information and Eligibility Information </w:t>
      </w:r>
    </w:p>
    <w:p w14:paraId="148D1946" w14:textId="77777777" w:rsidR="00E97400" w:rsidRPr="007220FA" w:rsidRDefault="00E97400" w:rsidP="00000D74">
      <w:pPr>
        <w:pStyle w:val="Headingpara2"/>
      </w:pPr>
      <w:r w:rsidRPr="007220FA">
        <w:t xml:space="preserve">It was understood that: </w:t>
      </w:r>
    </w:p>
    <w:p w14:paraId="051258DB" w14:textId="6D8A9AEE" w:rsidR="00E97400" w:rsidRPr="007220FA" w:rsidRDefault="00E97400" w:rsidP="00E97400">
      <w:pPr>
        <w:pStyle w:val="Heading3"/>
      </w:pPr>
      <w:r w:rsidRPr="007220FA">
        <w:t>t</w:t>
      </w:r>
      <w:r w:rsidR="00000D74" w:rsidRPr="007220FA">
        <w:t xml:space="preserve">he AIR Information and Eligibility Information </w:t>
      </w:r>
      <w:r w:rsidRPr="007220FA">
        <w:t xml:space="preserve">would </w:t>
      </w:r>
      <w:r w:rsidR="00000D74" w:rsidRPr="007220FA">
        <w:t xml:space="preserve">be personal information for the purposes of the </w:t>
      </w:r>
      <w:r w:rsidR="007C5100">
        <w:t xml:space="preserve">Privacy </w:t>
      </w:r>
      <w:proofErr w:type="gramStart"/>
      <w:r w:rsidR="007C5100">
        <w:t>Act;</w:t>
      </w:r>
      <w:proofErr w:type="gramEnd"/>
      <w:r w:rsidR="007C5100">
        <w:t xml:space="preserve"> </w:t>
      </w:r>
    </w:p>
    <w:p w14:paraId="4B8711F3" w14:textId="77777777" w:rsidR="00E97400" w:rsidRPr="007220FA" w:rsidRDefault="00E97400" w:rsidP="00E97400">
      <w:pPr>
        <w:pStyle w:val="Heading3"/>
      </w:pPr>
      <w:r w:rsidRPr="007220FA">
        <w:t xml:space="preserve">the </w:t>
      </w:r>
      <w:r w:rsidR="00000D74" w:rsidRPr="007220FA">
        <w:t xml:space="preserve">AIR Information about a Patient </w:t>
      </w:r>
      <w:r w:rsidRPr="007220FA">
        <w:t xml:space="preserve">would </w:t>
      </w:r>
      <w:r w:rsidR="00000D74" w:rsidRPr="007220FA">
        <w:t xml:space="preserve">also be sensitive information, as it </w:t>
      </w:r>
      <w:r w:rsidRPr="007220FA">
        <w:t xml:space="preserve">would </w:t>
      </w:r>
      <w:r w:rsidR="00000D74" w:rsidRPr="007220FA">
        <w:t xml:space="preserve">contain health </w:t>
      </w:r>
      <w:proofErr w:type="gramStart"/>
      <w:r w:rsidR="00000D74" w:rsidRPr="007220FA">
        <w:t>information</w:t>
      </w:r>
      <w:r w:rsidRPr="007220FA">
        <w:t>;</w:t>
      </w:r>
      <w:proofErr w:type="gramEnd"/>
    </w:p>
    <w:p w14:paraId="23BC8F04" w14:textId="77777777" w:rsidR="00E97400" w:rsidRPr="007220FA" w:rsidRDefault="00E97400" w:rsidP="00E97400">
      <w:pPr>
        <w:pStyle w:val="Heading3"/>
      </w:pPr>
      <w:r w:rsidRPr="007220FA">
        <w:t>t</w:t>
      </w:r>
      <w:r w:rsidR="00000D74" w:rsidRPr="007220FA">
        <w:t xml:space="preserve">he AIR Information about a Vaccinator </w:t>
      </w:r>
      <w:r w:rsidRPr="007220FA">
        <w:t xml:space="preserve">would </w:t>
      </w:r>
      <w:r w:rsidR="00000D74" w:rsidRPr="007220FA">
        <w:t>be personal information, but not sensitive information</w:t>
      </w:r>
      <w:r w:rsidRPr="007220FA">
        <w:t>; and</w:t>
      </w:r>
    </w:p>
    <w:p w14:paraId="5BF7FDC4" w14:textId="75A34E04" w:rsidR="00000D74" w:rsidRPr="007220FA" w:rsidRDefault="00000D74" w:rsidP="00E97400">
      <w:pPr>
        <w:pStyle w:val="Heading3"/>
      </w:pPr>
      <w:r w:rsidRPr="007220FA">
        <w:t xml:space="preserve">some </w:t>
      </w:r>
      <w:r w:rsidR="00E97400" w:rsidRPr="007220FA">
        <w:t xml:space="preserve">of the </w:t>
      </w:r>
      <w:r w:rsidRPr="007220FA">
        <w:t xml:space="preserve">Eligibility Information </w:t>
      </w:r>
      <w:r w:rsidR="00E97400" w:rsidRPr="007220FA">
        <w:t>would</w:t>
      </w:r>
      <w:r w:rsidRPr="007220FA">
        <w:t xml:space="preserve"> be sensitive information</w:t>
      </w:r>
      <w:r w:rsidR="001303FF" w:rsidRPr="007220FA">
        <w:t xml:space="preserve"> (as it could contain health information)</w:t>
      </w:r>
      <w:r w:rsidRPr="007220FA">
        <w:t xml:space="preserve">. </w:t>
      </w:r>
    </w:p>
    <w:p w14:paraId="4D0929C7" w14:textId="61DC6C3C" w:rsidR="00000D74" w:rsidRPr="007220FA" w:rsidRDefault="00E97400" w:rsidP="00000D74">
      <w:pPr>
        <w:pStyle w:val="Headingpara2"/>
      </w:pPr>
      <w:r w:rsidRPr="007220FA">
        <w:t xml:space="preserve">Accordingly, we understand that Health was satisfied that, </w:t>
      </w:r>
      <w:r w:rsidR="00000D74" w:rsidRPr="007220FA">
        <w:t>under APP 3:</w:t>
      </w:r>
    </w:p>
    <w:p w14:paraId="28119A2F" w14:textId="401E6357" w:rsidR="00000D74" w:rsidRPr="007220FA" w:rsidRDefault="00000D74" w:rsidP="00000D74">
      <w:pPr>
        <w:pStyle w:val="Heading3"/>
      </w:pPr>
      <w:r w:rsidRPr="007220FA">
        <w:t xml:space="preserve">the collection of both the AIR Information and Eligibility Information by Health (in the CVIP), for the purposes of provision to the SA government, </w:t>
      </w:r>
      <w:r w:rsidR="00E97400" w:rsidRPr="007220FA">
        <w:t xml:space="preserve">was </w:t>
      </w:r>
      <w:r w:rsidRPr="007220FA">
        <w:t xml:space="preserve">reasonably necessary for, and directly related to, one or more of Health’s functions or </w:t>
      </w:r>
      <w:proofErr w:type="gramStart"/>
      <w:r w:rsidRPr="007220FA">
        <w:t>activities;</w:t>
      </w:r>
      <w:proofErr w:type="gramEnd"/>
    </w:p>
    <w:p w14:paraId="4654D843" w14:textId="144855E8" w:rsidR="00000D74" w:rsidRPr="007220FA" w:rsidRDefault="00000D74" w:rsidP="00000D74">
      <w:pPr>
        <w:pStyle w:val="Heading3"/>
      </w:pPr>
      <w:r w:rsidRPr="007220FA">
        <w:t xml:space="preserve">the collection of both the AIR Information and Eligibility Information by the ADHA, for the purposes of provision to the SA government, </w:t>
      </w:r>
      <w:r w:rsidR="00E97400" w:rsidRPr="007220FA">
        <w:t xml:space="preserve">was </w:t>
      </w:r>
      <w:r w:rsidRPr="007220FA">
        <w:t>reasonably necessary for, or directly related to, one or more of ADHA’s functions or activities; and</w:t>
      </w:r>
    </w:p>
    <w:p w14:paraId="3FF95E5A" w14:textId="79806B3A" w:rsidR="00000D74" w:rsidRPr="007220FA" w:rsidRDefault="00000D74" w:rsidP="007C5100">
      <w:pPr>
        <w:pStyle w:val="Heading3"/>
        <w:keepNext/>
        <w:keepLines/>
      </w:pPr>
      <w:r w:rsidRPr="007220FA">
        <w:lastRenderedPageBreak/>
        <w:t>either the consent of the Patient has been obtained, or another exception in APP 3.4 applies</w:t>
      </w:r>
      <w:r w:rsidR="00E77C8F" w:rsidRPr="007220FA">
        <w:t xml:space="preserve"> in relation to the handling of </w:t>
      </w:r>
      <w:r w:rsidR="0044448F" w:rsidRPr="007220FA">
        <w:t>Eligibility</w:t>
      </w:r>
      <w:r w:rsidR="00E77C8F" w:rsidRPr="007220FA">
        <w:t xml:space="preserve"> Information (as legislative authority was provided for the handling of AIR Information (see paragraph </w:t>
      </w:r>
      <w:r w:rsidR="00E77C8F" w:rsidRPr="007220FA">
        <w:fldChar w:fldCharType="begin"/>
      </w:r>
      <w:r w:rsidR="00E77C8F" w:rsidRPr="007220FA">
        <w:instrText xml:space="preserve"> REF _Ref75445931 \r \h </w:instrText>
      </w:r>
      <w:r w:rsidR="00265992" w:rsidRPr="007220FA">
        <w:instrText xml:space="preserve"> \* MERGEFORMAT </w:instrText>
      </w:r>
      <w:r w:rsidR="00E77C8F" w:rsidRPr="007220FA">
        <w:fldChar w:fldCharType="separate"/>
      </w:r>
      <w:r w:rsidR="00442AA9">
        <w:t>1.6</w:t>
      </w:r>
      <w:r w:rsidR="00E77C8F" w:rsidRPr="007220FA">
        <w:fldChar w:fldCharType="end"/>
      </w:r>
      <w:r w:rsidR="00E77C8F" w:rsidRPr="007220FA">
        <w:t xml:space="preserve"> of this </w:t>
      </w:r>
      <w:r w:rsidR="00E77C8F" w:rsidRPr="007220FA">
        <w:rPr>
          <w:b/>
          <w:bCs/>
        </w:rPr>
        <w:fldChar w:fldCharType="begin"/>
      </w:r>
      <w:r w:rsidR="00E77C8F" w:rsidRPr="007220FA">
        <w:rPr>
          <w:b/>
          <w:bCs/>
        </w:rPr>
        <w:instrText xml:space="preserve"> REF _Ref75445950 \r \h  \* MERGEFORMAT </w:instrText>
      </w:r>
      <w:r w:rsidR="00E77C8F" w:rsidRPr="007220FA">
        <w:rPr>
          <w:b/>
          <w:bCs/>
        </w:rPr>
      </w:r>
      <w:r w:rsidR="00E77C8F" w:rsidRPr="007220FA">
        <w:rPr>
          <w:b/>
          <w:bCs/>
        </w:rPr>
        <w:fldChar w:fldCharType="separate"/>
      </w:r>
      <w:r w:rsidR="001527AF">
        <w:rPr>
          <w:b/>
          <w:bCs/>
        </w:rPr>
        <w:t>Section D</w:t>
      </w:r>
      <w:r w:rsidR="00E77C8F" w:rsidRPr="007220FA">
        <w:rPr>
          <w:b/>
          <w:bCs/>
        </w:rPr>
        <w:fldChar w:fldCharType="end"/>
      </w:r>
      <w:r w:rsidR="0044448F" w:rsidRPr="007220FA">
        <w:rPr>
          <w:b/>
          <w:bCs/>
        </w:rPr>
        <w:t xml:space="preserve"> [Changes to handling of information related to the CVIP]</w:t>
      </w:r>
      <w:r w:rsidR="00E77C8F" w:rsidRPr="007220FA">
        <w:t>))</w:t>
      </w:r>
      <w:r w:rsidRPr="007220FA">
        <w:t>.</w:t>
      </w:r>
      <w:r w:rsidR="00E97400" w:rsidRPr="007220FA">
        <w:rPr>
          <w:rStyle w:val="FootnoteReference"/>
        </w:rPr>
        <w:footnoteReference w:id="30"/>
      </w:r>
    </w:p>
    <w:p w14:paraId="679F0E60" w14:textId="77777777" w:rsidR="00000D74" w:rsidRPr="007220FA" w:rsidRDefault="00000D74" w:rsidP="007C5100">
      <w:pPr>
        <w:pStyle w:val="Headingpara2"/>
        <w:keepNext/>
        <w:keepLines/>
      </w:pPr>
      <w:r w:rsidRPr="007220FA">
        <w:t>In addition, the collected information should represent the minimum amount of data reasonably needed to undertake the relevant function or activity.</w:t>
      </w:r>
    </w:p>
    <w:p w14:paraId="5340F1C8" w14:textId="34F88866" w:rsidR="00000D74" w:rsidRPr="007220FA" w:rsidRDefault="00BC162F" w:rsidP="00000D74">
      <w:pPr>
        <w:pStyle w:val="Headingpara2"/>
      </w:pPr>
      <w:r w:rsidRPr="007220FA">
        <w:t xml:space="preserve">We understand that </w:t>
      </w:r>
      <w:r w:rsidR="00000D74" w:rsidRPr="007220FA">
        <w:t>Health</w:t>
      </w:r>
      <w:r w:rsidR="00AC13F4">
        <w:t xml:space="preserve"> has</w:t>
      </w:r>
      <w:r w:rsidR="00000D74" w:rsidRPr="007220FA">
        <w:t xml:space="preserve"> consider</w:t>
      </w:r>
      <w:r w:rsidRPr="007220FA">
        <w:t>ed</w:t>
      </w:r>
      <w:r w:rsidR="00000D74" w:rsidRPr="007220FA">
        <w:t xml:space="preserve"> whether provision of de-identified information or aggregated reporting to the SA government (or a more limited data set) would be sufficient for the intended purposes. </w:t>
      </w:r>
    </w:p>
    <w:p w14:paraId="6D0747F9" w14:textId="7DC7FBB6" w:rsidR="00000D74" w:rsidRPr="007220FA" w:rsidRDefault="00BC162F" w:rsidP="00BC162F">
      <w:pPr>
        <w:pStyle w:val="Headingpara2"/>
      </w:pPr>
      <w:r w:rsidRPr="007220FA">
        <w:t>As only the collection of AIR Information would be authorised by law (</w:t>
      </w:r>
      <w:proofErr w:type="gramStart"/>
      <w:r w:rsidRPr="007220FA">
        <w:t>i.e.</w:t>
      </w:r>
      <w:proofErr w:type="gramEnd"/>
      <w:r w:rsidRPr="007220FA">
        <w:t xml:space="preserve"> the AIR Act) by virtue of the PICs (meeting the requirements of APP 3.4(b)), it was necessary to obtain Patient consent to the collection of Eligibility Information (as </w:t>
      </w:r>
      <w:r w:rsidR="00BD3C63" w:rsidRPr="007220FA">
        <w:t>this information</w:t>
      </w:r>
      <w:r w:rsidRPr="007220FA">
        <w:t xml:space="preserve"> would include sensitive information). </w:t>
      </w:r>
    </w:p>
    <w:p w14:paraId="44DE4107" w14:textId="1489499F" w:rsidR="005D6781" w:rsidRPr="007220FA" w:rsidRDefault="00BC162F" w:rsidP="00BC162F">
      <w:pPr>
        <w:pStyle w:val="Headingpara2"/>
      </w:pPr>
      <w:r w:rsidRPr="007220FA">
        <w:t>Accordingly,</w:t>
      </w:r>
      <w:r w:rsidR="00441B20" w:rsidRPr="007220FA">
        <w:t xml:space="preserve"> we understand that</w:t>
      </w:r>
      <w:r w:rsidRPr="007220FA">
        <w:t xml:space="preserve"> a consent model was adopted, with the </w:t>
      </w:r>
      <w:r w:rsidR="00A04902" w:rsidRPr="007220FA">
        <w:t xml:space="preserve">following </w:t>
      </w:r>
      <w:r w:rsidR="005D6781" w:rsidRPr="007220FA">
        <w:t>process implemented</w:t>
      </w:r>
      <w:r w:rsidR="00386D01" w:rsidRPr="007220FA">
        <w:t xml:space="preserve"> at the time a Vaccinator obtains a Patient’s clinical consent to receive a COVID-19 vaccine</w:t>
      </w:r>
      <w:r w:rsidR="005D6781" w:rsidRPr="007220FA">
        <w:t>:</w:t>
      </w:r>
    </w:p>
    <w:p w14:paraId="221F1087" w14:textId="2B754070" w:rsidR="00441B20" w:rsidRPr="007220FA" w:rsidRDefault="00441B20" w:rsidP="005D6781">
      <w:pPr>
        <w:pStyle w:val="Heading3"/>
      </w:pPr>
      <w:r w:rsidRPr="007220FA">
        <w:t xml:space="preserve">if </w:t>
      </w:r>
      <w:r w:rsidR="00386D01" w:rsidRPr="007220FA">
        <w:t xml:space="preserve">a Vaccinator is required to record </w:t>
      </w:r>
      <w:r w:rsidRPr="007220FA">
        <w:t xml:space="preserve">Eligibility Information, the Vaccinator would need to </w:t>
      </w:r>
      <w:proofErr w:type="gramStart"/>
      <w:r w:rsidRPr="007220FA">
        <w:t>first verbally ask the Patient</w:t>
      </w:r>
      <w:proofErr w:type="gramEnd"/>
      <w:r w:rsidRPr="007220FA">
        <w:t xml:space="preserve"> for their consent</w:t>
      </w:r>
      <w:r w:rsidR="00386D01" w:rsidRPr="007220FA">
        <w:t xml:space="preserve"> </w:t>
      </w:r>
      <w:r w:rsidR="001D0A45" w:rsidRPr="007220FA">
        <w:t xml:space="preserve">for this </w:t>
      </w:r>
      <w:r w:rsidRPr="007220FA">
        <w:t>(using guidance wording provided as a pop up in the CVIP App), and</w:t>
      </w:r>
      <w:r w:rsidR="00386D01" w:rsidRPr="007220FA">
        <w:t>:</w:t>
      </w:r>
    </w:p>
    <w:p w14:paraId="2659D669" w14:textId="2B8514E7" w:rsidR="00441B20" w:rsidRPr="007220FA" w:rsidRDefault="00386D01" w:rsidP="00441B20">
      <w:pPr>
        <w:pStyle w:val="Heading4"/>
      </w:pPr>
      <w:r w:rsidRPr="007220FA">
        <w:t xml:space="preserve">if the Patient provides their consent, </w:t>
      </w:r>
      <w:r w:rsidR="00441B20" w:rsidRPr="007220FA">
        <w:t xml:space="preserve">select </w:t>
      </w:r>
      <w:r w:rsidRPr="007220FA">
        <w:t xml:space="preserve">in the CVIP App </w:t>
      </w:r>
      <w:r w:rsidR="00441B20" w:rsidRPr="007220FA">
        <w:t>that the Patient provided their consent, and</w:t>
      </w:r>
      <w:r w:rsidRPr="007220FA">
        <w:t xml:space="preserve"> once this is selected,</w:t>
      </w:r>
      <w:r w:rsidR="00441B20" w:rsidRPr="007220FA">
        <w:t xml:space="preserve"> the</w:t>
      </w:r>
      <w:r w:rsidRPr="007220FA">
        <w:t>n record the</w:t>
      </w:r>
      <w:r w:rsidR="00441B20" w:rsidRPr="007220FA">
        <w:t xml:space="preserve"> main reason for why the Patient was eligible to receive a COVID-19 vaccine</w:t>
      </w:r>
      <w:r w:rsidRPr="007220FA">
        <w:t xml:space="preserve"> (</w:t>
      </w:r>
      <w:proofErr w:type="gramStart"/>
      <w:r w:rsidRPr="007220FA">
        <w:t>i.e.</w:t>
      </w:r>
      <w:proofErr w:type="gramEnd"/>
      <w:r w:rsidRPr="007220FA">
        <w:t xml:space="preserve"> the Eligibility Information)</w:t>
      </w:r>
      <w:r w:rsidR="00441B20" w:rsidRPr="007220FA">
        <w:t>; or</w:t>
      </w:r>
    </w:p>
    <w:p w14:paraId="2ACB6159" w14:textId="4734B7BC" w:rsidR="00441B20" w:rsidRPr="007220FA" w:rsidRDefault="00386D01" w:rsidP="00441B20">
      <w:pPr>
        <w:pStyle w:val="Heading4"/>
      </w:pPr>
      <w:r w:rsidRPr="007220FA">
        <w:t xml:space="preserve">if the Patient does not provide their consent, </w:t>
      </w:r>
      <w:r w:rsidR="00441B20" w:rsidRPr="007220FA">
        <w:t xml:space="preserve">indicate </w:t>
      </w:r>
      <w:r w:rsidRPr="007220FA">
        <w:t xml:space="preserve">this by </w:t>
      </w:r>
      <w:r w:rsidR="00441B20" w:rsidRPr="007220FA">
        <w:t>selecting ‘</w:t>
      </w:r>
      <w:r w:rsidRPr="007220FA">
        <w:t>Details not required</w:t>
      </w:r>
      <w:r w:rsidR="007C5100">
        <w:t xml:space="preserve"> </w:t>
      </w:r>
      <w:r w:rsidR="00441B20" w:rsidRPr="007220FA">
        <w:t>/</w:t>
      </w:r>
      <w:r w:rsidR="007C5100">
        <w:t xml:space="preserve"> </w:t>
      </w:r>
      <w:r w:rsidR="00441B20" w:rsidRPr="007220FA">
        <w:t>Did not consent’</w:t>
      </w:r>
      <w:r w:rsidRPr="007220FA">
        <w:t xml:space="preserve"> in the CVIP App</w:t>
      </w:r>
      <w:r w:rsidR="00441B20" w:rsidRPr="007220FA">
        <w:t>;</w:t>
      </w:r>
      <w:r w:rsidRPr="007220FA">
        <w:t xml:space="preserve"> and</w:t>
      </w:r>
    </w:p>
    <w:p w14:paraId="3DCB55DA" w14:textId="4B20DD52" w:rsidR="00000D74" w:rsidRPr="007220FA" w:rsidRDefault="00441B20" w:rsidP="00441B20">
      <w:pPr>
        <w:pStyle w:val="Heading3"/>
      </w:pPr>
      <w:r w:rsidRPr="007220FA">
        <w:t xml:space="preserve">if </w:t>
      </w:r>
      <w:r w:rsidR="00386D01" w:rsidRPr="007220FA">
        <w:t xml:space="preserve">a Vaccinator is not required to record </w:t>
      </w:r>
      <w:r w:rsidRPr="007220FA">
        <w:t>Eligibility Information, the Vaccinator would need to select ‘</w:t>
      </w:r>
      <w:r w:rsidR="00386D01" w:rsidRPr="007220FA">
        <w:t xml:space="preserve">Details not required </w:t>
      </w:r>
      <w:r w:rsidRPr="007220FA">
        <w:t>/</w:t>
      </w:r>
      <w:r w:rsidR="007C5100">
        <w:t xml:space="preserve"> </w:t>
      </w:r>
      <w:r w:rsidRPr="007220FA">
        <w:t>Did not consent’</w:t>
      </w:r>
      <w:r w:rsidR="00386D01" w:rsidRPr="007220FA">
        <w:t>.</w:t>
      </w:r>
    </w:p>
    <w:p w14:paraId="22523B87" w14:textId="28350068" w:rsidR="008F5740" w:rsidRPr="007220FA" w:rsidRDefault="008F5740" w:rsidP="008F5740">
      <w:pPr>
        <w:pStyle w:val="Headingpara2"/>
      </w:pPr>
      <w:r w:rsidRPr="007220FA">
        <w:t xml:space="preserve">We </w:t>
      </w:r>
      <w:r w:rsidR="00CD45D0" w:rsidRPr="007220FA">
        <w:t xml:space="preserve">also </w:t>
      </w:r>
      <w:r w:rsidRPr="007220FA">
        <w:t xml:space="preserve">understand that the wording in the </w:t>
      </w:r>
      <w:r w:rsidR="00CD45D0" w:rsidRPr="007220FA">
        <w:t xml:space="preserve">long-form </w:t>
      </w:r>
      <w:r w:rsidRPr="007220FA">
        <w:t xml:space="preserve">CVIP </w:t>
      </w:r>
      <w:r w:rsidR="007C5100">
        <w:t>Privacy Notice</w:t>
      </w:r>
      <w:r w:rsidR="00CD45D0" w:rsidRPr="007220FA">
        <w:t xml:space="preserve"> (available online)</w:t>
      </w:r>
      <w:r w:rsidR="00CD45D0" w:rsidRPr="007220FA">
        <w:rPr>
          <w:rStyle w:val="FootnoteReference"/>
        </w:rPr>
        <w:footnoteReference w:id="31"/>
      </w:r>
      <w:r w:rsidR="00CD45D0" w:rsidRPr="007220FA">
        <w:t xml:space="preserve"> </w:t>
      </w:r>
      <w:r w:rsidRPr="007220FA">
        <w:t xml:space="preserve">was updated to reflect the new collections, uses and disclosures of personal information (including sensitive information) </w:t>
      </w:r>
      <w:r w:rsidR="00CD45D0" w:rsidRPr="007220FA">
        <w:t>in relation to</w:t>
      </w:r>
      <w:r w:rsidRPr="007220FA">
        <w:t xml:space="preserve"> the CVIP App. </w:t>
      </w:r>
    </w:p>
    <w:p w14:paraId="7227513F" w14:textId="1AB5779E" w:rsidR="00A8139C" w:rsidRPr="007220FA" w:rsidRDefault="00A8139C" w:rsidP="00A8139C">
      <w:pPr>
        <w:pStyle w:val="Heading1"/>
        <w:keepLines/>
      </w:pPr>
      <w:bookmarkStart w:id="100" w:name="_Toc113279943"/>
      <w:r w:rsidRPr="007220FA">
        <w:t>Privacy impact analysis and compliance</w:t>
      </w:r>
      <w:bookmarkEnd w:id="100"/>
    </w:p>
    <w:p w14:paraId="44C43674" w14:textId="50B6D87F" w:rsidR="00FC1DC0" w:rsidRPr="007220FA" w:rsidRDefault="00FC1DC0" w:rsidP="00FC1DC0">
      <w:pPr>
        <w:pStyle w:val="Bolditalicsheading"/>
      </w:pPr>
      <w:r w:rsidRPr="007220FA">
        <w:t>Consent to collect, use and disclose Eligibility Information</w:t>
      </w:r>
    </w:p>
    <w:p w14:paraId="11CDC62B" w14:textId="7680C2F5" w:rsidR="000F6D07" w:rsidRPr="007220FA" w:rsidRDefault="00CD45D0" w:rsidP="00DB1DA7">
      <w:pPr>
        <w:pStyle w:val="Headingpara2"/>
      </w:pPr>
      <w:r w:rsidRPr="007220FA">
        <w:t xml:space="preserve">For the purposes of meeting the requirements of APP 3, we consider it appropriate that Patients be required to provide their consent before their Eligibility Information </w:t>
      </w:r>
      <w:proofErr w:type="gramStart"/>
      <w:r w:rsidRPr="007220FA">
        <w:t>is able to</w:t>
      </w:r>
      <w:proofErr w:type="gramEnd"/>
      <w:r w:rsidRPr="007220FA">
        <w:t xml:space="preserve"> be collected</w:t>
      </w:r>
      <w:r w:rsidR="00CC1102" w:rsidRPr="007220FA">
        <w:t>, used and disclosed</w:t>
      </w:r>
      <w:r w:rsidRPr="007220FA">
        <w:t xml:space="preserve">. </w:t>
      </w:r>
    </w:p>
    <w:p w14:paraId="260F0E53" w14:textId="291AB3D8" w:rsidR="00FC1DC0" w:rsidRPr="007220FA" w:rsidRDefault="00CD45D0" w:rsidP="00CC1102">
      <w:pPr>
        <w:pStyle w:val="Headingpara2"/>
      </w:pPr>
      <w:r w:rsidRPr="007220FA">
        <w:t xml:space="preserve">When weighing up whether Patients should </w:t>
      </w:r>
      <w:r w:rsidR="00CC1102" w:rsidRPr="007220FA">
        <w:t xml:space="preserve">be asked to </w:t>
      </w:r>
      <w:r w:rsidRPr="007220FA">
        <w:t xml:space="preserve">provide </w:t>
      </w:r>
      <w:r w:rsidR="00CC1102" w:rsidRPr="007220FA">
        <w:t xml:space="preserve">their </w:t>
      </w:r>
      <w:r w:rsidRPr="007220FA">
        <w:t>written consent (after being provided with a collection</w:t>
      </w:r>
      <w:r w:rsidR="00FC1DC0" w:rsidRPr="007220FA">
        <w:t xml:space="preserve"> and consent</w:t>
      </w:r>
      <w:r w:rsidRPr="007220FA">
        <w:t xml:space="preserve"> notice) or </w:t>
      </w:r>
      <w:r w:rsidR="000F6D07" w:rsidRPr="007220FA">
        <w:t xml:space="preserve">provide </w:t>
      </w:r>
      <w:r w:rsidR="00CC1102" w:rsidRPr="007220FA">
        <w:t xml:space="preserve">their </w:t>
      </w:r>
      <w:r w:rsidR="000F6D07" w:rsidRPr="007220FA">
        <w:t xml:space="preserve">oral consent (after being provided an oral statement by the Vaccinator), it is important to </w:t>
      </w:r>
      <w:r w:rsidR="00FC1DC0" w:rsidRPr="007220FA">
        <w:t>note that:</w:t>
      </w:r>
    </w:p>
    <w:p w14:paraId="25439809" w14:textId="568C1069" w:rsidR="00FC1DC0" w:rsidRPr="007220FA" w:rsidRDefault="00FC1DC0" w:rsidP="007C5100">
      <w:pPr>
        <w:pStyle w:val="Heading3"/>
        <w:keepNext/>
        <w:keepLines/>
      </w:pPr>
      <w:r w:rsidRPr="007220FA">
        <w:lastRenderedPageBreak/>
        <w:t>not all Patients will register themselves for the CVIP App (meaning that if a written collection and consent notice is provided to Patients in the CVIP App, this means that consent will not be collected from Patients who do not register themselves, such as those who instead provide their details directly to their Vaccinator); and</w:t>
      </w:r>
    </w:p>
    <w:p w14:paraId="2D2C4CC4" w14:textId="4116C923" w:rsidR="00FC1DC0" w:rsidRPr="007220FA" w:rsidRDefault="00FC1DC0" w:rsidP="00FC1DC0">
      <w:pPr>
        <w:pStyle w:val="Heading3"/>
      </w:pPr>
      <w:r w:rsidRPr="007220FA">
        <w:t xml:space="preserve">a Patient is unable to self-nominate their Eligibility Information (and this can only be provided </w:t>
      </w:r>
      <w:r w:rsidR="007B2F45" w:rsidRPr="007220FA">
        <w:t xml:space="preserve">and submitted </w:t>
      </w:r>
      <w:r w:rsidRPr="007220FA">
        <w:t>by the Vaccinator)</w:t>
      </w:r>
      <w:r w:rsidR="007B2F45" w:rsidRPr="007220FA">
        <w:t>.</w:t>
      </w:r>
    </w:p>
    <w:p w14:paraId="6EB0422B" w14:textId="02E7D7A2" w:rsidR="000F6D07" w:rsidRPr="007220FA" w:rsidRDefault="007B2F45" w:rsidP="00CC1102">
      <w:pPr>
        <w:pStyle w:val="Headingpara2"/>
      </w:pPr>
      <w:r w:rsidRPr="007220FA">
        <w:t xml:space="preserve">Noting the above, </w:t>
      </w:r>
      <w:r w:rsidR="00CC1102" w:rsidRPr="007220FA">
        <w:t xml:space="preserve">when a Vaccinator pulls up a Patient’s AIR record to record details related to a COVID-19 vaccine (including the Patient’s clinical consent to receive a COVID-19 vaccine), </w:t>
      </w:r>
      <w:r w:rsidRPr="007220FA">
        <w:t xml:space="preserve">we consider that it would be appropriate for the Vaccinator to, at this point in the process, </w:t>
      </w:r>
      <w:r w:rsidR="00CC1102" w:rsidRPr="007220FA">
        <w:t>obtain a Patient’s verbal consent</w:t>
      </w:r>
      <w:r w:rsidRPr="007220FA">
        <w:t xml:space="preserve"> to the collection, use and disclosure of their Eligibility Information (once the Vaccinator reads out the appropriate information in order to obtain a Patient’s consent). We consider it </w:t>
      </w:r>
      <w:r w:rsidR="00CC1102" w:rsidRPr="007220FA">
        <w:t xml:space="preserve">privacy enhancing that </w:t>
      </w:r>
      <w:r w:rsidRPr="007220FA">
        <w:t xml:space="preserve">the Vaccinator must record whether a Patient provides their consent or not </w:t>
      </w:r>
      <w:r w:rsidR="00CC1102" w:rsidRPr="007220FA">
        <w:t xml:space="preserve">before </w:t>
      </w:r>
      <w:r w:rsidRPr="007220FA">
        <w:t xml:space="preserve">they </w:t>
      </w:r>
      <w:r w:rsidR="00CC1102" w:rsidRPr="007220FA">
        <w:t>can proceed with using the CVIP App.</w:t>
      </w:r>
    </w:p>
    <w:p w14:paraId="4F01CA02" w14:textId="29C2EC40" w:rsidR="000F6D07" w:rsidRPr="007220FA" w:rsidRDefault="000F6D07" w:rsidP="000F6D07">
      <w:pPr>
        <w:pStyle w:val="Headingpara2"/>
      </w:pPr>
      <w:r w:rsidRPr="007220FA">
        <w:t xml:space="preserve">Accordingly, </w:t>
      </w:r>
      <w:r w:rsidR="007B2F45" w:rsidRPr="007220FA">
        <w:t xml:space="preserve">we </w:t>
      </w:r>
      <w:r w:rsidR="00772E4E" w:rsidRPr="00772E4E">
        <w:rPr>
          <w:b/>
          <w:bCs/>
          <w:color w:val="960030" w:themeColor="accent2"/>
        </w:rPr>
        <w:t>recommend</w:t>
      </w:r>
      <w:r w:rsidR="00772E4E" w:rsidRPr="00772E4E">
        <w:rPr>
          <w:color w:val="960030" w:themeColor="accent2"/>
        </w:rPr>
        <w:t xml:space="preserve"> </w:t>
      </w:r>
      <w:r w:rsidR="007B2F45" w:rsidRPr="007220FA">
        <w:t xml:space="preserve">that Health ensure that </w:t>
      </w:r>
      <w:r w:rsidRPr="007220FA">
        <w:t>Vaccinators be provided with appropriate guidance and clear, tailored communications to explain the changes that are being made to use of</w:t>
      </w:r>
      <w:r w:rsidR="00A14EFE">
        <w:t xml:space="preserve"> the</w:t>
      </w:r>
      <w:r w:rsidRPr="007220FA">
        <w:t xml:space="preserve"> CVIP (including potential reporting of Eligibility Information), so that:</w:t>
      </w:r>
    </w:p>
    <w:p w14:paraId="72D6B4DF" w14:textId="44DAA2FA" w:rsidR="000F6D07" w:rsidRPr="007220FA" w:rsidRDefault="000F6D07" w:rsidP="000F6D07">
      <w:pPr>
        <w:pStyle w:val="Heading3"/>
      </w:pPr>
      <w:r w:rsidRPr="007220FA">
        <w:t>it is clear to Vaccinators who are required to record Eligibility Information (</w:t>
      </w:r>
      <w:proofErr w:type="gramStart"/>
      <w:r w:rsidRPr="007220FA">
        <w:t>i.e.</w:t>
      </w:r>
      <w:proofErr w:type="gramEnd"/>
      <w:r w:rsidRPr="007220FA">
        <w:t xml:space="preserve"> SA </w:t>
      </w:r>
      <w:r w:rsidR="00BD3C63" w:rsidRPr="007220FA">
        <w:t>C</w:t>
      </w:r>
      <w:r w:rsidRPr="007220FA">
        <w:t>linics):</w:t>
      </w:r>
    </w:p>
    <w:p w14:paraId="1922A8F4" w14:textId="19DDA5C5" w:rsidR="000F6D07" w:rsidRPr="007220FA" w:rsidRDefault="000F6D07" w:rsidP="000F6D07">
      <w:pPr>
        <w:pStyle w:val="Heading4"/>
      </w:pPr>
      <w:r w:rsidRPr="007220FA">
        <w:t xml:space="preserve">what the Vaccinator needs to tell a Patient </w:t>
      </w:r>
      <w:proofErr w:type="gramStart"/>
      <w:r w:rsidRPr="007220FA">
        <w:t>in order to</w:t>
      </w:r>
      <w:proofErr w:type="gramEnd"/>
      <w:r w:rsidRPr="007220FA">
        <w:t xml:space="preserve"> obtain a Patient’s informed consent in relation to the collection of </w:t>
      </w:r>
      <w:r w:rsidR="00D26DBE" w:rsidRPr="007220FA">
        <w:t>Eligibility</w:t>
      </w:r>
      <w:r w:rsidRPr="007220FA">
        <w:t xml:space="preserve"> </w:t>
      </w:r>
      <w:r w:rsidR="00D26DBE" w:rsidRPr="007220FA">
        <w:t>Information, such as what information is being collected, and why it needs to be collected</w:t>
      </w:r>
      <w:r w:rsidRPr="007220FA">
        <w:t>;</w:t>
      </w:r>
      <w:r w:rsidR="00D26DBE" w:rsidRPr="007220FA">
        <w:t xml:space="preserve"> and</w:t>
      </w:r>
    </w:p>
    <w:p w14:paraId="75AED97E" w14:textId="30E2F416" w:rsidR="000F6D07" w:rsidRPr="007220FA" w:rsidRDefault="00D26DBE" w:rsidP="000F6D07">
      <w:pPr>
        <w:pStyle w:val="Heading4"/>
      </w:pPr>
      <w:r w:rsidRPr="007220FA">
        <w:t>that a Patient does not need to provide their consent if they do not wish to (and if they do so, that the Vaccinator should record this by selecting ‘Details not required /</w:t>
      </w:r>
      <w:r w:rsidR="007C5100">
        <w:t xml:space="preserve"> </w:t>
      </w:r>
      <w:r w:rsidRPr="007220FA">
        <w:t>Did not consent’ in the CVIP App</w:t>
      </w:r>
      <w:r w:rsidR="007B2F45" w:rsidRPr="007220FA">
        <w:t>)</w:t>
      </w:r>
      <w:r w:rsidRPr="007220FA">
        <w:t>; and</w:t>
      </w:r>
    </w:p>
    <w:p w14:paraId="4B5D7E7C" w14:textId="145D58C5" w:rsidR="007A4EF0" w:rsidRPr="007220FA" w:rsidRDefault="00D26DBE" w:rsidP="004504C1">
      <w:pPr>
        <w:pStyle w:val="Heading3"/>
      </w:pPr>
      <w:r w:rsidRPr="007220FA">
        <w:t xml:space="preserve">it is clear to </w:t>
      </w:r>
      <w:r w:rsidR="000F6D07" w:rsidRPr="007220FA">
        <w:t>Vaccinators who are not required to record Eligibility Information</w:t>
      </w:r>
      <w:r w:rsidRPr="007220FA">
        <w:t xml:space="preserve"> that they do not need to </w:t>
      </w:r>
      <w:r w:rsidR="007A4EF0" w:rsidRPr="007220FA">
        <w:t xml:space="preserve">collect </w:t>
      </w:r>
      <w:r w:rsidRPr="007220FA">
        <w:t>E</w:t>
      </w:r>
      <w:r w:rsidR="007A4EF0" w:rsidRPr="007220FA">
        <w:t xml:space="preserve">ligibility </w:t>
      </w:r>
      <w:r w:rsidRPr="007220FA">
        <w:t>I</w:t>
      </w:r>
      <w:r w:rsidR="007A4EF0" w:rsidRPr="007220FA">
        <w:t>nformation</w:t>
      </w:r>
      <w:r w:rsidRPr="007220FA">
        <w:t xml:space="preserve"> and should select </w:t>
      </w:r>
      <w:r w:rsidR="007B2F45" w:rsidRPr="007220FA">
        <w:t>‘</w:t>
      </w:r>
      <w:r w:rsidRPr="007220FA">
        <w:t>Details not required /</w:t>
      </w:r>
      <w:r w:rsidR="007C5100">
        <w:t xml:space="preserve"> </w:t>
      </w:r>
      <w:r w:rsidRPr="007220FA">
        <w:t xml:space="preserve">Did not consent’ in the CVIP App </w:t>
      </w:r>
      <w:r w:rsidR="007A4EF0" w:rsidRPr="007220FA">
        <w:t>(</w:t>
      </w:r>
      <w:r w:rsidRPr="007220FA">
        <w:t xml:space="preserve">this is particularly important to ensure that Health does not collect information about Patients that does not need by virtue of Vaccinators (who are not SA </w:t>
      </w:r>
      <w:r w:rsidR="00BD3C63" w:rsidRPr="007220FA">
        <w:t>C</w:t>
      </w:r>
      <w:r w:rsidRPr="007220FA">
        <w:t>linics) entering this information in the CVIP App).</w:t>
      </w:r>
    </w:p>
    <w:p w14:paraId="5430AE72" w14:textId="13F2FB6B" w:rsidR="007B2F45" w:rsidRPr="007220FA" w:rsidRDefault="007B2F45" w:rsidP="007B2F45">
      <w:pPr>
        <w:pStyle w:val="Headingpara2"/>
      </w:pPr>
      <w:r w:rsidRPr="007220FA">
        <w:t>We consider it would also be privacy enhancing and adopting openness and transparency if, as part of implementing</w:t>
      </w:r>
      <w:r w:rsidR="00772E4E">
        <w:t xml:space="preserve"> the above recommendation, </w:t>
      </w:r>
      <w:r w:rsidRPr="007220FA">
        <w:t xml:space="preserve">Vaccinators were also encouraged to inform Patients about the fact that the SA government (or other governments, as relevant), would also receive some of the Patient’s AIR Information (irrespective of whether they provided their consent in relation to their Eligibility Information). </w:t>
      </w:r>
    </w:p>
    <w:p w14:paraId="5F18B706" w14:textId="42639FD7" w:rsidR="0062374C" w:rsidRPr="007220FA" w:rsidRDefault="0062374C" w:rsidP="0062374C">
      <w:pPr>
        <w:pStyle w:val="Headingpara2"/>
      </w:pPr>
      <w:r w:rsidRPr="007220FA">
        <w:t xml:space="preserve">We also </w:t>
      </w:r>
      <w:r w:rsidR="00772E4E" w:rsidRPr="00772E4E">
        <w:rPr>
          <w:b/>
          <w:bCs/>
          <w:color w:val="960030" w:themeColor="accent2"/>
        </w:rPr>
        <w:t>recommend</w:t>
      </w:r>
      <w:r w:rsidR="00772E4E" w:rsidRPr="00772E4E">
        <w:rPr>
          <w:color w:val="960030" w:themeColor="accent2"/>
        </w:rPr>
        <w:t xml:space="preserve"> </w:t>
      </w:r>
      <w:r w:rsidRPr="007220FA">
        <w:t xml:space="preserve">that Health consider whether it would be technically possible to implement a mechanism for a Patient to withdraw their consent in relation to their Eligibility </w:t>
      </w:r>
      <w:proofErr w:type="gramStart"/>
      <w:r w:rsidRPr="007220FA">
        <w:t>Information, if</w:t>
      </w:r>
      <w:proofErr w:type="gramEnd"/>
      <w:r w:rsidRPr="007220FA">
        <w:t xml:space="preserve"> they wish to do so at a later stage. </w:t>
      </w:r>
    </w:p>
    <w:p w14:paraId="1B543290" w14:textId="4B3AA050" w:rsidR="0062374C" w:rsidRPr="007220FA" w:rsidRDefault="0062374C" w:rsidP="004504C1">
      <w:pPr>
        <w:pStyle w:val="Headingpara2"/>
      </w:pPr>
      <w:bookmarkStart w:id="101" w:name="_Ref75448799"/>
      <w:r w:rsidRPr="007220FA">
        <w:t>Th</w:t>
      </w:r>
      <w:r w:rsidR="005A14F0">
        <w:t>e</w:t>
      </w:r>
      <w:r w:rsidRPr="007220FA">
        <w:t xml:space="preserve"> process</w:t>
      </w:r>
      <w:r w:rsidR="005A14F0">
        <w:t xml:space="preserve"> for a Patient</w:t>
      </w:r>
      <w:r w:rsidRPr="007220FA">
        <w:t xml:space="preserve"> to withdraw their consent should be an easy and accessible and if </w:t>
      </w:r>
      <w:r w:rsidR="005A14F0">
        <w:t>a Patient</w:t>
      </w:r>
      <w:r w:rsidRPr="007220FA">
        <w:t xml:space="preserve"> were to withdraw their consent, this would mean that </w:t>
      </w:r>
      <w:r w:rsidR="005A14F0">
        <w:t>their</w:t>
      </w:r>
      <w:r w:rsidRPr="007220FA">
        <w:t xml:space="preserve"> Eligibility Information would not be able to be extracted by the ADHA from the CVIP, and then included in the reports made available to the SA government. </w:t>
      </w:r>
      <w:bookmarkEnd w:id="101"/>
    </w:p>
    <w:p w14:paraId="6A299E43" w14:textId="33AE75B5" w:rsidR="00D71F35" w:rsidRPr="007220FA" w:rsidRDefault="00BD3C63" w:rsidP="00826607">
      <w:pPr>
        <w:pStyle w:val="Bolditalicsheading"/>
        <w:keepNext/>
        <w:keepLines/>
      </w:pPr>
      <w:r w:rsidRPr="007220FA">
        <w:lastRenderedPageBreak/>
        <w:t xml:space="preserve">Arrangements between </w:t>
      </w:r>
      <w:r w:rsidR="00D71F35" w:rsidRPr="007220FA">
        <w:t>Health</w:t>
      </w:r>
      <w:r w:rsidRPr="007220FA">
        <w:t xml:space="preserve">, </w:t>
      </w:r>
      <w:r w:rsidR="00D71F35" w:rsidRPr="007220FA">
        <w:t xml:space="preserve">ADHA and the SA government </w:t>
      </w:r>
    </w:p>
    <w:p w14:paraId="59A96E85" w14:textId="7A9CA378" w:rsidR="00BD3C63" w:rsidRPr="007220FA" w:rsidRDefault="00BD3C63" w:rsidP="00826607">
      <w:pPr>
        <w:pStyle w:val="Headingpara2"/>
        <w:keepNext/>
        <w:keepLines/>
      </w:pPr>
      <w:r w:rsidRPr="007220FA">
        <w:t xml:space="preserve">Given the sensitivity of AIR Information and Eligibility Information, we </w:t>
      </w:r>
      <w:r w:rsidR="00772E4E" w:rsidRPr="00772E4E">
        <w:rPr>
          <w:b/>
          <w:bCs/>
          <w:color w:val="960030" w:themeColor="accent2"/>
        </w:rPr>
        <w:t>recommend</w:t>
      </w:r>
      <w:r w:rsidR="00772E4E" w:rsidRPr="00772E4E">
        <w:rPr>
          <w:color w:val="960030" w:themeColor="accent2"/>
        </w:rPr>
        <w:t xml:space="preserve"> </w:t>
      </w:r>
      <w:r w:rsidRPr="007220FA">
        <w:t xml:space="preserve">that Health ensure it has appropriate contracts, </w:t>
      </w:r>
      <w:proofErr w:type="gramStart"/>
      <w:r w:rsidRPr="007220FA">
        <w:t>MOUs</w:t>
      </w:r>
      <w:proofErr w:type="gramEnd"/>
      <w:r w:rsidRPr="007220FA">
        <w:t xml:space="preserve"> or other arrangements in place with </w:t>
      </w:r>
      <w:r w:rsidR="007C5100">
        <w:t xml:space="preserve">the </w:t>
      </w:r>
      <w:r w:rsidRPr="007220FA">
        <w:t>ADHA and the SA government to protect and govern the handling of AIR Information and Eligibility Information. Such arrangements should include:</w:t>
      </w:r>
    </w:p>
    <w:p w14:paraId="604D06E9" w14:textId="7DB66618" w:rsidR="00BD3C63" w:rsidRPr="007220FA" w:rsidRDefault="00BD3C63" w:rsidP="00BD3C63">
      <w:pPr>
        <w:pStyle w:val="Heading3"/>
      </w:pPr>
      <w:r w:rsidRPr="007220FA">
        <w:t>clear obligations regarding how AIR Information and Eligibility Information can be used and further disclosed by the SA government (noting that the protections in the AIR Act and the Privacy Act will not apply</w:t>
      </w:r>
      <w:proofErr w:type="gramStart"/>
      <w:r w:rsidRPr="007220FA">
        <w:t>);</w:t>
      </w:r>
      <w:proofErr w:type="gramEnd"/>
    </w:p>
    <w:p w14:paraId="060EF5EF" w14:textId="26DABC7B" w:rsidR="00BD3C63" w:rsidRPr="007220FA" w:rsidRDefault="00BD3C63" w:rsidP="00BD3C63">
      <w:pPr>
        <w:pStyle w:val="Heading3"/>
      </w:pPr>
      <w:r w:rsidRPr="007220FA">
        <w:t xml:space="preserve">clarity about the services to be provided by </w:t>
      </w:r>
      <w:r w:rsidR="007C5100">
        <w:t xml:space="preserve">the </w:t>
      </w:r>
      <w:r w:rsidRPr="007220FA">
        <w:t>ADHA (including relevant security obligations</w:t>
      </w:r>
      <w:proofErr w:type="gramStart"/>
      <w:r w:rsidRPr="007220FA">
        <w:t>);</w:t>
      </w:r>
      <w:proofErr w:type="gramEnd"/>
      <w:r w:rsidRPr="007220FA">
        <w:t xml:space="preserve"> </w:t>
      </w:r>
    </w:p>
    <w:p w14:paraId="648019F8" w14:textId="10AE6A7A" w:rsidR="00605F40" w:rsidRPr="007220FA" w:rsidRDefault="00605F40" w:rsidP="00BD3C63">
      <w:pPr>
        <w:pStyle w:val="Heading3"/>
      </w:pPr>
      <w:r w:rsidRPr="007220FA">
        <w:t xml:space="preserve">procedures for </w:t>
      </w:r>
      <w:proofErr w:type="gramStart"/>
      <w:r w:rsidRPr="007220FA">
        <w:t>Patients</w:t>
      </w:r>
      <w:proofErr w:type="gramEnd"/>
      <w:r w:rsidRPr="007220FA">
        <w:t xml:space="preserve"> to be able to find out further information on how their AIR Information and Eligibility Information is being handled by the SA government (and the role of</w:t>
      </w:r>
      <w:r w:rsidR="007C5100">
        <w:t xml:space="preserve"> the</w:t>
      </w:r>
      <w:r w:rsidRPr="007220FA">
        <w:t xml:space="preserve"> ADHA in provision of this information);</w:t>
      </w:r>
    </w:p>
    <w:p w14:paraId="06FD8AC6" w14:textId="5F0C14E4" w:rsidR="00BD3C63" w:rsidRPr="007220FA" w:rsidRDefault="00BD3C63" w:rsidP="00BD3C63">
      <w:pPr>
        <w:pStyle w:val="Heading3"/>
      </w:pPr>
      <w:bookmarkStart w:id="102" w:name="_Ref75448602"/>
      <w:r w:rsidRPr="007220FA">
        <w:t xml:space="preserve">procedures for </w:t>
      </w:r>
      <w:proofErr w:type="gramStart"/>
      <w:r w:rsidRPr="007220FA">
        <w:t>Patients</w:t>
      </w:r>
      <w:proofErr w:type="gramEnd"/>
      <w:r w:rsidRPr="007220FA">
        <w:t xml:space="preserve"> to be able to, and be informed of how to, withdraw their consent;</w:t>
      </w:r>
      <w:bookmarkEnd w:id="102"/>
      <w:r w:rsidRPr="007220FA">
        <w:t xml:space="preserve"> </w:t>
      </w:r>
    </w:p>
    <w:p w14:paraId="47C18334" w14:textId="56125178" w:rsidR="00BD3C63" w:rsidRPr="007220FA" w:rsidRDefault="00BD3C63" w:rsidP="00BD3C63">
      <w:pPr>
        <w:pStyle w:val="Heading3"/>
      </w:pPr>
      <w:bookmarkStart w:id="103" w:name="_Ref75448604"/>
      <w:r w:rsidRPr="007220FA">
        <w:t xml:space="preserve">obligations so that no further use or disclosure of AIR Information and Eligibility Information by </w:t>
      </w:r>
      <w:r w:rsidR="007C5100">
        <w:t xml:space="preserve">the </w:t>
      </w:r>
      <w:r w:rsidRPr="007220FA">
        <w:t>ADHA and the SA government occur after consent is withdrawn; and</w:t>
      </w:r>
      <w:bookmarkEnd w:id="103"/>
    </w:p>
    <w:p w14:paraId="5382FEBD" w14:textId="300A6AF9" w:rsidR="00D71F35" w:rsidRPr="007220FA" w:rsidRDefault="00BD3C63" w:rsidP="004504C1">
      <w:pPr>
        <w:pStyle w:val="Heading3"/>
      </w:pPr>
      <w:r w:rsidRPr="007220FA">
        <w:t>appropriate Eligible Data Breach provisions (as defined in the Privacy Act).</w:t>
      </w:r>
    </w:p>
    <w:p w14:paraId="5DB9ADDB" w14:textId="5A254A2A" w:rsidR="00DC16E7" w:rsidRPr="007220FA" w:rsidRDefault="008E2EEE" w:rsidP="00DC16E7">
      <w:pPr>
        <w:pStyle w:val="Sectionheading"/>
      </w:pPr>
      <w:bookmarkStart w:id="104" w:name="_Toc94507328"/>
      <w:bookmarkStart w:id="105" w:name="_Toc94507329"/>
      <w:bookmarkStart w:id="106" w:name="_Toc94507330"/>
      <w:bookmarkStart w:id="107" w:name="_Toc94507331"/>
      <w:bookmarkStart w:id="108" w:name="_Toc94507332"/>
      <w:bookmarkStart w:id="109" w:name="_Ref94555707"/>
      <w:bookmarkStart w:id="110" w:name="_Toc113279944"/>
      <w:bookmarkEnd w:id="104"/>
      <w:bookmarkEnd w:id="105"/>
      <w:bookmarkEnd w:id="106"/>
      <w:bookmarkEnd w:id="107"/>
      <w:bookmarkEnd w:id="108"/>
      <w:r w:rsidRPr="007220FA">
        <w:lastRenderedPageBreak/>
        <w:t>Introduction of data sharing from Commonwealth systems to Health and State and Territory health agencies</w:t>
      </w:r>
      <w:bookmarkEnd w:id="109"/>
      <w:bookmarkEnd w:id="110"/>
    </w:p>
    <w:p w14:paraId="639B1FF9" w14:textId="3CC1543F" w:rsidR="0044448F" w:rsidRPr="008C1512" w:rsidRDefault="0044448F" w:rsidP="0044448F">
      <w:pPr>
        <w:pStyle w:val="BodyIndent1"/>
        <w:ind w:left="0"/>
        <w:rPr>
          <w:b/>
          <w:bCs/>
          <w:i/>
          <w:iCs/>
          <w:sz w:val="24"/>
          <w:szCs w:val="24"/>
        </w:rPr>
      </w:pPr>
      <w:r w:rsidRPr="008C1512">
        <w:rPr>
          <w:b/>
          <w:bCs/>
          <w:i/>
          <w:iCs/>
          <w:sz w:val="24"/>
          <w:szCs w:val="24"/>
        </w:rPr>
        <w:t xml:space="preserve">Date of Analysis: </w:t>
      </w:r>
      <w:r w:rsidR="00095D82" w:rsidRPr="008C1512">
        <w:rPr>
          <w:b/>
          <w:bCs/>
          <w:i/>
          <w:iCs/>
          <w:sz w:val="24"/>
          <w:szCs w:val="24"/>
        </w:rPr>
        <w:t>22 September 2021</w:t>
      </w:r>
    </w:p>
    <w:p w14:paraId="374FA2BF" w14:textId="77777777" w:rsidR="00DC16E7" w:rsidRPr="007220FA" w:rsidRDefault="00DC16E7" w:rsidP="00416F52">
      <w:pPr>
        <w:pStyle w:val="Heading1"/>
        <w:numPr>
          <w:ilvl w:val="0"/>
          <w:numId w:val="46"/>
        </w:numPr>
      </w:pPr>
      <w:bookmarkStart w:id="111" w:name="_Ref77094200"/>
      <w:bookmarkStart w:id="112" w:name="_Toc113279945"/>
      <w:r w:rsidRPr="007220FA">
        <w:t>Project Description</w:t>
      </w:r>
      <w:bookmarkEnd w:id="111"/>
      <w:bookmarkEnd w:id="112"/>
    </w:p>
    <w:p w14:paraId="286D0ABC" w14:textId="5BA66753" w:rsidR="00095D82" w:rsidRPr="007220FA" w:rsidRDefault="00095D82" w:rsidP="00095D82">
      <w:pPr>
        <w:pStyle w:val="Headingpara2"/>
      </w:pPr>
      <w:bookmarkStart w:id="113" w:name="_Ref75862032"/>
      <w:r w:rsidRPr="007220FA">
        <w:t xml:space="preserve">The Phase 1b </w:t>
      </w:r>
      <w:r w:rsidR="00E11795">
        <w:t xml:space="preserve">Update </w:t>
      </w:r>
      <w:r w:rsidRPr="007220FA">
        <w:t>PIA report contemplated the disclosure of Vaccine Strategy Information from Commonwealth systems to Health, including the disclosure of information from the</w:t>
      </w:r>
      <w:r w:rsidR="001841F7">
        <w:t>:</w:t>
      </w:r>
      <w:r w:rsidRPr="007220FA">
        <w:t xml:space="preserve"> </w:t>
      </w:r>
    </w:p>
    <w:p w14:paraId="7A419B78" w14:textId="35FCBA3A" w:rsidR="00095D82" w:rsidRPr="007220FA" w:rsidRDefault="007C5100" w:rsidP="00095D82">
      <w:pPr>
        <w:pStyle w:val="Heading3"/>
      </w:pPr>
      <w:r>
        <w:t xml:space="preserve">RYI </w:t>
      </w:r>
      <w:proofErr w:type="gramStart"/>
      <w:r>
        <w:t>platform;</w:t>
      </w:r>
      <w:proofErr w:type="gramEnd"/>
    </w:p>
    <w:p w14:paraId="41F64E3E" w14:textId="77777777" w:rsidR="00095D82" w:rsidRPr="007220FA" w:rsidRDefault="00095D82" w:rsidP="00095D82">
      <w:pPr>
        <w:pStyle w:val="Heading3"/>
      </w:pPr>
      <w:r w:rsidRPr="007220FA">
        <w:t>COVID-19 Vaccine Administration System (</w:t>
      </w:r>
      <w:r w:rsidRPr="007220FA">
        <w:rPr>
          <w:b/>
          <w:bCs/>
        </w:rPr>
        <w:t>CVAS</w:t>
      </w:r>
      <w:proofErr w:type="gramStart"/>
      <w:r w:rsidRPr="007220FA">
        <w:t>);</w:t>
      </w:r>
      <w:proofErr w:type="gramEnd"/>
    </w:p>
    <w:p w14:paraId="104BC9E4" w14:textId="611255BA" w:rsidR="00095D82" w:rsidRDefault="007C5100" w:rsidP="00095D82">
      <w:pPr>
        <w:pStyle w:val="Heading3"/>
      </w:pPr>
      <w:r>
        <w:t xml:space="preserve">CVIP; and </w:t>
      </w:r>
    </w:p>
    <w:p w14:paraId="176FB6E3" w14:textId="59F14DA3" w:rsidR="007C5100" w:rsidRPr="007220FA" w:rsidRDefault="007C5100" w:rsidP="00095D82">
      <w:pPr>
        <w:pStyle w:val="Heading3"/>
      </w:pPr>
      <w:r>
        <w:t xml:space="preserve">BP. </w:t>
      </w:r>
    </w:p>
    <w:p w14:paraId="468CE4CD" w14:textId="2324F52E" w:rsidR="00095D82" w:rsidRPr="007220FA" w:rsidRDefault="00095D82" w:rsidP="00095D82">
      <w:pPr>
        <w:pStyle w:val="Headingpara2"/>
      </w:pPr>
      <w:bookmarkStart w:id="114" w:name="_Ref94556225"/>
      <w:r w:rsidRPr="007220FA">
        <w:t>We understand that as part of this Phase 2a of the Vaccine Strategy, Health will continue to use and store Vaccine Strategy Information. Further, under this Phase 2a, Health may make Patient Information collected in the BP available to jurisdictional health agencies (</w:t>
      </w:r>
      <w:proofErr w:type="gramStart"/>
      <w:r w:rsidRPr="007220FA">
        <w:t>i.e.</w:t>
      </w:r>
      <w:proofErr w:type="gramEnd"/>
      <w:r w:rsidRPr="007220FA">
        <w:t xml:space="preserve"> State and Territory health departments and agencies). Patient Information will be disclosed to enable jurisdictions to undertake:</w:t>
      </w:r>
      <w:bookmarkEnd w:id="114"/>
      <w:r w:rsidRPr="007220FA">
        <w:t xml:space="preserve"> </w:t>
      </w:r>
    </w:p>
    <w:p w14:paraId="2632766C" w14:textId="77777777" w:rsidR="00095D82" w:rsidRPr="007220FA" w:rsidRDefault="00095D82" w:rsidP="00095D82">
      <w:pPr>
        <w:pStyle w:val="Heading3"/>
      </w:pPr>
      <w:r w:rsidRPr="007220FA">
        <w:t>clinical administration of the COVID-19 vaccine rollout in the relevant State or Territory (</w:t>
      </w:r>
      <w:proofErr w:type="gramStart"/>
      <w:r w:rsidRPr="007220FA">
        <w:t>i.e.</w:t>
      </w:r>
      <w:proofErr w:type="gramEnd"/>
      <w:r w:rsidRPr="007220FA">
        <w:t xml:space="preserve"> capacity planning, supply of doses etc.); </w:t>
      </w:r>
    </w:p>
    <w:p w14:paraId="78F5E0ED" w14:textId="77777777" w:rsidR="00095D82" w:rsidRPr="007220FA" w:rsidRDefault="00095D82" w:rsidP="00095D82">
      <w:pPr>
        <w:pStyle w:val="Heading3"/>
      </w:pPr>
      <w:r w:rsidRPr="007220FA">
        <w:t>to undertake data analytics for the COVID-19 rollout (</w:t>
      </w:r>
      <w:proofErr w:type="gramStart"/>
      <w:r w:rsidRPr="007220FA">
        <w:t>i.e.</w:t>
      </w:r>
      <w:proofErr w:type="gramEnd"/>
      <w:r w:rsidRPr="007220FA">
        <w:t xml:space="preserve"> appointments booked versus actual doses administered); and  </w:t>
      </w:r>
    </w:p>
    <w:p w14:paraId="0BC2E02F" w14:textId="77777777" w:rsidR="00095D82" w:rsidRPr="007220FA" w:rsidRDefault="00095D82" w:rsidP="00095D82">
      <w:pPr>
        <w:pStyle w:val="Heading3"/>
      </w:pPr>
      <w:r w:rsidRPr="007220FA">
        <w:t>monitoring and reporting on clinic utilisation.</w:t>
      </w:r>
    </w:p>
    <w:p w14:paraId="4E1F16C2" w14:textId="77777777" w:rsidR="00095D82" w:rsidRPr="007220FA" w:rsidRDefault="00095D82" w:rsidP="00095D82">
      <w:pPr>
        <w:pStyle w:val="BodyIndent1"/>
        <w:rPr>
          <w:b/>
          <w:bCs/>
          <w:i/>
          <w:iCs/>
        </w:rPr>
      </w:pPr>
      <w:r w:rsidRPr="007220FA">
        <w:rPr>
          <w:b/>
          <w:bCs/>
          <w:i/>
          <w:iCs/>
        </w:rPr>
        <w:t>Data sharing from Commonwealth systems to Health</w:t>
      </w:r>
    </w:p>
    <w:p w14:paraId="19B8E659" w14:textId="215D4C71" w:rsidR="00095D82" w:rsidRPr="007220FA" w:rsidRDefault="00095D82" w:rsidP="00095D82">
      <w:pPr>
        <w:pStyle w:val="Headingpara2"/>
      </w:pPr>
      <w:r w:rsidRPr="007220FA">
        <w:t>As noted above, sharing data from Commonwealth systems to Health has been contemplated in the earlier Phase 1b</w:t>
      </w:r>
      <w:r w:rsidR="00E11795">
        <w:t xml:space="preserve"> Update</w:t>
      </w:r>
      <w:r w:rsidRPr="007220FA">
        <w:t xml:space="preserve"> PIA report. </w:t>
      </w:r>
    </w:p>
    <w:p w14:paraId="65699DF3" w14:textId="10C578CE" w:rsidR="00095D82" w:rsidRPr="007220FA" w:rsidRDefault="00095D82" w:rsidP="00095D82">
      <w:pPr>
        <w:pStyle w:val="Headingpara2"/>
      </w:pPr>
      <w:r w:rsidRPr="007220FA">
        <w:t xml:space="preserve">We do not consider that there are any changes to the flows of information, or the kinds of information that </w:t>
      </w:r>
      <w:r w:rsidR="00933D0C">
        <w:t>is</w:t>
      </w:r>
      <w:r w:rsidR="007B423A">
        <w:t xml:space="preserve"> </w:t>
      </w:r>
      <w:r w:rsidRPr="007220FA">
        <w:t xml:space="preserve">being collected and used by Health. As such, we have not considered data sharing from Commonwealth systems to Health any further. </w:t>
      </w:r>
    </w:p>
    <w:p w14:paraId="1FDD6745" w14:textId="77777777" w:rsidR="00095D82" w:rsidRPr="007220FA" w:rsidRDefault="00095D82" w:rsidP="00095D82">
      <w:pPr>
        <w:pStyle w:val="BodyIndent1"/>
        <w:rPr>
          <w:b/>
          <w:bCs/>
          <w:i/>
          <w:iCs/>
        </w:rPr>
      </w:pPr>
      <w:r w:rsidRPr="007220FA">
        <w:rPr>
          <w:b/>
          <w:bCs/>
          <w:i/>
          <w:iCs/>
        </w:rPr>
        <w:t>Data sharing from Commonwealth BP to jurisdictional health agencies</w:t>
      </w:r>
    </w:p>
    <w:p w14:paraId="0BCF7C70" w14:textId="77777777" w:rsidR="00095D82" w:rsidRPr="007220FA" w:rsidRDefault="00095D82" w:rsidP="00095D82">
      <w:pPr>
        <w:pStyle w:val="Headingpara2"/>
      </w:pPr>
      <w:r w:rsidRPr="007220FA">
        <w:t xml:space="preserve">Set out below, is </w:t>
      </w:r>
      <w:r w:rsidRPr="007220FA">
        <w:rPr>
          <w:bCs/>
        </w:rPr>
        <w:t xml:space="preserve">a summary of the information flows that will result from the disclosure of Patient Information from the BP to jurisdictional health agencies. </w:t>
      </w:r>
    </w:p>
    <w:p w14:paraId="31E59B45" w14:textId="54F54FCF" w:rsidR="00095D82" w:rsidRPr="007C5100" w:rsidRDefault="00095D82" w:rsidP="007C5100">
      <w:pPr>
        <w:pStyle w:val="Headingpara2"/>
        <w:rPr>
          <w:b/>
        </w:rPr>
      </w:pPr>
      <w:bookmarkStart w:id="115" w:name="_Ref94555927"/>
      <w:r w:rsidRPr="007220FA">
        <w:rPr>
          <w:bCs/>
        </w:rPr>
        <w:t xml:space="preserve">For the purposes of this </w:t>
      </w:r>
      <w:r w:rsidR="007C5100" w:rsidRPr="007C5100">
        <w:rPr>
          <w:b/>
        </w:rPr>
        <w:fldChar w:fldCharType="begin"/>
      </w:r>
      <w:r w:rsidR="007C5100" w:rsidRPr="007C5100">
        <w:rPr>
          <w:b/>
        </w:rPr>
        <w:instrText xml:space="preserve"> REF _Ref94555707 \r \h  \* MERGEFORMAT </w:instrText>
      </w:r>
      <w:r w:rsidR="007C5100" w:rsidRPr="007C5100">
        <w:rPr>
          <w:b/>
        </w:rPr>
      </w:r>
      <w:r w:rsidR="007C5100" w:rsidRPr="007C5100">
        <w:rPr>
          <w:b/>
        </w:rPr>
        <w:fldChar w:fldCharType="separate"/>
      </w:r>
      <w:r w:rsidR="001527AF">
        <w:rPr>
          <w:b/>
        </w:rPr>
        <w:t>Section E</w:t>
      </w:r>
      <w:r w:rsidR="007C5100" w:rsidRPr="007C5100">
        <w:rPr>
          <w:b/>
        </w:rPr>
        <w:fldChar w:fldCharType="end"/>
      </w:r>
      <w:r w:rsidR="007C5100" w:rsidRPr="007C5100">
        <w:rPr>
          <w:b/>
        </w:rPr>
        <w:t xml:space="preserve"> [Introduction of data sharing from Commonwealth systems to Health and State and Territory health agencies</w:t>
      </w:r>
      <w:r w:rsidR="007C5100">
        <w:rPr>
          <w:b/>
        </w:rPr>
        <w:t>]</w:t>
      </w:r>
      <w:r w:rsidRPr="007C5100">
        <w:rPr>
          <w:bCs/>
        </w:rPr>
        <w:t>, we will use the South Australia health department (</w:t>
      </w:r>
      <w:r w:rsidRPr="007C5100">
        <w:rPr>
          <w:b/>
        </w:rPr>
        <w:t>SA Health</w:t>
      </w:r>
      <w:r w:rsidRPr="007C5100">
        <w:rPr>
          <w:bCs/>
        </w:rPr>
        <w:t xml:space="preserve">) as our example, as we understand that SA Health has requested additional information </w:t>
      </w:r>
      <w:r w:rsidRPr="007220FA">
        <w:t>be made available from the BP. While no other jurisdiction</w:t>
      </w:r>
      <w:r w:rsidR="00215E29">
        <w:t>al</w:t>
      </w:r>
      <w:r w:rsidRPr="007220FA">
        <w:t xml:space="preserve"> health agencies have made a similar request at the time of writing this </w:t>
      </w:r>
      <w:r w:rsidR="008C1512">
        <w:t>Section</w:t>
      </w:r>
      <w:r w:rsidRPr="007220FA">
        <w:t>, we understand that Health is considering making this information available to all jurisdictional health agencies.</w:t>
      </w:r>
      <w:bookmarkEnd w:id="115"/>
    </w:p>
    <w:p w14:paraId="508283F3" w14:textId="77777777" w:rsidR="00095D82" w:rsidRPr="007220FA" w:rsidRDefault="00095D82" w:rsidP="007C5100">
      <w:pPr>
        <w:pStyle w:val="BodyIndent1"/>
        <w:keepNext/>
        <w:rPr>
          <w:b/>
          <w:bCs/>
          <w:i/>
          <w:iCs/>
          <w:color w:val="82002A" w:themeColor="accent1"/>
        </w:rPr>
      </w:pPr>
      <w:r w:rsidRPr="007220FA">
        <w:rPr>
          <w:b/>
          <w:bCs/>
          <w:i/>
          <w:iCs/>
        </w:rPr>
        <w:lastRenderedPageBreak/>
        <w:t xml:space="preserve">Step 1: Patient Information is collected by the BP </w:t>
      </w:r>
      <w:r w:rsidRPr="007220FA">
        <w:rPr>
          <w:b/>
          <w:bCs/>
          <w:i/>
          <w:iCs/>
          <w:color w:val="82002A" w:themeColor="accent1"/>
        </w:rPr>
        <w:t>(out of scope)</w:t>
      </w:r>
    </w:p>
    <w:p w14:paraId="3A0CF1F8" w14:textId="38A91A31" w:rsidR="00095D82" w:rsidRPr="007220FA" w:rsidRDefault="00095D82" w:rsidP="007C5100">
      <w:pPr>
        <w:pStyle w:val="Headingpara2"/>
        <w:keepNext/>
      </w:pPr>
      <w:r w:rsidRPr="007220FA">
        <w:t>We understand that it is intended that the Patient Information that is collected from a Patient, or from an individual who books an appointment on the Patient’s behalf, remains unchanged from the Phase 1b PIA</w:t>
      </w:r>
      <w:r w:rsidR="00E11795">
        <w:t xml:space="preserve"> Update</w:t>
      </w:r>
      <w:r w:rsidRPr="007220FA">
        <w:t xml:space="preserve"> report</w:t>
      </w:r>
    </w:p>
    <w:p w14:paraId="1DAB9821" w14:textId="407EBEDA" w:rsidR="00095D82" w:rsidRPr="007220FA" w:rsidRDefault="00095D82" w:rsidP="00095D82">
      <w:pPr>
        <w:pStyle w:val="Headingpara2"/>
        <w:rPr>
          <w:b/>
          <w:bCs/>
        </w:rPr>
      </w:pPr>
      <w:r w:rsidRPr="007220FA">
        <w:t xml:space="preserve">Therefore, we have not considered the collection of Patient Information by the BP further in this </w:t>
      </w:r>
      <w:r w:rsidRPr="007220FA">
        <w:rPr>
          <w:b/>
          <w:bCs/>
        </w:rPr>
        <w:fldChar w:fldCharType="begin"/>
      </w:r>
      <w:r w:rsidRPr="007220FA">
        <w:rPr>
          <w:b/>
          <w:bCs/>
        </w:rPr>
        <w:instrText xml:space="preserve"> REF _Ref94555707 \r \h  \* MERGEFORMAT </w:instrText>
      </w:r>
      <w:r w:rsidRPr="007220FA">
        <w:rPr>
          <w:b/>
          <w:bCs/>
        </w:rPr>
      </w:r>
      <w:r w:rsidRPr="007220FA">
        <w:rPr>
          <w:b/>
          <w:bCs/>
        </w:rPr>
        <w:fldChar w:fldCharType="separate"/>
      </w:r>
      <w:r w:rsidR="001527AF">
        <w:rPr>
          <w:b/>
          <w:bCs/>
        </w:rPr>
        <w:t>Section E</w:t>
      </w:r>
      <w:r w:rsidRPr="007220FA">
        <w:rPr>
          <w:b/>
          <w:bCs/>
        </w:rPr>
        <w:fldChar w:fldCharType="end"/>
      </w:r>
      <w:r w:rsidRPr="007220FA">
        <w:rPr>
          <w:b/>
          <w:bCs/>
        </w:rPr>
        <w:t xml:space="preserve"> [Introduction of data sharing from Commonwealth systems to Health and State and Territory health agencies].</w:t>
      </w:r>
    </w:p>
    <w:p w14:paraId="5AF7E614" w14:textId="77777777" w:rsidR="00095D82" w:rsidRPr="007220FA" w:rsidRDefault="00095D82" w:rsidP="00095D82">
      <w:pPr>
        <w:pStyle w:val="BodyIndent1"/>
        <w:rPr>
          <w:b/>
          <w:bCs/>
          <w:i/>
          <w:iCs/>
        </w:rPr>
      </w:pPr>
      <w:r w:rsidRPr="007220FA">
        <w:rPr>
          <w:b/>
          <w:bCs/>
          <w:i/>
          <w:iCs/>
        </w:rPr>
        <w:t xml:space="preserve">Step 2: Patient Information is held by the BP </w:t>
      </w:r>
      <w:r w:rsidRPr="007220FA">
        <w:rPr>
          <w:b/>
          <w:bCs/>
          <w:i/>
          <w:iCs/>
          <w:color w:val="82002A" w:themeColor="accent1"/>
        </w:rPr>
        <w:t>(out of scope)</w:t>
      </w:r>
    </w:p>
    <w:p w14:paraId="73428107" w14:textId="77777777" w:rsidR="00095D82" w:rsidRPr="007220FA" w:rsidRDefault="00095D82" w:rsidP="00095D82">
      <w:pPr>
        <w:pStyle w:val="Headingpara2"/>
      </w:pPr>
      <w:r w:rsidRPr="007220FA">
        <w:t xml:space="preserve">Once the information has been collected by the BP, the Patient Information and </w:t>
      </w:r>
      <w:proofErr w:type="gramStart"/>
      <w:r w:rsidRPr="007C5100">
        <w:rPr>
          <w:b/>
          <w:bCs/>
        </w:rPr>
        <w:t>Third Party</w:t>
      </w:r>
      <w:proofErr w:type="gramEnd"/>
      <w:r w:rsidRPr="007C5100">
        <w:rPr>
          <w:b/>
          <w:bCs/>
        </w:rPr>
        <w:t xml:space="preserve"> Information</w:t>
      </w:r>
      <w:r w:rsidRPr="007220FA">
        <w:t xml:space="preserve"> (if an individual makes a booking on behalf of a Patient) will be stored on the BP’s cloud environment. The cloud environment is hosted on secure servers located in Australia, in an encrypted, electronic format.</w:t>
      </w:r>
    </w:p>
    <w:p w14:paraId="595CDBBC" w14:textId="3629D268" w:rsidR="00095D82" w:rsidRPr="007220FA" w:rsidRDefault="00095D82" w:rsidP="00095D82">
      <w:pPr>
        <w:pStyle w:val="Headingpara2"/>
      </w:pPr>
      <w:r w:rsidRPr="007220FA">
        <w:t>We understand that the BP will only retain Patient Information for a reasonably short period of time (i.e. long enough for it to be transferred to</w:t>
      </w:r>
      <w:r w:rsidR="00A14EFE">
        <w:t xml:space="preserve"> the</w:t>
      </w:r>
      <w:r w:rsidRPr="007220FA">
        <w:t xml:space="preserve"> CVIP – as discussed at </w:t>
      </w:r>
      <w:r w:rsidRPr="007220FA">
        <w:rPr>
          <w:b/>
          <w:bCs/>
        </w:rPr>
        <w:fldChar w:fldCharType="begin"/>
      </w:r>
      <w:r w:rsidRPr="007220FA">
        <w:rPr>
          <w:b/>
          <w:bCs/>
        </w:rPr>
        <w:instrText xml:space="preserve"> REF _Ref94506121 \r \h  \* MERGEFORMAT </w:instrText>
      </w:r>
      <w:r w:rsidRPr="007220FA">
        <w:rPr>
          <w:b/>
          <w:bCs/>
        </w:rPr>
      </w:r>
      <w:r w:rsidRPr="007220FA">
        <w:rPr>
          <w:b/>
          <w:bCs/>
        </w:rPr>
        <w:fldChar w:fldCharType="separate"/>
      </w:r>
      <w:r w:rsidR="001527AF">
        <w:rPr>
          <w:b/>
          <w:bCs/>
        </w:rPr>
        <w:t>Section C</w:t>
      </w:r>
      <w:r w:rsidRPr="007220FA">
        <w:rPr>
          <w:b/>
          <w:bCs/>
        </w:rPr>
        <w:fldChar w:fldCharType="end"/>
      </w:r>
      <w:r w:rsidRPr="007220FA">
        <w:rPr>
          <w:b/>
          <w:bCs/>
        </w:rPr>
        <w:t xml:space="preserve"> [Integration of the Commonwealth-Procured Booking Platform (BP) and the Clinician Vaccine Integrated Platform (CVIP) solution] </w:t>
      </w:r>
      <w:r w:rsidRPr="007220FA">
        <w:t>above). Patient Information will be deleted unless there has been a legal complaint or there is some other legal purpose for retaining Patient Information</w:t>
      </w:r>
      <w:r w:rsidR="001841F7">
        <w:t>.</w:t>
      </w:r>
    </w:p>
    <w:p w14:paraId="5A668E3E" w14:textId="3E96FFAE" w:rsidR="00095D82" w:rsidRPr="007220FA" w:rsidRDefault="00095D82" w:rsidP="00095D82">
      <w:pPr>
        <w:pStyle w:val="Headingpara2"/>
      </w:pPr>
      <w:r w:rsidRPr="007220FA">
        <w:t xml:space="preserve">The way that Patient Information and </w:t>
      </w:r>
      <w:proofErr w:type="gramStart"/>
      <w:r w:rsidRPr="007220FA">
        <w:t>Third Party</w:t>
      </w:r>
      <w:proofErr w:type="gramEnd"/>
      <w:r w:rsidRPr="007220FA">
        <w:t xml:space="preserve"> Information is stored remains unchanged from the Phase 1b PIA Update report. Therefore, we have not considered the storage of Patient Information by the BP further in this </w:t>
      </w:r>
      <w:r w:rsidRPr="007220FA">
        <w:rPr>
          <w:b/>
          <w:bCs/>
        </w:rPr>
        <w:fldChar w:fldCharType="begin"/>
      </w:r>
      <w:r w:rsidRPr="007220FA">
        <w:rPr>
          <w:b/>
          <w:bCs/>
        </w:rPr>
        <w:instrText xml:space="preserve"> REF _Ref94555707 \r \h  \* MERGEFORMAT </w:instrText>
      </w:r>
      <w:r w:rsidRPr="007220FA">
        <w:rPr>
          <w:b/>
          <w:bCs/>
        </w:rPr>
      </w:r>
      <w:r w:rsidRPr="007220FA">
        <w:rPr>
          <w:b/>
          <w:bCs/>
        </w:rPr>
        <w:fldChar w:fldCharType="separate"/>
      </w:r>
      <w:r w:rsidR="001527AF">
        <w:rPr>
          <w:b/>
          <w:bCs/>
        </w:rPr>
        <w:t>Section E</w:t>
      </w:r>
      <w:r w:rsidRPr="007220FA">
        <w:rPr>
          <w:b/>
          <w:bCs/>
        </w:rPr>
        <w:fldChar w:fldCharType="end"/>
      </w:r>
      <w:r w:rsidRPr="007220FA">
        <w:rPr>
          <w:b/>
          <w:bCs/>
        </w:rPr>
        <w:t xml:space="preserve"> [Introduction of data sharing from Commonwealth systems to Health and State and Territory health agencies]</w:t>
      </w:r>
      <w:r w:rsidRPr="007220FA">
        <w:t xml:space="preserve">. </w:t>
      </w:r>
    </w:p>
    <w:p w14:paraId="2B6BBD49" w14:textId="77777777" w:rsidR="00095D82" w:rsidRPr="007220FA" w:rsidRDefault="00095D82" w:rsidP="00095D82">
      <w:pPr>
        <w:pStyle w:val="BodyIndent1"/>
        <w:rPr>
          <w:b/>
          <w:bCs/>
          <w:i/>
          <w:iCs/>
        </w:rPr>
      </w:pPr>
      <w:r w:rsidRPr="007220FA">
        <w:rPr>
          <w:b/>
          <w:bCs/>
          <w:i/>
          <w:iCs/>
        </w:rPr>
        <w:t>Step 3: SA Health accesses and downloads Patient Information held by the BP</w:t>
      </w:r>
    </w:p>
    <w:p w14:paraId="5F496E69" w14:textId="14A2AFE2" w:rsidR="00095D82" w:rsidRPr="007220FA" w:rsidRDefault="00095D82" w:rsidP="00095D82">
      <w:pPr>
        <w:pStyle w:val="Headingpara2"/>
      </w:pPr>
      <w:r w:rsidRPr="007220FA">
        <w:t xml:space="preserve">We understand that SA Health would like its data team </w:t>
      </w:r>
      <w:r w:rsidR="007C5100">
        <w:t>(</w:t>
      </w:r>
      <w:r w:rsidR="007C5100">
        <w:rPr>
          <w:b/>
          <w:bCs/>
        </w:rPr>
        <w:t xml:space="preserve">SA Data </w:t>
      </w:r>
      <w:r w:rsidR="007C5100" w:rsidRPr="007C5100">
        <w:rPr>
          <w:b/>
          <w:bCs/>
        </w:rPr>
        <w:t>Team</w:t>
      </w:r>
      <w:r w:rsidR="007C5100">
        <w:t xml:space="preserve">) </w:t>
      </w:r>
      <w:r w:rsidRPr="007C5100">
        <w:t>to</w:t>
      </w:r>
      <w:r w:rsidRPr="007220FA">
        <w:t xml:space="preserve"> access all Patient Information and </w:t>
      </w:r>
      <w:proofErr w:type="gramStart"/>
      <w:r w:rsidRPr="007220FA">
        <w:t>Third Party</w:t>
      </w:r>
      <w:proofErr w:type="gramEnd"/>
      <w:r w:rsidRPr="007220FA">
        <w:t xml:space="preserve"> Information stored in the BP and download a .CSV file with the Patient Information of Patients that have booked an appointment at a</w:t>
      </w:r>
      <w:r w:rsidR="00A004B9">
        <w:t xml:space="preserve">n SA </w:t>
      </w:r>
      <w:r w:rsidR="007C5100">
        <w:t>Clinic</w:t>
      </w:r>
      <w:r w:rsidRPr="007220FA">
        <w:t>.</w:t>
      </w:r>
    </w:p>
    <w:p w14:paraId="1F1DAAA2" w14:textId="77777777" w:rsidR="00095D82" w:rsidRPr="007220FA" w:rsidRDefault="00095D82" w:rsidP="00095D82">
      <w:pPr>
        <w:pStyle w:val="Headingpara2"/>
      </w:pPr>
      <w:bookmarkStart w:id="116" w:name="_Ref94555869"/>
      <w:r w:rsidRPr="007220FA">
        <w:t>The information to be included in the .CSV file downloaded by SA Health will include:</w:t>
      </w:r>
      <w:bookmarkEnd w:id="116"/>
    </w:p>
    <w:p w14:paraId="5027BF53" w14:textId="77777777" w:rsidR="00095D82" w:rsidRPr="007220FA" w:rsidRDefault="00095D82" w:rsidP="00095D82">
      <w:pPr>
        <w:pStyle w:val="Heading3"/>
      </w:pPr>
      <w:r w:rsidRPr="007220FA">
        <w:t>information about the Patient, including the Patient’s:</w:t>
      </w:r>
    </w:p>
    <w:p w14:paraId="1FE3AF04" w14:textId="77777777" w:rsidR="00095D82" w:rsidRPr="007220FA" w:rsidRDefault="00095D82" w:rsidP="00095D82">
      <w:pPr>
        <w:pStyle w:val="Heading4"/>
      </w:pPr>
      <w:r w:rsidRPr="007220FA">
        <w:t xml:space="preserve">full </w:t>
      </w:r>
      <w:proofErr w:type="gramStart"/>
      <w:r w:rsidRPr="007220FA">
        <w:t>name;</w:t>
      </w:r>
      <w:proofErr w:type="gramEnd"/>
    </w:p>
    <w:p w14:paraId="7CBDFA73" w14:textId="77777777" w:rsidR="00095D82" w:rsidRPr="007220FA" w:rsidRDefault="00095D82" w:rsidP="00095D82">
      <w:pPr>
        <w:pStyle w:val="Heading4"/>
      </w:pPr>
      <w:r w:rsidRPr="007220FA">
        <w:t xml:space="preserve">date of </w:t>
      </w:r>
      <w:proofErr w:type="gramStart"/>
      <w:r w:rsidRPr="007220FA">
        <w:t>birth;</w:t>
      </w:r>
      <w:proofErr w:type="gramEnd"/>
    </w:p>
    <w:p w14:paraId="1F3E115B" w14:textId="77777777" w:rsidR="00095D82" w:rsidRPr="007220FA" w:rsidRDefault="00095D82" w:rsidP="00095D82">
      <w:pPr>
        <w:pStyle w:val="Heading4"/>
      </w:pPr>
      <w:r w:rsidRPr="007220FA">
        <w:t>contact information (including email address and phone number</w:t>
      </w:r>
      <w:proofErr w:type="gramStart"/>
      <w:r w:rsidRPr="007220FA">
        <w:t>);</w:t>
      </w:r>
      <w:proofErr w:type="gramEnd"/>
    </w:p>
    <w:p w14:paraId="2B2C820A" w14:textId="77777777" w:rsidR="00095D82" w:rsidRPr="007220FA" w:rsidRDefault="00095D82" w:rsidP="00095D82">
      <w:pPr>
        <w:pStyle w:val="Heading4"/>
      </w:pPr>
      <w:r w:rsidRPr="007220FA">
        <w:t xml:space="preserve">residential </w:t>
      </w:r>
      <w:proofErr w:type="gramStart"/>
      <w:r w:rsidRPr="007220FA">
        <w:t>address;</w:t>
      </w:r>
      <w:proofErr w:type="gramEnd"/>
    </w:p>
    <w:p w14:paraId="65857307" w14:textId="77777777" w:rsidR="00095D82" w:rsidRPr="007220FA" w:rsidRDefault="00095D82" w:rsidP="00095D82">
      <w:pPr>
        <w:pStyle w:val="Heading4"/>
      </w:pPr>
      <w:r w:rsidRPr="007220FA">
        <w:t xml:space="preserve">Medicare card details (including Medicare card number, IRN, and expiry date) or if they did not use a Medicare card to make a </w:t>
      </w:r>
      <w:proofErr w:type="gramStart"/>
      <w:r w:rsidRPr="007220FA">
        <w:t>booking;</w:t>
      </w:r>
      <w:proofErr w:type="gramEnd"/>
    </w:p>
    <w:p w14:paraId="4B9AB2A0" w14:textId="77777777" w:rsidR="00095D82" w:rsidRPr="007220FA" w:rsidRDefault="00095D82" w:rsidP="00095D82">
      <w:pPr>
        <w:pStyle w:val="Heading3"/>
      </w:pPr>
      <w:r w:rsidRPr="007220FA">
        <w:t>information about the appointment, including:</w:t>
      </w:r>
    </w:p>
    <w:p w14:paraId="08C39139" w14:textId="2311C9FF" w:rsidR="00095D82" w:rsidRPr="007220FA" w:rsidRDefault="00095D82" w:rsidP="00095D82">
      <w:pPr>
        <w:pStyle w:val="Heading4"/>
      </w:pPr>
      <w:r w:rsidRPr="007220FA">
        <w:t xml:space="preserve">the date and time of the </w:t>
      </w:r>
      <w:proofErr w:type="gramStart"/>
      <w:r w:rsidRPr="007220FA">
        <w:t>appointment;</w:t>
      </w:r>
      <w:proofErr w:type="gramEnd"/>
      <w:r w:rsidRPr="007220FA">
        <w:t xml:space="preserve"> </w:t>
      </w:r>
    </w:p>
    <w:p w14:paraId="51A6FD2A" w14:textId="77777777" w:rsidR="00095D82" w:rsidRPr="007220FA" w:rsidRDefault="00095D82" w:rsidP="00095D82">
      <w:pPr>
        <w:pStyle w:val="Heading4"/>
      </w:pPr>
      <w:r w:rsidRPr="007220FA">
        <w:t>whether the Patient is a new Patient at the clinic; and</w:t>
      </w:r>
    </w:p>
    <w:p w14:paraId="0E4B1CB6" w14:textId="77777777" w:rsidR="00095D82" w:rsidRPr="007220FA" w:rsidRDefault="00095D82" w:rsidP="00095D82">
      <w:pPr>
        <w:pStyle w:val="Heading3"/>
      </w:pPr>
      <w:r w:rsidRPr="007220FA">
        <w:t>information about the booking (including when the booking was made, the preferred doctor, cancellation information – if the booking is cancelled).</w:t>
      </w:r>
    </w:p>
    <w:p w14:paraId="72992D88" w14:textId="32CCCDDE" w:rsidR="00095D82" w:rsidRPr="007220FA" w:rsidRDefault="00095D82" w:rsidP="00095D82">
      <w:pPr>
        <w:pStyle w:val="Headingpara2"/>
      </w:pPr>
      <w:r w:rsidRPr="007220FA">
        <w:t xml:space="preserve">As noted above, the information provided at paragraph </w:t>
      </w:r>
      <w:r w:rsidRPr="007220FA">
        <w:fldChar w:fldCharType="begin"/>
      </w:r>
      <w:r w:rsidRPr="007220FA">
        <w:instrText xml:space="preserve"> REF _Ref94555869 \r \h  \* MERGEFORMAT </w:instrText>
      </w:r>
      <w:r w:rsidRPr="007220FA">
        <w:fldChar w:fldCharType="separate"/>
      </w:r>
      <w:r w:rsidR="00442AA9">
        <w:t>1.13</w:t>
      </w:r>
      <w:r w:rsidRPr="007220FA">
        <w:fldChar w:fldCharType="end"/>
      </w:r>
      <w:r w:rsidRPr="007220FA">
        <w:t xml:space="preserve"> is sensitive information (being health information under section 6FA of the Privacy Act).</w:t>
      </w:r>
    </w:p>
    <w:p w14:paraId="7974BC2E" w14:textId="77777777" w:rsidR="00095D82" w:rsidRPr="007220FA" w:rsidRDefault="00095D82" w:rsidP="00095D82">
      <w:pPr>
        <w:pStyle w:val="Headingpara2"/>
      </w:pPr>
      <w:r w:rsidRPr="007220FA">
        <w:lastRenderedPageBreak/>
        <w:t xml:space="preserve">This </w:t>
      </w:r>
      <w:r w:rsidRPr="007220FA">
        <w:rPr>
          <w:b/>
          <w:bCs/>
        </w:rPr>
        <w:t>Step 3</w:t>
      </w:r>
      <w:r w:rsidRPr="007220FA">
        <w:t xml:space="preserve"> will involve:</w:t>
      </w:r>
    </w:p>
    <w:p w14:paraId="0E6421A2" w14:textId="77777777" w:rsidR="00095D82" w:rsidRPr="007220FA" w:rsidRDefault="00095D82" w:rsidP="00095D82">
      <w:pPr>
        <w:pStyle w:val="Heading3"/>
      </w:pPr>
      <w:r w:rsidRPr="007220FA">
        <w:t xml:space="preserve">a </w:t>
      </w:r>
      <w:r w:rsidRPr="007220FA">
        <w:rPr>
          <w:b/>
          <w:bCs/>
        </w:rPr>
        <w:t>disclosure</w:t>
      </w:r>
      <w:r w:rsidRPr="007220FA">
        <w:t xml:space="preserve"> of Patient Information to SA Health; and </w:t>
      </w:r>
    </w:p>
    <w:p w14:paraId="326AED23" w14:textId="77777777" w:rsidR="00095D82" w:rsidRPr="007220FA" w:rsidRDefault="00095D82" w:rsidP="00095D82">
      <w:pPr>
        <w:pStyle w:val="Heading3"/>
      </w:pPr>
      <w:r w:rsidRPr="007220FA">
        <w:t xml:space="preserve">a corresponding </w:t>
      </w:r>
      <w:r w:rsidRPr="007220FA">
        <w:rPr>
          <w:b/>
          <w:bCs/>
        </w:rPr>
        <w:t>collection</w:t>
      </w:r>
      <w:r w:rsidRPr="007220FA">
        <w:t xml:space="preserve"> of Patient Information by SA Health.</w:t>
      </w:r>
    </w:p>
    <w:p w14:paraId="4B1834C7" w14:textId="77777777" w:rsidR="00095D82" w:rsidRPr="007220FA" w:rsidRDefault="00095D82" w:rsidP="00095D82">
      <w:pPr>
        <w:pStyle w:val="BodyIndent1"/>
        <w:rPr>
          <w:b/>
          <w:bCs/>
          <w:i/>
          <w:iCs/>
        </w:rPr>
      </w:pPr>
      <w:r w:rsidRPr="007220FA">
        <w:rPr>
          <w:b/>
          <w:bCs/>
          <w:i/>
          <w:iCs/>
        </w:rPr>
        <w:t>Step 4: SA Health uses Patient Information</w:t>
      </w:r>
    </w:p>
    <w:p w14:paraId="7AAD80B2" w14:textId="403C3E35" w:rsidR="00095D82" w:rsidRPr="007220FA" w:rsidRDefault="00095D82" w:rsidP="00095D82">
      <w:pPr>
        <w:pStyle w:val="Headingpara2"/>
      </w:pPr>
      <w:r w:rsidRPr="007220FA">
        <w:t xml:space="preserve">SA Health will </w:t>
      </w:r>
      <w:r w:rsidRPr="007220FA">
        <w:rPr>
          <w:b/>
          <w:bCs/>
        </w:rPr>
        <w:t>use</w:t>
      </w:r>
      <w:r w:rsidRPr="007220FA">
        <w:t xml:space="preserve"> the Patient Information to deidentify Patients and to link the deidentified information with the information that is being collecting from </w:t>
      </w:r>
      <w:r w:rsidR="00A14EFE">
        <w:t xml:space="preserve">the </w:t>
      </w:r>
      <w:r w:rsidRPr="007220FA">
        <w:t>CVIP.</w:t>
      </w:r>
    </w:p>
    <w:p w14:paraId="6D2F14A9" w14:textId="77777777" w:rsidR="00095D82" w:rsidRPr="007220FA" w:rsidRDefault="00095D82" w:rsidP="00095D82">
      <w:pPr>
        <w:pStyle w:val="Headingpara2"/>
      </w:pPr>
      <w:bookmarkStart w:id="117" w:name="_Ref94556234"/>
      <w:r w:rsidRPr="007220FA">
        <w:t xml:space="preserve">The linked dataset will then be </w:t>
      </w:r>
      <w:r w:rsidRPr="007220FA">
        <w:rPr>
          <w:b/>
          <w:bCs/>
        </w:rPr>
        <w:t>used</w:t>
      </w:r>
      <w:r w:rsidRPr="007220FA">
        <w:t xml:space="preserve"> by the SA Data Team to create de-identified reports on overall use and operation of the SA Clinics for long-term planning and reporting activities, including to:</w:t>
      </w:r>
      <w:bookmarkEnd w:id="117"/>
    </w:p>
    <w:p w14:paraId="42389C18" w14:textId="77777777" w:rsidR="00095D82" w:rsidRPr="007220FA" w:rsidRDefault="00095D82" w:rsidP="00095D82">
      <w:pPr>
        <w:pStyle w:val="Heading3"/>
        <w:rPr>
          <w:rFonts w:cs="Arial"/>
        </w:rPr>
      </w:pPr>
      <w:r w:rsidRPr="007220FA">
        <w:rPr>
          <w:rFonts w:cs="Arial"/>
        </w:rPr>
        <w:t xml:space="preserve">assist with SA Clinic capacity planning and operation, including assisting in decisions about: </w:t>
      </w:r>
    </w:p>
    <w:p w14:paraId="10C91293" w14:textId="77777777" w:rsidR="00095D82" w:rsidRPr="007220FA" w:rsidRDefault="00095D82" w:rsidP="00095D82">
      <w:pPr>
        <w:pStyle w:val="Heading4"/>
      </w:pPr>
      <w:r w:rsidRPr="007220FA">
        <w:rPr>
          <w:rFonts w:cs="Arial"/>
        </w:rPr>
        <w:t>whether to</w:t>
      </w:r>
      <w:r w:rsidRPr="007220FA">
        <w:t xml:space="preserve"> establish new SA </w:t>
      </w:r>
      <w:proofErr w:type="gramStart"/>
      <w:r w:rsidRPr="007220FA">
        <w:t>Clinics;</w:t>
      </w:r>
      <w:proofErr w:type="gramEnd"/>
    </w:p>
    <w:p w14:paraId="0CDA3A51" w14:textId="77777777" w:rsidR="00095D82" w:rsidRPr="007220FA" w:rsidRDefault="00095D82" w:rsidP="00095D82">
      <w:pPr>
        <w:pStyle w:val="Heading4"/>
      </w:pPr>
      <w:r w:rsidRPr="007220FA">
        <w:rPr>
          <w:rFonts w:cs="Arial"/>
        </w:rPr>
        <w:t>whether to</w:t>
      </w:r>
      <w:r w:rsidRPr="007220FA">
        <w:t xml:space="preserve"> provide additional staff at existing SA Clinics; and</w:t>
      </w:r>
    </w:p>
    <w:p w14:paraId="2AFBEFA6" w14:textId="77777777" w:rsidR="00095D82" w:rsidRPr="007220FA" w:rsidRDefault="00095D82" w:rsidP="00095D82">
      <w:pPr>
        <w:pStyle w:val="Heading4"/>
      </w:pPr>
      <w:r w:rsidRPr="007220FA">
        <w:rPr>
          <w:rFonts w:cs="Arial"/>
        </w:rPr>
        <w:t>whether to</w:t>
      </w:r>
      <w:r w:rsidRPr="007220FA">
        <w:t xml:space="preserve"> facilitate additional vaccine doses and consumables being available at specific SA </w:t>
      </w:r>
      <w:proofErr w:type="gramStart"/>
      <w:r w:rsidRPr="007220FA">
        <w:t>Clinics;</w:t>
      </w:r>
      <w:proofErr w:type="gramEnd"/>
    </w:p>
    <w:p w14:paraId="1E256BF4" w14:textId="6E023660" w:rsidR="00095D82" w:rsidRPr="007220FA" w:rsidRDefault="00095D82" w:rsidP="00095D82">
      <w:pPr>
        <w:pStyle w:val="Heading3"/>
      </w:pPr>
      <w:r w:rsidRPr="007220FA">
        <w:t xml:space="preserve">cross-check booking numbers with Patients who do not attend an appointment, reconcile information on vaccine dosage wastage reports against the vaccination numbers given (as received from </w:t>
      </w:r>
      <w:r w:rsidR="00A14EFE">
        <w:t xml:space="preserve">the </w:t>
      </w:r>
      <w:r w:rsidRPr="007220FA">
        <w:t>CVIP); and</w:t>
      </w:r>
    </w:p>
    <w:p w14:paraId="1CAB2F68" w14:textId="77777777" w:rsidR="00095D82" w:rsidRPr="007220FA" w:rsidRDefault="00095D82" w:rsidP="00095D82">
      <w:pPr>
        <w:pStyle w:val="Heading3"/>
        <w:rPr>
          <w:rFonts w:cs="Arial"/>
        </w:rPr>
      </w:pPr>
      <w:r w:rsidRPr="007220FA">
        <w:rPr>
          <w:rFonts w:cs="Arial"/>
        </w:rPr>
        <w:t>report on the uptake of second doses of vaccine.</w:t>
      </w:r>
    </w:p>
    <w:p w14:paraId="6E46725C" w14:textId="77777777" w:rsidR="00095D82" w:rsidRPr="007220FA" w:rsidRDefault="00095D82" w:rsidP="00095D82">
      <w:pPr>
        <w:pStyle w:val="Headingpara2"/>
      </w:pPr>
      <w:r w:rsidRPr="007220FA">
        <w:t xml:space="preserve">This </w:t>
      </w:r>
      <w:r w:rsidRPr="007220FA">
        <w:rPr>
          <w:b/>
          <w:bCs/>
        </w:rPr>
        <w:t>Step 4</w:t>
      </w:r>
      <w:r w:rsidRPr="007220FA">
        <w:t xml:space="preserve"> will result in a new </w:t>
      </w:r>
      <w:r w:rsidRPr="007220FA">
        <w:rPr>
          <w:b/>
          <w:bCs/>
        </w:rPr>
        <w:t>use</w:t>
      </w:r>
      <w:r w:rsidRPr="007220FA">
        <w:t xml:space="preserve"> of Patient Information.</w:t>
      </w:r>
    </w:p>
    <w:p w14:paraId="1F9E1B80" w14:textId="77777777" w:rsidR="00095D82" w:rsidRPr="007220FA" w:rsidRDefault="00095D82" w:rsidP="00095D82">
      <w:pPr>
        <w:pStyle w:val="Heading1"/>
      </w:pPr>
      <w:bookmarkStart w:id="118" w:name="_Toc113279946"/>
      <w:r w:rsidRPr="007220FA">
        <w:t>Privacy impact analysis and compliance</w:t>
      </w:r>
      <w:bookmarkEnd w:id="118"/>
    </w:p>
    <w:p w14:paraId="0F91BC85" w14:textId="598C29D6" w:rsidR="00095D82" w:rsidRPr="007220FA" w:rsidRDefault="00095D82" w:rsidP="00095D82">
      <w:pPr>
        <w:pStyle w:val="Headingpara2"/>
      </w:pPr>
      <w:r w:rsidRPr="007220FA">
        <w:t xml:space="preserve">As noted in paragraph </w:t>
      </w:r>
      <w:r w:rsidRPr="007220FA">
        <w:fldChar w:fldCharType="begin"/>
      </w:r>
      <w:r w:rsidRPr="007220FA">
        <w:instrText xml:space="preserve"> REF _Ref94555927 \r \h  \* MERGEFORMAT </w:instrText>
      </w:r>
      <w:r w:rsidRPr="007220FA">
        <w:fldChar w:fldCharType="separate"/>
      </w:r>
      <w:r w:rsidR="00442AA9">
        <w:t>1.6</w:t>
      </w:r>
      <w:r w:rsidRPr="007220FA">
        <w:fldChar w:fldCharType="end"/>
      </w:r>
      <w:r w:rsidRPr="007220FA">
        <w:t xml:space="preserve"> above, </w:t>
      </w:r>
      <w:r w:rsidRPr="007220FA">
        <w:rPr>
          <w:bCs/>
        </w:rPr>
        <w:t xml:space="preserve">we understand that SA Health has requested additional information </w:t>
      </w:r>
      <w:r w:rsidRPr="007220FA">
        <w:t xml:space="preserve">be made available from the Commonwealth BP. While no other jurisdiction health agencies have made a similar request at the time of writing </w:t>
      </w:r>
      <w:r w:rsidR="008C1512">
        <w:t>of this Section</w:t>
      </w:r>
      <w:r w:rsidRPr="007220FA">
        <w:t xml:space="preserve">, we understand that Health is considering making this information available to all jurisdictional health agencies. Therefore, for the purposes of this </w:t>
      </w:r>
      <w:r w:rsidRPr="007220FA">
        <w:rPr>
          <w:b/>
          <w:bCs/>
        </w:rPr>
        <w:fldChar w:fldCharType="begin"/>
      </w:r>
      <w:r w:rsidRPr="007220FA">
        <w:rPr>
          <w:b/>
          <w:bCs/>
        </w:rPr>
        <w:instrText xml:space="preserve"> REF _Ref94555707 \r \h  \* MERGEFORMAT </w:instrText>
      </w:r>
      <w:r w:rsidRPr="007220FA">
        <w:rPr>
          <w:b/>
          <w:bCs/>
        </w:rPr>
      </w:r>
      <w:r w:rsidRPr="007220FA">
        <w:rPr>
          <w:b/>
          <w:bCs/>
        </w:rPr>
        <w:fldChar w:fldCharType="separate"/>
      </w:r>
      <w:r w:rsidR="001527AF">
        <w:rPr>
          <w:b/>
          <w:bCs/>
        </w:rPr>
        <w:t>Section E</w:t>
      </w:r>
      <w:r w:rsidRPr="007220FA">
        <w:rPr>
          <w:b/>
          <w:bCs/>
        </w:rPr>
        <w:fldChar w:fldCharType="end"/>
      </w:r>
      <w:r w:rsidRPr="007220FA">
        <w:rPr>
          <w:b/>
          <w:bCs/>
        </w:rPr>
        <w:t xml:space="preserve"> [Introduction of data sharing from Commonwealth systems to Health and State and Territory health agencies] </w:t>
      </w:r>
      <w:r w:rsidRPr="007220FA">
        <w:t>we will be conducting privacy impact analysis based on disclosure of Patient Information from the BP to SA Health.</w:t>
      </w:r>
    </w:p>
    <w:p w14:paraId="64F9E493" w14:textId="77777777" w:rsidR="00095D82" w:rsidRPr="007220FA" w:rsidRDefault="00095D82" w:rsidP="00095D82">
      <w:pPr>
        <w:pStyle w:val="Headingpara2"/>
      </w:pPr>
      <w:r w:rsidRPr="007220FA">
        <w:t>The disclosure of Patient Information from BP to SA Health (and the other State and Territory health departments) will mean that the:</w:t>
      </w:r>
    </w:p>
    <w:p w14:paraId="61C2C653" w14:textId="77777777" w:rsidR="00095D82" w:rsidRPr="007220FA" w:rsidRDefault="00095D82" w:rsidP="00095D82">
      <w:pPr>
        <w:pStyle w:val="Heading3"/>
      </w:pPr>
      <w:r w:rsidRPr="007220FA">
        <w:t xml:space="preserve">BP will </w:t>
      </w:r>
      <w:r w:rsidRPr="007220FA">
        <w:rPr>
          <w:b/>
          <w:bCs/>
        </w:rPr>
        <w:t>collect</w:t>
      </w:r>
      <w:r w:rsidRPr="007220FA">
        <w:t xml:space="preserve"> Patient Information from Patients and third parties (</w:t>
      </w:r>
      <w:proofErr w:type="gramStart"/>
      <w:r w:rsidRPr="007220FA">
        <w:t>i.e.</w:t>
      </w:r>
      <w:proofErr w:type="gramEnd"/>
      <w:r w:rsidRPr="007220FA">
        <w:t xml:space="preserve"> people that provide Patient Information on behalf of Patients);</w:t>
      </w:r>
    </w:p>
    <w:p w14:paraId="083F3FB6" w14:textId="77777777" w:rsidR="00095D82" w:rsidRPr="007220FA" w:rsidRDefault="00095D82" w:rsidP="00095D82">
      <w:pPr>
        <w:pStyle w:val="Heading3"/>
      </w:pPr>
      <w:r w:rsidRPr="007220FA">
        <w:t>BP will</w:t>
      </w:r>
      <w:r w:rsidRPr="007220FA">
        <w:rPr>
          <w:b/>
          <w:bCs/>
        </w:rPr>
        <w:t xml:space="preserve"> disclose </w:t>
      </w:r>
      <w:r w:rsidRPr="007220FA">
        <w:t xml:space="preserve">Patient Information to SA </w:t>
      </w:r>
      <w:proofErr w:type="gramStart"/>
      <w:r w:rsidRPr="007220FA">
        <w:t>Health;</w:t>
      </w:r>
      <w:proofErr w:type="gramEnd"/>
    </w:p>
    <w:p w14:paraId="7D7BEF9F" w14:textId="77777777" w:rsidR="00095D82" w:rsidRPr="007220FA" w:rsidRDefault="00095D82" w:rsidP="00095D82">
      <w:pPr>
        <w:pStyle w:val="Heading3"/>
      </w:pPr>
      <w:r w:rsidRPr="007220FA">
        <w:t xml:space="preserve">SA Health will </w:t>
      </w:r>
      <w:r w:rsidRPr="007220FA">
        <w:rPr>
          <w:b/>
          <w:bCs/>
        </w:rPr>
        <w:t>collect</w:t>
      </w:r>
      <w:r w:rsidRPr="007220FA">
        <w:t xml:space="preserve"> Patient Information; and</w:t>
      </w:r>
    </w:p>
    <w:p w14:paraId="45360872" w14:textId="6864CC1E" w:rsidR="00095D82" w:rsidRPr="007220FA" w:rsidRDefault="00095D82" w:rsidP="00095D82">
      <w:pPr>
        <w:pStyle w:val="Heading3"/>
      </w:pPr>
      <w:r w:rsidRPr="007220FA">
        <w:t xml:space="preserve">SA Health will </w:t>
      </w:r>
      <w:r w:rsidRPr="007220FA">
        <w:rPr>
          <w:b/>
          <w:bCs/>
        </w:rPr>
        <w:t>use</w:t>
      </w:r>
      <w:r w:rsidRPr="007220FA">
        <w:t xml:space="preserve"> Patient Information.</w:t>
      </w:r>
    </w:p>
    <w:p w14:paraId="44EEDE12" w14:textId="77777777" w:rsidR="00095D82" w:rsidRPr="007220FA" w:rsidRDefault="00095D82" w:rsidP="00215E29">
      <w:pPr>
        <w:pStyle w:val="Bolditalicsheading"/>
        <w:keepNext/>
        <w:keepLines/>
      </w:pPr>
      <w:r w:rsidRPr="007220FA">
        <w:lastRenderedPageBreak/>
        <w:t>Transparency and openness regarding the handling of Patient Information</w:t>
      </w:r>
    </w:p>
    <w:p w14:paraId="1ACA3E85" w14:textId="77777777" w:rsidR="00095D82" w:rsidRPr="007220FA" w:rsidRDefault="00095D82" w:rsidP="00215E29">
      <w:pPr>
        <w:pStyle w:val="Headingpara2"/>
        <w:keepNext/>
        <w:keepLines/>
      </w:pPr>
      <w:r w:rsidRPr="007220FA">
        <w:t>In accordance with APPs 1 and 5, when individuals provide their personal information, or the personal information of another individual, they must be made aware of how the personal information that they provide will be handled. That is, the handling of information must be open and transparent.</w:t>
      </w:r>
    </w:p>
    <w:p w14:paraId="5BCD2FF5" w14:textId="22CC2A9D" w:rsidR="00095D82" w:rsidRPr="007220FA" w:rsidRDefault="00095D82" w:rsidP="00095D82">
      <w:pPr>
        <w:pStyle w:val="Headingpara2"/>
      </w:pPr>
      <w:r w:rsidRPr="007220FA">
        <w:t xml:space="preserve">We have reviewed the BP’s Privacy Policy and </w:t>
      </w:r>
      <w:r w:rsidR="00215E29">
        <w:t xml:space="preserve">Privacy </w:t>
      </w:r>
      <w:r w:rsidR="00055567">
        <w:t>Notice</w:t>
      </w:r>
      <w:r w:rsidRPr="007220FA">
        <w:t xml:space="preserve">, and note the </w:t>
      </w:r>
      <w:r w:rsidR="00215E29">
        <w:t>BP</w:t>
      </w:r>
      <w:r w:rsidRPr="007220FA">
        <w:t xml:space="preserve">: </w:t>
      </w:r>
    </w:p>
    <w:p w14:paraId="69B5BA52" w14:textId="63FEE78E" w:rsidR="00095D82" w:rsidRPr="007220FA" w:rsidRDefault="00095D82" w:rsidP="00095D82">
      <w:pPr>
        <w:pStyle w:val="Heading3"/>
      </w:pPr>
      <w:r w:rsidRPr="007220FA">
        <w:t xml:space="preserve">currently informs Patients that their personal information </w:t>
      </w:r>
      <w:r w:rsidR="00215E29">
        <w:t>‘</w:t>
      </w:r>
      <w:r w:rsidRPr="007220FA">
        <w:rPr>
          <w:i/>
          <w:iCs/>
        </w:rPr>
        <w:t xml:space="preserve">may be disclosed to health professionals that you [the Patient] have selected and their practise </w:t>
      </w:r>
      <w:r w:rsidRPr="00215E29">
        <w:t>[sic]</w:t>
      </w:r>
      <w:r w:rsidRPr="007220FA">
        <w:rPr>
          <w:i/>
          <w:iCs/>
        </w:rPr>
        <w:t xml:space="preserve"> for the purpose of arranging appointments</w:t>
      </w:r>
      <w:r w:rsidRPr="007220FA">
        <w:t xml:space="preserve">” (from the BP Privacy Policy) and that the BP </w:t>
      </w:r>
      <w:r w:rsidR="00215E29">
        <w:t>‘</w:t>
      </w:r>
      <w:r w:rsidRPr="007220FA">
        <w:rPr>
          <w:i/>
          <w:iCs/>
        </w:rPr>
        <w:t>will disclose your personal information to Health Professionals so that health appointments can take place</w:t>
      </w:r>
      <w:r w:rsidR="00215E29">
        <w:t>’</w:t>
      </w:r>
      <w:r w:rsidRPr="007220FA">
        <w:t xml:space="preserve"> (from the BP </w:t>
      </w:r>
      <w:r w:rsidR="00215E29">
        <w:t>Privacy</w:t>
      </w:r>
      <w:r w:rsidRPr="007220FA">
        <w:t xml:space="preserve"> Notice); but</w:t>
      </w:r>
    </w:p>
    <w:p w14:paraId="7BB9C057" w14:textId="77777777" w:rsidR="00095D82" w:rsidRPr="007220FA" w:rsidRDefault="00095D82" w:rsidP="00095D82">
      <w:pPr>
        <w:pStyle w:val="Heading3"/>
      </w:pPr>
      <w:r w:rsidRPr="007220FA">
        <w:t xml:space="preserve">is silent on any disclosure of Patient Information to State or Territory health agencies. </w:t>
      </w:r>
    </w:p>
    <w:p w14:paraId="2014C0AB" w14:textId="12D11E15" w:rsidR="00095D82" w:rsidRPr="007220FA" w:rsidRDefault="00095D82" w:rsidP="00095D82">
      <w:pPr>
        <w:pStyle w:val="Headingpara2"/>
      </w:pPr>
      <w:r w:rsidRPr="007220FA">
        <w:t xml:space="preserve">We consider that Patients, and those booking on the Patient’s behalf, must be clearly informed about any potential disclosure to the relevant State or Territory health agency (particularly as this is a potential disclosure for a purpose which is not the primary purpose for collection). As such, we </w:t>
      </w:r>
      <w:r w:rsidR="00772E4E" w:rsidRPr="00772E4E">
        <w:rPr>
          <w:b/>
          <w:bCs/>
          <w:color w:val="960030" w:themeColor="accent2"/>
        </w:rPr>
        <w:t>recommend</w:t>
      </w:r>
      <w:r w:rsidR="00772E4E" w:rsidRPr="00772E4E">
        <w:rPr>
          <w:color w:val="960030" w:themeColor="accent2"/>
        </w:rPr>
        <w:t xml:space="preserve"> </w:t>
      </w:r>
      <w:r w:rsidRPr="007220FA">
        <w:t>that the:</w:t>
      </w:r>
    </w:p>
    <w:p w14:paraId="57302BB9" w14:textId="645918D0" w:rsidR="00095D82" w:rsidRPr="007220FA" w:rsidRDefault="00215E29" w:rsidP="00095D82">
      <w:pPr>
        <w:pStyle w:val="Heading3"/>
      </w:pPr>
      <w:r>
        <w:t xml:space="preserve">BP </w:t>
      </w:r>
      <w:r w:rsidR="00095D82" w:rsidRPr="007220FA">
        <w:t>Privacy Policy be amended, in accordance with APP 1.4(c), to include information regarding the:</w:t>
      </w:r>
    </w:p>
    <w:p w14:paraId="6E0A3C9C" w14:textId="77777777" w:rsidR="00095D82" w:rsidRPr="007220FA" w:rsidRDefault="00095D82" w:rsidP="00095D82">
      <w:pPr>
        <w:pStyle w:val="Heading4"/>
      </w:pPr>
      <w:r w:rsidRPr="007220FA">
        <w:t>disclosure of the Patient’s personal and sensitive information to State and Territory health agencies; and</w:t>
      </w:r>
    </w:p>
    <w:p w14:paraId="19C415CD" w14:textId="5793655A" w:rsidR="00095D82" w:rsidRPr="007220FA" w:rsidRDefault="00095D82" w:rsidP="00095D82">
      <w:pPr>
        <w:pStyle w:val="Heading4"/>
      </w:pPr>
      <w:r w:rsidRPr="007220FA">
        <w:t>the purposes of the disclosure of Patient Information (</w:t>
      </w:r>
      <w:proofErr w:type="gramStart"/>
      <w:r w:rsidRPr="007220FA">
        <w:t>i.e.</w:t>
      </w:r>
      <w:proofErr w:type="gramEnd"/>
      <w:r w:rsidRPr="007220FA">
        <w:t xml:space="preserve"> to inform administration of government-run clinics and for monitoring/reporting purposes)</w:t>
      </w:r>
      <w:r w:rsidR="00437309">
        <w:t>.</w:t>
      </w:r>
    </w:p>
    <w:p w14:paraId="128506F5" w14:textId="0F91CCEB" w:rsidR="00095D82" w:rsidRPr="007220FA" w:rsidRDefault="00215E29" w:rsidP="00095D82">
      <w:pPr>
        <w:pStyle w:val="Heading3"/>
      </w:pPr>
      <w:r>
        <w:t>BP Privacy</w:t>
      </w:r>
      <w:r w:rsidR="00095D82" w:rsidRPr="007220FA">
        <w:t xml:space="preserve"> Notice be amended, in accordance with APP 5.2(f), to make Patients (and third parties) aware that the BP will disclose Patient Information to State and Territory health agencies.</w:t>
      </w:r>
    </w:p>
    <w:p w14:paraId="0D27076B" w14:textId="77777777" w:rsidR="00095D82" w:rsidRPr="007220FA" w:rsidRDefault="00095D82" w:rsidP="00095D82">
      <w:pPr>
        <w:pStyle w:val="BodyIndent1"/>
        <w:rPr>
          <w:b/>
          <w:bCs/>
          <w:i/>
          <w:iCs/>
        </w:rPr>
      </w:pPr>
      <w:r w:rsidRPr="007220FA">
        <w:rPr>
          <w:b/>
          <w:bCs/>
          <w:i/>
          <w:iCs/>
        </w:rPr>
        <w:t>Disclosure of Patient Information by the BP to SA Health</w:t>
      </w:r>
    </w:p>
    <w:p w14:paraId="2D544420" w14:textId="4E041129" w:rsidR="00095D82" w:rsidRPr="007220FA" w:rsidRDefault="00095D82" w:rsidP="00095D82">
      <w:pPr>
        <w:pStyle w:val="Headingpara2"/>
      </w:pPr>
      <w:r w:rsidRPr="007220FA">
        <w:t>In accordance with APP 6, an APP entity that holds personal information for a primary purpose must not disclose that information for a secondary purpose unless the individual has consent</w:t>
      </w:r>
      <w:r w:rsidR="00FC4247">
        <w:t>ed</w:t>
      </w:r>
      <w:r w:rsidRPr="007220FA">
        <w:t xml:space="preserve"> to the disclosure (APP 6.1(a)) or an exception under APP 6.2 or 6.3 applies.</w:t>
      </w:r>
    </w:p>
    <w:p w14:paraId="14C65891" w14:textId="7B724CD0" w:rsidR="00095D82" w:rsidRPr="007220FA" w:rsidRDefault="00095D82" w:rsidP="00094138">
      <w:pPr>
        <w:pStyle w:val="Headingpara2"/>
      </w:pPr>
      <w:r w:rsidRPr="007220FA">
        <w:t xml:space="preserve">We note that currently the BP </w:t>
      </w:r>
      <w:r w:rsidR="00215E29">
        <w:t>Privacy</w:t>
      </w:r>
      <w:r w:rsidRPr="007220FA">
        <w:t xml:space="preserve"> Notice expressly provides that the BP </w:t>
      </w:r>
      <w:r w:rsidR="00215E29">
        <w:t>‘</w:t>
      </w:r>
      <w:r w:rsidRPr="007220FA">
        <w:rPr>
          <w:i/>
          <w:iCs/>
        </w:rPr>
        <w:t>will not disclose your personal information for secondary purposes</w:t>
      </w:r>
      <w:r w:rsidR="00215E29">
        <w:t>’</w:t>
      </w:r>
      <w:r w:rsidRPr="007220FA">
        <w:t xml:space="preserve">. We </w:t>
      </w:r>
      <w:r w:rsidR="00772E4E" w:rsidRPr="00772E4E">
        <w:rPr>
          <w:b/>
          <w:bCs/>
          <w:color w:val="960030" w:themeColor="accent2"/>
        </w:rPr>
        <w:t>recommend</w:t>
      </w:r>
      <w:r w:rsidR="00772E4E" w:rsidRPr="00772E4E">
        <w:rPr>
          <w:color w:val="960030" w:themeColor="accent2"/>
        </w:rPr>
        <w:t xml:space="preserve"> </w:t>
      </w:r>
      <w:r w:rsidRPr="007220FA">
        <w:t xml:space="preserve">that the wording of the BP </w:t>
      </w:r>
      <w:r w:rsidR="00215E29">
        <w:t>Privacy</w:t>
      </w:r>
      <w:r w:rsidRPr="007220FA">
        <w:t xml:space="preserve"> Notice be amended (</w:t>
      </w:r>
      <w:proofErr w:type="gramStart"/>
      <w:r w:rsidRPr="007220FA">
        <w:t>i.e.</w:t>
      </w:r>
      <w:proofErr w:type="gramEnd"/>
      <w:r w:rsidRPr="007220FA">
        <w:t xml:space="preserve"> delete the wording regarding secondary purposes) as there will be new uses and disclosures of Patient Information resulting from the Phase 2a rollout of the Vaccine Strategy</w:t>
      </w:r>
      <w:r w:rsidR="00094138" w:rsidRPr="007220FA">
        <w:t>.</w:t>
      </w:r>
    </w:p>
    <w:p w14:paraId="18407D75" w14:textId="6C021959" w:rsidR="00095D82" w:rsidRPr="007220FA" w:rsidRDefault="00095D82" w:rsidP="00095D82">
      <w:pPr>
        <w:pStyle w:val="Headingpara2"/>
      </w:pPr>
      <w:r w:rsidRPr="007220FA">
        <w:t xml:space="preserve">We consider the primary purpose for collection of Patient Information by the BP is to facilitate the booking of appointments to receive </w:t>
      </w:r>
      <w:r w:rsidR="001F7AE2">
        <w:t>a</w:t>
      </w:r>
      <w:r w:rsidR="001F7AE2" w:rsidRPr="007220FA">
        <w:t xml:space="preserve"> </w:t>
      </w:r>
      <w:r w:rsidRPr="007220FA">
        <w:t xml:space="preserve">COVID-19 vaccine. Taking into account the purposes for disclosure and use, as set out at paragraphs </w:t>
      </w:r>
      <w:r w:rsidR="00094138" w:rsidRPr="007220FA">
        <w:fldChar w:fldCharType="begin"/>
      </w:r>
      <w:r w:rsidR="00094138" w:rsidRPr="007220FA">
        <w:instrText xml:space="preserve"> REF _Ref94556225 \r \h  \* MERGEFORMAT </w:instrText>
      </w:r>
      <w:r w:rsidR="00094138" w:rsidRPr="007220FA">
        <w:fldChar w:fldCharType="separate"/>
      </w:r>
      <w:r w:rsidR="00442AA9">
        <w:t>1.2</w:t>
      </w:r>
      <w:r w:rsidR="00094138" w:rsidRPr="007220FA">
        <w:fldChar w:fldCharType="end"/>
      </w:r>
      <w:r w:rsidRPr="007220FA">
        <w:t xml:space="preserve"> and </w:t>
      </w:r>
      <w:r w:rsidR="00094138" w:rsidRPr="007220FA">
        <w:fldChar w:fldCharType="begin"/>
      </w:r>
      <w:r w:rsidR="00094138" w:rsidRPr="007220FA">
        <w:instrText xml:space="preserve"> REF _Ref94556234 \r \h  \* MERGEFORMAT </w:instrText>
      </w:r>
      <w:r w:rsidR="00094138" w:rsidRPr="007220FA">
        <w:fldChar w:fldCharType="separate"/>
      </w:r>
      <w:r w:rsidR="00442AA9">
        <w:t>1.17</w:t>
      </w:r>
      <w:r w:rsidR="00094138" w:rsidRPr="007220FA">
        <w:fldChar w:fldCharType="end"/>
      </w:r>
      <w:r w:rsidRPr="007220FA">
        <w:t xml:space="preserve">, above, we consider that the disclosure of Patient Information to SA Health (and other State and Territory health agencies) would clearly be a disclosure for a secondary purpose. </w:t>
      </w:r>
    </w:p>
    <w:p w14:paraId="7D19AF9E" w14:textId="56137C83" w:rsidR="00095D82" w:rsidRPr="007220FA" w:rsidRDefault="00095D82" w:rsidP="00095D82">
      <w:pPr>
        <w:pStyle w:val="Headingpara2"/>
      </w:pPr>
      <w:r w:rsidRPr="007220FA">
        <w:t xml:space="preserve">Disclosure by the BP, for a secondary purpose, will be permissible if the Patient has consented to the disclosure (APP 6.1(a)). Presently, given that the Privacy Policy and the </w:t>
      </w:r>
      <w:r w:rsidR="00215E29">
        <w:t>Privacy</w:t>
      </w:r>
      <w:r w:rsidRPr="007220FA">
        <w:t xml:space="preserve"> Notice are silent regarding the disclosure of Patient Information to State and Territory health agencies, we consider that the BP cannot rely on Patient’s consent. </w:t>
      </w:r>
    </w:p>
    <w:p w14:paraId="5D73307D" w14:textId="118C13FD" w:rsidR="00095D82" w:rsidRPr="007220FA" w:rsidRDefault="00095D82" w:rsidP="00772E4E">
      <w:pPr>
        <w:pStyle w:val="Headingpara2"/>
        <w:keepNext/>
        <w:keepLines/>
      </w:pPr>
      <w:r w:rsidRPr="007220FA">
        <w:lastRenderedPageBreak/>
        <w:t xml:space="preserve">Therefore, we </w:t>
      </w:r>
      <w:r w:rsidR="00772E4E" w:rsidRPr="00772E4E">
        <w:rPr>
          <w:b/>
          <w:bCs/>
          <w:color w:val="960030" w:themeColor="accent2"/>
        </w:rPr>
        <w:t>recommend</w:t>
      </w:r>
      <w:r w:rsidR="00772E4E" w:rsidRPr="00772E4E">
        <w:rPr>
          <w:color w:val="960030" w:themeColor="accent2"/>
        </w:rPr>
        <w:t xml:space="preserve"> </w:t>
      </w:r>
      <w:r w:rsidRPr="007220FA">
        <w:t xml:space="preserve">that Health work with the BP to change the consent wording displayed to Patients when they use the </w:t>
      </w:r>
      <w:r w:rsidR="00215E29">
        <w:t>BP</w:t>
      </w:r>
      <w:r w:rsidRPr="007220FA">
        <w:t>, to also include express consent the disclosure of their Patient Information to the relevant State or Territory agency responsible for implementation of the vaccine roll-out (which would include the SA Health)</w:t>
      </w:r>
      <w:r w:rsidR="00215E29" w:rsidRPr="00215E29">
        <w:t>.</w:t>
      </w:r>
    </w:p>
    <w:p w14:paraId="2718216D" w14:textId="77777777" w:rsidR="00095D82" w:rsidRPr="007220FA" w:rsidRDefault="00095D82" w:rsidP="00095D82">
      <w:pPr>
        <w:pStyle w:val="Headingpara2"/>
      </w:pPr>
      <w:r w:rsidRPr="007220FA">
        <w:t>As noted, in the APP Guidelines, an APP entity shouldn’t infer consent simply because it provided an individual with notice of a proposed collection, use, or disclosure of personal information.</w:t>
      </w:r>
      <w:r w:rsidRPr="007220FA">
        <w:rPr>
          <w:rStyle w:val="FootnoteReference"/>
        </w:rPr>
        <w:footnoteReference w:id="32"/>
      </w:r>
      <w:r w:rsidRPr="007220FA">
        <w:t xml:space="preserve"> Therefore, we consider it would be best practice for Health and the BP to seek express consent from the Patient, to the disclosure of their personal and sensitive information for a secondary purpose. For a Patient’s consent to be considered valid consent it must meet four elements:</w:t>
      </w:r>
    </w:p>
    <w:p w14:paraId="63C7094B" w14:textId="77777777" w:rsidR="00095D82" w:rsidRPr="007220FA" w:rsidRDefault="00095D82" w:rsidP="00095D82">
      <w:pPr>
        <w:pStyle w:val="Heading3"/>
      </w:pPr>
      <w:r w:rsidRPr="007220FA">
        <w:t xml:space="preserve">consent must be given </w:t>
      </w:r>
      <w:proofErr w:type="gramStart"/>
      <w:r w:rsidRPr="007220FA">
        <w:t>voluntarily;</w:t>
      </w:r>
      <w:proofErr w:type="gramEnd"/>
    </w:p>
    <w:p w14:paraId="65BC7303" w14:textId="77777777" w:rsidR="00095D82" w:rsidRPr="007220FA" w:rsidRDefault="00095D82" w:rsidP="00095D82">
      <w:pPr>
        <w:pStyle w:val="Heading3"/>
      </w:pPr>
      <w:r w:rsidRPr="007220FA">
        <w:t xml:space="preserve">the Patient must be adequately informed before giving </w:t>
      </w:r>
      <w:proofErr w:type="gramStart"/>
      <w:r w:rsidRPr="007220FA">
        <w:t>consent;</w:t>
      </w:r>
      <w:proofErr w:type="gramEnd"/>
    </w:p>
    <w:p w14:paraId="09952218" w14:textId="77777777" w:rsidR="00095D82" w:rsidRPr="007220FA" w:rsidRDefault="00095D82" w:rsidP="00095D82">
      <w:pPr>
        <w:pStyle w:val="Heading3"/>
      </w:pPr>
      <w:r w:rsidRPr="007220FA">
        <w:t xml:space="preserve">consent must be current and specific; and </w:t>
      </w:r>
    </w:p>
    <w:p w14:paraId="3949AAB1" w14:textId="77777777" w:rsidR="00095D82" w:rsidRPr="007220FA" w:rsidRDefault="00095D82" w:rsidP="00095D82">
      <w:pPr>
        <w:pStyle w:val="Heading3"/>
      </w:pPr>
      <w:r w:rsidRPr="007220FA">
        <w:t>the Patient must have the capacity to understand and communicate their consent.</w:t>
      </w:r>
    </w:p>
    <w:p w14:paraId="5A261613" w14:textId="77777777" w:rsidR="00095D82" w:rsidRPr="007220FA" w:rsidRDefault="00095D82" w:rsidP="00095D82">
      <w:pPr>
        <w:pStyle w:val="Heading3"/>
        <w:numPr>
          <w:ilvl w:val="0"/>
          <w:numId w:val="0"/>
        </w:numPr>
        <w:ind w:left="851"/>
        <w:rPr>
          <w:i/>
          <w:iCs/>
          <w:u w:val="single"/>
        </w:rPr>
      </w:pPr>
      <w:r w:rsidRPr="007220FA">
        <w:rPr>
          <w:i/>
          <w:iCs/>
          <w:u w:val="single"/>
        </w:rPr>
        <w:t>Voluntary consent</w:t>
      </w:r>
    </w:p>
    <w:p w14:paraId="0229C593" w14:textId="5F80A81B" w:rsidR="00095D82" w:rsidRPr="007220FA" w:rsidRDefault="00095D82" w:rsidP="00095D82">
      <w:pPr>
        <w:pStyle w:val="Headingpara2"/>
      </w:pPr>
      <w:r w:rsidRPr="007220FA">
        <w:t>Consent is voluntary if an individual has an opportunity to provide or withhold consent. Further, it is best practice to avoid bundling consent. This is because the practice of bundling consent has the potential to undermine the voluntary nature of the consent.</w:t>
      </w:r>
      <w:r w:rsidRPr="007220FA">
        <w:rPr>
          <w:rStyle w:val="FootnoteReference"/>
        </w:rPr>
        <w:footnoteReference w:id="33"/>
      </w:r>
      <w:r w:rsidRPr="007220FA">
        <w:t xml:space="preserve"> Therefore, to ensure consent is voluntary, we </w:t>
      </w:r>
      <w:r w:rsidR="00772E4E" w:rsidRPr="00772E4E">
        <w:rPr>
          <w:b/>
          <w:bCs/>
          <w:color w:val="960030" w:themeColor="accent2"/>
        </w:rPr>
        <w:t>recommend</w:t>
      </w:r>
      <w:r w:rsidR="00772E4E" w:rsidRPr="00772E4E">
        <w:rPr>
          <w:color w:val="960030" w:themeColor="accent2"/>
        </w:rPr>
        <w:t xml:space="preserve"> </w:t>
      </w:r>
      <w:r w:rsidRPr="007220FA">
        <w:t xml:space="preserve">that Health and the BP work together to ensure that: </w:t>
      </w:r>
    </w:p>
    <w:p w14:paraId="178D56BF" w14:textId="0362C94A" w:rsidR="00095D82" w:rsidRPr="007220FA" w:rsidRDefault="00095D82" w:rsidP="00095D82">
      <w:pPr>
        <w:pStyle w:val="Heading3"/>
      </w:pPr>
      <w:r w:rsidRPr="007220FA">
        <w:t>Patients are able to refuse to give their consent – if this is not technically possible/practicable (</w:t>
      </w:r>
      <w:proofErr w:type="gramStart"/>
      <w:r w:rsidRPr="007220FA">
        <w:t>i.e.</w:t>
      </w:r>
      <w:proofErr w:type="gramEnd"/>
      <w:r w:rsidRPr="007220FA">
        <w:t xml:space="preserve"> it will not be possible for Patients to refuse consent in which case their details will not be made accessible to the SA Data Team), there is a risk that the consent may not be considered voluntary, and therefore invalid; and</w:t>
      </w:r>
    </w:p>
    <w:p w14:paraId="244595AA" w14:textId="0B0EF01F" w:rsidR="00095D82" w:rsidRPr="007220FA" w:rsidRDefault="00095D82" w:rsidP="00095D82">
      <w:pPr>
        <w:pStyle w:val="Heading3"/>
      </w:pPr>
      <w:r w:rsidRPr="007220FA">
        <w:t xml:space="preserve">consent is not inappropriately ‘bundled’ with other consents (for example, that it is not bundled with consent to disclose Patient Information to clinics and </w:t>
      </w:r>
      <w:r w:rsidR="00A14EFE">
        <w:t xml:space="preserve">the </w:t>
      </w:r>
      <w:r w:rsidRPr="007220FA">
        <w:t xml:space="preserve">CVIP). </w:t>
      </w:r>
    </w:p>
    <w:p w14:paraId="1C8B4EB0" w14:textId="77777777" w:rsidR="00095D82" w:rsidRPr="007220FA" w:rsidRDefault="00095D82" w:rsidP="00095D82">
      <w:pPr>
        <w:pStyle w:val="BodyIndent1"/>
        <w:rPr>
          <w:i/>
          <w:iCs/>
          <w:u w:val="single"/>
        </w:rPr>
      </w:pPr>
      <w:r w:rsidRPr="007220FA">
        <w:rPr>
          <w:i/>
          <w:iCs/>
          <w:u w:val="single"/>
        </w:rPr>
        <w:t>Informed consent</w:t>
      </w:r>
    </w:p>
    <w:p w14:paraId="275664B2" w14:textId="77777777" w:rsidR="00095D82" w:rsidRPr="007220FA" w:rsidRDefault="00095D82" w:rsidP="00095D82">
      <w:pPr>
        <w:pStyle w:val="Headingpara2"/>
      </w:pPr>
      <w:r w:rsidRPr="007220FA">
        <w:t>For consent to be properly informed, the Patient must be properly and clearly informed about how their personal information will be handled. The information should be written in plain English, without legal or industry jargon.</w:t>
      </w:r>
    </w:p>
    <w:p w14:paraId="3861C154" w14:textId="77777777" w:rsidR="00095D82" w:rsidRPr="007220FA" w:rsidRDefault="00095D82" w:rsidP="00095D82">
      <w:pPr>
        <w:pStyle w:val="BodyIndent1"/>
        <w:rPr>
          <w:i/>
          <w:iCs/>
          <w:u w:val="single"/>
        </w:rPr>
      </w:pPr>
      <w:r w:rsidRPr="007220FA">
        <w:rPr>
          <w:i/>
          <w:iCs/>
          <w:u w:val="single"/>
        </w:rPr>
        <w:t>Current and specific consent</w:t>
      </w:r>
    </w:p>
    <w:p w14:paraId="194283FE" w14:textId="77777777" w:rsidR="00095D82" w:rsidRPr="007220FA" w:rsidRDefault="00095D82" w:rsidP="00095D82">
      <w:pPr>
        <w:pStyle w:val="Headingpara2"/>
      </w:pPr>
      <w:r w:rsidRPr="007220FA">
        <w:t>Given that consent will likely be sought at the time the booking is made (</w:t>
      </w:r>
      <w:proofErr w:type="gramStart"/>
      <w:r w:rsidRPr="007220FA">
        <w:t>i.e.</w:t>
      </w:r>
      <w:proofErr w:type="gramEnd"/>
      <w:r w:rsidRPr="007220FA">
        <w:t xml:space="preserve"> at the time the information is collected) we consider that consent will be current. </w:t>
      </w:r>
    </w:p>
    <w:p w14:paraId="27CE5DE6" w14:textId="77777777" w:rsidR="00095D82" w:rsidRPr="007220FA" w:rsidRDefault="00095D82" w:rsidP="00095D82">
      <w:pPr>
        <w:pStyle w:val="Headingpara2"/>
      </w:pPr>
      <w:r w:rsidRPr="007220FA">
        <w:t xml:space="preserve">In addition, consent must not be broader than is necessary. That is, consent should be sought to disclose to the State and Territory health agency of the Patient’s jurisdiction. Consent should not be sought to disclose to government agencies in general. </w:t>
      </w:r>
    </w:p>
    <w:p w14:paraId="32F503FE" w14:textId="77777777" w:rsidR="00095D82" w:rsidRPr="007220FA" w:rsidRDefault="00095D82" w:rsidP="00095D82">
      <w:pPr>
        <w:pStyle w:val="Headingpara2"/>
      </w:pPr>
      <w:r w:rsidRPr="007220FA">
        <w:t>We consider that if Health works with the BP to ensure that:</w:t>
      </w:r>
    </w:p>
    <w:p w14:paraId="7CA6ED07" w14:textId="459077C3" w:rsidR="00095D82" w:rsidRPr="007220FA" w:rsidRDefault="00215E29" w:rsidP="00095D82">
      <w:pPr>
        <w:pStyle w:val="Heading3"/>
      </w:pPr>
      <w:r>
        <w:t>c</w:t>
      </w:r>
      <w:r w:rsidR="00095D82" w:rsidRPr="007220FA">
        <w:t>onsent continues to be sought at the time the booking is made; and</w:t>
      </w:r>
    </w:p>
    <w:p w14:paraId="2AE029DE" w14:textId="4A43BCC6" w:rsidR="00095D82" w:rsidRPr="007220FA" w:rsidRDefault="00215E29" w:rsidP="00095D82">
      <w:pPr>
        <w:pStyle w:val="Heading3"/>
      </w:pPr>
      <w:r>
        <w:t>c</w:t>
      </w:r>
      <w:r w:rsidR="00095D82" w:rsidRPr="007220FA">
        <w:t>onsent is specifically sought to disclose Patient Information to State and Territory health agencies,</w:t>
      </w:r>
    </w:p>
    <w:p w14:paraId="74B2FB18" w14:textId="77777777" w:rsidR="00095D82" w:rsidRPr="007220FA" w:rsidRDefault="00095D82" w:rsidP="00095D82">
      <w:pPr>
        <w:pStyle w:val="Heading3"/>
        <w:numPr>
          <w:ilvl w:val="0"/>
          <w:numId w:val="0"/>
        </w:numPr>
        <w:ind w:left="851"/>
      </w:pPr>
      <w:r w:rsidRPr="007220FA">
        <w:t>then consent will satisfy the requirements of current and specific consent.</w:t>
      </w:r>
    </w:p>
    <w:p w14:paraId="1157B292" w14:textId="61F93589" w:rsidR="00095D82" w:rsidRPr="009E5E7A" w:rsidRDefault="00095D82" w:rsidP="00095D82">
      <w:pPr>
        <w:pStyle w:val="BodyIndent1"/>
        <w:rPr>
          <w:i/>
          <w:iCs/>
        </w:rPr>
      </w:pPr>
      <w:r w:rsidRPr="009E5E7A">
        <w:rPr>
          <w:i/>
          <w:iCs/>
        </w:rPr>
        <w:lastRenderedPageBreak/>
        <w:t>Capacity</w:t>
      </w:r>
      <w:r w:rsidR="009E5E7A">
        <w:rPr>
          <w:i/>
          <w:iCs/>
        </w:rPr>
        <w:t>:</w:t>
      </w:r>
    </w:p>
    <w:p w14:paraId="6C6A3F69" w14:textId="77777777" w:rsidR="00095D82" w:rsidRPr="007220FA" w:rsidRDefault="00095D82" w:rsidP="00095D82">
      <w:pPr>
        <w:pStyle w:val="Headingpara2"/>
      </w:pPr>
      <w:r w:rsidRPr="007220FA">
        <w:t>For a consent to be valid, the person giving the consent must have capacity to understand the nature of the consent, form a view based on reasoned judgement, and communicate that consent. Consent may be an issue if, for example, the individual is a minor, has a physical or mental disability, or limited understanding of English.</w:t>
      </w:r>
    </w:p>
    <w:p w14:paraId="430F9E13" w14:textId="77777777" w:rsidR="00095D82" w:rsidRPr="000F611A" w:rsidRDefault="00095D82" w:rsidP="00095D82">
      <w:pPr>
        <w:pStyle w:val="Headingpara2"/>
        <w:numPr>
          <w:ilvl w:val="0"/>
          <w:numId w:val="0"/>
        </w:numPr>
        <w:ind w:left="851"/>
      </w:pPr>
      <w:r w:rsidRPr="000F611A">
        <w:t>Age:</w:t>
      </w:r>
    </w:p>
    <w:p w14:paraId="49300D5A" w14:textId="2E3CBD74" w:rsidR="00095D82" w:rsidRPr="007220FA" w:rsidRDefault="00095D82" w:rsidP="00095D82">
      <w:pPr>
        <w:pStyle w:val="Headingpara2"/>
      </w:pPr>
      <w:r w:rsidRPr="007220FA">
        <w:t xml:space="preserve">Guidance from the OAIC indicates that, if it is not practical for an APP entity to assess the capacity of individuals under the age of 18 on a case-by-case basis, it may presume that an individual 15 </w:t>
      </w:r>
      <w:r w:rsidR="000F611A">
        <w:t xml:space="preserve">years </w:t>
      </w:r>
      <w:r w:rsidRPr="007220FA">
        <w:t xml:space="preserve">and over has sufficient capacity to consent (unless the APP entity is aware of circumstances which would alter that presumption), and conversely, it should not be presumed that an individual aged under 15 </w:t>
      </w:r>
      <w:r w:rsidR="000F611A">
        <w:t xml:space="preserve">years </w:t>
      </w:r>
      <w:r w:rsidRPr="007220FA">
        <w:t xml:space="preserve">has capacity to give consent. </w:t>
      </w:r>
    </w:p>
    <w:p w14:paraId="537D165A" w14:textId="0FB2B03E" w:rsidR="00095D82" w:rsidRPr="007220FA" w:rsidRDefault="00215E29" w:rsidP="00215E29">
      <w:pPr>
        <w:pStyle w:val="Headingpara2"/>
      </w:pPr>
      <w:r>
        <w:t xml:space="preserve">We refer to </w:t>
      </w:r>
      <w:r w:rsidRPr="00215E29">
        <w:rPr>
          <w:b/>
          <w:bCs/>
        </w:rPr>
        <w:fldChar w:fldCharType="begin"/>
      </w:r>
      <w:r w:rsidRPr="00215E29">
        <w:rPr>
          <w:b/>
          <w:bCs/>
        </w:rPr>
        <w:instrText xml:space="preserve"> REF _Ref94534372 \r \h </w:instrText>
      </w:r>
      <w:r>
        <w:rPr>
          <w:b/>
          <w:bCs/>
        </w:rPr>
        <w:instrText xml:space="preserve"> \* MERGEFORMAT </w:instrText>
      </w:r>
      <w:r w:rsidRPr="00215E29">
        <w:rPr>
          <w:b/>
          <w:bCs/>
        </w:rPr>
      </w:r>
      <w:r w:rsidRPr="00215E29">
        <w:rPr>
          <w:b/>
          <w:bCs/>
        </w:rPr>
        <w:fldChar w:fldCharType="separate"/>
      </w:r>
      <w:r w:rsidR="001527AF">
        <w:rPr>
          <w:b/>
          <w:bCs/>
        </w:rPr>
        <w:t>Section B</w:t>
      </w:r>
      <w:r w:rsidRPr="00215E29">
        <w:rPr>
          <w:b/>
          <w:bCs/>
        </w:rPr>
        <w:fldChar w:fldCharType="end"/>
      </w:r>
      <w:r w:rsidRPr="00215E29">
        <w:rPr>
          <w:b/>
          <w:bCs/>
        </w:rPr>
        <w:t xml:space="preserve"> [Expansion of eligibility to use the Booking Platform (BP) to Patients under 18 years of age]</w:t>
      </w:r>
      <w:r>
        <w:t xml:space="preserve"> of this Phase 2a </w:t>
      </w:r>
      <w:r w:rsidR="008C1512">
        <w:t xml:space="preserve">Update </w:t>
      </w:r>
      <w:r>
        <w:t>PIA report for an analysis of the privacy issues arising in respect of Minors seeking to book a COVID-19 vaccine through the BP.</w:t>
      </w:r>
    </w:p>
    <w:p w14:paraId="00CF60AD" w14:textId="77777777" w:rsidR="00095D82" w:rsidRPr="000F611A" w:rsidRDefault="00095D82" w:rsidP="00095D82">
      <w:pPr>
        <w:keepNext/>
        <w:spacing w:before="240"/>
        <w:ind w:left="851"/>
        <w:rPr>
          <w:rFonts w:cs="Arial"/>
          <w:iCs/>
        </w:rPr>
      </w:pPr>
      <w:r w:rsidRPr="000F611A">
        <w:rPr>
          <w:rFonts w:cs="Arial"/>
          <w:iCs/>
        </w:rPr>
        <w:t>Disability and CALD community access:</w:t>
      </w:r>
    </w:p>
    <w:p w14:paraId="2EBC887E" w14:textId="77777777" w:rsidR="00095D82" w:rsidRPr="007220FA" w:rsidRDefault="00095D82" w:rsidP="00095D82">
      <w:pPr>
        <w:pStyle w:val="Headingpara2"/>
      </w:pPr>
      <w:r w:rsidRPr="007220FA">
        <w:t>In</w:t>
      </w:r>
      <w:r w:rsidRPr="007220FA">
        <w:rPr>
          <w:i/>
        </w:rPr>
        <w:t xml:space="preserve"> </w:t>
      </w:r>
      <w:r w:rsidRPr="007220FA">
        <w:t>accordance with usual Commonwealth practice, Health and the BP should ensure that the consent sought meets best practice accessibility requirements, which will facilitate those with a disability, or those from culturally and linguistically diverse communities, being able to understand the form of consent which is displayed to them.</w:t>
      </w:r>
    </w:p>
    <w:p w14:paraId="11CD13BB" w14:textId="77777777" w:rsidR="00095D82" w:rsidRPr="007220FA" w:rsidRDefault="00095D82" w:rsidP="00095D82">
      <w:pPr>
        <w:pStyle w:val="Headingpara2"/>
      </w:pPr>
      <w:r w:rsidRPr="007220FA">
        <w:t xml:space="preserve">We note that in the current form for collection of Patient Information, and consent, there is an ability for a legal guardian or other authorised person (other than the Patient), to provide consent on behalf of that Patient who is unable to provide </w:t>
      </w:r>
      <w:proofErr w:type="gramStart"/>
      <w:r w:rsidRPr="007220FA">
        <w:t>consent in their own right</w:t>
      </w:r>
      <w:proofErr w:type="gramEnd"/>
      <w:r w:rsidRPr="007220FA">
        <w:t>. Therefore, we consider that consent will be compliant with the requirements for capacity.</w:t>
      </w:r>
    </w:p>
    <w:p w14:paraId="037AB6A1" w14:textId="77777777" w:rsidR="00095D82" w:rsidRPr="007220FA" w:rsidRDefault="00095D82" w:rsidP="00095D82">
      <w:pPr>
        <w:pStyle w:val="Headingpara2"/>
      </w:pPr>
      <w:r w:rsidRPr="007220FA">
        <w:t xml:space="preserve">In the alternative, if Health and the BP do not wish to seek express consent from the Patient, or they consider that it is not reasonably practical to obtain express consent, then the BP may wish to consider relying on there being a ‘permitted general situation’ under APP 6.2(c) that authorises the disclosure to SA Health. </w:t>
      </w:r>
    </w:p>
    <w:p w14:paraId="15BCF779" w14:textId="77777777" w:rsidR="00095D82" w:rsidRPr="007220FA" w:rsidRDefault="00095D82" w:rsidP="00095D82">
      <w:pPr>
        <w:pStyle w:val="Headingpara2"/>
      </w:pPr>
      <w:r w:rsidRPr="007220FA">
        <w:t>Under Item 1 in the table in section 16</w:t>
      </w:r>
      <w:proofErr w:type="gramStart"/>
      <w:r w:rsidRPr="007220FA">
        <w:t>A(</w:t>
      </w:r>
      <w:proofErr w:type="gramEnd"/>
      <w:r w:rsidRPr="007220FA">
        <w:t xml:space="preserve">1) of the Privacy Act, a permitted general situation will exist if the APP entity reasonably believes that the disclosure is necessary to lessen or prevent a serious threat to, among other things, public health. It could be argued that disclosure to SA Health is necessary so that SA Clinics can operate as effectively and efficiently as possible, to ensure that vaccination of the public can occur as quickly as possible, </w:t>
      </w:r>
      <w:proofErr w:type="gramStart"/>
      <w:r w:rsidRPr="007220FA">
        <w:t>in order to</w:t>
      </w:r>
      <w:proofErr w:type="gramEnd"/>
      <w:r w:rsidRPr="007220FA">
        <w:t xml:space="preserve"> minimise the devastating effects of the COVID-19 pandemic. However, this item will only apply if it is also unreasonable or impractical to obtain the individual’s consent. We consider that it will be difficult to justify that seeking consent is unreasonably or impractical in the circumstances where consent is already being sought from Patients as part of the booking process. </w:t>
      </w:r>
    </w:p>
    <w:p w14:paraId="0D6EA8E6" w14:textId="77777777" w:rsidR="00095D82" w:rsidRPr="007220FA" w:rsidRDefault="00095D82" w:rsidP="00095D82">
      <w:pPr>
        <w:pStyle w:val="Headingpara2"/>
      </w:pPr>
      <w:r w:rsidRPr="007220FA">
        <w:t>For completeness, we do not think that the exception in APP 6.2(a) could readily be used to justify the disclosure of information by the BP to SA Health as it may be difficult to justify the disclosure as being “directly related” to the making of the appointment.</w:t>
      </w:r>
    </w:p>
    <w:p w14:paraId="695249C5" w14:textId="475A413E" w:rsidR="00095D82" w:rsidRPr="007220FA" w:rsidRDefault="00095D82" w:rsidP="00095D82">
      <w:pPr>
        <w:pStyle w:val="Headingpara2"/>
      </w:pPr>
      <w:r w:rsidRPr="007220FA">
        <w:t xml:space="preserve">We therefore </w:t>
      </w:r>
      <w:r w:rsidR="00772E4E" w:rsidRPr="00772E4E">
        <w:rPr>
          <w:b/>
          <w:bCs/>
          <w:color w:val="960030" w:themeColor="accent2"/>
        </w:rPr>
        <w:t>recommend</w:t>
      </w:r>
      <w:r w:rsidR="00772E4E" w:rsidRPr="00772E4E">
        <w:rPr>
          <w:color w:val="960030" w:themeColor="accent2"/>
        </w:rPr>
        <w:t xml:space="preserve"> </w:t>
      </w:r>
      <w:r w:rsidRPr="007220FA">
        <w:t>that Health explore whether it would be technically feasible for a Patient, when providing their consent as part of using the Booking Platform, to be able to consent to their personal information being provided to the relevant Clinic, but indicate that they do not want it to be disclosed to the relevant State or Territory agency(s) responsible for implementation of the COVID-19 vaccine roll-out (and for State/Territory entities such as SA Data Team to not have access to information about such Patients)</w:t>
      </w:r>
      <w:r w:rsidR="00215E29" w:rsidRPr="00215E29">
        <w:t>.</w:t>
      </w:r>
    </w:p>
    <w:p w14:paraId="14E4F455" w14:textId="77777777" w:rsidR="00095D82" w:rsidRPr="007220FA" w:rsidRDefault="00095D82" w:rsidP="00772E4E">
      <w:pPr>
        <w:pStyle w:val="BodyIndent1"/>
        <w:keepNext/>
        <w:keepLines/>
        <w:rPr>
          <w:b/>
          <w:bCs/>
          <w:i/>
          <w:iCs/>
        </w:rPr>
      </w:pPr>
      <w:r w:rsidRPr="007220FA">
        <w:rPr>
          <w:b/>
          <w:bCs/>
          <w:i/>
          <w:iCs/>
        </w:rPr>
        <w:lastRenderedPageBreak/>
        <w:t>Collection of Patient Information by SA Health</w:t>
      </w:r>
    </w:p>
    <w:p w14:paraId="2E7E0FEF" w14:textId="77777777" w:rsidR="00095D82" w:rsidRPr="007220FA" w:rsidRDefault="00095D82" w:rsidP="00772E4E">
      <w:pPr>
        <w:pStyle w:val="Headingpara2"/>
        <w:keepNext/>
        <w:keepLines/>
      </w:pPr>
      <w:r w:rsidRPr="007220FA">
        <w:t xml:space="preserve">We note that the Privacy Act, and therefore the APPs, will not apply to the collection or any use or any further disclosure of that personal information by State or Territory health agencies (the relevant jurisdictions legislation or Cabinet issued directions, for example, privacy instructions issued by the South Australian Cabinet will instead apply). Nevertheless, we consider that as best practice implementation of the data minimisation principle, Health should consider whether </w:t>
      </w:r>
      <w:proofErr w:type="gramStart"/>
      <w:r w:rsidRPr="007220FA">
        <w:t>all of</w:t>
      </w:r>
      <w:proofErr w:type="gramEnd"/>
      <w:r w:rsidRPr="007220FA">
        <w:t xml:space="preserve"> the Patient information in the .CSV files is reasonably necessary for the required use by SA Health (and other State and Territory health agencies).</w:t>
      </w:r>
    </w:p>
    <w:p w14:paraId="3536205D" w14:textId="76B22371" w:rsidR="00095D82" w:rsidRPr="007220FA" w:rsidRDefault="00095D82" w:rsidP="00095D82">
      <w:pPr>
        <w:pStyle w:val="Headingpara2"/>
      </w:pPr>
      <w:r w:rsidRPr="007220FA">
        <w:t xml:space="preserve">Given the intended uses of the information in the .CSV file, we think that </w:t>
      </w:r>
      <w:proofErr w:type="gramStart"/>
      <w:r w:rsidRPr="007220FA">
        <w:t>all of</w:t>
      </w:r>
      <w:proofErr w:type="gramEnd"/>
      <w:r w:rsidRPr="007220FA">
        <w:t xml:space="preserve"> the personal information types are likely to be reasonably necessary to achieve the intended outcomes, with perhaps the exception of the ‘third party booking information’. It is not clear why Third Party Information</w:t>
      </w:r>
      <w:r w:rsidR="00215E29">
        <w:t xml:space="preserve"> </w:t>
      </w:r>
      <w:r w:rsidRPr="007220FA">
        <w:t xml:space="preserve">would be required for the intended uses as set out at paragraphs </w:t>
      </w:r>
      <w:r w:rsidR="00215E29" w:rsidRPr="007220FA">
        <w:fldChar w:fldCharType="begin"/>
      </w:r>
      <w:r w:rsidR="00215E29" w:rsidRPr="007220FA">
        <w:instrText xml:space="preserve"> REF _Ref94556225 \r \h  \* MERGEFORMAT </w:instrText>
      </w:r>
      <w:r w:rsidR="00215E29" w:rsidRPr="007220FA">
        <w:fldChar w:fldCharType="separate"/>
      </w:r>
      <w:r w:rsidR="00442AA9">
        <w:t>1.2</w:t>
      </w:r>
      <w:r w:rsidR="00215E29" w:rsidRPr="007220FA">
        <w:fldChar w:fldCharType="end"/>
      </w:r>
      <w:r w:rsidR="00215E29" w:rsidRPr="007220FA">
        <w:t xml:space="preserve"> and </w:t>
      </w:r>
      <w:r w:rsidR="00215E29" w:rsidRPr="007220FA">
        <w:fldChar w:fldCharType="begin"/>
      </w:r>
      <w:r w:rsidR="00215E29" w:rsidRPr="007220FA">
        <w:instrText xml:space="preserve"> REF _Ref94556234 \r \h  \* MERGEFORMAT </w:instrText>
      </w:r>
      <w:r w:rsidR="00215E29" w:rsidRPr="007220FA">
        <w:fldChar w:fldCharType="separate"/>
      </w:r>
      <w:r w:rsidR="00442AA9">
        <w:t>1.17</w:t>
      </w:r>
      <w:r w:rsidR="00215E29" w:rsidRPr="007220FA">
        <w:fldChar w:fldCharType="end"/>
      </w:r>
      <w:r w:rsidR="00215E29">
        <w:t xml:space="preserve"> </w:t>
      </w:r>
      <w:r w:rsidRPr="007220FA">
        <w:t xml:space="preserve">above. Therefore, we </w:t>
      </w:r>
      <w:r w:rsidR="00772E4E" w:rsidRPr="00772E4E">
        <w:rPr>
          <w:b/>
          <w:bCs/>
          <w:color w:val="960030" w:themeColor="accent2"/>
        </w:rPr>
        <w:t>recommend</w:t>
      </w:r>
      <w:r w:rsidR="00772E4E" w:rsidRPr="00772E4E">
        <w:rPr>
          <w:color w:val="960030" w:themeColor="accent2"/>
        </w:rPr>
        <w:t xml:space="preserve"> </w:t>
      </w:r>
      <w:r w:rsidRPr="007220FA">
        <w:t>Health consider whether all information requested by SA Health is reasonably necessary, or whether some information should be excluded from .CSV files downloadable by the SA Health (and other State or Territory health agencies)</w:t>
      </w:r>
      <w:r w:rsidR="00FC5EEC" w:rsidRPr="007220FA">
        <w:t xml:space="preserve">. </w:t>
      </w:r>
      <w:r w:rsidRPr="007220FA">
        <w:t xml:space="preserve">We consider that not all Patient Information should be </w:t>
      </w:r>
      <w:proofErr w:type="gramStart"/>
      <w:r w:rsidRPr="007220FA">
        <w:t>provided, unless</w:t>
      </w:r>
      <w:proofErr w:type="gramEnd"/>
      <w:r w:rsidRPr="007220FA">
        <w:t xml:space="preserve"> the relevant jurisdiction is able to clearly justify why this information is reasonably necessary.</w:t>
      </w:r>
    </w:p>
    <w:p w14:paraId="78844FC5" w14:textId="77777777" w:rsidR="00095D82" w:rsidRPr="007220FA" w:rsidRDefault="00095D82" w:rsidP="00095D82">
      <w:pPr>
        <w:pStyle w:val="BodyIndent1"/>
        <w:rPr>
          <w:b/>
          <w:bCs/>
          <w:i/>
          <w:iCs/>
        </w:rPr>
      </w:pPr>
      <w:r w:rsidRPr="007220FA">
        <w:rPr>
          <w:b/>
          <w:bCs/>
          <w:i/>
          <w:iCs/>
        </w:rPr>
        <w:t>Use of Patient Information by SA Health</w:t>
      </w:r>
    </w:p>
    <w:p w14:paraId="06F53D6B" w14:textId="77777777" w:rsidR="00095D82" w:rsidRPr="007220FA" w:rsidRDefault="00095D82" w:rsidP="00095D82">
      <w:pPr>
        <w:pStyle w:val="Headingpara2"/>
      </w:pPr>
      <w:r w:rsidRPr="007220FA">
        <w:t>As noted above, the Privacy Act (and the APPs) will not apply to the uses proposed by SA Health, this means that information held by the relevant State or Territory government may potentially be used, for example, to apply adverse consequences to Patients who book, but do not attend, an appointment to receive a COVID-19 vaccine.</w:t>
      </w:r>
    </w:p>
    <w:p w14:paraId="0941E74C" w14:textId="5EF049D6" w:rsidR="00095D82" w:rsidRPr="007220FA" w:rsidRDefault="00095D82" w:rsidP="00095D82">
      <w:pPr>
        <w:pStyle w:val="Headingpara2"/>
      </w:pPr>
      <w:r w:rsidRPr="007220FA">
        <w:t xml:space="preserve">Accessing, </w:t>
      </w:r>
      <w:proofErr w:type="gramStart"/>
      <w:r w:rsidRPr="007220FA">
        <w:t>downloading</w:t>
      </w:r>
      <w:proofErr w:type="gramEnd"/>
      <w:r w:rsidRPr="007220FA">
        <w:t xml:space="preserve"> and using Patient Information contained in the .CSV files will also mean that the State or Territory government will hold information about the precise appointment time and booking time. This information could potentially be used to locate a Patient (particularly if it was later linked to CVIP information, as proposed, and that information confirms the vaccination took place on that day). Such potential uses are likely to raise significant community concerns </w:t>
      </w:r>
      <w:r w:rsidRPr="007220FA">
        <w:rPr>
          <w:rFonts w:cs="Arial"/>
        </w:rPr>
        <w:t>noting</w:t>
      </w:r>
      <w:proofErr w:type="gramStart"/>
      <w:r w:rsidRPr="007220FA">
        <w:rPr>
          <w:rFonts w:cs="Arial"/>
        </w:rPr>
        <w:t>, in particular, recent</w:t>
      </w:r>
      <w:proofErr w:type="gramEnd"/>
      <w:r w:rsidRPr="007220FA">
        <w:rPr>
          <w:rFonts w:cs="Arial"/>
        </w:rPr>
        <w:t xml:space="preserve"> media reports about police accessing COVID check-in information in </w:t>
      </w:r>
      <w:r w:rsidR="00215E29">
        <w:rPr>
          <w:rFonts w:cs="Arial"/>
        </w:rPr>
        <w:t>Western Australia</w:t>
      </w:r>
      <w:r w:rsidRPr="007220FA">
        <w:rPr>
          <w:rFonts w:cs="Arial"/>
        </w:rPr>
        <w:t>, and the erosion in community trust and confidence as a result</w:t>
      </w:r>
      <w:r w:rsidRPr="007220FA">
        <w:t>.</w:t>
      </w:r>
    </w:p>
    <w:p w14:paraId="405315A4" w14:textId="4A54105E" w:rsidR="00095D82" w:rsidRPr="007220FA" w:rsidRDefault="00095D82" w:rsidP="00095D82">
      <w:pPr>
        <w:pStyle w:val="Headingpara2"/>
      </w:pPr>
      <w:r w:rsidRPr="007220FA">
        <w:t xml:space="preserve">In the absence of the protections of APP 6 of the Privacy Act, Health may wish to consider obtaining further assurances from the State and Territory health agencies that will act to restrict the uses and disclosures of Patient Information received from the BP. For example, we </w:t>
      </w:r>
      <w:r w:rsidR="00772E4E" w:rsidRPr="00772E4E">
        <w:rPr>
          <w:b/>
          <w:bCs/>
          <w:color w:val="960030" w:themeColor="accent2"/>
        </w:rPr>
        <w:t>recommend</w:t>
      </w:r>
      <w:r w:rsidR="00772E4E" w:rsidRPr="00772E4E">
        <w:rPr>
          <w:color w:val="960030" w:themeColor="accent2"/>
        </w:rPr>
        <w:t xml:space="preserve"> </w:t>
      </w:r>
      <w:r w:rsidRPr="007220FA">
        <w:t>that Health seek assurances, potentially in the form of a</w:t>
      </w:r>
      <w:r w:rsidR="00215E29">
        <w:t xml:space="preserve">n MOU, </w:t>
      </w:r>
      <w:r w:rsidRPr="007220FA">
        <w:t>that Patient Information collected from the BP will only be used to create aggregated or properly de-identified reports, which will be used for Clinic operation and planning purposes only, and that it will not be used for any enforcement activities or in a manner that would involve adverse consequences for a Patient</w:t>
      </w:r>
      <w:r w:rsidR="00FC5EEC" w:rsidRPr="007220FA">
        <w:t xml:space="preserve">. </w:t>
      </w:r>
    </w:p>
    <w:p w14:paraId="4E7215E9" w14:textId="5EC85CCE" w:rsidR="00095D82" w:rsidRPr="007220FA" w:rsidRDefault="00095D82" w:rsidP="00095D82">
      <w:pPr>
        <w:pStyle w:val="Headingpara2"/>
      </w:pPr>
      <w:r w:rsidRPr="007220FA">
        <w:t xml:space="preserve">Further, we note that the proposed uses of the .CSV file involves linking Patient Information to the information received from </w:t>
      </w:r>
      <w:r w:rsidR="00215E29">
        <w:t xml:space="preserve">the </w:t>
      </w:r>
      <w:r w:rsidRPr="007220FA">
        <w:t xml:space="preserve">CVIP (as discussed at </w:t>
      </w:r>
      <w:r w:rsidR="00FC5EEC" w:rsidRPr="007220FA">
        <w:rPr>
          <w:b/>
          <w:bCs/>
        </w:rPr>
        <w:fldChar w:fldCharType="begin"/>
      </w:r>
      <w:r w:rsidR="00FC5EEC" w:rsidRPr="007220FA">
        <w:rPr>
          <w:b/>
          <w:bCs/>
        </w:rPr>
        <w:instrText xml:space="preserve"> REF _Ref94506121 \r \h  \* MERGEFORMAT </w:instrText>
      </w:r>
      <w:r w:rsidR="00FC5EEC" w:rsidRPr="007220FA">
        <w:rPr>
          <w:b/>
          <w:bCs/>
        </w:rPr>
      </w:r>
      <w:r w:rsidR="00FC5EEC" w:rsidRPr="007220FA">
        <w:rPr>
          <w:b/>
          <w:bCs/>
        </w:rPr>
        <w:fldChar w:fldCharType="separate"/>
      </w:r>
      <w:r w:rsidR="001527AF">
        <w:rPr>
          <w:b/>
          <w:bCs/>
        </w:rPr>
        <w:t>Section C</w:t>
      </w:r>
      <w:r w:rsidR="00FC5EEC" w:rsidRPr="007220FA">
        <w:rPr>
          <w:b/>
          <w:bCs/>
        </w:rPr>
        <w:fldChar w:fldCharType="end"/>
      </w:r>
      <w:r w:rsidR="00FC5EEC" w:rsidRPr="007220FA">
        <w:rPr>
          <w:b/>
          <w:bCs/>
        </w:rPr>
        <w:t xml:space="preserve"> [Integration of the Commonwealth-Procured Booking Platform (BP) and the Clinician Vaccine Integrated Platform (CVIP) solution]</w:t>
      </w:r>
      <w:r w:rsidR="00215E29">
        <w:t xml:space="preserve">). </w:t>
      </w:r>
      <w:r w:rsidRPr="007220FA">
        <w:t xml:space="preserve">We understand that the information received from </w:t>
      </w:r>
      <w:r w:rsidR="00215E29">
        <w:t>the</w:t>
      </w:r>
      <w:r w:rsidR="00055567">
        <w:t xml:space="preserve"> </w:t>
      </w:r>
      <w:r w:rsidRPr="007220FA">
        <w:t xml:space="preserve">CVIP will contain ‘protected information’ as defined in the AIR Act. </w:t>
      </w:r>
    </w:p>
    <w:p w14:paraId="09BF639D" w14:textId="5F473407" w:rsidR="00095D82" w:rsidRPr="007220FA" w:rsidRDefault="00095D82" w:rsidP="00095D82">
      <w:pPr>
        <w:pStyle w:val="Headingpara2"/>
      </w:pPr>
      <w:r w:rsidRPr="007220FA">
        <w:t xml:space="preserve">We therefore </w:t>
      </w:r>
      <w:r w:rsidR="00772E4E" w:rsidRPr="00772E4E">
        <w:rPr>
          <w:b/>
          <w:bCs/>
          <w:color w:val="960030" w:themeColor="accent2"/>
        </w:rPr>
        <w:t>recommend</w:t>
      </w:r>
      <w:r w:rsidR="00772E4E" w:rsidRPr="00772E4E">
        <w:rPr>
          <w:color w:val="960030" w:themeColor="accent2"/>
        </w:rPr>
        <w:t xml:space="preserve"> </w:t>
      </w:r>
      <w:r w:rsidRPr="007220FA">
        <w:t xml:space="preserve">that Health satisfy itself that, </w:t>
      </w:r>
      <w:proofErr w:type="gramStart"/>
      <w:r w:rsidRPr="007220FA">
        <w:t>in regard to</w:t>
      </w:r>
      <w:proofErr w:type="gramEnd"/>
      <w:r w:rsidRPr="007220FA">
        <w:t xml:space="preserve"> the proposed use by SA Health, this use will be authorised by the Minister under section 22(3) of the AIR Act</w:t>
      </w:r>
      <w:r w:rsidR="00FC5EEC" w:rsidRPr="007220FA">
        <w:t xml:space="preserve">. </w:t>
      </w:r>
    </w:p>
    <w:p w14:paraId="0E5D3AF5" w14:textId="7DBBE423" w:rsidR="00095D82" w:rsidRPr="007220FA" w:rsidRDefault="00095D82" w:rsidP="00095D82">
      <w:pPr>
        <w:pStyle w:val="Headingpara2"/>
      </w:pPr>
      <w:r w:rsidRPr="007220FA">
        <w:t xml:space="preserve">We understand that SA Health is not using, and does not intend to use, an accredited integrating authority (under the Commonwealth statistical data integration arrangements) to undertake the linkage process. Accordingly, we </w:t>
      </w:r>
      <w:r w:rsidR="00416F52" w:rsidRPr="00772E4E">
        <w:rPr>
          <w:b/>
          <w:bCs/>
          <w:color w:val="960030" w:themeColor="accent2"/>
        </w:rPr>
        <w:t>recommend</w:t>
      </w:r>
      <w:r w:rsidR="00416F52" w:rsidRPr="007220FA">
        <w:t xml:space="preserve"> </w:t>
      </w:r>
      <w:r w:rsidRPr="007220FA">
        <w:t>Health see</w:t>
      </w:r>
      <w:r w:rsidR="00CD6867">
        <w:t>k</w:t>
      </w:r>
      <w:r w:rsidRPr="007220FA">
        <w:t xml:space="preserve"> assurances that SA Health (and other State or Territory agencies) will apply a ‘Five Safes’ decision</w:t>
      </w:r>
      <w:r w:rsidR="00175FB5">
        <w:t>-</w:t>
      </w:r>
      <w:r w:rsidRPr="007220FA">
        <w:t xml:space="preserve">making process, and will document the outcomes, to support any decision that it is appropriate to release of the Patient Information from the BP to SA Health for that linkage to occur. </w:t>
      </w:r>
    </w:p>
    <w:p w14:paraId="29AB6FF8" w14:textId="6AC0C348" w:rsidR="00095D82" w:rsidRPr="007220FA" w:rsidRDefault="00095D82" w:rsidP="00095D82">
      <w:pPr>
        <w:pStyle w:val="Headingpara2"/>
      </w:pPr>
      <w:r w:rsidRPr="007220FA">
        <w:lastRenderedPageBreak/>
        <w:t xml:space="preserve">Finally, we note that SA Health has indicated that it will use the linked dataset to create aggregate or de-identified reports. We </w:t>
      </w:r>
      <w:r w:rsidR="00772E4E" w:rsidRPr="00772E4E">
        <w:rPr>
          <w:b/>
          <w:bCs/>
          <w:color w:val="960030" w:themeColor="accent2"/>
        </w:rPr>
        <w:t>recommend</w:t>
      </w:r>
      <w:r w:rsidR="00772E4E" w:rsidRPr="00772E4E">
        <w:rPr>
          <w:color w:val="960030" w:themeColor="accent2"/>
        </w:rPr>
        <w:t xml:space="preserve"> </w:t>
      </w:r>
      <w:r w:rsidRPr="007220FA">
        <w:t xml:space="preserve">that Health seek assurances from SA Health (and other State or Territory agencies), that the de-identification techniques that will be used </w:t>
      </w:r>
      <w:r w:rsidR="00CD6867">
        <w:t>will</w:t>
      </w:r>
      <w:r w:rsidRPr="007220FA">
        <w:t xml:space="preserve"> reduce the risks of re-identification to a sufficiently low level (noting that simply removing Patient direct identifiers in such reports would not necessarily be sufficient)</w:t>
      </w:r>
      <w:r w:rsidR="00FC5EEC" w:rsidRPr="00CD6867">
        <w:t xml:space="preserve">. </w:t>
      </w:r>
    </w:p>
    <w:p w14:paraId="30F341F4" w14:textId="77777777" w:rsidR="00095D82" w:rsidRPr="007220FA" w:rsidRDefault="00095D82" w:rsidP="00095D82">
      <w:pPr>
        <w:pStyle w:val="BodyIndent1"/>
        <w:rPr>
          <w:b/>
          <w:bCs/>
          <w:i/>
          <w:iCs/>
        </w:rPr>
      </w:pPr>
      <w:r w:rsidRPr="007220FA">
        <w:rPr>
          <w:b/>
          <w:bCs/>
          <w:i/>
          <w:iCs/>
        </w:rPr>
        <w:t>Security of Patient Information</w:t>
      </w:r>
    </w:p>
    <w:p w14:paraId="7F3604B4" w14:textId="77777777" w:rsidR="00095D82" w:rsidRPr="007220FA" w:rsidRDefault="00095D82" w:rsidP="00095D82">
      <w:pPr>
        <w:pStyle w:val="Headingpara2"/>
      </w:pPr>
      <w:r w:rsidRPr="007220FA">
        <w:t xml:space="preserve">In accordance with APP 11.1, an APP entity that holds personal information must take reasonable steps to protect the personal information from misuse, </w:t>
      </w:r>
      <w:proofErr w:type="gramStart"/>
      <w:r w:rsidRPr="007220FA">
        <w:t>interference</w:t>
      </w:r>
      <w:proofErr w:type="gramEnd"/>
      <w:r w:rsidRPr="007220FA">
        <w:t xml:space="preserve"> and loss, from unauthorised access, modification and disclosure. </w:t>
      </w:r>
    </w:p>
    <w:p w14:paraId="565F7024" w14:textId="14B58A04" w:rsidR="00095D82" w:rsidRPr="007220FA" w:rsidRDefault="00095D82" w:rsidP="00095D82">
      <w:pPr>
        <w:pStyle w:val="Headingpara2"/>
      </w:pPr>
      <w:proofErr w:type="gramStart"/>
      <w:r w:rsidRPr="007220FA">
        <w:t>In order to</w:t>
      </w:r>
      <w:proofErr w:type="gramEnd"/>
      <w:r w:rsidRPr="007220FA">
        <w:t xml:space="preserve"> ensure compliance with APP 11, we </w:t>
      </w:r>
      <w:r w:rsidR="00772E4E" w:rsidRPr="00772E4E">
        <w:rPr>
          <w:b/>
          <w:bCs/>
          <w:color w:val="960030" w:themeColor="accent2"/>
        </w:rPr>
        <w:t>recommend</w:t>
      </w:r>
      <w:r w:rsidR="00772E4E" w:rsidRPr="00772E4E">
        <w:rPr>
          <w:color w:val="960030" w:themeColor="accent2"/>
        </w:rPr>
        <w:t xml:space="preserve"> </w:t>
      </w:r>
      <w:r w:rsidRPr="007220FA">
        <w:t>that Health seek assurances from SA Health (and other State or Territory health agencies) that it will:</w:t>
      </w:r>
    </w:p>
    <w:p w14:paraId="265DED92" w14:textId="77777777" w:rsidR="00095D82" w:rsidRPr="007220FA" w:rsidRDefault="00095D82" w:rsidP="00095D82">
      <w:pPr>
        <w:pStyle w:val="Heading3"/>
      </w:pPr>
      <w:r w:rsidRPr="007220FA">
        <w:t xml:space="preserve">store the .CSV files (and any hard copy print outs) </w:t>
      </w:r>
      <w:proofErr w:type="gramStart"/>
      <w:r w:rsidRPr="007220FA">
        <w:t>securely;</w:t>
      </w:r>
      <w:proofErr w:type="gramEnd"/>
      <w:r w:rsidRPr="007220FA">
        <w:t xml:space="preserve"> </w:t>
      </w:r>
    </w:p>
    <w:p w14:paraId="7C6FC15E" w14:textId="273B9AA2" w:rsidR="00095D82" w:rsidRPr="007220FA" w:rsidRDefault="00095D82" w:rsidP="00095D82">
      <w:pPr>
        <w:pStyle w:val="Heading3"/>
      </w:pPr>
      <w:r w:rsidRPr="007220FA">
        <w:t xml:space="preserve">only be able to access information about </w:t>
      </w:r>
      <w:proofErr w:type="gramStart"/>
      <w:r w:rsidRPr="007220FA">
        <w:t>Patients</w:t>
      </w:r>
      <w:proofErr w:type="gramEnd"/>
      <w:r w:rsidRPr="007220FA">
        <w:t xml:space="preserve"> who have booked into </w:t>
      </w:r>
      <w:r w:rsidR="00CD6867">
        <w:t>a C</w:t>
      </w:r>
      <w:r w:rsidRPr="007220FA">
        <w:t>linic in the relevant jurisdiction (and not Patients who have made appointments in other jurisdictions);</w:t>
      </w:r>
    </w:p>
    <w:p w14:paraId="665A305A" w14:textId="77777777" w:rsidR="00095D82" w:rsidRPr="007220FA" w:rsidRDefault="00095D82" w:rsidP="00095D82">
      <w:pPr>
        <w:pStyle w:val="Heading3"/>
      </w:pPr>
      <w:r w:rsidRPr="007220FA">
        <w:t>not give, or allow anyone else to access, the .CSV file information; and</w:t>
      </w:r>
    </w:p>
    <w:p w14:paraId="2CFDDA9E" w14:textId="77777777" w:rsidR="00095D82" w:rsidRPr="007220FA" w:rsidRDefault="00095D82" w:rsidP="00095D82">
      <w:pPr>
        <w:pStyle w:val="Heading3"/>
      </w:pPr>
      <w:r w:rsidRPr="007220FA">
        <w:t>delete the .CSV files after they are no longer needed.</w:t>
      </w:r>
    </w:p>
    <w:p w14:paraId="7A561AAD" w14:textId="0370A915" w:rsidR="00095D82" w:rsidRPr="007220FA" w:rsidRDefault="00095D82" w:rsidP="00330F21">
      <w:pPr>
        <w:pStyle w:val="Heading3"/>
        <w:numPr>
          <w:ilvl w:val="0"/>
          <w:numId w:val="0"/>
        </w:numPr>
        <w:ind w:left="851"/>
        <w:sectPr w:rsidR="00095D82" w:rsidRPr="007220FA" w:rsidSect="008A7CA6">
          <w:footerReference w:type="even" r:id="rId15"/>
          <w:footerReference w:type="default" r:id="rId16"/>
          <w:headerReference w:type="first" r:id="rId17"/>
          <w:footerReference w:type="first" r:id="rId18"/>
          <w:pgSz w:w="11906" w:h="16838" w:code="9"/>
          <w:pgMar w:top="1134" w:right="1418" w:bottom="1247" w:left="1418" w:header="567" w:footer="567" w:gutter="0"/>
          <w:cols w:space="708"/>
          <w:titlePg/>
          <w:docGrid w:linePitch="360"/>
        </w:sectPr>
      </w:pPr>
    </w:p>
    <w:p w14:paraId="4A77883A" w14:textId="4D61CDC3" w:rsidR="00FF42FE" w:rsidRPr="007220FA" w:rsidRDefault="00B01A14" w:rsidP="00FF43B3">
      <w:pPr>
        <w:pStyle w:val="legalPart"/>
      </w:pPr>
      <w:bookmarkStart w:id="119" w:name="_Ref38350428"/>
      <w:bookmarkStart w:id="120" w:name="_Toc113279947"/>
      <w:bookmarkEnd w:id="113"/>
      <w:r w:rsidRPr="007220FA">
        <w:lastRenderedPageBreak/>
        <w:t>GLOSSARY</w:t>
      </w:r>
      <w:bookmarkStart w:id="121" w:name="_Toc2179892"/>
      <w:bookmarkEnd w:id="119"/>
      <w:bookmarkEnd w:id="120"/>
    </w:p>
    <w:tbl>
      <w:tblPr>
        <w:tblStyle w:val="PlainTable11"/>
        <w:tblW w:w="0" w:type="auto"/>
        <w:tblInd w:w="-5" w:type="dxa"/>
        <w:tblLook w:val="04A0" w:firstRow="1" w:lastRow="0" w:firstColumn="1" w:lastColumn="0" w:noHBand="0" w:noVBand="1"/>
      </w:tblPr>
      <w:tblGrid>
        <w:gridCol w:w="2371"/>
        <w:gridCol w:w="6694"/>
      </w:tblGrid>
      <w:tr w:rsidR="0054336D" w:rsidRPr="007220FA" w14:paraId="1D43F8AA" w14:textId="77777777" w:rsidTr="00772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5" w:type="dxa"/>
            <w:gridSpan w:val="2"/>
            <w:shd w:val="clear" w:color="auto" w:fill="82002A" w:themeFill="accent1"/>
          </w:tcPr>
          <w:bookmarkEnd w:id="121"/>
          <w:p w14:paraId="76E3D3DF" w14:textId="77777777" w:rsidR="0054336D" w:rsidRPr="007220FA" w:rsidRDefault="0054336D" w:rsidP="00813F84">
            <w:pPr>
              <w:pStyle w:val="BodyIndent1"/>
              <w:spacing w:before="120" w:after="120"/>
              <w:ind w:left="0"/>
              <w:rPr>
                <w:rFonts w:asciiTheme="majorHAnsi" w:hAnsiTheme="majorHAnsi" w:cstheme="majorHAnsi"/>
              </w:rPr>
            </w:pPr>
            <w:r w:rsidRPr="007220FA">
              <w:rPr>
                <w:rFonts w:asciiTheme="majorHAnsi" w:hAnsiTheme="majorHAnsi" w:cstheme="majorHAnsi"/>
              </w:rPr>
              <w:t>Definitions</w:t>
            </w:r>
          </w:p>
        </w:tc>
      </w:tr>
      <w:tr w:rsidR="001E1E82" w:rsidRPr="007220FA" w14:paraId="3834E4D8"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4435F86D" w14:textId="10B56365" w:rsidR="001E1E82" w:rsidRPr="00C07E94" w:rsidRDefault="001E1E82" w:rsidP="00813F84">
            <w:pPr>
              <w:pStyle w:val="BodyIndent1"/>
              <w:spacing w:before="120" w:after="120"/>
              <w:ind w:left="0"/>
              <w:rPr>
                <w:rFonts w:asciiTheme="majorHAnsi" w:hAnsiTheme="majorHAnsi" w:cstheme="majorHAnsi"/>
              </w:rPr>
            </w:pPr>
            <w:r w:rsidRPr="00C07E94">
              <w:rPr>
                <w:rFonts w:asciiTheme="majorHAnsi" w:hAnsiTheme="majorHAnsi" w:cstheme="majorHAnsi"/>
              </w:rPr>
              <w:t>7CPA</w:t>
            </w:r>
          </w:p>
        </w:tc>
        <w:tc>
          <w:tcPr>
            <w:tcW w:w="6694" w:type="dxa"/>
          </w:tcPr>
          <w:p w14:paraId="658847BC" w14:textId="72FF8D61" w:rsidR="001E1E82" w:rsidRPr="00C07E94" w:rsidRDefault="001E1E82"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Seventh Community Pharmacy Agreement between Health and the PPA. </w:t>
            </w:r>
          </w:p>
        </w:tc>
      </w:tr>
      <w:tr w:rsidR="0054336D" w:rsidRPr="007220FA" w14:paraId="25F78D50"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3A765E7" w14:textId="77777777" w:rsidR="0054336D" w:rsidRPr="00C07E94" w:rsidRDefault="0054336D" w:rsidP="00813F84">
            <w:pPr>
              <w:pStyle w:val="BodyIndent1"/>
              <w:spacing w:before="120" w:after="120"/>
              <w:ind w:left="0"/>
              <w:rPr>
                <w:rFonts w:asciiTheme="majorHAnsi" w:hAnsiTheme="majorHAnsi" w:cstheme="majorHAnsi"/>
              </w:rPr>
            </w:pPr>
            <w:r w:rsidRPr="00C07E94">
              <w:rPr>
                <w:rFonts w:asciiTheme="majorHAnsi" w:hAnsiTheme="majorHAnsi" w:cstheme="majorHAnsi"/>
              </w:rPr>
              <w:t>ADHA</w:t>
            </w:r>
          </w:p>
        </w:tc>
        <w:tc>
          <w:tcPr>
            <w:tcW w:w="6694" w:type="dxa"/>
          </w:tcPr>
          <w:p w14:paraId="57FD2815" w14:textId="77777777" w:rsidR="0054336D" w:rsidRPr="00C07E94" w:rsidRDefault="0054336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Australian Digital Health Agency.</w:t>
            </w:r>
          </w:p>
        </w:tc>
      </w:tr>
      <w:tr w:rsidR="0054336D" w:rsidRPr="007220FA" w14:paraId="3F0110C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4F50E2E" w14:textId="77777777" w:rsidR="0054336D" w:rsidRPr="00C07E94" w:rsidRDefault="0054336D" w:rsidP="00813F84">
            <w:pPr>
              <w:pStyle w:val="BodyIndent1"/>
              <w:spacing w:before="120" w:after="120"/>
              <w:ind w:left="0"/>
              <w:rPr>
                <w:rFonts w:asciiTheme="majorHAnsi" w:hAnsiTheme="majorHAnsi" w:cstheme="majorHAnsi"/>
                <w:bCs w:val="0"/>
              </w:rPr>
            </w:pPr>
            <w:r w:rsidRPr="00C07E94">
              <w:rPr>
                <w:rFonts w:asciiTheme="majorHAnsi" w:hAnsiTheme="majorHAnsi" w:cstheme="majorHAnsi"/>
              </w:rPr>
              <w:t>AIR</w:t>
            </w:r>
          </w:p>
        </w:tc>
        <w:tc>
          <w:tcPr>
            <w:tcW w:w="6694" w:type="dxa"/>
          </w:tcPr>
          <w:p w14:paraId="682DC590" w14:textId="77777777" w:rsidR="0054336D" w:rsidRPr="00C07E94"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Australian Immunisation Register.</w:t>
            </w:r>
          </w:p>
        </w:tc>
      </w:tr>
      <w:tr w:rsidR="0054336D" w:rsidRPr="007220FA" w14:paraId="00BB4F0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6ECCE73" w14:textId="77777777" w:rsidR="0054336D" w:rsidRPr="00C07E94" w:rsidRDefault="0054336D" w:rsidP="00813F84">
            <w:pPr>
              <w:pStyle w:val="BodyIndent1"/>
              <w:spacing w:before="120" w:after="120"/>
              <w:ind w:left="0"/>
              <w:rPr>
                <w:rFonts w:asciiTheme="majorHAnsi" w:hAnsiTheme="majorHAnsi" w:cstheme="majorHAnsi"/>
              </w:rPr>
            </w:pPr>
            <w:r w:rsidRPr="00C07E94">
              <w:rPr>
                <w:rFonts w:asciiTheme="majorHAnsi" w:hAnsiTheme="majorHAnsi" w:cstheme="majorHAnsi"/>
              </w:rPr>
              <w:t>AIR Act</w:t>
            </w:r>
          </w:p>
        </w:tc>
        <w:tc>
          <w:tcPr>
            <w:tcW w:w="6694" w:type="dxa"/>
          </w:tcPr>
          <w:p w14:paraId="65B8E1CC" w14:textId="0C2949D8" w:rsidR="0054336D" w:rsidRPr="00C07E94" w:rsidRDefault="0054336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w:t>
            </w:r>
            <w:r w:rsidR="007D5945" w:rsidRPr="00C07E94">
              <w:rPr>
                <w:rFonts w:asciiTheme="majorHAnsi" w:hAnsiTheme="majorHAnsi" w:cstheme="majorHAnsi"/>
              </w:rPr>
              <w:t xml:space="preserve">the </w:t>
            </w:r>
            <w:r w:rsidRPr="00C07E94">
              <w:rPr>
                <w:rFonts w:asciiTheme="majorHAnsi" w:hAnsiTheme="majorHAnsi" w:cstheme="majorHAnsi"/>
                <w:i/>
                <w:iCs/>
              </w:rPr>
              <w:t xml:space="preserve">Australian Immunisation Register Act 2015 </w:t>
            </w:r>
            <w:r w:rsidRPr="00C07E94">
              <w:rPr>
                <w:rFonts w:asciiTheme="majorHAnsi" w:hAnsiTheme="majorHAnsi" w:cstheme="majorHAnsi"/>
              </w:rPr>
              <w:t>(Cth).</w:t>
            </w:r>
          </w:p>
        </w:tc>
      </w:tr>
      <w:tr w:rsidR="005C2539" w:rsidRPr="007220FA" w14:paraId="1B55416E"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FFC573E" w14:textId="0388B184" w:rsidR="005C2539" w:rsidRPr="00C07E94" w:rsidRDefault="00C07E94" w:rsidP="00813F84">
            <w:pPr>
              <w:pStyle w:val="BodyIndent1"/>
              <w:spacing w:before="120" w:after="120"/>
              <w:ind w:left="0"/>
              <w:rPr>
                <w:rFonts w:asciiTheme="majorHAnsi" w:hAnsiTheme="majorHAnsi" w:cstheme="majorHAnsi"/>
              </w:rPr>
            </w:pPr>
            <w:r w:rsidRPr="00C07E94">
              <w:rPr>
                <w:rFonts w:asciiTheme="majorHAnsi" w:hAnsiTheme="majorHAnsi" w:cstheme="majorHAnsi"/>
              </w:rPr>
              <w:t xml:space="preserve">AIR </w:t>
            </w:r>
            <w:r>
              <w:rPr>
                <w:rFonts w:asciiTheme="majorHAnsi" w:hAnsiTheme="majorHAnsi" w:cstheme="majorHAnsi"/>
              </w:rPr>
              <w:t>Information</w:t>
            </w:r>
          </w:p>
        </w:tc>
        <w:tc>
          <w:tcPr>
            <w:tcW w:w="6694" w:type="dxa"/>
          </w:tcPr>
          <w:p w14:paraId="7EABAE93" w14:textId="41DECE4F" w:rsidR="005C2539" w:rsidRPr="00C07E94" w:rsidRDefault="00C07E94"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t>means</w:t>
            </w:r>
            <w:r w:rsidR="005C74AD" w:rsidRPr="00C07E94">
              <w:t xml:space="preserve"> the information that is collected for the purposes of, and required to be provided to, the AIR</w:t>
            </w:r>
            <w:r w:rsidRPr="00C07E94">
              <w:t>.</w:t>
            </w:r>
          </w:p>
        </w:tc>
      </w:tr>
      <w:tr w:rsidR="0081549D" w:rsidRPr="007220FA" w14:paraId="60F9CC36"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3F2BCEB" w14:textId="5801246C" w:rsidR="0081549D" w:rsidRPr="00C07E94" w:rsidRDefault="0081549D" w:rsidP="00813F84">
            <w:pPr>
              <w:pStyle w:val="BodyIndent1"/>
              <w:spacing w:before="120" w:after="120"/>
              <w:ind w:left="0"/>
              <w:rPr>
                <w:rFonts w:asciiTheme="majorHAnsi" w:hAnsiTheme="majorHAnsi" w:cstheme="majorHAnsi"/>
              </w:rPr>
            </w:pPr>
            <w:r w:rsidRPr="00C07E94">
              <w:rPr>
                <w:rFonts w:asciiTheme="majorHAnsi" w:hAnsiTheme="majorHAnsi" w:cstheme="majorHAnsi"/>
              </w:rPr>
              <w:t>API</w:t>
            </w:r>
          </w:p>
        </w:tc>
        <w:tc>
          <w:tcPr>
            <w:tcW w:w="6694" w:type="dxa"/>
          </w:tcPr>
          <w:p w14:paraId="024660BC" w14:textId="1684463A" w:rsidR="0081549D" w:rsidRPr="00C07E94" w:rsidRDefault="0095249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an Application Programming Interface. </w:t>
            </w:r>
          </w:p>
        </w:tc>
      </w:tr>
      <w:tr w:rsidR="0054336D" w:rsidRPr="007220FA" w14:paraId="418B12DA"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CD30241" w14:textId="77777777" w:rsidR="0054336D" w:rsidRPr="00C07E94" w:rsidRDefault="0054336D" w:rsidP="00813F84">
            <w:pPr>
              <w:pStyle w:val="BodyIndent1"/>
              <w:spacing w:before="120" w:after="120"/>
              <w:ind w:left="0"/>
              <w:rPr>
                <w:rFonts w:asciiTheme="majorHAnsi" w:hAnsiTheme="majorHAnsi" w:cstheme="majorHAnsi"/>
                <w:bCs w:val="0"/>
              </w:rPr>
            </w:pPr>
            <w:r w:rsidRPr="00C07E94">
              <w:rPr>
                <w:rFonts w:asciiTheme="majorHAnsi" w:hAnsiTheme="majorHAnsi" w:cstheme="majorHAnsi"/>
              </w:rPr>
              <w:t>APP, or Australian Privacy Principle</w:t>
            </w:r>
          </w:p>
        </w:tc>
        <w:tc>
          <w:tcPr>
            <w:tcW w:w="6694" w:type="dxa"/>
          </w:tcPr>
          <w:p w14:paraId="360A3B20" w14:textId="77777777" w:rsidR="0054336D" w:rsidRPr="00C07E94"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has the meaning given to it in the Privacy </w:t>
            </w:r>
            <w:proofErr w:type="gramStart"/>
            <w:r w:rsidRPr="00C07E94">
              <w:rPr>
                <w:rFonts w:asciiTheme="majorHAnsi" w:hAnsiTheme="majorHAnsi" w:cstheme="majorHAnsi"/>
              </w:rPr>
              <w:t>Act.</w:t>
            </w:r>
            <w:proofErr w:type="gramEnd"/>
          </w:p>
        </w:tc>
      </w:tr>
      <w:tr w:rsidR="00C07724" w:rsidRPr="007220FA" w14:paraId="601BAC4C"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0703EBD" w14:textId="3DFEDBD4" w:rsidR="00C07724" w:rsidRPr="00C07E94" w:rsidRDefault="00C07724" w:rsidP="00813F84">
            <w:pPr>
              <w:pStyle w:val="BodyIndent1"/>
              <w:spacing w:before="120" w:after="120"/>
              <w:ind w:left="0"/>
              <w:rPr>
                <w:rFonts w:asciiTheme="majorHAnsi" w:hAnsiTheme="majorHAnsi" w:cstheme="majorHAnsi"/>
              </w:rPr>
            </w:pPr>
            <w:r w:rsidRPr="00C07E94">
              <w:rPr>
                <w:rFonts w:asciiTheme="majorHAnsi" w:hAnsiTheme="majorHAnsi" w:cstheme="majorHAnsi"/>
              </w:rPr>
              <w:t>APP Guidelines</w:t>
            </w:r>
          </w:p>
        </w:tc>
        <w:tc>
          <w:tcPr>
            <w:tcW w:w="6694" w:type="dxa"/>
          </w:tcPr>
          <w:p w14:paraId="7D23C3CE" w14:textId="6F9C40AC" w:rsidR="00C07724" w:rsidRPr="00C07E94" w:rsidRDefault="00326C94"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w:t>
            </w:r>
            <w:r w:rsidRPr="00C07E94">
              <w:rPr>
                <w:rFonts w:asciiTheme="majorHAnsi" w:hAnsiTheme="majorHAnsi" w:cstheme="majorHAnsi"/>
                <w:i/>
                <w:iCs/>
              </w:rPr>
              <w:t>Australian Privacy Principles Guidelines</w:t>
            </w:r>
            <w:r w:rsidRPr="00C07E94">
              <w:rPr>
                <w:rFonts w:asciiTheme="majorHAnsi" w:hAnsiTheme="majorHAnsi" w:cstheme="majorHAnsi"/>
              </w:rPr>
              <w:t xml:space="preserve">, issued by the OAIC. </w:t>
            </w:r>
          </w:p>
        </w:tc>
      </w:tr>
      <w:tr w:rsidR="00A611D5" w:rsidRPr="007220FA" w14:paraId="543C23DB"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D57648F" w14:textId="2321A092" w:rsidR="00A611D5" w:rsidRPr="00C07E94" w:rsidRDefault="009923A6" w:rsidP="00813F84">
            <w:pPr>
              <w:pStyle w:val="BodyIndent1"/>
              <w:spacing w:before="120" w:after="120"/>
              <w:ind w:left="0"/>
              <w:rPr>
                <w:rFonts w:asciiTheme="majorHAnsi" w:hAnsiTheme="majorHAnsi" w:cstheme="majorHAnsi"/>
              </w:rPr>
            </w:pPr>
            <w:r w:rsidRPr="00C07E94">
              <w:rPr>
                <w:rFonts w:asciiTheme="majorHAnsi" w:hAnsiTheme="majorHAnsi" w:cstheme="majorHAnsi"/>
              </w:rPr>
              <w:t>Booking Platform or BP</w:t>
            </w:r>
          </w:p>
        </w:tc>
        <w:tc>
          <w:tcPr>
            <w:tcW w:w="6694" w:type="dxa"/>
          </w:tcPr>
          <w:p w14:paraId="5CB98550" w14:textId="3DFF4844" w:rsidR="00A26A92" w:rsidRPr="00C07E94" w:rsidRDefault="00F83B26" w:rsidP="003C28F6">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Commonwealth-</w:t>
            </w:r>
            <w:r w:rsidR="007D5945" w:rsidRPr="00C07E94">
              <w:rPr>
                <w:rFonts w:asciiTheme="majorHAnsi" w:hAnsiTheme="majorHAnsi" w:cstheme="majorHAnsi"/>
              </w:rPr>
              <w:t>P</w:t>
            </w:r>
            <w:r w:rsidRPr="00C07E94">
              <w:rPr>
                <w:rFonts w:asciiTheme="majorHAnsi" w:hAnsiTheme="majorHAnsi" w:cstheme="majorHAnsi"/>
              </w:rPr>
              <w:t>rocured Booking Platform, through which</w:t>
            </w:r>
            <w:r w:rsidR="00A26A92" w:rsidRPr="00C07E94">
              <w:rPr>
                <w:rFonts w:asciiTheme="majorHAnsi" w:hAnsiTheme="majorHAnsi" w:cstheme="majorHAnsi"/>
              </w:rPr>
              <w:t xml:space="preserve"> individuals </w:t>
            </w:r>
            <w:proofErr w:type="gramStart"/>
            <w:r w:rsidR="00A26A92" w:rsidRPr="00C07E94">
              <w:rPr>
                <w:rFonts w:asciiTheme="majorHAnsi" w:hAnsiTheme="majorHAnsi" w:cstheme="majorHAnsi"/>
              </w:rPr>
              <w:t>are able to</w:t>
            </w:r>
            <w:proofErr w:type="gramEnd"/>
            <w:r w:rsidR="00A26A92" w:rsidRPr="00C07E94">
              <w:rPr>
                <w:rFonts w:asciiTheme="majorHAnsi" w:hAnsiTheme="majorHAnsi" w:cstheme="majorHAnsi"/>
              </w:rPr>
              <w:t xml:space="preserve"> make online bookings to receive a COVID-19 vaccine with a Vaccine Provider (where that Vaccine Provider does not otherwise have an online booking system and wishes to use the </w:t>
            </w:r>
            <w:r w:rsidR="003C28F6" w:rsidRPr="00C07E94">
              <w:rPr>
                <w:rFonts w:asciiTheme="majorHAnsi" w:hAnsiTheme="majorHAnsi" w:cstheme="majorHAnsi"/>
              </w:rPr>
              <w:t>BP).</w:t>
            </w:r>
          </w:p>
        </w:tc>
      </w:tr>
      <w:tr w:rsidR="0081549D" w:rsidRPr="007220FA" w14:paraId="170B559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4ECF3CA" w14:textId="5953C1B1" w:rsidR="0081549D" w:rsidRPr="00C07E94" w:rsidRDefault="0081549D" w:rsidP="00813F84">
            <w:pPr>
              <w:pStyle w:val="BodyIndent1"/>
              <w:spacing w:before="120" w:after="120"/>
              <w:ind w:left="0"/>
              <w:rPr>
                <w:rFonts w:asciiTheme="majorHAnsi" w:hAnsiTheme="majorHAnsi" w:cstheme="majorHAnsi"/>
              </w:rPr>
            </w:pPr>
            <w:r w:rsidRPr="00C07E94">
              <w:rPr>
                <w:rFonts w:asciiTheme="majorHAnsi" w:hAnsiTheme="majorHAnsi" w:cstheme="majorHAnsi"/>
              </w:rPr>
              <w:t>BP Information</w:t>
            </w:r>
          </w:p>
        </w:tc>
        <w:tc>
          <w:tcPr>
            <w:tcW w:w="6694" w:type="dxa"/>
          </w:tcPr>
          <w:p w14:paraId="31514D32" w14:textId="5C85A4A1" w:rsidR="0081549D" w:rsidRPr="00C07E94" w:rsidRDefault="0095249D" w:rsidP="003C28F6">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personal information (including sensitive information) collected via the BP. </w:t>
            </w:r>
          </w:p>
        </w:tc>
      </w:tr>
      <w:tr w:rsidR="00150BA4" w:rsidRPr="007220FA" w14:paraId="4A09E27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03840C92" w14:textId="49930B54" w:rsidR="00150BA4" w:rsidRPr="00C07E94" w:rsidRDefault="00150BA4" w:rsidP="00813F84">
            <w:pPr>
              <w:pStyle w:val="BodyIndent1"/>
              <w:spacing w:before="120" w:after="120"/>
              <w:ind w:left="0"/>
              <w:rPr>
                <w:rFonts w:asciiTheme="majorHAnsi" w:hAnsiTheme="majorHAnsi" w:cstheme="majorHAnsi"/>
                <w:b w:val="0"/>
                <w:bCs w:val="0"/>
              </w:rPr>
            </w:pPr>
            <w:r w:rsidRPr="00C07E94">
              <w:rPr>
                <w:rFonts w:asciiTheme="majorHAnsi" w:hAnsiTheme="majorHAnsi" w:cstheme="majorHAnsi"/>
              </w:rPr>
              <w:t xml:space="preserve">Clinic </w:t>
            </w:r>
          </w:p>
        </w:tc>
        <w:tc>
          <w:tcPr>
            <w:tcW w:w="6694" w:type="dxa"/>
          </w:tcPr>
          <w:p w14:paraId="7BE2E220" w14:textId="44F634E2" w:rsidR="00150BA4" w:rsidRPr="00C07E94" w:rsidRDefault="00150BA4"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w:t>
            </w:r>
            <w:r w:rsidR="0081549D" w:rsidRPr="00C07E94">
              <w:rPr>
                <w:rFonts w:asciiTheme="majorHAnsi" w:hAnsiTheme="majorHAnsi" w:cstheme="majorHAnsi"/>
              </w:rPr>
              <w:t xml:space="preserve">clinic operated by a Vaccine Provider. </w:t>
            </w:r>
          </w:p>
        </w:tc>
      </w:tr>
      <w:tr w:rsidR="0081549D" w:rsidRPr="007220FA" w14:paraId="20DE239D"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64D3FFE" w14:textId="12559101" w:rsidR="0081549D" w:rsidRPr="00C07E94" w:rsidRDefault="0081549D" w:rsidP="00813F84">
            <w:pPr>
              <w:pStyle w:val="BodyIndent1"/>
              <w:spacing w:before="120" w:after="120"/>
              <w:ind w:left="0"/>
              <w:rPr>
                <w:rFonts w:asciiTheme="majorHAnsi" w:hAnsiTheme="majorHAnsi" w:cstheme="majorHAnsi"/>
              </w:rPr>
            </w:pPr>
            <w:r w:rsidRPr="00C07E94">
              <w:rPr>
                <w:rFonts w:asciiTheme="majorHAnsi" w:hAnsiTheme="majorHAnsi" w:cstheme="majorHAnsi"/>
              </w:rPr>
              <w:t xml:space="preserve">Clinic </w:t>
            </w:r>
            <w:r w:rsidR="00DD7879" w:rsidRPr="00C07E94">
              <w:rPr>
                <w:rFonts w:asciiTheme="majorHAnsi" w:hAnsiTheme="majorHAnsi" w:cstheme="majorHAnsi"/>
              </w:rPr>
              <w:t xml:space="preserve">Registration List </w:t>
            </w:r>
          </w:p>
        </w:tc>
        <w:tc>
          <w:tcPr>
            <w:tcW w:w="6694" w:type="dxa"/>
          </w:tcPr>
          <w:p w14:paraId="7C9CA7CB" w14:textId="48553FBA" w:rsidR="0081549D" w:rsidRPr="00C07E94" w:rsidRDefault="00170712"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list of all Patients who have booked to receive a COVID-19 vaccination with a Vaccine Provider in a particular Clinic on a particular day. </w:t>
            </w:r>
          </w:p>
        </w:tc>
      </w:tr>
      <w:tr w:rsidR="0054336D" w:rsidRPr="007220FA" w14:paraId="74A6D218"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4A9A4D08" w14:textId="77777777" w:rsidR="0054336D" w:rsidRPr="00C07E94" w:rsidRDefault="0054336D" w:rsidP="00813F84">
            <w:pPr>
              <w:pStyle w:val="BodyIndent1"/>
              <w:spacing w:before="120" w:after="120"/>
              <w:ind w:left="0"/>
              <w:rPr>
                <w:rFonts w:asciiTheme="majorHAnsi" w:hAnsiTheme="majorHAnsi" w:cstheme="majorHAnsi"/>
                <w:bCs w:val="0"/>
              </w:rPr>
            </w:pPr>
            <w:r w:rsidRPr="00C07E94">
              <w:rPr>
                <w:rFonts w:asciiTheme="majorHAnsi" w:hAnsiTheme="majorHAnsi" w:cstheme="majorHAnsi"/>
              </w:rPr>
              <w:t>COVID-19</w:t>
            </w:r>
          </w:p>
        </w:tc>
        <w:tc>
          <w:tcPr>
            <w:tcW w:w="6694" w:type="dxa"/>
          </w:tcPr>
          <w:p w14:paraId="1C89FC75" w14:textId="77777777" w:rsidR="0054336D" w:rsidRPr="00C07E94"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coronavirus disease caused by the severe acute respiratory syndrome coronavirus 2 (SARS-CoV-2).</w:t>
            </w:r>
          </w:p>
        </w:tc>
      </w:tr>
      <w:tr w:rsidR="007D5945" w:rsidRPr="007220FA" w14:paraId="0152CFF9"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4EDB4197" w14:textId="056BEE99" w:rsidR="007D5945" w:rsidRPr="00C07E94" w:rsidRDefault="007D5945" w:rsidP="007A20C5">
            <w:pPr>
              <w:pStyle w:val="BodyIndent1"/>
              <w:spacing w:before="120" w:after="120"/>
              <w:ind w:left="0"/>
              <w:rPr>
                <w:rFonts w:asciiTheme="majorHAnsi" w:hAnsiTheme="majorHAnsi" w:cstheme="majorHAnsi"/>
              </w:rPr>
            </w:pPr>
            <w:r w:rsidRPr="00C07E94">
              <w:rPr>
                <w:rFonts w:asciiTheme="majorHAnsi" w:hAnsiTheme="majorHAnsi" w:cstheme="majorHAnsi"/>
              </w:rPr>
              <w:t>CP</w:t>
            </w:r>
          </w:p>
        </w:tc>
        <w:tc>
          <w:tcPr>
            <w:tcW w:w="6694" w:type="dxa"/>
          </w:tcPr>
          <w:p w14:paraId="4C700A95" w14:textId="7AA3C488" w:rsidR="007D5945" w:rsidRPr="00C07E94" w:rsidRDefault="007D594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w:t>
            </w:r>
            <w:r w:rsidR="003C7D61" w:rsidRPr="00C07E94">
              <w:rPr>
                <w:rFonts w:asciiTheme="majorHAnsi" w:hAnsiTheme="majorHAnsi" w:cstheme="majorHAnsi"/>
              </w:rPr>
              <w:t>c</w:t>
            </w:r>
            <w:r w:rsidRPr="00C07E94">
              <w:rPr>
                <w:rFonts w:asciiTheme="majorHAnsi" w:hAnsiTheme="majorHAnsi" w:cstheme="majorHAnsi"/>
              </w:rPr>
              <w:t xml:space="preserve">ommunity </w:t>
            </w:r>
            <w:r w:rsidR="003C7D61" w:rsidRPr="00C07E94">
              <w:rPr>
                <w:rFonts w:asciiTheme="majorHAnsi" w:hAnsiTheme="majorHAnsi" w:cstheme="majorHAnsi"/>
              </w:rPr>
              <w:t>p</w:t>
            </w:r>
            <w:r w:rsidRPr="00C07E94">
              <w:rPr>
                <w:rFonts w:asciiTheme="majorHAnsi" w:hAnsiTheme="majorHAnsi" w:cstheme="majorHAnsi"/>
              </w:rPr>
              <w:t xml:space="preserve">harmacy. </w:t>
            </w:r>
          </w:p>
        </w:tc>
      </w:tr>
      <w:tr w:rsidR="007A20C5" w:rsidRPr="007220FA" w14:paraId="07A7393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F72A110" w14:textId="73211F3C" w:rsidR="007A20C5" w:rsidRPr="00C07E94" w:rsidRDefault="007A20C5" w:rsidP="007A20C5">
            <w:pPr>
              <w:pStyle w:val="BodyIndent1"/>
              <w:spacing w:before="120" w:after="120"/>
              <w:ind w:left="0"/>
              <w:rPr>
                <w:rFonts w:asciiTheme="majorHAnsi" w:hAnsiTheme="majorHAnsi" w:cstheme="majorHAnsi"/>
              </w:rPr>
            </w:pPr>
            <w:r w:rsidRPr="00C07E94">
              <w:rPr>
                <w:rFonts w:asciiTheme="majorHAnsi" w:hAnsiTheme="majorHAnsi" w:cstheme="majorHAnsi"/>
              </w:rPr>
              <w:t>CVAS</w:t>
            </w:r>
          </w:p>
        </w:tc>
        <w:tc>
          <w:tcPr>
            <w:tcW w:w="6694" w:type="dxa"/>
          </w:tcPr>
          <w:p w14:paraId="6B99D5AD" w14:textId="71E354D6" w:rsidR="007A20C5" w:rsidRPr="00C07E94"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COVID-19 Vaccine Administrati</w:t>
            </w:r>
            <w:r w:rsidR="00EA65A1" w:rsidRPr="00C07E94">
              <w:rPr>
                <w:rFonts w:asciiTheme="majorHAnsi" w:hAnsiTheme="majorHAnsi" w:cstheme="majorHAnsi"/>
              </w:rPr>
              <w:t>ve</w:t>
            </w:r>
            <w:r w:rsidRPr="00C07E94">
              <w:rPr>
                <w:rFonts w:asciiTheme="majorHAnsi" w:hAnsiTheme="majorHAnsi" w:cstheme="majorHAnsi"/>
              </w:rPr>
              <w:t xml:space="preserve"> System, which is Health’s system for procuring, </w:t>
            </w:r>
            <w:proofErr w:type="gramStart"/>
            <w:r w:rsidRPr="00C07E94">
              <w:rPr>
                <w:rFonts w:asciiTheme="majorHAnsi" w:hAnsiTheme="majorHAnsi" w:cstheme="majorHAnsi"/>
              </w:rPr>
              <w:t>ordering</w:t>
            </w:r>
            <w:proofErr w:type="gramEnd"/>
            <w:r w:rsidRPr="00C07E94">
              <w:rPr>
                <w:rFonts w:asciiTheme="majorHAnsi" w:hAnsiTheme="majorHAnsi" w:cstheme="majorHAnsi"/>
              </w:rPr>
              <w:t xml:space="preserve"> and distributing vaccines to States and Territories, facilitating </w:t>
            </w:r>
            <w:r w:rsidR="00D835F0" w:rsidRPr="00C07E94">
              <w:rPr>
                <w:rFonts w:asciiTheme="majorHAnsi" w:hAnsiTheme="majorHAnsi" w:cstheme="majorHAnsi"/>
              </w:rPr>
              <w:t xml:space="preserve">the </w:t>
            </w:r>
            <w:r w:rsidRPr="00C07E94">
              <w:rPr>
                <w:rFonts w:asciiTheme="majorHAnsi" w:hAnsiTheme="majorHAnsi" w:cstheme="majorHAnsi"/>
              </w:rPr>
              <w:t>management of supply chains for all vaccines procured by the Commonwealth.</w:t>
            </w:r>
          </w:p>
        </w:tc>
      </w:tr>
      <w:tr w:rsidR="0082243B" w:rsidRPr="007220FA" w14:paraId="70848876"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0646681" w14:textId="3F27EB47" w:rsidR="0082243B" w:rsidRPr="00C07E94" w:rsidRDefault="0082243B" w:rsidP="007A20C5">
            <w:pPr>
              <w:pStyle w:val="BodyIndent1"/>
              <w:spacing w:before="120" w:after="120"/>
              <w:ind w:left="0"/>
              <w:rPr>
                <w:rFonts w:asciiTheme="majorHAnsi" w:hAnsiTheme="majorHAnsi" w:cstheme="majorHAnsi"/>
              </w:rPr>
            </w:pPr>
            <w:r w:rsidRPr="00C07E94">
              <w:rPr>
                <w:rFonts w:asciiTheme="majorHAnsi" w:hAnsiTheme="majorHAnsi" w:cstheme="majorHAnsi"/>
              </w:rPr>
              <w:t>CVIP</w:t>
            </w:r>
          </w:p>
        </w:tc>
        <w:tc>
          <w:tcPr>
            <w:tcW w:w="6694" w:type="dxa"/>
          </w:tcPr>
          <w:p w14:paraId="16BD2015" w14:textId="7536D49E" w:rsidR="0082243B" w:rsidRPr="00C07E94" w:rsidRDefault="0082243B"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w:t>
            </w:r>
            <w:r w:rsidR="00175FB5">
              <w:rPr>
                <w:rFonts w:asciiTheme="majorHAnsi" w:hAnsiTheme="majorHAnsi" w:cstheme="majorHAnsi"/>
              </w:rPr>
              <w:t xml:space="preserve">Clinician Vaccine Integrated </w:t>
            </w:r>
            <w:proofErr w:type="gramStart"/>
            <w:r w:rsidR="00175FB5">
              <w:rPr>
                <w:rFonts w:asciiTheme="majorHAnsi" w:hAnsiTheme="majorHAnsi" w:cstheme="majorHAnsi"/>
              </w:rPr>
              <w:t>Platform</w:t>
            </w:r>
            <w:proofErr w:type="gramEnd"/>
            <w:r w:rsidR="00175FB5">
              <w:rPr>
                <w:rFonts w:asciiTheme="majorHAnsi" w:hAnsiTheme="majorHAnsi" w:cstheme="majorHAnsi"/>
              </w:rPr>
              <w:t xml:space="preserve"> which is </w:t>
            </w:r>
            <w:r w:rsidRPr="00C07E94">
              <w:rPr>
                <w:rFonts w:asciiTheme="majorHAnsi" w:hAnsiTheme="majorHAnsi" w:cstheme="majorHAnsi"/>
              </w:rPr>
              <w:t xml:space="preserve">the solution, including the CVIP App, which has been designed </w:t>
            </w:r>
            <w:r w:rsidR="00D835F0" w:rsidRPr="00C07E94">
              <w:rPr>
                <w:rFonts w:asciiTheme="majorHAnsi" w:hAnsiTheme="majorHAnsi" w:cstheme="majorHAnsi"/>
              </w:rPr>
              <w:t xml:space="preserve">in </w:t>
            </w:r>
            <w:r w:rsidRPr="00C07E94">
              <w:rPr>
                <w:rFonts w:asciiTheme="majorHAnsi" w:hAnsiTheme="majorHAnsi" w:cstheme="majorHAnsi"/>
              </w:rPr>
              <w:t xml:space="preserve">order to assist Vaccine Providers/Vaccinators </w:t>
            </w:r>
            <w:r w:rsidR="00D835F0" w:rsidRPr="00C07E94">
              <w:rPr>
                <w:rFonts w:asciiTheme="majorHAnsi" w:hAnsiTheme="majorHAnsi" w:cstheme="majorHAnsi"/>
              </w:rPr>
              <w:t xml:space="preserve">to </w:t>
            </w:r>
            <w:r w:rsidRPr="00C07E94">
              <w:rPr>
                <w:rFonts w:asciiTheme="majorHAnsi" w:hAnsiTheme="majorHAnsi" w:cstheme="majorHAnsi"/>
              </w:rPr>
              <w:t>transmit and input relevant Vaccine Strategy Information into the AIR.</w:t>
            </w:r>
          </w:p>
        </w:tc>
      </w:tr>
      <w:tr w:rsidR="007A20C5" w:rsidRPr="007220FA" w14:paraId="33FEB157"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4CD819C1" w14:textId="40A57CC0" w:rsidR="007A20C5" w:rsidRPr="00C07E94" w:rsidRDefault="007A20C5" w:rsidP="007A20C5">
            <w:pPr>
              <w:pStyle w:val="BodyIndent1"/>
              <w:spacing w:before="120" w:after="120"/>
              <w:ind w:left="0"/>
              <w:rPr>
                <w:rFonts w:asciiTheme="majorHAnsi" w:hAnsiTheme="majorHAnsi" w:cstheme="majorHAnsi"/>
              </w:rPr>
            </w:pPr>
            <w:r w:rsidRPr="00C07E94">
              <w:rPr>
                <w:rFonts w:asciiTheme="majorHAnsi" w:hAnsiTheme="majorHAnsi" w:cstheme="majorHAnsi"/>
              </w:rPr>
              <w:t>CVIP App</w:t>
            </w:r>
          </w:p>
        </w:tc>
        <w:tc>
          <w:tcPr>
            <w:tcW w:w="6694" w:type="dxa"/>
          </w:tcPr>
          <w:p w14:paraId="1960DCAE" w14:textId="45E4549B" w:rsidR="007A20C5" w:rsidRPr="00C07E94" w:rsidRDefault="007A20C5" w:rsidP="00A53DB9">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w:t>
            </w:r>
            <w:r w:rsidR="0052403E" w:rsidRPr="00C07E94">
              <w:rPr>
                <w:rFonts w:asciiTheme="majorHAnsi" w:hAnsiTheme="majorHAnsi" w:cstheme="majorHAnsi"/>
              </w:rPr>
              <w:t xml:space="preserve">the </w:t>
            </w:r>
            <w:r w:rsidR="00A53DB9" w:rsidRPr="00C07E94">
              <w:rPr>
                <w:rFonts w:asciiTheme="majorHAnsi" w:hAnsiTheme="majorHAnsi" w:cstheme="majorHAnsi"/>
              </w:rPr>
              <w:t xml:space="preserve">mobile </w:t>
            </w:r>
            <w:r w:rsidR="00EA65A1" w:rsidRPr="00C07E94">
              <w:rPr>
                <w:rFonts w:asciiTheme="majorHAnsi" w:hAnsiTheme="majorHAnsi" w:cstheme="majorHAnsi"/>
              </w:rPr>
              <w:t>application</w:t>
            </w:r>
            <w:r w:rsidR="0052403E" w:rsidRPr="00C07E94">
              <w:rPr>
                <w:rFonts w:asciiTheme="majorHAnsi" w:hAnsiTheme="majorHAnsi" w:cstheme="majorHAnsi"/>
              </w:rPr>
              <w:t xml:space="preserve"> </w:t>
            </w:r>
            <w:r w:rsidR="009923A6" w:rsidRPr="00C07E94">
              <w:rPr>
                <w:rFonts w:asciiTheme="majorHAnsi" w:hAnsiTheme="majorHAnsi" w:cstheme="majorHAnsi"/>
              </w:rPr>
              <w:t>that forms part of</w:t>
            </w:r>
            <w:r w:rsidR="0052403E" w:rsidRPr="00C07E94">
              <w:rPr>
                <w:rFonts w:asciiTheme="majorHAnsi" w:hAnsiTheme="majorHAnsi" w:cstheme="majorHAnsi"/>
              </w:rPr>
              <w:t xml:space="preserve"> the CVIP solution.</w:t>
            </w:r>
          </w:p>
        </w:tc>
      </w:tr>
      <w:tr w:rsidR="00DD7879" w:rsidRPr="007220FA" w:rsidDel="00A611D5" w14:paraId="7B6F6F76"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E18660C" w14:textId="5334AC46" w:rsidR="00DD7879" w:rsidRPr="00C07E94" w:rsidRDefault="00DD7879" w:rsidP="007A20C5">
            <w:pPr>
              <w:pStyle w:val="BodyIndent1"/>
              <w:spacing w:before="120" w:after="120"/>
              <w:ind w:left="0"/>
              <w:rPr>
                <w:rFonts w:asciiTheme="majorHAnsi" w:hAnsiTheme="majorHAnsi" w:cstheme="majorHAnsi"/>
              </w:rPr>
            </w:pPr>
            <w:r w:rsidRPr="00C07E94">
              <w:rPr>
                <w:rFonts w:asciiTheme="majorHAnsi" w:hAnsiTheme="majorHAnsi" w:cstheme="majorHAnsi"/>
              </w:rPr>
              <w:t>Eligibility Information</w:t>
            </w:r>
          </w:p>
        </w:tc>
        <w:tc>
          <w:tcPr>
            <w:tcW w:w="6694" w:type="dxa"/>
          </w:tcPr>
          <w:p w14:paraId="490FBA6B" w14:textId="3F412874" w:rsidR="00DD7879" w:rsidRPr="00C07E94" w:rsidRDefault="00C07E94"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pPr>
            <w:r w:rsidRPr="00C07E94">
              <w:t xml:space="preserve">means information about which </w:t>
            </w:r>
            <w:r w:rsidR="005C74AD" w:rsidRPr="00C07E94">
              <w:t xml:space="preserve">defined </w:t>
            </w:r>
            <w:r w:rsidRPr="00C07E94">
              <w:t>category</w:t>
            </w:r>
            <w:r w:rsidR="005C74AD" w:rsidRPr="00C07E94">
              <w:t xml:space="preserve"> of eligibility (to receive a COVID-19 vaccine) </w:t>
            </w:r>
            <w:r w:rsidRPr="00C07E94">
              <w:t xml:space="preserve">best reflects the category into which a Patient falls. </w:t>
            </w:r>
          </w:p>
        </w:tc>
      </w:tr>
      <w:tr w:rsidR="005C2539" w:rsidRPr="007220FA" w:rsidDel="00A611D5" w14:paraId="226DD28F"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17C0242" w14:textId="28C8AD7E" w:rsidR="005C2539" w:rsidRPr="007220FA" w:rsidRDefault="005C2539" w:rsidP="007A20C5">
            <w:pPr>
              <w:pStyle w:val="BodyIndent1"/>
              <w:spacing w:before="120" w:after="120"/>
              <w:ind w:left="0"/>
              <w:rPr>
                <w:rFonts w:asciiTheme="majorHAnsi" w:hAnsiTheme="majorHAnsi" w:cstheme="majorHAnsi"/>
              </w:rPr>
            </w:pPr>
            <w:r>
              <w:rPr>
                <w:rFonts w:asciiTheme="majorHAnsi" w:hAnsiTheme="majorHAnsi" w:cstheme="majorHAnsi"/>
              </w:rPr>
              <w:lastRenderedPageBreak/>
              <w:t>Eligible Data Breach</w:t>
            </w:r>
          </w:p>
        </w:tc>
        <w:tc>
          <w:tcPr>
            <w:tcW w:w="6694" w:type="dxa"/>
          </w:tcPr>
          <w:p w14:paraId="2D6F5071" w14:textId="7564F7B0" w:rsidR="005C2539" w:rsidRPr="007220FA" w:rsidRDefault="00C07E94"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pPr>
            <w:r>
              <w:t xml:space="preserve">has the meaning given in the Privacy </w:t>
            </w:r>
            <w:proofErr w:type="gramStart"/>
            <w:r>
              <w:t>Act.</w:t>
            </w:r>
            <w:proofErr w:type="gramEnd"/>
            <w:r>
              <w:t xml:space="preserve"> </w:t>
            </w:r>
          </w:p>
        </w:tc>
      </w:tr>
      <w:tr w:rsidR="007A20C5" w:rsidRPr="007220FA" w:rsidDel="00A611D5" w14:paraId="0F2F5DB7"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0C574F60" w14:textId="37906A23" w:rsidR="007A20C5" w:rsidRPr="00C07E94" w:rsidDel="00A611D5" w:rsidRDefault="007A20C5" w:rsidP="007A20C5">
            <w:pPr>
              <w:pStyle w:val="BodyIndent1"/>
              <w:spacing w:before="120" w:after="120"/>
              <w:ind w:left="0"/>
              <w:rPr>
                <w:rFonts w:asciiTheme="majorHAnsi" w:hAnsiTheme="majorHAnsi" w:cstheme="majorHAnsi"/>
              </w:rPr>
            </w:pPr>
            <w:r w:rsidRPr="00C07E94">
              <w:rPr>
                <w:rFonts w:asciiTheme="majorHAnsi" w:hAnsiTheme="majorHAnsi" w:cstheme="majorHAnsi"/>
              </w:rPr>
              <w:t>GP</w:t>
            </w:r>
          </w:p>
        </w:tc>
        <w:tc>
          <w:tcPr>
            <w:tcW w:w="6694" w:type="dxa"/>
          </w:tcPr>
          <w:p w14:paraId="0C8CC35C" w14:textId="70E7C795" w:rsidR="007A20C5" w:rsidRPr="00C07E94" w:rsidDel="00A611D5"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w:t>
            </w:r>
            <w:r w:rsidR="00A11DCE" w:rsidRPr="00C07E94">
              <w:rPr>
                <w:rFonts w:asciiTheme="majorHAnsi" w:hAnsiTheme="majorHAnsi" w:cstheme="majorHAnsi"/>
              </w:rPr>
              <w:t>G</w:t>
            </w:r>
            <w:r w:rsidRPr="00C07E94">
              <w:rPr>
                <w:rFonts w:asciiTheme="majorHAnsi" w:hAnsiTheme="majorHAnsi" w:cstheme="majorHAnsi"/>
              </w:rPr>
              <w:t xml:space="preserve">eneral </w:t>
            </w:r>
            <w:r w:rsidR="00A11DCE" w:rsidRPr="00C07E94">
              <w:rPr>
                <w:rFonts w:asciiTheme="majorHAnsi" w:hAnsiTheme="majorHAnsi" w:cstheme="majorHAnsi"/>
              </w:rPr>
              <w:t>P</w:t>
            </w:r>
            <w:r w:rsidRPr="00C07E94">
              <w:rPr>
                <w:rFonts w:asciiTheme="majorHAnsi" w:hAnsiTheme="majorHAnsi" w:cstheme="majorHAnsi"/>
              </w:rPr>
              <w:t>ractitioner.</w:t>
            </w:r>
          </w:p>
        </w:tc>
      </w:tr>
      <w:tr w:rsidR="007A20C5" w:rsidRPr="007220FA" w14:paraId="5BFD12C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4FBDCAE2"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Health</w:t>
            </w:r>
          </w:p>
        </w:tc>
        <w:tc>
          <w:tcPr>
            <w:tcW w:w="6694" w:type="dxa"/>
          </w:tcPr>
          <w:p w14:paraId="3F1D240E" w14:textId="77777777" w:rsidR="007A20C5" w:rsidRPr="00C07E94"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Commonwealth Department of Health.</w:t>
            </w:r>
          </w:p>
        </w:tc>
      </w:tr>
      <w:tr w:rsidR="0095249D" w:rsidRPr="007220FA" w14:paraId="5E2672EE"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670B3C9E" w14:textId="7A3790D5" w:rsidR="0095249D" w:rsidRPr="00C07E94" w:rsidRDefault="0095249D" w:rsidP="007A20C5">
            <w:pPr>
              <w:pStyle w:val="BodyIndent1"/>
              <w:spacing w:before="120" w:after="120"/>
              <w:ind w:left="0"/>
              <w:rPr>
                <w:rFonts w:asciiTheme="majorHAnsi" w:hAnsiTheme="majorHAnsi" w:cstheme="majorHAnsi"/>
              </w:rPr>
            </w:pPr>
            <w:r w:rsidRPr="00C07E94">
              <w:rPr>
                <w:rFonts w:asciiTheme="majorHAnsi" w:hAnsiTheme="majorHAnsi" w:cstheme="majorHAnsi"/>
              </w:rPr>
              <w:t>HealthEngine</w:t>
            </w:r>
          </w:p>
        </w:tc>
        <w:tc>
          <w:tcPr>
            <w:tcW w:w="6694" w:type="dxa"/>
          </w:tcPr>
          <w:p w14:paraId="35216B84" w14:textId="5F94E78E" w:rsidR="0095249D" w:rsidRPr="00C07E94" w:rsidRDefault="0095249D"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HealthEngine Pty Ltd. </w:t>
            </w:r>
          </w:p>
        </w:tc>
      </w:tr>
      <w:tr w:rsidR="0081549D" w:rsidRPr="007220FA" w14:paraId="34EADE4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6389DF87" w14:textId="33862324" w:rsidR="0081549D" w:rsidRPr="00C07E94" w:rsidRDefault="0081549D" w:rsidP="007A20C5">
            <w:pPr>
              <w:pStyle w:val="BodyIndent1"/>
              <w:spacing w:before="120" w:after="120"/>
              <w:ind w:left="0"/>
              <w:rPr>
                <w:rFonts w:asciiTheme="majorHAnsi" w:hAnsiTheme="majorHAnsi" w:cstheme="majorHAnsi"/>
              </w:rPr>
            </w:pPr>
            <w:r w:rsidRPr="00C07E94">
              <w:rPr>
                <w:rFonts w:asciiTheme="majorHAnsi" w:hAnsiTheme="majorHAnsi" w:cstheme="majorHAnsi"/>
              </w:rPr>
              <w:t>IRN</w:t>
            </w:r>
          </w:p>
        </w:tc>
        <w:tc>
          <w:tcPr>
            <w:tcW w:w="6694" w:type="dxa"/>
          </w:tcPr>
          <w:p w14:paraId="3B5131A8" w14:textId="64AA71B0" w:rsidR="0081549D" w:rsidRPr="00C07E94" w:rsidRDefault="0081549D" w:rsidP="0095249D">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w:t>
            </w:r>
            <w:r w:rsidR="0095249D" w:rsidRPr="00C07E94">
              <w:rPr>
                <w:rFonts w:asciiTheme="majorHAnsi" w:hAnsiTheme="majorHAnsi" w:cstheme="majorHAnsi"/>
              </w:rPr>
              <w:t xml:space="preserve">the </w:t>
            </w:r>
            <w:r w:rsidRPr="00C07E94">
              <w:rPr>
                <w:rFonts w:asciiTheme="majorHAnsi" w:hAnsiTheme="majorHAnsi" w:cstheme="majorHAnsi"/>
              </w:rPr>
              <w:t xml:space="preserve">Individual Reference Number </w:t>
            </w:r>
            <w:r w:rsidR="0095249D" w:rsidRPr="00C07E94">
              <w:rPr>
                <w:rFonts w:asciiTheme="majorHAnsi" w:hAnsiTheme="majorHAnsi" w:cstheme="majorHAnsi"/>
              </w:rPr>
              <w:t>on a Medicare card.</w:t>
            </w:r>
            <w:r w:rsidR="0095249D" w:rsidRPr="00C07E94">
              <w:t xml:space="preserve"> </w:t>
            </w:r>
          </w:p>
        </w:tc>
      </w:tr>
      <w:tr w:rsidR="00E50F67" w:rsidRPr="007220FA" w14:paraId="707F8278"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E415EE7" w14:textId="14C4F880" w:rsidR="00E50F67" w:rsidRPr="00C07E94" w:rsidRDefault="00E50F67" w:rsidP="007A20C5">
            <w:pPr>
              <w:pStyle w:val="BodyIndent1"/>
              <w:spacing w:before="120" w:after="120"/>
              <w:ind w:left="0"/>
              <w:rPr>
                <w:rFonts w:asciiTheme="majorHAnsi" w:hAnsiTheme="majorHAnsi" w:cstheme="majorHAnsi"/>
              </w:rPr>
            </w:pPr>
            <w:r w:rsidRPr="00C07E94">
              <w:rPr>
                <w:rFonts w:asciiTheme="majorHAnsi" w:hAnsiTheme="majorHAnsi" w:cstheme="majorHAnsi"/>
              </w:rPr>
              <w:t>Minors</w:t>
            </w:r>
          </w:p>
        </w:tc>
        <w:tc>
          <w:tcPr>
            <w:tcW w:w="6694" w:type="dxa"/>
          </w:tcPr>
          <w:p w14:paraId="0CE2B67D" w14:textId="04EBCD45" w:rsidR="00E50F67" w:rsidRPr="00C07E94" w:rsidRDefault="00E50F67" w:rsidP="00F56249">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a Patient under 18 years of age.</w:t>
            </w:r>
          </w:p>
        </w:tc>
      </w:tr>
      <w:tr w:rsidR="005C2539" w:rsidRPr="007220FA" w14:paraId="04CE648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0D5FB891" w14:textId="554CD386" w:rsidR="005C2539" w:rsidRPr="00C07E94" w:rsidRDefault="005C2539" w:rsidP="007A20C5">
            <w:pPr>
              <w:pStyle w:val="BodyIndent1"/>
              <w:spacing w:before="120" w:after="120"/>
              <w:ind w:left="0"/>
              <w:rPr>
                <w:rFonts w:asciiTheme="majorHAnsi" w:hAnsiTheme="majorHAnsi" w:cstheme="majorHAnsi"/>
              </w:rPr>
            </w:pPr>
            <w:r w:rsidRPr="00C07E94">
              <w:rPr>
                <w:rFonts w:asciiTheme="majorHAnsi" w:hAnsiTheme="majorHAnsi" w:cstheme="majorHAnsi"/>
              </w:rPr>
              <w:t>MOU</w:t>
            </w:r>
          </w:p>
        </w:tc>
        <w:tc>
          <w:tcPr>
            <w:tcW w:w="6694" w:type="dxa"/>
          </w:tcPr>
          <w:p w14:paraId="2C383ECF" w14:textId="6F972915" w:rsidR="005C2539" w:rsidRPr="00C07E94" w:rsidRDefault="005C2539" w:rsidP="00F56249">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memorandum of understanding. </w:t>
            </w:r>
          </w:p>
        </w:tc>
      </w:tr>
      <w:tr w:rsidR="007A20C5" w:rsidRPr="007220FA" w14:paraId="2393B7C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8F6EFAA"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OAIC</w:t>
            </w:r>
          </w:p>
        </w:tc>
        <w:tc>
          <w:tcPr>
            <w:tcW w:w="6694" w:type="dxa"/>
          </w:tcPr>
          <w:p w14:paraId="1455330A" w14:textId="77777777" w:rsidR="007A20C5" w:rsidRPr="00C07E94"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Office of the Australian Information Commissioner. </w:t>
            </w:r>
          </w:p>
        </w:tc>
      </w:tr>
      <w:tr w:rsidR="007A20C5" w:rsidRPr="007220FA" w14:paraId="404C080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4FE79DA"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 xml:space="preserve">organisation </w:t>
            </w:r>
          </w:p>
        </w:tc>
        <w:tc>
          <w:tcPr>
            <w:tcW w:w="6694" w:type="dxa"/>
          </w:tcPr>
          <w:p w14:paraId="6195863F" w14:textId="3D7F1AB1" w:rsidR="007A20C5" w:rsidRPr="00C07E94"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has the meaning given by section 6C of the Privacy </w:t>
            </w:r>
            <w:proofErr w:type="gramStart"/>
            <w:r w:rsidRPr="00C07E94">
              <w:rPr>
                <w:rFonts w:asciiTheme="majorHAnsi" w:hAnsiTheme="majorHAnsi" w:cstheme="majorHAnsi"/>
              </w:rPr>
              <w:t>Act.</w:t>
            </w:r>
            <w:proofErr w:type="gramEnd"/>
          </w:p>
        </w:tc>
      </w:tr>
      <w:tr w:rsidR="007D5945" w:rsidRPr="007220FA" w14:paraId="38AC9115"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1DC8017" w14:textId="47F5DCAD" w:rsidR="007D5945" w:rsidRPr="00C07E94" w:rsidRDefault="007D5945" w:rsidP="007A20C5">
            <w:pPr>
              <w:pStyle w:val="BodyIndent1"/>
              <w:spacing w:before="120" w:after="120"/>
              <w:ind w:left="0"/>
              <w:rPr>
                <w:rFonts w:asciiTheme="majorHAnsi" w:hAnsiTheme="majorHAnsi" w:cstheme="majorHAnsi"/>
              </w:rPr>
            </w:pPr>
            <w:r w:rsidRPr="00C07E94">
              <w:rPr>
                <w:rFonts w:asciiTheme="majorHAnsi" w:hAnsiTheme="majorHAnsi" w:cstheme="majorHAnsi"/>
              </w:rPr>
              <w:t>Original PIA</w:t>
            </w:r>
          </w:p>
        </w:tc>
        <w:tc>
          <w:tcPr>
            <w:tcW w:w="6694" w:type="dxa"/>
          </w:tcPr>
          <w:p w14:paraId="232AB69E" w14:textId="118B6773" w:rsidR="007D5945" w:rsidRPr="00C07E94" w:rsidRDefault="007D594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PIA in relation to Phase 1a of the implementation of the Vaccine Strategy, completed in February 2021. </w:t>
            </w:r>
          </w:p>
        </w:tc>
      </w:tr>
      <w:tr w:rsidR="007A20C5" w:rsidRPr="007220FA" w14:paraId="4C18509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FDC2EDC"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Partners</w:t>
            </w:r>
          </w:p>
        </w:tc>
        <w:tc>
          <w:tcPr>
            <w:tcW w:w="6694" w:type="dxa"/>
          </w:tcPr>
          <w:p w14:paraId="7CFE8A9B" w14:textId="787096A1" w:rsidR="007A20C5" w:rsidRPr="00C07E94" w:rsidRDefault="004F4B72"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entities contracted by Health to assist with the vaccine roll-out.</w:t>
            </w:r>
          </w:p>
        </w:tc>
      </w:tr>
      <w:tr w:rsidR="007A20C5" w:rsidRPr="007220FA" w14:paraId="678A287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096AC6FB"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Patient</w:t>
            </w:r>
          </w:p>
        </w:tc>
        <w:tc>
          <w:tcPr>
            <w:tcW w:w="6694" w:type="dxa"/>
          </w:tcPr>
          <w:p w14:paraId="60604028" w14:textId="77777777" w:rsidR="007A20C5" w:rsidRPr="00C07E94"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an individual wishing to receive a vaccine for COVID-19.</w:t>
            </w:r>
          </w:p>
        </w:tc>
      </w:tr>
      <w:tr w:rsidR="007A20C5" w:rsidRPr="007220FA" w14:paraId="0E4E490E"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A3FCA61" w14:textId="77777777" w:rsidR="007A20C5" w:rsidRPr="00C07E94" w:rsidRDefault="007A20C5" w:rsidP="007A20C5">
            <w:pPr>
              <w:pStyle w:val="BodyIndent1"/>
              <w:spacing w:before="120" w:after="120"/>
              <w:ind w:left="0"/>
              <w:rPr>
                <w:rFonts w:asciiTheme="majorHAnsi" w:hAnsiTheme="majorHAnsi" w:cstheme="majorHAnsi"/>
              </w:rPr>
            </w:pPr>
            <w:r w:rsidRPr="00C07E94">
              <w:rPr>
                <w:rFonts w:asciiTheme="majorHAnsi" w:hAnsiTheme="majorHAnsi" w:cstheme="majorHAnsi"/>
              </w:rPr>
              <w:t>Patient Information</w:t>
            </w:r>
          </w:p>
        </w:tc>
        <w:tc>
          <w:tcPr>
            <w:tcW w:w="6694" w:type="dxa"/>
          </w:tcPr>
          <w:p w14:paraId="3C43C0F5" w14:textId="77777777" w:rsidR="007A20C5" w:rsidRPr="00C07E94"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information collected about a Patient, which may include personal information (including sensitive information).</w:t>
            </w:r>
          </w:p>
        </w:tc>
      </w:tr>
      <w:tr w:rsidR="007A20C5" w:rsidRPr="007220FA" w14:paraId="37E4FACF"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6C554D97" w14:textId="77777777" w:rsidR="007A20C5" w:rsidRPr="00C07E94" w:rsidRDefault="007A20C5" w:rsidP="007A20C5">
            <w:pPr>
              <w:pStyle w:val="BodyIndent1"/>
              <w:spacing w:before="120" w:after="120"/>
              <w:ind w:left="0"/>
              <w:rPr>
                <w:rFonts w:asciiTheme="majorHAnsi" w:hAnsiTheme="majorHAnsi" w:cstheme="majorHAnsi"/>
                <w:bCs w:val="0"/>
              </w:rPr>
            </w:pPr>
            <w:r w:rsidRPr="00C07E94">
              <w:rPr>
                <w:rFonts w:asciiTheme="majorHAnsi" w:hAnsiTheme="majorHAnsi" w:cstheme="majorHAnsi"/>
              </w:rPr>
              <w:t>personal information</w:t>
            </w:r>
          </w:p>
        </w:tc>
        <w:tc>
          <w:tcPr>
            <w:tcW w:w="6694" w:type="dxa"/>
          </w:tcPr>
          <w:p w14:paraId="1F8E79D7" w14:textId="77777777" w:rsidR="007A20C5" w:rsidRPr="00C07E94"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has the meaning given in section 6 of the Privacy </w:t>
            </w:r>
            <w:proofErr w:type="gramStart"/>
            <w:r w:rsidRPr="00C07E94">
              <w:rPr>
                <w:rFonts w:asciiTheme="majorHAnsi" w:hAnsiTheme="majorHAnsi" w:cstheme="majorHAnsi"/>
              </w:rPr>
              <w:t>Act.</w:t>
            </w:r>
            <w:proofErr w:type="gramEnd"/>
            <w:r w:rsidRPr="00C07E94">
              <w:rPr>
                <w:rFonts w:asciiTheme="majorHAnsi" w:hAnsiTheme="majorHAnsi" w:cstheme="majorHAnsi"/>
              </w:rPr>
              <w:t xml:space="preserve"> </w:t>
            </w:r>
          </w:p>
        </w:tc>
      </w:tr>
      <w:tr w:rsidR="007220FA" w:rsidRPr="007220FA" w14:paraId="57AA3E7C"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6369BA8A" w14:textId="0B7FD433"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 xml:space="preserve">Phase 1b </w:t>
            </w:r>
            <w:r w:rsidR="008C1512">
              <w:rPr>
                <w:rFonts w:asciiTheme="majorHAnsi" w:hAnsiTheme="majorHAnsi" w:cstheme="majorHAnsi"/>
              </w:rPr>
              <w:t xml:space="preserve">Update </w:t>
            </w:r>
            <w:r w:rsidRPr="00C07E94">
              <w:rPr>
                <w:rFonts w:asciiTheme="majorHAnsi" w:hAnsiTheme="majorHAnsi" w:cstheme="majorHAnsi"/>
              </w:rPr>
              <w:t>PIA</w:t>
            </w:r>
          </w:p>
        </w:tc>
        <w:tc>
          <w:tcPr>
            <w:tcW w:w="6694" w:type="dxa"/>
          </w:tcPr>
          <w:p w14:paraId="6A263ACA" w14:textId="37FD09AE"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PIA in relation to Phase 1b of the implementation of the Vaccine Strategy, completed in March 2021. </w:t>
            </w:r>
          </w:p>
        </w:tc>
      </w:tr>
      <w:tr w:rsidR="00EF28C1" w:rsidRPr="007220FA" w14:paraId="612C720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14D87F8A" w14:textId="06C9FE5C" w:rsidR="00EF28C1" w:rsidRPr="00C07E94" w:rsidRDefault="00EF28C1" w:rsidP="007220FA">
            <w:pPr>
              <w:pStyle w:val="BodyIndent1"/>
              <w:spacing w:before="120" w:after="120"/>
              <w:ind w:left="0"/>
              <w:rPr>
                <w:rFonts w:asciiTheme="majorHAnsi" w:hAnsiTheme="majorHAnsi" w:cstheme="majorHAnsi"/>
              </w:rPr>
            </w:pPr>
            <w:r w:rsidRPr="00C07E94">
              <w:rPr>
                <w:rFonts w:asciiTheme="majorHAnsi" w:hAnsiTheme="majorHAnsi" w:cstheme="majorHAnsi"/>
              </w:rPr>
              <w:t xml:space="preserve">Phase 2a </w:t>
            </w:r>
            <w:r w:rsidR="008C1512">
              <w:rPr>
                <w:rFonts w:asciiTheme="majorHAnsi" w:hAnsiTheme="majorHAnsi" w:cstheme="majorHAnsi"/>
              </w:rPr>
              <w:t xml:space="preserve">Update </w:t>
            </w:r>
            <w:r w:rsidRPr="00C07E94">
              <w:rPr>
                <w:rFonts w:asciiTheme="majorHAnsi" w:hAnsiTheme="majorHAnsi" w:cstheme="majorHAnsi"/>
              </w:rPr>
              <w:t>PIA</w:t>
            </w:r>
          </w:p>
        </w:tc>
        <w:tc>
          <w:tcPr>
            <w:tcW w:w="6694" w:type="dxa"/>
          </w:tcPr>
          <w:p w14:paraId="50A1905F" w14:textId="49594735" w:rsidR="00EF28C1" w:rsidRPr="00C07E94" w:rsidRDefault="00EF28C1"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this PIA in relation to </w:t>
            </w:r>
            <w:r w:rsidR="008C1512">
              <w:rPr>
                <w:rFonts w:asciiTheme="majorHAnsi" w:hAnsiTheme="majorHAnsi" w:cstheme="majorHAnsi"/>
              </w:rPr>
              <w:t xml:space="preserve">various changes and new functionality introduced as part of </w:t>
            </w:r>
            <w:r w:rsidRPr="00C07E94">
              <w:rPr>
                <w:rFonts w:asciiTheme="majorHAnsi" w:hAnsiTheme="majorHAnsi" w:cstheme="majorHAnsi"/>
              </w:rPr>
              <w:t xml:space="preserve">Phase 2a of the implementation of the Vaccine Strategy. </w:t>
            </w:r>
          </w:p>
        </w:tc>
      </w:tr>
      <w:tr w:rsidR="007220FA" w:rsidRPr="007220FA" w14:paraId="23FA90A4"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D920EA4"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PIA</w:t>
            </w:r>
          </w:p>
        </w:tc>
        <w:tc>
          <w:tcPr>
            <w:tcW w:w="6694" w:type="dxa"/>
          </w:tcPr>
          <w:p w14:paraId="274883F2" w14:textId="1A0BEF86"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privacy impact assessment. </w:t>
            </w:r>
          </w:p>
        </w:tc>
      </w:tr>
      <w:tr w:rsidR="00326C94" w:rsidRPr="007220FA" w14:paraId="4DB1A7F7"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EEC7735" w14:textId="013DBA77" w:rsidR="00326C94" w:rsidRPr="00C07E94" w:rsidRDefault="00326C94" w:rsidP="007220FA">
            <w:pPr>
              <w:pStyle w:val="BodyIndent1"/>
              <w:spacing w:before="120" w:after="120"/>
              <w:ind w:left="0"/>
              <w:rPr>
                <w:rFonts w:asciiTheme="majorHAnsi" w:hAnsiTheme="majorHAnsi" w:cstheme="majorHAnsi"/>
              </w:rPr>
            </w:pPr>
            <w:r w:rsidRPr="00C07E94">
              <w:rPr>
                <w:rFonts w:asciiTheme="majorHAnsi" w:hAnsiTheme="majorHAnsi" w:cstheme="majorHAnsi"/>
              </w:rPr>
              <w:t>PIA Guide</w:t>
            </w:r>
          </w:p>
        </w:tc>
        <w:tc>
          <w:tcPr>
            <w:tcW w:w="6694" w:type="dxa"/>
          </w:tcPr>
          <w:p w14:paraId="10A60F9D" w14:textId="4721732B" w:rsidR="00326C94" w:rsidRPr="00C07E94" w:rsidRDefault="00326C94"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w:t>
            </w:r>
            <w:r w:rsidRPr="00C07E94">
              <w:rPr>
                <w:rFonts w:asciiTheme="majorHAnsi" w:hAnsiTheme="majorHAnsi" w:cstheme="majorHAnsi"/>
                <w:i/>
                <w:iCs/>
              </w:rPr>
              <w:t>Guide to undertaking privacy impact assessments</w:t>
            </w:r>
            <w:r w:rsidRPr="00C07E94">
              <w:rPr>
                <w:rFonts w:asciiTheme="majorHAnsi" w:hAnsiTheme="majorHAnsi" w:cstheme="majorHAnsi"/>
              </w:rPr>
              <w:t xml:space="preserve">, published by the OAIC. </w:t>
            </w:r>
          </w:p>
        </w:tc>
      </w:tr>
      <w:tr w:rsidR="007C5100" w:rsidRPr="007220FA" w14:paraId="595D6BA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1568BB27" w14:textId="4CAC2C96" w:rsidR="007C5100" w:rsidRPr="00C07E94" w:rsidRDefault="007C5100" w:rsidP="007220FA">
            <w:pPr>
              <w:pStyle w:val="BodyIndent1"/>
              <w:spacing w:before="120" w:after="120"/>
              <w:ind w:left="0"/>
              <w:rPr>
                <w:rFonts w:asciiTheme="majorHAnsi" w:hAnsiTheme="majorHAnsi" w:cstheme="majorHAnsi"/>
              </w:rPr>
            </w:pPr>
            <w:r w:rsidRPr="00C07E94">
              <w:rPr>
                <w:rFonts w:asciiTheme="majorHAnsi" w:hAnsiTheme="majorHAnsi" w:cstheme="majorHAnsi"/>
              </w:rPr>
              <w:t>PIC</w:t>
            </w:r>
          </w:p>
        </w:tc>
        <w:tc>
          <w:tcPr>
            <w:tcW w:w="6694" w:type="dxa"/>
          </w:tcPr>
          <w:p w14:paraId="6DE0850E" w14:textId="48CB69A2" w:rsidR="007C5100" w:rsidRPr="00C07E94" w:rsidRDefault="007C5100"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Public Interest Certificate issued under section 22(3) of the AIR Act. </w:t>
            </w:r>
          </w:p>
        </w:tc>
      </w:tr>
      <w:tr w:rsidR="007220FA" w:rsidRPr="007220FA" w14:paraId="1FE8B6FE"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4E8B670" w14:textId="577CF7AF"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PPA</w:t>
            </w:r>
          </w:p>
        </w:tc>
        <w:tc>
          <w:tcPr>
            <w:tcW w:w="6694" w:type="dxa"/>
          </w:tcPr>
          <w:p w14:paraId="7EABCD1C" w14:textId="05BC6AC5" w:rsidR="007220FA" w:rsidRPr="00C07E94" w:rsidRDefault="007220FA"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Pharmacy Programs Administrator contracted by Health under the Seventh Community Pharmacy Agreement. </w:t>
            </w:r>
          </w:p>
        </w:tc>
      </w:tr>
      <w:tr w:rsidR="007220FA" w:rsidRPr="007220FA" w14:paraId="38AD89A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E8BA01E"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Privacy Act</w:t>
            </w:r>
          </w:p>
        </w:tc>
        <w:tc>
          <w:tcPr>
            <w:tcW w:w="6694" w:type="dxa"/>
          </w:tcPr>
          <w:p w14:paraId="2D8A961C" w14:textId="77777777"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w:t>
            </w:r>
            <w:r w:rsidRPr="00C07E94">
              <w:rPr>
                <w:rFonts w:asciiTheme="majorHAnsi" w:hAnsiTheme="majorHAnsi" w:cstheme="majorHAnsi"/>
                <w:i/>
              </w:rPr>
              <w:t>Privacy Act 1988</w:t>
            </w:r>
            <w:r w:rsidRPr="00C07E94">
              <w:rPr>
                <w:rFonts w:asciiTheme="majorHAnsi" w:hAnsiTheme="majorHAnsi" w:cstheme="majorHAnsi"/>
              </w:rPr>
              <w:t xml:space="preserve"> (Cth).</w:t>
            </w:r>
          </w:p>
        </w:tc>
      </w:tr>
      <w:tr w:rsidR="00FF2E07" w:rsidRPr="007220FA" w14:paraId="22950950"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0D8E76E" w14:textId="7E84153B" w:rsidR="00FF2E07" w:rsidRPr="00C07E94" w:rsidRDefault="00FF2E07" w:rsidP="00FF2E07">
            <w:pPr>
              <w:pStyle w:val="BodyIndent1"/>
              <w:spacing w:before="120" w:after="120"/>
              <w:ind w:left="0"/>
              <w:rPr>
                <w:rFonts w:asciiTheme="majorHAnsi" w:hAnsiTheme="majorHAnsi" w:cstheme="majorHAnsi"/>
              </w:rPr>
            </w:pPr>
            <w:r w:rsidRPr="00C07E94">
              <w:rPr>
                <w:rFonts w:asciiTheme="majorHAnsi" w:hAnsiTheme="majorHAnsi" w:cstheme="majorHAnsi"/>
              </w:rPr>
              <w:t>Privacy Notice</w:t>
            </w:r>
          </w:p>
        </w:tc>
        <w:tc>
          <w:tcPr>
            <w:tcW w:w="6694" w:type="dxa"/>
          </w:tcPr>
          <w:p w14:paraId="0C332EBF" w14:textId="4FDA9432" w:rsidR="00FF2E07" w:rsidRPr="00C07E94" w:rsidRDefault="00FF2E07" w:rsidP="00FF2E07">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collection notice that contains </w:t>
            </w:r>
            <w:r w:rsidR="00872229">
              <w:rPr>
                <w:rFonts w:asciiTheme="majorHAnsi" w:hAnsiTheme="majorHAnsi" w:cstheme="majorHAnsi"/>
              </w:rPr>
              <w:t xml:space="preserve">the </w:t>
            </w:r>
            <w:r w:rsidRPr="00C07E94">
              <w:rPr>
                <w:rFonts w:asciiTheme="majorHAnsi" w:hAnsiTheme="majorHAnsi" w:cstheme="majorHAnsi"/>
              </w:rPr>
              <w:t xml:space="preserve">matters </w:t>
            </w:r>
            <w:r w:rsidR="00872229">
              <w:rPr>
                <w:rFonts w:asciiTheme="majorHAnsi" w:hAnsiTheme="majorHAnsi" w:cstheme="majorHAnsi"/>
              </w:rPr>
              <w:t xml:space="preserve">required </w:t>
            </w:r>
            <w:r w:rsidRPr="00C07E94">
              <w:rPr>
                <w:rFonts w:asciiTheme="majorHAnsi" w:hAnsiTheme="majorHAnsi" w:cstheme="majorHAnsi"/>
              </w:rPr>
              <w:t>by APP</w:t>
            </w:r>
            <w:r w:rsidR="00872229">
              <w:rPr>
                <w:rFonts w:asciiTheme="majorHAnsi" w:hAnsiTheme="majorHAnsi" w:cstheme="majorHAnsi"/>
              </w:rPr>
              <w:t> </w:t>
            </w:r>
            <w:r w:rsidRPr="00C07E94">
              <w:rPr>
                <w:rFonts w:asciiTheme="majorHAnsi" w:hAnsiTheme="majorHAnsi" w:cstheme="majorHAnsi"/>
              </w:rPr>
              <w:t xml:space="preserve">5.2.  </w:t>
            </w:r>
          </w:p>
        </w:tc>
      </w:tr>
      <w:tr w:rsidR="007220FA" w:rsidRPr="007220FA" w14:paraId="595EB4A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4860768" w14:textId="77777777"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Privacy Policy</w:t>
            </w:r>
          </w:p>
        </w:tc>
        <w:tc>
          <w:tcPr>
            <w:tcW w:w="6694" w:type="dxa"/>
          </w:tcPr>
          <w:p w14:paraId="54D70EC6" w14:textId="78BA4355"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a privacy policy</w:t>
            </w:r>
            <w:r w:rsidR="007C1721" w:rsidRPr="00C07E94">
              <w:rPr>
                <w:rFonts w:asciiTheme="majorHAnsi" w:hAnsiTheme="majorHAnsi" w:cstheme="majorHAnsi"/>
              </w:rPr>
              <w:t xml:space="preserve"> that includes </w:t>
            </w:r>
            <w:r w:rsidR="00872229">
              <w:rPr>
                <w:rFonts w:asciiTheme="majorHAnsi" w:hAnsiTheme="majorHAnsi" w:cstheme="majorHAnsi"/>
              </w:rPr>
              <w:t xml:space="preserve">the </w:t>
            </w:r>
            <w:r w:rsidR="007C1721" w:rsidRPr="00C07E94">
              <w:rPr>
                <w:rFonts w:asciiTheme="majorHAnsi" w:hAnsiTheme="majorHAnsi" w:cstheme="majorHAnsi"/>
              </w:rPr>
              <w:t xml:space="preserve">matters </w:t>
            </w:r>
            <w:r w:rsidR="00872229">
              <w:rPr>
                <w:rFonts w:asciiTheme="majorHAnsi" w:hAnsiTheme="majorHAnsi" w:cstheme="majorHAnsi"/>
              </w:rPr>
              <w:t xml:space="preserve">required </w:t>
            </w:r>
            <w:r w:rsidR="007C1721" w:rsidRPr="00C07E94">
              <w:rPr>
                <w:rFonts w:asciiTheme="majorHAnsi" w:hAnsiTheme="majorHAnsi" w:cstheme="majorHAnsi"/>
              </w:rPr>
              <w:t xml:space="preserve">by APP 1.4. </w:t>
            </w:r>
          </w:p>
        </w:tc>
      </w:tr>
      <w:tr w:rsidR="007220FA" w:rsidRPr="007220FA" w14:paraId="0B426AB5"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64AD90E2" w14:textId="75B4600D"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lastRenderedPageBreak/>
              <w:t>PRODA</w:t>
            </w:r>
          </w:p>
        </w:tc>
        <w:tc>
          <w:tcPr>
            <w:tcW w:w="6694" w:type="dxa"/>
          </w:tcPr>
          <w:p w14:paraId="719C10EE" w14:textId="3A606EDD" w:rsidR="007220FA" w:rsidRPr="00C07E94" w:rsidRDefault="00170712"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Provider Digital Access, an online identity verification and authentication system that allows secure access to </w:t>
            </w:r>
            <w:proofErr w:type="gramStart"/>
            <w:r w:rsidRPr="00C07E94">
              <w:rPr>
                <w:rFonts w:asciiTheme="majorHAnsi" w:hAnsiTheme="majorHAnsi" w:cstheme="majorHAnsi"/>
              </w:rPr>
              <w:t>particular Commonwealth</w:t>
            </w:r>
            <w:proofErr w:type="gramEnd"/>
            <w:r w:rsidRPr="00C07E94">
              <w:rPr>
                <w:rFonts w:asciiTheme="majorHAnsi" w:hAnsiTheme="majorHAnsi" w:cstheme="majorHAnsi"/>
              </w:rPr>
              <w:t xml:space="preserve"> government online services. </w:t>
            </w:r>
          </w:p>
        </w:tc>
      </w:tr>
      <w:tr w:rsidR="007220FA" w:rsidRPr="007220FA" w14:paraId="650F31C4"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144FB4E" w14:textId="77777777"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Provider Personnel</w:t>
            </w:r>
          </w:p>
        </w:tc>
        <w:tc>
          <w:tcPr>
            <w:tcW w:w="6694" w:type="dxa"/>
          </w:tcPr>
          <w:p w14:paraId="6E699F3F" w14:textId="77777777"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Vaccine Provider’s personnel.</w:t>
            </w:r>
          </w:p>
        </w:tc>
      </w:tr>
      <w:tr w:rsidR="007220FA" w:rsidRPr="007220FA" w14:paraId="6B859675"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7EFA4CEF" w14:textId="3F6B8692"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 xml:space="preserve">RYI </w:t>
            </w:r>
            <w:r w:rsidRPr="00C07E94">
              <w:rPr>
                <w:rFonts w:asciiTheme="majorHAnsi" w:hAnsiTheme="majorHAnsi" w:cstheme="majorHAnsi"/>
                <w:b w:val="0"/>
                <w:bCs w:val="0"/>
              </w:rPr>
              <w:t>or</w:t>
            </w:r>
            <w:r w:rsidRPr="00C07E94">
              <w:rPr>
                <w:rFonts w:asciiTheme="majorHAnsi" w:hAnsiTheme="majorHAnsi" w:cstheme="majorHAnsi"/>
              </w:rPr>
              <w:t xml:space="preserve"> RYI solution</w:t>
            </w:r>
          </w:p>
        </w:tc>
        <w:tc>
          <w:tcPr>
            <w:tcW w:w="6694" w:type="dxa"/>
          </w:tcPr>
          <w:p w14:paraId="63666D8D" w14:textId="6304975C" w:rsidR="007220FA" w:rsidRPr="00C07E94" w:rsidRDefault="007220FA"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the ‘Register your Interest’ solution, which allows members of the public to choose to be contacted when the future Phase in which they will be eligible to make a booking to receive a vaccine will commence.</w:t>
            </w:r>
          </w:p>
        </w:tc>
      </w:tr>
      <w:tr w:rsidR="00DD7879" w:rsidRPr="007220FA" w14:paraId="3F4F0D2F"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8EEF3A6" w14:textId="08BB7DE8" w:rsidR="00DD7879" w:rsidRPr="00C07E94" w:rsidRDefault="00DD7879" w:rsidP="007220FA">
            <w:pPr>
              <w:pStyle w:val="BodyIndent1"/>
              <w:spacing w:before="120" w:after="120"/>
              <w:ind w:left="0"/>
              <w:rPr>
                <w:rFonts w:asciiTheme="majorHAnsi" w:hAnsiTheme="majorHAnsi" w:cstheme="majorHAnsi"/>
              </w:rPr>
            </w:pPr>
            <w:r w:rsidRPr="00C07E94">
              <w:rPr>
                <w:rFonts w:asciiTheme="majorHAnsi" w:hAnsiTheme="majorHAnsi" w:cstheme="majorHAnsi"/>
              </w:rPr>
              <w:t>SA Clinics</w:t>
            </w:r>
          </w:p>
        </w:tc>
        <w:tc>
          <w:tcPr>
            <w:tcW w:w="6694" w:type="dxa"/>
          </w:tcPr>
          <w:p w14:paraId="02061B39" w14:textId="22E7B0BE" w:rsidR="00DD7879" w:rsidRPr="00C07E94" w:rsidRDefault="00C07E94"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t xml:space="preserve">means </w:t>
            </w:r>
            <w:proofErr w:type="gramStart"/>
            <w:r w:rsidR="005C74AD" w:rsidRPr="00C07E94">
              <w:t>publicly-run</w:t>
            </w:r>
            <w:proofErr w:type="gramEnd"/>
            <w:r w:rsidR="005C74AD" w:rsidRPr="00C07E94">
              <w:t xml:space="preserve"> vaccination clinics in South Australia</w:t>
            </w:r>
          </w:p>
        </w:tc>
      </w:tr>
      <w:tr w:rsidR="00BC5E2B" w:rsidRPr="007220FA" w14:paraId="43F055C2"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6CD52FF5" w14:textId="51F7FC7B" w:rsidR="00BC5E2B" w:rsidRPr="00C07E94" w:rsidRDefault="00BC5E2B" w:rsidP="007220FA">
            <w:pPr>
              <w:pStyle w:val="BodyIndent1"/>
              <w:spacing w:before="120" w:after="120"/>
              <w:ind w:left="0"/>
              <w:rPr>
                <w:rFonts w:asciiTheme="majorHAnsi" w:hAnsiTheme="majorHAnsi" w:cstheme="majorHAnsi"/>
              </w:rPr>
            </w:pPr>
            <w:r w:rsidRPr="00C07E94">
              <w:rPr>
                <w:rFonts w:asciiTheme="majorHAnsi" w:hAnsiTheme="majorHAnsi" w:cstheme="majorHAnsi"/>
              </w:rPr>
              <w:t>SA Data Team</w:t>
            </w:r>
          </w:p>
        </w:tc>
        <w:tc>
          <w:tcPr>
            <w:tcW w:w="6694" w:type="dxa"/>
          </w:tcPr>
          <w:p w14:paraId="499DC08A" w14:textId="53465A85" w:rsidR="00BC5E2B" w:rsidRPr="00C07E94" w:rsidRDefault="00C07E94"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team of that name within SA Health. </w:t>
            </w:r>
          </w:p>
        </w:tc>
      </w:tr>
      <w:tr w:rsidR="005C2539" w:rsidRPr="007220FA" w14:paraId="5EBDE0A8"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7D4032D" w14:textId="0D59BC49" w:rsidR="005C2539" w:rsidRPr="00C07E94" w:rsidRDefault="005C2539" w:rsidP="007220FA">
            <w:pPr>
              <w:pStyle w:val="BodyIndent1"/>
              <w:spacing w:before="120" w:after="120"/>
              <w:ind w:left="0"/>
              <w:rPr>
                <w:rFonts w:asciiTheme="majorHAnsi" w:hAnsiTheme="majorHAnsi" w:cstheme="majorHAnsi"/>
              </w:rPr>
            </w:pPr>
            <w:r w:rsidRPr="00C07E94">
              <w:rPr>
                <w:rFonts w:asciiTheme="majorHAnsi" w:hAnsiTheme="majorHAnsi" w:cstheme="majorHAnsi"/>
              </w:rPr>
              <w:t xml:space="preserve">SA </w:t>
            </w:r>
            <w:r w:rsidR="007C5100" w:rsidRPr="00C07E94">
              <w:rPr>
                <w:rFonts w:asciiTheme="majorHAnsi" w:hAnsiTheme="majorHAnsi" w:cstheme="majorHAnsi"/>
              </w:rPr>
              <w:t>government</w:t>
            </w:r>
          </w:p>
        </w:tc>
        <w:tc>
          <w:tcPr>
            <w:tcW w:w="6694" w:type="dxa"/>
          </w:tcPr>
          <w:p w14:paraId="0B8A968A" w14:textId="73C71C90" w:rsidR="005C2539" w:rsidRPr="00C07E94" w:rsidRDefault="00C07E94"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t xml:space="preserve">means </w:t>
            </w:r>
            <w:r w:rsidR="007C5100" w:rsidRPr="00C07E94">
              <w:t xml:space="preserve">individuals within the </w:t>
            </w:r>
            <w:r w:rsidRPr="00C07E94">
              <w:t xml:space="preserve">South Australian </w:t>
            </w:r>
            <w:r w:rsidR="007C5100" w:rsidRPr="00C07E94">
              <w:t>Department of Health and Wellbeing</w:t>
            </w:r>
            <w:r w:rsidRPr="00C07E94">
              <w:t>.</w:t>
            </w:r>
          </w:p>
        </w:tc>
      </w:tr>
      <w:tr w:rsidR="007C5100" w:rsidRPr="007220FA" w14:paraId="2A2A49E2"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4315824F" w14:textId="0283A292" w:rsidR="007C5100" w:rsidRPr="00C07E94" w:rsidRDefault="007C5100" w:rsidP="007220FA">
            <w:pPr>
              <w:pStyle w:val="BodyIndent1"/>
              <w:spacing w:before="120" w:after="120"/>
              <w:ind w:left="0"/>
              <w:rPr>
                <w:rFonts w:asciiTheme="majorHAnsi" w:hAnsiTheme="majorHAnsi" w:cstheme="majorHAnsi"/>
              </w:rPr>
            </w:pPr>
            <w:r w:rsidRPr="00C07E94">
              <w:rPr>
                <w:rFonts w:asciiTheme="majorHAnsi" w:hAnsiTheme="majorHAnsi" w:cstheme="majorHAnsi"/>
              </w:rPr>
              <w:t xml:space="preserve">SA </w:t>
            </w:r>
            <w:r w:rsidR="00C07E94" w:rsidRPr="00C07E94">
              <w:rPr>
                <w:rFonts w:asciiTheme="majorHAnsi" w:hAnsiTheme="majorHAnsi" w:cstheme="majorHAnsi"/>
              </w:rPr>
              <w:t>H</w:t>
            </w:r>
            <w:r w:rsidRPr="00C07E94">
              <w:rPr>
                <w:rFonts w:asciiTheme="majorHAnsi" w:hAnsiTheme="majorHAnsi" w:cstheme="majorHAnsi"/>
              </w:rPr>
              <w:t>ealth</w:t>
            </w:r>
          </w:p>
        </w:tc>
        <w:tc>
          <w:tcPr>
            <w:tcW w:w="6694" w:type="dxa"/>
          </w:tcPr>
          <w:p w14:paraId="2B34F867" w14:textId="571E3E8D" w:rsidR="007C5100" w:rsidRPr="00C07E94" w:rsidRDefault="00C07E94"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bCs/>
              </w:rPr>
              <w:t xml:space="preserve">means the </w:t>
            </w:r>
            <w:r w:rsidR="007C5100" w:rsidRPr="00C07E94">
              <w:rPr>
                <w:bCs/>
              </w:rPr>
              <w:t>South Australia</w:t>
            </w:r>
            <w:r w:rsidRPr="00C07E94">
              <w:rPr>
                <w:bCs/>
              </w:rPr>
              <w:t xml:space="preserve">n </w:t>
            </w:r>
            <w:r w:rsidR="007C5100" w:rsidRPr="00C07E94">
              <w:rPr>
                <w:bCs/>
              </w:rPr>
              <w:t>health department</w:t>
            </w:r>
            <w:r w:rsidRPr="00C07E94">
              <w:rPr>
                <w:bCs/>
              </w:rPr>
              <w:t>.</w:t>
            </w:r>
          </w:p>
        </w:tc>
      </w:tr>
      <w:tr w:rsidR="007220FA" w:rsidRPr="007220FA" w14:paraId="611189B4"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899020A"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sensitive information</w:t>
            </w:r>
          </w:p>
        </w:tc>
        <w:tc>
          <w:tcPr>
            <w:tcW w:w="6694" w:type="dxa"/>
          </w:tcPr>
          <w:p w14:paraId="10EFF833" w14:textId="71AD703C"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has the meaning given by section 6 of the Privacy </w:t>
            </w:r>
            <w:proofErr w:type="gramStart"/>
            <w:r w:rsidRPr="00C07E94">
              <w:rPr>
                <w:rFonts w:asciiTheme="majorHAnsi" w:hAnsiTheme="majorHAnsi" w:cstheme="majorHAnsi"/>
              </w:rPr>
              <w:t>Act.</w:t>
            </w:r>
            <w:proofErr w:type="gramEnd"/>
            <w:r w:rsidRPr="00C07E94">
              <w:rPr>
                <w:rFonts w:asciiTheme="majorHAnsi" w:hAnsiTheme="majorHAnsi" w:cstheme="majorHAnsi"/>
              </w:rPr>
              <w:t xml:space="preserve"> </w:t>
            </w:r>
          </w:p>
        </w:tc>
      </w:tr>
      <w:tr w:rsidR="004F4B72" w:rsidRPr="007220FA" w14:paraId="0EC2784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17303B97" w14:textId="05EBE8E0" w:rsidR="004F4B72" w:rsidRPr="00C07E94" w:rsidRDefault="004F4B72" w:rsidP="007220FA">
            <w:pPr>
              <w:pStyle w:val="BodyIndent1"/>
              <w:spacing w:before="120" w:after="120"/>
              <w:ind w:left="0"/>
              <w:rPr>
                <w:rFonts w:asciiTheme="majorHAnsi" w:hAnsiTheme="majorHAnsi" w:cstheme="majorHAnsi"/>
              </w:rPr>
            </w:pPr>
            <w:r w:rsidRPr="00C07E94">
              <w:rPr>
                <w:rFonts w:asciiTheme="majorHAnsi" w:hAnsiTheme="majorHAnsi" w:cstheme="majorHAnsi"/>
              </w:rPr>
              <w:t>Services Australia</w:t>
            </w:r>
          </w:p>
        </w:tc>
        <w:tc>
          <w:tcPr>
            <w:tcW w:w="6694" w:type="dxa"/>
          </w:tcPr>
          <w:p w14:paraId="306ADD8F" w14:textId="7A12CA47" w:rsidR="004F4B72" w:rsidRPr="00C07E94" w:rsidRDefault="004F4B72"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Commonwealth executive agency of that name. </w:t>
            </w:r>
          </w:p>
        </w:tc>
      </w:tr>
      <w:tr w:rsidR="007C5100" w:rsidRPr="007220FA" w14:paraId="2E2DBE46"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90DE608" w14:textId="29932463" w:rsidR="007C5100" w:rsidRPr="00C07E94" w:rsidRDefault="007C5100" w:rsidP="007220FA">
            <w:pPr>
              <w:pStyle w:val="BodyIndent1"/>
              <w:spacing w:before="120" w:after="120"/>
              <w:ind w:left="0"/>
              <w:rPr>
                <w:rFonts w:asciiTheme="majorHAnsi" w:hAnsiTheme="majorHAnsi" w:cstheme="majorHAnsi"/>
              </w:rPr>
            </w:pPr>
            <w:r w:rsidRPr="00C07E94">
              <w:rPr>
                <w:rFonts w:asciiTheme="majorHAnsi" w:hAnsiTheme="majorHAnsi" w:cstheme="majorHAnsi"/>
              </w:rPr>
              <w:t>Third Party Information</w:t>
            </w:r>
          </w:p>
        </w:tc>
        <w:tc>
          <w:tcPr>
            <w:tcW w:w="6694" w:type="dxa"/>
          </w:tcPr>
          <w:p w14:paraId="653E9D84" w14:textId="369B12F3" w:rsidR="007C5100" w:rsidRPr="00C07E94" w:rsidRDefault="00C07E94"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pPr>
            <w:r w:rsidRPr="00C07E94">
              <w:t xml:space="preserve">means personal information collected about an individual who makes a booking on behalf of a Patient through the BP. </w:t>
            </w:r>
          </w:p>
        </w:tc>
      </w:tr>
      <w:tr w:rsidR="007220FA" w:rsidRPr="007220FA" w14:paraId="1E9441F5"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77852F17"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Vaccinator</w:t>
            </w:r>
          </w:p>
        </w:tc>
        <w:tc>
          <w:tcPr>
            <w:tcW w:w="6694" w:type="dxa"/>
          </w:tcPr>
          <w:p w14:paraId="4B6C8E19" w14:textId="77777777" w:rsidR="007220FA" w:rsidRPr="00C07E94" w:rsidRDefault="007220FA"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a Provider Personnel who will administer a COVID-19 vaccine to a Patient. </w:t>
            </w:r>
          </w:p>
        </w:tc>
      </w:tr>
      <w:tr w:rsidR="007220FA" w:rsidRPr="007220FA" w14:paraId="1D9E0487"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D454118" w14:textId="77777777"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Vaccine Administrator</w:t>
            </w:r>
          </w:p>
        </w:tc>
        <w:tc>
          <w:tcPr>
            <w:tcW w:w="6694" w:type="dxa"/>
          </w:tcPr>
          <w:p w14:paraId="24DF17BA" w14:textId="77777777" w:rsidR="007220FA" w:rsidRPr="00C07E94" w:rsidRDefault="007220FA" w:rsidP="007220FA">
            <w:pPr>
              <w:pStyle w:val="BodyIndent1"/>
              <w:keepLines/>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provider contracted by Health who will provide vaccine administration services, on an ‘as required’ basis, to supplement delivery of the vaccines by other entities, including to </w:t>
            </w:r>
            <w:proofErr w:type="gramStart"/>
            <w:r w:rsidRPr="00C07E94">
              <w:rPr>
                <w:rFonts w:asciiTheme="majorHAnsi" w:hAnsiTheme="majorHAnsi" w:cstheme="majorHAnsi"/>
              </w:rPr>
              <w:t>particular priority</w:t>
            </w:r>
            <w:proofErr w:type="gramEnd"/>
            <w:r w:rsidRPr="00C07E94">
              <w:rPr>
                <w:rFonts w:asciiTheme="majorHAnsi" w:hAnsiTheme="majorHAnsi" w:cstheme="majorHAnsi"/>
              </w:rPr>
              <w:t xml:space="preserve"> and other vulnerable or hard to reach populations or communities, or in other circumstances where an additional workforce is required. The Vaccine Administrator may be a Vaccine Provider for </w:t>
            </w:r>
            <w:proofErr w:type="gramStart"/>
            <w:r w:rsidRPr="00C07E94">
              <w:rPr>
                <w:rFonts w:asciiTheme="majorHAnsi" w:hAnsiTheme="majorHAnsi" w:cstheme="majorHAnsi"/>
              </w:rPr>
              <w:t>particular locations</w:t>
            </w:r>
            <w:proofErr w:type="gramEnd"/>
            <w:r w:rsidRPr="00C07E94">
              <w:rPr>
                <w:rFonts w:asciiTheme="majorHAnsi" w:hAnsiTheme="majorHAnsi" w:cstheme="majorHAnsi"/>
              </w:rPr>
              <w:t>.</w:t>
            </w:r>
          </w:p>
        </w:tc>
      </w:tr>
      <w:tr w:rsidR="007220FA" w:rsidRPr="007220FA" w14:paraId="6D8E3EA9"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2206D3C"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Vaccine Provider</w:t>
            </w:r>
          </w:p>
        </w:tc>
        <w:tc>
          <w:tcPr>
            <w:tcW w:w="6694" w:type="dxa"/>
          </w:tcPr>
          <w:p w14:paraId="410B677F" w14:textId="77777777" w:rsidR="007220FA" w:rsidRPr="00C07E94" w:rsidRDefault="007220FA"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entity responsible for operating the site at which the </w:t>
            </w:r>
            <w:r w:rsidRPr="00C07E94">
              <w:rPr>
                <w:rFonts w:asciiTheme="majorHAnsi" w:hAnsiTheme="majorHAnsi" w:cstheme="majorHAnsi"/>
              </w:rPr>
              <w:br/>
              <w:t>COVID-19 vaccines will be administered to Patients. The Vaccine Administrator may be a Vaccine Provider.</w:t>
            </w:r>
          </w:p>
        </w:tc>
      </w:tr>
      <w:tr w:rsidR="007220FA" w:rsidRPr="007220FA" w14:paraId="5A3915A0"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0506DD33" w14:textId="77777777" w:rsidR="007220FA" w:rsidRPr="00C07E94" w:rsidRDefault="007220FA" w:rsidP="007220FA">
            <w:pPr>
              <w:pStyle w:val="BodyIndent1"/>
              <w:spacing w:before="120" w:after="120"/>
              <w:ind w:left="0"/>
              <w:rPr>
                <w:rFonts w:asciiTheme="majorHAnsi" w:hAnsiTheme="majorHAnsi" w:cstheme="majorHAnsi"/>
                <w:bCs w:val="0"/>
              </w:rPr>
            </w:pPr>
            <w:r w:rsidRPr="00C07E94">
              <w:rPr>
                <w:rFonts w:asciiTheme="majorHAnsi" w:hAnsiTheme="majorHAnsi" w:cstheme="majorHAnsi"/>
              </w:rPr>
              <w:t>Vaccine Strategy</w:t>
            </w:r>
          </w:p>
        </w:tc>
        <w:tc>
          <w:tcPr>
            <w:tcW w:w="6694" w:type="dxa"/>
          </w:tcPr>
          <w:p w14:paraId="73608E1E" w14:textId="77777777" w:rsidR="007220FA" w:rsidRPr="00C07E94" w:rsidRDefault="007220FA" w:rsidP="007220FA">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 xml:space="preserve">means the COVID-19 Vaccine and Treatment Strategy and the </w:t>
            </w:r>
            <w:r w:rsidRPr="00C07E94">
              <w:rPr>
                <w:rFonts w:asciiTheme="majorHAnsi" w:hAnsiTheme="majorHAnsi" w:cstheme="majorHAnsi"/>
              </w:rPr>
              <w:br/>
              <w:t xml:space="preserve">COVID-19 Vaccine National Roll-out Strategy, currently being implemented as part of the Australian Government’s response to the </w:t>
            </w:r>
            <w:r w:rsidRPr="00C07E94">
              <w:rPr>
                <w:rFonts w:asciiTheme="majorHAnsi" w:hAnsiTheme="majorHAnsi" w:cstheme="majorHAnsi"/>
              </w:rPr>
              <w:br/>
              <w:t>COVID-19 pandemic.</w:t>
            </w:r>
          </w:p>
        </w:tc>
      </w:tr>
      <w:tr w:rsidR="007220FA" w:rsidRPr="007220FA" w14:paraId="41D7FA4F"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AFF775C" w14:textId="77777777" w:rsidR="007220FA" w:rsidRPr="00C07E94" w:rsidRDefault="007220FA" w:rsidP="007220FA">
            <w:pPr>
              <w:pStyle w:val="BodyIndent1"/>
              <w:spacing w:before="120" w:after="120"/>
              <w:ind w:left="0"/>
              <w:rPr>
                <w:rFonts w:asciiTheme="majorHAnsi" w:hAnsiTheme="majorHAnsi" w:cstheme="majorHAnsi"/>
              </w:rPr>
            </w:pPr>
            <w:r w:rsidRPr="00C07E94">
              <w:rPr>
                <w:rFonts w:asciiTheme="majorHAnsi" w:hAnsiTheme="majorHAnsi" w:cstheme="majorHAnsi"/>
              </w:rPr>
              <w:t>Vaccine Strategy Information</w:t>
            </w:r>
          </w:p>
        </w:tc>
        <w:tc>
          <w:tcPr>
            <w:tcW w:w="6694" w:type="dxa"/>
          </w:tcPr>
          <w:p w14:paraId="1592F544" w14:textId="77777777" w:rsidR="007220FA" w:rsidRPr="00C07E94" w:rsidRDefault="007220FA" w:rsidP="007220FA">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7E94">
              <w:rPr>
                <w:rFonts w:asciiTheme="majorHAnsi" w:hAnsiTheme="majorHAnsi" w:cstheme="majorHAnsi"/>
              </w:rPr>
              <w:t>means any Patient Information, Vaccinator Information, other Provider Personnel Information, and Distribution Partner Personnel Information collected under the Vaccine Strategy.</w:t>
            </w:r>
          </w:p>
        </w:tc>
      </w:tr>
    </w:tbl>
    <w:p w14:paraId="72EA1262" w14:textId="14133365" w:rsidR="0054336D" w:rsidRPr="007220FA" w:rsidRDefault="0054336D" w:rsidP="0054336D">
      <w:pPr>
        <w:rPr>
          <w:rFonts w:asciiTheme="majorHAnsi" w:hAnsiTheme="majorHAnsi" w:cstheme="majorHAnsi"/>
        </w:rPr>
      </w:pPr>
    </w:p>
    <w:sectPr w:rsidR="0054336D" w:rsidRPr="007220FA" w:rsidSect="00D56ED5">
      <w:pgSz w:w="11906" w:h="16838" w:code="9"/>
      <w:pgMar w:top="1134"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CA26" w14:textId="77777777" w:rsidR="00330F21" w:rsidRDefault="00330F21" w:rsidP="009F2818">
      <w:r>
        <w:separator/>
      </w:r>
    </w:p>
  </w:endnote>
  <w:endnote w:type="continuationSeparator" w:id="0">
    <w:p w14:paraId="4B2D20FE" w14:textId="77777777" w:rsidR="00330F21" w:rsidRDefault="00330F21" w:rsidP="009F2818">
      <w:r>
        <w:continuationSeparator/>
      </w:r>
    </w:p>
  </w:endnote>
  <w:endnote w:type="continuationNotice" w:id="1">
    <w:p w14:paraId="423D8D80" w14:textId="77777777" w:rsidR="00330F21" w:rsidRDefault="0033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1E2" w14:textId="77777777" w:rsidR="00330F21" w:rsidRDefault="00330F21">
    <w:pPr>
      <w:pStyle w:val="Footer"/>
    </w:pPr>
  </w:p>
  <w:p w14:paraId="784880B5" w14:textId="27B73E0B" w:rsidR="00330F21" w:rsidRPr="00A155F1" w:rsidRDefault="00330F21">
    <w:pPr>
      <w:pStyle w:val="Footer"/>
      <w:rPr>
        <w:rFonts w:cs="Arial"/>
        <w:sz w:val="14"/>
      </w:rPr>
    </w:pPr>
    <w:r w:rsidRPr="002014EE">
      <w:rPr>
        <w:rFonts w:cs="Arial"/>
        <w:sz w:val="14"/>
      </w:rPr>
      <w:t>[8329023.003: 33711970_2]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C9E" w14:textId="77777777" w:rsidR="00330F21" w:rsidRDefault="00330F21">
    <w:pPr>
      <w:pStyle w:val="Footer"/>
    </w:pPr>
  </w:p>
  <w:p w14:paraId="781AD58F" w14:textId="64CAAD6A" w:rsidR="00330F21" w:rsidRDefault="00330F21" w:rsidP="00CA5C6D">
    <w:pPr>
      <w:pStyle w:val="Footer"/>
      <w:rPr>
        <w:noProof/>
      </w:rPr>
    </w:pPr>
    <w:r>
      <w:rPr>
        <w:rFonts w:cs="Arial"/>
        <w:sz w:val="14"/>
      </w:rPr>
      <w:t xml:space="preserve">  </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Pr>
        <w:noProof/>
        <w:sz w:val="14"/>
        <w:szCs w:val="14"/>
      </w:rPr>
      <w:t>53</w:t>
    </w:r>
    <w:r w:rsidRPr="00D47C94">
      <w:rPr>
        <w:sz w:val="14"/>
        <w:szCs w:val="14"/>
      </w:rPr>
      <w:fldChar w:fldCharType="end"/>
    </w:r>
  </w:p>
  <w:p w14:paraId="5D05E512" w14:textId="3E029293" w:rsidR="00330F21" w:rsidRPr="0079386C" w:rsidRDefault="00330F21" w:rsidP="0079386C">
    <w:pPr>
      <w:pStyle w:val="Footer"/>
      <w:rPr>
        <w:sz w:val="16"/>
      </w:rPr>
    </w:pPr>
    <w:r w:rsidRPr="002014EE">
      <w:rPr>
        <w:rFonts w:cs="Arial"/>
        <w:sz w:val="14"/>
        <w:szCs w:val="16"/>
      </w:rPr>
      <w:t>[8329023.003: 33711970_2]</w:t>
    </w:r>
    <w:r w:rsidRPr="0063034F" w:rsidDel="00891D13">
      <w:rPr>
        <w:rFonts w:cs="Arial"/>
        <w:sz w:val="16"/>
        <w:szCs w:val="16"/>
      </w:rPr>
      <w:t xml:space="preserve"> </w:t>
    </w:r>
    <w:r w:rsidRPr="0079386C">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72E4" w14:textId="727FD5D7" w:rsidR="00330F21" w:rsidRDefault="00330F21" w:rsidP="0079386C">
    <w:pPr>
      <w:pStyle w:val="Footer"/>
      <w:rPr>
        <w:sz w:val="14"/>
        <w:szCs w:val="14"/>
      </w:rPr>
    </w:pPr>
    <w:r w:rsidRPr="0095259B">
      <w:rPr>
        <w:rFonts w:cs="Arial"/>
        <w:bCs/>
        <w:sz w:val="14"/>
      </w:rPr>
      <w:t>\</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Pr>
        <w:noProof/>
        <w:sz w:val="14"/>
        <w:szCs w:val="14"/>
      </w:rPr>
      <w:t>51</w:t>
    </w:r>
    <w:r w:rsidRPr="00D47C94">
      <w:rPr>
        <w:sz w:val="14"/>
        <w:szCs w:val="14"/>
      </w:rPr>
      <w:fldChar w:fldCharType="end"/>
    </w:r>
  </w:p>
  <w:p w14:paraId="2D3B914B" w14:textId="03BDE999" w:rsidR="00330F21" w:rsidRPr="00AD1249" w:rsidRDefault="00330F21" w:rsidP="0079386C">
    <w:pPr>
      <w:pStyle w:val="Footer"/>
      <w:rPr>
        <w:rFonts w:cs="Arial"/>
        <w:sz w:val="14"/>
      </w:rPr>
    </w:pPr>
    <w:r w:rsidRPr="002014EE">
      <w:rPr>
        <w:rFonts w:cs="Arial"/>
        <w:sz w:val="14"/>
      </w:rPr>
      <w:t>[8329023.003: 33711970_2]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D170" w14:textId="77777777" w:rsidR="00330F21" w:rsidRDefault="00330F21" w:rsidP="009F2818">
      <w:r>
        <w:separator/>
      </w:r>
    </w:p>
  </w:footnote>
  <w:footnote w:type="continuationSeparator" w:id="0">
    <w:p w14:paraId="044C57D4" w14:textId="77777777" w:rsidR="00330F21" w:rsidRDefault="00330F21" w:rsidP="009F2818">
      <w:r>
        <w:continuationSeparator/>
      </w:r>
    </w:p>
  </w:footnote>
  <w:footnote w:type="continuationNotice" w:id="1">
    <w:p w14:paraId="3BC39D9B" w14:textId="77777777" w:rsidR="00330F21" w:rsidRDefault="00330F21"/>
  </w:footnote>
  <w:footnote w:id="2">
    <w:p w14:paraId="7FA0C32E" w14:textId="77777777" w:rsidR="00330F21" w:rsidRPr="003B574C" w:rsidRDefault="00330F21" w:rsidP="007C3D4C">
      <w:pPr>
        <w:pStyle w:val="FootnoteText"/>
        <w:rPr>
          <w:rFonts w:asciiTheme="majorHAnsi" w:hAnsiTheme="majorHAnsi" w:cstheme="majorHAnsi"/>
        </w:rPr>
      </w:pPr>
      <w:r w:rsidRPr="003B574C">
        <w:rPr>
          <w:rStyle w:val="FootnoteReference"/>
          <w:rFonts w:asciiTheme="majorHAnsi" w:hAnsiTheme="majorHAnsi" w:cstheme="majorHAnsi"/>
        </w:rPr>
        <w:footnoteRef/>
      </w:r>
      <w:r w:rsidRPr="003B574C">
        <w:rPr>
          <w:rFonts w:asciiTheme="majorHAnsi" w:hAnsiTheme="majorHAnsi" w:cstheme="majorHAnsi"/>
        </w:rPr>
        <w:t xml:space="preserve"> The relevant documents can be found at: </w:t>
      </w:r>
      <w:hyperlink r:id="rId1" w:history="1">
        <w:r w:rsidRPr="003B574C">
          <w:rPr>
            <w:rStyle w:val="Hyperlink"/>
            <w:rFonts w:asciiTheme="majorHAnsi" w:hAnsiTheme="majorHAnsi" w:cstheme="majorHAnsi"/>
          </w:rPr>
          <w:t>https://www.health.gov.au/sites/default/files/documents/2020/08/australia-s-covid-19-vaccine-and-treatment-strategy.pdf</w:t>
        </w:r>
      </w:hyperlink>
      <w:r w:rsidRPr="003B574C">
        <w:rPr>
          <w:rFonts w:asciiTheme="majorHAnsi" w:hAnsiTheme="majorHAnsi" w:cstheme="majorHAnsi"/>
        </w:rPr>
        <w:t xml:space="preserve"> and </w:t>
      </w:r>
      <w:hyperlink r:id="rId2" w:history="1">
        <w:r w:rsidRPr="003B574C">
          <w:rPr>
            <w:rStyle w:val="Hyperlink"/>
            <w:rFonts w:asciiTheme="majorHAnsi" w:hAnsiTheme="majorHAnsi" w:cstheme="majorHAnsi"/>
          </w:rPr>
          <w:t>https://www.health.gov.au/sites/default/files/documents/2021/01/australia-s-covid-19-vaccine-national-roll-out-strategy.pdf</w:t>
        </w:r>
      </w:hyperlink>
      <w:r w:rsidRPr="003B574C">
        <w:rPr>
          <w:rFonts w:asciiTheme="majorHAnsi" w:hAnsiTheme="majorHAnsi" w:cstheme="majorHAnsi"/>
        </w:rPr>
        <w:t>.</w:t>
      </w:r>
    </w:p>
  </w:footnote>
  <w:footnote w:id="3">
    <w:p w14:paraId="6278F32B" w14:textId="010DA5D5" w:rsidR="00330F21" w:rsidRPr="003B574C" w:rsidRDefault="00330F21">
      <w:pPr>
        <w:pStyle w:val="FootnoteText"/>
      </w:pPr>
      <w:r w:rsidRPr="003B574C">
        <w:rPr>
          <w:rStyle w:val="FootnoteReference"/>
        </w:rPr>
        <w:footnoteRef/>
      </w:r>
      <w:r w:rsidRPr="003B574C">
        <w:t xml:space="preserve"> A summary version of this report, and Health’s responses to the recommendations made in that report, are available at: </w:t>
      </w:r>
      <w:hyperlink r:id="rId3" w:history="1">
        <w:r w:rsidRPr="003B574C">
          <w:rPr>
            <w:rStyle w:val="Hyperlink"/>
          </w:rPr>
          <w:t>https://www.health.gov.au/resources/publications/covid-19-vaccination-phase-1a-of-covid-19-vaccine-strategy-privacy-impact-assessment-report-and-agency-response</w:t>
        </w:r>
      </w:hyperlink>
      <w:r w:rsidRPr="003B574C">
        <w:t xml:space="preserve">. </w:t>
      </w:r>
    </w:p>
  </w:footnote>
  <w:footnote w:id="4">
    <w:p w14:paraId="1C9D0863" w14:textId="039F8D3C" w:rsidR="00330F21" w:rsidRPr="003B574C" w:rsidRDefault="00330F21">
      <w:pPr>
        <w:pStyle w:val="FootnoteText"/>
      </w:pPr>
      <w:r w:rsidRPr="003B574C">
        <w:rPr>
          <w:rStyle w:val="FootnoteReference"/>
        </w:rPr>
        <w:footnoteRef/>
      </w:r>
      <w:r w:rsidRPr="003B574C">
        <w:t xml:space="preserve"> A summary version of this report, and Health’s responses to the recommendations made in that report, are available at </w:t>
      </w:r>
      <w:hyperlink r:id="rId4" w:history="1">
        <w:r w:rsidRPr="003B574C">
          <w:rPr>
            <w:rStyle w:val="Hyperlink"/>
          </w:rPr>
          <w:t>https://www.health.gov.au/resources/publications/covid-19-vaccination-phase-1b-of-covid-19-vaccine-strategy-privacy-impact-assessment-update-report-and-agency-response</w:t>
        </w:r>
      </w:hyperlink>
      <w:r w:rsidRPr="003B574C">
        <w:t xml:space="preserve">. </w:t>
      </w:r>
    </w:p>
  </w:footnote>
  <w:footnote w:id="5">
    <w:p w14:paraId="08081876" w14:textId="05505884" w:rsidR="00330F21" w:rsidRDefault="00330F21">
      <w:pPr>
        <w:pStyle w:val="FootnoteText"/>
      </w:pPr>
      <w:r>
        <w:rPr>
          <w:rStyle w:val="FootnoteReference"/>
        </w:rPr>
        <w:footnoteRef/>
      </w:r>
      <w:r>
        <w:t xml:space="preserve"> After we undertook our analysis in relation to the CVIP, this solution was </w:t>
      </w:r>
      <w:proofErr w:type="gramStart"/>
      <w:r>
        <w:t>decommissioned</w:t>
      </w:r>
      <w:proofErr w:type="gramEnd"/>
      <w:r>
        <w:t xml:space="preserve"> and data held on the CVIP was destroyed. However, rather than remove references to CVIP from this PIA report, we have retained the discussion and analysis about the CVIP because this assists in demonstrating how privacy issues in relation to this solution were considered at the time of implementation. </w:t>
      </w:r>
    </w:p>
  </w:footnote>
  <w:footnote w:id="6">
    <w:p w14:paraId="6C034053" w14:textId="0FFE9AE4" w:rsidR="00330F21" w:rsidRPr="003B574C" w:rsidRDefault="00330F21">
      <w:pPr>
        <w:pStyle w:val="FootnoteText"/>
      </w:pPr>
      <w:r w:rsidRPr="003B574C">
        <w:rPr>
          <w:rStyle w:val="FootnoteReference"/>
        </w:rPr>
        <w:footnoteRef/>
      </w:r>
      <w:r w:rsidRPr="003B574C">
        <w:t xml:space="preserve"> Further information is available at </w:t>
      </w:r>
      <w:hyperlink r:id="rId5" w:history="1">
        <w:r w:rsidRPr="003B574C">
          <w:rPr>
            <w:rStyle w:val="Hyperlink"/>
          </w:rPr>
          <w:t>https://www.health.gov.au/sites/default/files/documents/2021/01/covid-19-vaccination-australia-s-covid-19-vaccine-national-roll-out-strategy.pdf</w:t>
        </w:r>
      </w:hyperlink>
      <w:r w:rsidRPr="003B574C">
        <w:t xml:space="preserve">. </w:t>
      </w:r>
    </w:p>
  </w:footnote>
  <w:footnote w:id="7">
    <w:p w14:paraId="4970CAF2" w14:textId="245B8294" w:rsidR="00330F21" w:rsidRPr="003B574C" w:rsidRDefault="00330F21" w:rsidP="00FA3901">
      <w:pPr>
        <w:pStyle w:val="Headingpara2"/>
        <w:numPr>
          <w:ilvl w:val="0"/>
          <w:numId w:val="0"/>
        </w:numPr>
        <w:tabs>
          <w:tab w:val="left" w:pos="4962"/>
        </w:tabs>
        <w:spacing w:before="0"/>
      </w:pPr>
      <w:r w:rsidRPr="003B574C">
        <w:rPr>
          <w:rStyle w:val="FootnoteReference"/>
          <w:sz w:val="18"/>
          <w:szCs w:val="18"/>
        </w:rPr>
        <w:footnoteRef/>
      </w:r>
      <w:r w:rsidRPr="003B574C">
        <w:rPr>
          <w:sz w:val="18"/>
          <w:szCs w:val="18"/>
        </w:rPr>
        <w:t xml:space="preserve"> Further information is available at </w:t>
      </w:r>
      <w:hyperlink r:id="rId6" w:history="1">
        <w:r w:rsidRPr="003B574C">
          <w:rPr>
            <w:rStyle w:val="Hyperlink"/>
            <w:sz w:val="18"/>
            <w:szCs w:val="18"/>
          </w:rPr>
          <w:t>https://www.health.gov.au/sites/default/files/documents/2021/01/community-pharmacy-covid-19-vaccine-rollout-from-phase-2a-community-pharmacy-covid-19-vaccine-rollout-from-phase-2a-may-2021-onwards.pdf</w:t>
        </w:r>
      </w:hyperlink>
      <w:r w:rsidRPr="003B574C">
        <w:rPr>
          <w:rStyle w:val="Hyperlink"/>
          <w:sz w:val="18"/>
          <w:szCs w:val="18"/>
        </w:rPr>
        <w:t xml:space="preserve">. </w:t>
      </w:r>
      <w:r w:rsidRPr="003B574C">
        <w:rPr>
          <w:sz w:val="18"/>
          <w:szCs w:val="18"/>
        </w:rPr>
        <w:t xml:space="preserve"> </w:t>
      </w:r>
    </w:p>
  </w:footnote>
  <w:footnote w:id="8">
    <w:p w14:paraId="2998489A" w14:textId="031E41F2" w:rsidR="00330F21" w:rsidRDefault="00330F21">
      <w:pPr>
        <w:pStyle w:val="FootnoteText"/>
      </w:pPr>
      <w:r>
        <w:rPr>
          <w:rStyle w:val="FootnoteReference"/>
        </w:rPr>
        <w:footnoteRef/>
      </w:r>
      <w:r>
        <w:t xml:space="preserve"> As outlined in Section B of the Phase 1b Update PIA report.</w:t>
      </w:r>
    </w:p>
  </w:footnote>
  <w:footnote w:id="9">
    <w:p w14:paraId="27757EFA" w14:textId="00D59105" w:rsidR="00330F21" w:rsidRPr="003B574C" w:rsidRDefault="00330F21">
      <w:pPr>
        <w:pStyle w:val="FootnoteText"/>
      </w:pPr>
      <w:r w:rsidRPr="003B574C">
        <w:rPr>
          <w:rStyle w:val="FootnoteReference"/>
        </w:rPr>
        <w:footnoteRef/>
      </w:r>
      <w:r w:rsidRPr="003B574C">
        <w:t xml:space="preserve"> The CPs are funded per vaccination delivered. In instances where a Patient receives both doses of </w:t>
      </w:r>
      <w:r>
        <w:t>a</w:t>
      </w:r>
      <w:r w:rsidRPr="003B574C">
        <w:t xml:space="preserve"> COVID-19 vaccine at the same CP, the second vaccination payment will be higher than the first vaccination payment. </w:t>
      </w:r>
    </w:p>
  </w:footnote>
  <w:footnote w:id="10">
    <w:p w14:paraId="1DE71C97" w14:textId="77777777" w:rsidR="00330F21" w:rsidRPr="003B574C" w:rsidRDefault="00330F21" w:rsidP="00B72CA9">
      <w:pPr>
        <w:pStyle w:val="FootnoteText"/>
      </w:pPr>
      <w:r w:rsidRPr="003B574C">
        <w:rPr>
          <w:rStyle w:val="FootnoteReference"/>
        </w:rPr>
        <w:footnoteRef/>
      </w:r>
      <w:r w:rsidRPr="003B574C">
        <w:t xml:space="preserve"> </w:t>
      </w:r>
      <w:r w:rsidRPr="003B574C">
        <w:rPr>
          <w:szCs w:val="18"/>
        </w:rPr>
        <w:t xml:space="preserve">Further information is available at </w:t>
      </w:r>
      <w:hyperlink r:id="rId7" w:history="1">
        <w:r w:rsidRPr="003B574C">
          <w:rPr>
            <w:rStyle w:val="Hyperlink"/>
          </w:rPr>
          <w:t>https://www.ppaonline.com.au/about</w:t>
        </w:r>
      </w:hyperlink>
      <w:r w:rsidRPr="003B574C">
        <w:rPr>
          <w:rStyle w:val="Hyperlink"/>
        </w:rPr>
        <w:t xml:space="preserve">. </w:t>
      </w:r>
      <w:r w:rsidRPr="003B574C">
        <w:t xml:space="preserve"> </w:t>
      </w:r>
    </w:p>
  </w:footnote>
  <w:footnote w:id="11">
    <w:p w14:paraId="57DAD574" w14:textId="34869A3D" w:rsidR="00330F21" w:rsidRPr="003B574C" w:rsidRDefault="00330F21" w:rsidP="00145066">
      <w:pPr>
        <w:pStyle w:val="FootnoteText"/>
      </w:pPr>
      <w:r w:rsidRPr="003B574C">
        <w:rPr>
          <w:rStyle w:val="FootnoteReference"/>
        </w:rPr>
        <w:footnoteRef/>
      </w:r>
      <w:r w:rsidRPr="003B574C">
        <w:t xml:space="preserve"> Available online at: </w:t>
      </w:r>
      <w:hyperlink r:id="rId8" w:history="1">
        <w:r w:rsidRPr="003B574C">
          <w:rPr>
            <w:rStyle w:val="Hyperlink"/>
          </w:rPr>
          <w:t>https://www.ppaonline.com.au/privacy-policy</w:t>
        </w:r>
      </w:hyperlink>
      <w:r>
        <w:rPr>
          <w:rStyle w:val="Hyperlink"/>
        </w:rPr>
        <w:t xml:space="preserve">. </w:t>
      </w:r>
      <w:r w:rsidRPr="003B574C">
        <w:t xml:space="preserve"> </w:t>
      </w:r>
    </w:p>
  </w:footnote>
  <w:footnote w:id="12">
    <w:p w14:paraId="013B95A4" w14:textId="6857B363" w:rsidR="00330F21" w:rsidRPr="003B574C" w:rsidRDefault="00330F21" w:rsidP="00145066">
      <w:pPr>
        <w:pStyle w:val="FootnoteText"/>
      </w:pPr>
      <w:r w:rsidRPr="003B574C">
        <w:rPr>
          <w:rStyle w:val="FootnoteReference"/>
        </w:rPr>
        <w:footnoteRef/>
      </w:r>
      <w:r w:rsidRPr="003B574C">
        <w:t xml:space="preserve"> Available online at: </w:t>
      </w:r>
      <w:hyperlink r:id="rId9" w:history="1">
        <w:r w:rsidRPr="003B574C">
          <w:rPr>
            <w:rStyle w:val="Hyperlink"/>
          </w:rPr>
          <w:t>https://www.health.gov.au/using-our-websites/privacy/privacy-notice-for-covid-19-vaccinations</w:t>
        </w:r>
      </w:hyperlink>
      <w:r w:rsidRPr="003B574C">
        <w:t xml:space="preserve">. </w:t>
      </w:r>
    </w:p>
  </w:footnote>
  <w:footnote w:id="13">
    <w:p w14:paraId="65E86787" w14:textId="4FB30515" w:rsidR="00330F21" w:rsidRPr="003B574C" w:rsidRDefault="00330F21" w:rsidP="00145066">
      <w:pPr>
        <w:pStyle w:val="FootnoteText"/>
      </w:pPr>
      <w:r w:rsidRPr="003B574C">
        <w:rPr>
          <w:rStyle w:val="FootnoteReference"/>
        </w:rPr>
        <w:footnoteRef/>
      </w:r>
      <w:r w:rsidRPr="003B574C">
        <w:t xml:space="preserve"> For the purposes of this </w:t>
      </w:r>
      <w:r>
        <w:t>Phase 2 Update PIA</w:t>
      </w:r>
      <w:r w:rsidRPr="003B574C">
        <w:t xml:space="preserve"> report, we have not considered any use of Patient Information by CPs that falls within their </w:t>
      </w:r>
      <w:proofErr w:type="gramStart"/>
      <w:r w:rsidRPr="003B574C">
        <w:t>business as usual</w:t>
      </w:r>
      <w:proofErr w:type="gramEnd"/>
      <w:r w:rsidRPr="003B574C">
        <w:t xml:space="preserve"> practices. </w:t>
      </w:r>
    </w:p>
  </w:footnote>
  <w:footnote w:id="14">
    <w:p w14:paraId="29B0B95A" w14:textId="5F4E4BE0" w:rsidR="00330F21" w:rsidRPr="003B574C" w:rsidRDefault="00330F21" w:rsidP="00E50F67">
      <w:pPr>
        <w:pStyle w:val="FootnoteText"/>
      </w:pPr>
      <w:r w:rsidRPr="003B574C">
        <w:rPr>
          <w:rStyle w:val="FootnoteReference"/>
        </w:rPr>
        <w:footnoteRef/>
      </w:r>
      <w:r w:rsidRPr="003B574C">
        <w:t xml:space="preserve"> Please note that </w:t>
      </w:r>
      <w:r>
        <w:t xml:space="preserve">in this Section </w:t>
      </w:r>
      <w:r w:rsidRPr="003B574C">
        <w:t>we have only considered the extent to which a Minor under 15 years of age can provide consent to the handling of their personal information. We assume that Health will ensure that appropriate procedures are in place to obtain appropriate consent to medical treatment (</w:t>
      </w:r>
      <w:proofErr w:type="gramStart"/>
      <w:r w:rsidRPr="003B574C">
        <w:t>i.e.</w:t>
      </w:r>
      <w:proofErr w:type="gramEnd"/>
      <w:r w:rsidRPr="003B574C">
        <w:t xml:space="preserve"> receiving a COVID-19 vaccination).</w:t>
      </w:r>
    </w:p>
  </w:footnote>
  <w:footnote w:id="15">
    <w:p w14:paraId="7501A6AE" w14:textId="3461FBA4" w:rsidR="00330F21" w:rsidRDefault="00330F21">
      <w:pPr>
        <w:pStyle w:val="FootnoteText"/>
      </w:pPr>
      <w:r>
        <w:rPr>
          <w:rStyle w:val="FootnoteReference"/>
        </w:rPr>
        <w:footnoteRef/>
      </w:r>
      <w:r>
        <w:t xml:space="preserve"> Children 5-11 years became eligible to receive a vaccine from </w:t>
      </w:r>
      <w:r w:rsidRPr="007220FA">
        <w:t>10 January 2022</w:t>
      </w:r>
      <w:r>
        <w:t>.</w:t>
      </w:r>
    </w:p>
  </w:footnote>
  <w:footnote w:id="16">
    <w:p w14:paraId="3A85C518" w14:textId="2A02802B" w:rsidR="00330F21" w:rsidRPr="003B574C" w:rsidRDefault="00330F21" w:rsidP="001A6D7F">
      <w:pPr>
        <w:pStyle w:val="FootnoteText"/>
      </w:pPr>
      <w:r w:rsidRPr="003B574C">
        <w:rPr>
          <w:rStyle w:val="FootnoteReference"/>
        </w:rPr>
        <w:footnoteRef/>
      </w:r>
      <w:r w:rsidRPr="003B574C">
        <w:t xml:space="preserve"> At the time of </w:t>
      </w:r>
      <w:r>
        <w:t xml:space="preserve">writing </w:t>
      </w:r>
      <w:r w:rsidRPr="003B574C">
        <w:t xml:space="preserve">this </w:t>
      </w:r>
      <w:r>
        <w:t>Section</w:t>
      </w:r>
      <w:r w:rsidRPr="003B574C">
        <w:t>, only the South Australian Government has demonstrated a need for the integration in relation to the Clinics operated by it, but the relevant ICT system enhancements are being prepared in a way that will allow relatively easy implementation of the integration for other Clinics, and in other jurisdictions in the future, where the Vaccine Provider is able to demonstrate an appropriate need.</w:t>
      </w:r>
    </w:p>
  </w:footnote>
  <w:footnote w:id="17">
    <w:p w14:paraId="4ED40E87" w14:textId="77777777" w:rsidR="00330F21" w:rsidRDefault="00330F21" w:rsidP="00AE75E6">
      <w:pPr>
        <w:pStyle w:val="FootnoteText"/>
      </w:pPr>
      <w:r>
        <w:rPr>
          <w:rStyle w:val="FootnoteReference"/>
        </w:rPr>
        <w:footnoteRef/>
      </w:r>
      <w:r>
        <w:t xml:space="preserve"> For clarity, a Clinic will only receive information about their individual Clinic and not information relating to other Clinics. </w:t>
      </w:r>
    </w:p>
  </w:footnote>
  <w:footnote w:id="18">
    <w:p w14:paraId="38E6EE6E" w14:textId="113E89E8" w:rsidR="00330F21" w:rsidRPr="003B574C" w:rsidRDefault="00330F21" w:rsidP="001A6D7F">
      <w:pPr>
        <w:pStyle w:val="FootnoteText"/>
      </w:pPr>
      <w:r w:rsidRPr="003B574C">
        <w:rPr>
          <w:rStyle w:val="FootnoteReference"/>
        </w:rPr>
        <w:footnoteRef/>
      </w:r>
      <w:r w:rsidRPr="003B574C">
        <w:t xml:space="preserve"> As described in the Phase 1b </w:t>
      </w:r>
      <w:r>
        <w:t xml:space="preserve">Update </w:t>
      </w:r>
      <w:r w:rsidRPr="003B574C">
        <w:t>PIA report, the Patient may also enter some personal information to establish an account with the operator of the BP (HealthEngine), and there are additional collections of information of Patients (for example, the collection of ‘cookies’ from users’ computers or devices), but we understand that none of this information will be used or transferred to the CVIP as part of the proposed integrations.</w:t>
      </w:r>
    </w:p>
  </w:footnote>
  <w:footnote w:id="19">
    <w:p w14:paraId="0E55BB18" w14:textId="197EF10F" w:rsidR="00330F21" w:rsidRPr="003B574C" w:rsidRDefault="00330F21" w:rsidP="001A6D7F">
      <w:pPr>
        <w:pStyle w:val="FootnoteText"/>
      </w:pPr>
      <w:r w:rsidRPr="003B574C">
        <w:rPr>
          <w:rStyle w:val="FootnoteReference"/>
        </w:rPr>
        <w:footnoteRef/>
      </w:r>
      <w:r w:rsidRPr="003B574C">
        <w:t xml:space="preserve"> As discussed in the Phase 1b </w:t>
      </w:r>
      <w:r>
        <w:t xml:space="preserve">Update </w:t>
      </w:r>
      <w:r w:rsidRPr="003B574C">
        <w:t>PIA report, the CVIP is a cloud storage facility provided by Salesforce, which is contracted by Health.</w:t>
      </w:r>
    </w:p>
  </w:footnote>
  <w:footnote w:id="20">
    <w:p w14:paraId="09F745FD" w14:textId="77777777" w:rsidR="00330F21" w:rsidRPr="003B574C" w:rsidRDefault="00330F21" w:rsidP="001A6D7F">
      <w:pPr>
        <w:pStyle w:val="FootnoteText"/>
      </w:pPr>
      <w:r w:rsidRPr="003B574C">
        <w:rPr>
          <w:rStyle w:val="FootnoteReference"/>
        </w:rPr>
        <w:footnoteRef/>
      </w:r>
      <w:r w:rsidRPr="003B574C">
        <w:t xml:space="preserve"> The image displays ‘dummy’ data only.</w:t>
      </w:r>
    </w:p>
  </w:footnote>
  <w:footnote w:id="21">
    <w:p w14:paraId="6E44AC36" w14:textId="77777777" w:rsidR="00330F21" w:rsidRPr="003B574C" w:rsidRDefault="00330F21" w:rsidP="001A6D7F">
      <w:pPr>
        <w:pStyle w:val="FootnoteText"/>
      </w:pPr>
      <w:r w:rsidRPr="003B574C">
        <w:rPr>
          <w:rStyle w:val="FootnoteReference"/>
        </w:rPr>
        <w:footnoteRef/>
      </w:r>
      <w:r w:rsidRPr="003B574C">
        <w:t xml:space="preserve"> Unless an issue with the transfer of a record to the AIR is identified, in which case the relevant information may be retained for a longer period until the issue is resolved.</w:t>
      </w:r>
    </w:p>
  </w:footnote>
  <w:footnote w:id="22">
    <w:p w14:paraId="49373178" w14:textId="0FC221C6" w:rsidR="00330F21" w:rsidRPr="003B574C" w:rsidRDefault="00330F21" w:rsidP="007F4DB7">
      <w:pPr>
        <w:pStyle w:val="FootnoteText"/>
      </w:pPr>
      <w:r w:rsidRPr="003B574C">
        <w:rPr>
          <w:rStyle w:val="FootnoteReference"/>
        </w:rPr>
        <w:footnoteRef/>
      </w:r>
      <w:r w:rsidRPr="003B574C">
        <w:t xml:space="preserve"> Available online at: </w:t>
      </w:r>
      <w:hyperlink r:id="rId10" w:history="1">
        <w:r w:rsidRPr="003B574C">
          <w:rPr>
            <w:rStyle w:val="Hyperlink"/>
          </w:rPr>
          <w:t>https://healthengine.com.au/privacy.php</w:t>
        </w:r>
      </w:hyperlink>
      <w:r w:rsidRPr="003B574C">
        <w:rPr>
          <w:rStyle w:val="Hyperlink"/>
        </w:rPr>
        <w:t xml:space="preserve">. </w:t>
      </w:r>
      <w:r w:rsidRPr="003B574C">
        <w:t xml:space="preserve"> </w:t>
      </w:r>
    </w:p>
  </w:footnote>
  <w:footnote w:id="23">
    <w:p w14:paraId="6571B6AA" w14:textId="16AE3913" w:rsidR="00330F21" w:rsidRPr="003B574C" w:rsidRDefault="00330F21" w:rsidP="007F4DB7">
      <w:pPr>
        <w:pStyle w:val="FootnoteText"/>
      </w:pPr>
      <w:r w:rsidRPr="003B574C">
        <w:rPr>
          <w:rStyle w:val="FootnoteReference"/>
        </w:rPr>
        <w:footnoteRef/>
      </w:r>
      <w:r w:rsidRPr="003B574C">
        <w:t xml:space="preserve"> Available online at: </w:t>
      </w:r>
      <w:hyperlink r:id="rId11" w:history="1">
        <w:r w:rsidRPr="003B574C">
          <w:rPr>
            <w:rStyle w:val="Hyperlink"/>
          </w:rPr>
          <w:t>https://healthengine.com.au/legal/commonwealth/collection.php?cid=par:hea:cbp::cbp::::mar21</w:t>
        </w:r>
      </w:hyperlink>
      <w:r w:rsidRPr="003B574C">
        <w:rPr>
          <w:rStyle w:val="Hyperlink"/>
        </w:rPr>
        <w:t xml:space="preserve">. </w:t>
      </w:r>
      <w:r w:rsidRPr="003B574C">
        <w:t xml:space="preserve"> </w:t>
      </w:r>
    </w:p>
  </w:footnote>
  <w:footnote w:id="24">
    <w:p w14:paraId="56798214" w14:textId="24084F96" w:rsidR="00330F21" w:rsidRPr="003B574C" w:rsidRDefault="00330F21" w:rsidP="007F4DB7">
      <w:pPr>
        <w:pStyle w:val="FootnoteText"/>
      </w:pPr>
      <w:r w:rsidRPr="003B574C">
        <w:rPr>
          <w:rStyle w:val="FootnoteReference"/>
        </w:rPr>
        <w:footnoteRef/>
      </w:r>
      <w:r w:rsidRPr="003B574C">
        <w:t xml:space="preserve"> Available online at: </w:t>
      </w:r>
      <w:hyperlink r:id="rId12" w:history="1">
        <w:r w:rsidRPr="003B574C">
          <w:rPr>
            <w:rStyle w:val="Hyperlink"/>
          </w:rPr>
          <w:t>https://www.health.gov.au/using-our-websites/privacy/collection-notice-for-the-clinician-vaccine-integrated-platform-cvipb</w:t>
        </w:r>
      </w:hyperlink>
      <w:r w:rsidRPr="003B574C">
        <w:rPr>
          <w:rStyle w:val="Hyperlink"/>
        </w:rPr>
        <w:t xml:space="preserve">. </w:t>
      </w:r>
      <w:r w:rsidRPr="003B574C">
        <w:t xml:space="preserve"> </w:t>
      </w:r>
    </w:p>
  </w:footnote>
  <w:footnote w:id="25">
    <w:p w14:paraId="0E802FCE" w14:textId="3447767C" w:rsidR="00330F21" w:rsidRPr="003B574C" w:rsidRDefault="00330F21" w:rsidP="007F4DB7">
      <w:pPr>
        <w:pStyle w:val="FootnoteText"/>
      </w:pPr>
      <w:r w:rsidRPr="003B574C">
        <w:rPr>
          <w:rStyle w:val="FootnoteReference"/>
        </w:rPr>
        <w:footnoteRef/>
      </w:r>
      <w:r w:rsidRPr="003B574C">
        <w:t xml:space="preserve"> In future, responsibility for administration of the CVIP may be transferred to the ADHA, at which point the collection in the CVIP is likely to represent collection by the ADHA, and </w:t>
      </w:r>
      <w:r>
        <w:t xml:space="preserve">we </w:t>
      </w:r>
      <w:r w:rsidRPr="003B574C">
        <w:t>suggest that the functions and activities of the AHDA, and whether they appropriately support the relevant collection by the ADHA, be considered as part of any transition process.</w:t>
      </w:r>
    </w:p>
  </w:footnote>
  <w:footnote w:id="26">
    <w:p w14:paraId="66B6B2F2" w14:textId="77777777" w:rsidR="00330F21" w:rsidRPr="003B574C" w:rsidRDefault="00330F21" w:rsidP="007F4DB7">
      <w:pPr>
        <w:pStyle w:val="FootnoteText"/>
      </w:pPr>
      <w:r w:rsidRPr="003B574C">
        <w:rPr>
          <w:rStyle w:val="FootnoteReference"/>
        </w:rPr>
        <w:footnoteRef/>
      </w:r>
      <w:r w:rsidRPr="003B574C">
        <w:t xml:space="preserve"> The </w:t>
      </w:r>
      <w:r w:rsidRPr="003B574C">
        <w:rPr>
          <w:i/>
          <w:iCs/>
        </w:rPr>
        <w:t>Australian Immunisation Register Rule 2015</w:t>
      </w:r>
      <w:r w:rsidRPr="003B574C">
        <w:t xml:space="preserve"> (Cth) prescribes these items as information that must be reported to the AIR.</w:t>
      </w:r>
    </w:p>
  </w:footnote>
  <w:footnote w:id="27">
    <w:p w14:paraId="09FBE833" w14:textId="77777777" w:rsidR="00330F21" w:rsidRPr="003B574C" w:rsidRDefault="00330F21" w:rsidP="00772E4E">
      <w:pPr>
        <w:pStyle w:val="FootnoteText"/>
      </w:pPr>
      <w:r w:rsidRPr="003B574C">
        <w:rPr>
          <w:rStyle w:val="FootnoteReference"/>
        </w:rPr>
        <w:footnoteRef/>
      </w:r>
      <w:r w:rsidRPr="003B574C">
        <w:t xml:space="preserve"> For example, relevant South Australian government agencies would not be bound by the Privacy Act.</w:t>
      </w:r>
    </w:p>
  </w:footnote>
  <w:footnote w:id="28">
    <w:p w14:paraId="2007B0CA" w14:textId="30820CA8" w:rsidR="00330F21" w:rsidRPr="003B574C" w:rsidRDefault="00330F21" w:rsidP="007F4DB7">
      <w:pPr>
        <w:pStyle w:val="FootnoteText"/>
      </w:pPr>
      <w:r w:rsidRPr="003B574C">
        <w:rPr>
          <w:rStyle w:val="FootnoteReference"/>
        </w:rPr>
        <w:footnoteRef/>
      </w:r>
      <w:r w:rsidRPr="003B574C">
        <w:t xml:space="preserve"> See footnote</w:t>
      </w:r>
      <w:r w:rsidRPr="003B574C">
        <w:rPr>
          <w:szCs w:val="18"/>
        </w:rPr>
        <w:t xml:space="preserve"> </w:t>
      </w:r>
      <w:r>
        <w:rPr>
          <w:szCs w:val="18"/>
        </w:rPr>
        <w:fldChar w:fldCharType="begin"/>
      </w:r>
      <w:r>
        <w:rPr>
          <w:szCs w:val="18"/>
        </w:rPr>
        <w:instrText xml:space="preserve"> NOTEREF _Ref76131157 \h </w:instrText>
      </w:r>
      <w:r>
        <w:rPr>
          <w:szCs w:val="18"/>
        </w:rPr>
      </w:r>
      <w:r>
        <w:rPr>
          <w:szCs w:val="18"/>
        </w:rPr>
        <w:fldChar w:fldCharType="separate"/>
      </w:r>
      <w:r>
        <w:rPr>
          <w:szCs w:val="18"/>
        </w:rPr>
        <w:t>24</w:t>
      </w:r>
      <w:r>
        <w:rPr>
          <w:szCs w:val="18"/>
        </w:rPr>
        <w:fldChar w:fldCharType="end"/>
      </w:r>
      <w:r w:rsidRPr="003B574C">
        <w:rPr>
          <w:szCs w:val="18"/>
        </w:rPr>
        <w:t>above.</w:t>
      </w:r>
    </w:p>
  </w:footnote>
  <w:footnote w:id="29">
    <w:p w14:paraId="6215FB10" w14:textId="56026B46" w:rsidR="00330F21" w:rsidRPr="003B574C" w:rsidRDefault="00330F21" w:rsidP="007F4DB7">
      <w:pPr>
        <w:pStyle w:val="FootnoteText"/>
      </w:pPr>
      <w:r w:rsidRPr="003B574C">
        <w:rPr>
          <w:rStyle w:val="FootnoteReference"/>
        </w:rPr>
        <w:footnoteRef/>
      </w:r>
      <w:r w:rsidRPr="003B574C">
        <w:t xml:space="preserve"> We understand that the authorised </w:t>
      </w:r>
      <w:r>
        <w:t>Provider</w:t>
      </w:r>
      <w:r w:rsidRPr="003B574C">
        <w:t xml:space="preserve"> of the Vaccine Provider (including the Vaccinator) will be able to check details in the Clinic Registration List with the Patient on arrival, and if they are incorrect (so that a Patient’s record cannot be found using those details), will be able to use the correct details to find the correct AIR record or create a new AIR record. The incorrect details will be deleted when the Clinic Registration List is deleted from the CVIP.</w:t>
      </w:r>
    </w:p>
  </w:footnote>
  <w:footnote w:id="30">
    <w:p w14:paraId="4502F260" w14:textId="66B86921" w:rsidR="00330F21" w:rsidRPr="003B574C" w:rsidRDefault="00330F21">
      <w:pPr>
        <w:pStyle w:val="FootnoteText"/>
      </w:pPr>
      <w:r w:rsidRPr="003B574C">
        <w:rPr>
          <w:rStyle w:val="FootnoteReference"/>
        </w:rPr>
        <w:footnoteRef/>
      </w:r>
      <w:r w:rsidRPr="003B574C">
        <w:t xml:space="preserve"> We note that the SA government would also need to have been satisfied that its collection of the information complied with any applicable privacy laws (noting that the Privacy Act would not apply to it). </w:t>
      </w:r>
    </w:p>
  </w:footnote>
  <w:footnote w:id="31">
    <w:p w14:paraId="28276031" w14:textId="313AF54F" w:rsidR="00330F21" w:rsidRPr="003B574C" w:rsidRDefault="00330F21">
      <w:pPr>
        <w:pStyle w:val="FootnoteText"/>
      </w:pPr>
      <w:r w:rsidRPr="003B574C">
        <w:rPr>
          <w:rStyle w:val="FootnoteReference"/>
        </w:rPr>
        <w:footnoteRef/>
      </w:r>
      <w:r w:rsidRPr="003B574C">
        <w:t xml:space="preserve"> See: </w:t>
      </w:r>
      <w:hyperlink r:id="rId13" w:history="1">
        <w:r w:rsidRPr="003B574C">
          <w:rPr>
            <w:rStyle w:val="Hyperlink"/>
          </w:rPr>
          <w:t>https://www.health.gov.au/using-our-websites/privacy/collection-notice-for-the-clinician-vaccine-integrated-platform-cvip</w:t>
        </w:r>
      </w:hyperlink>
      <w:r w:rsidRPr="003B574C">
        <w:t xml:space="preserve">. </w:t>
      </w:r>
    </w:p>
  </w:footnote>
  <w:footnote w:id="32">
    <w:p w14:paraId="7D0C1A9D" w14:textId="77777777" w:rsidR="00330F21" w:rsidRPr="003B574C" w:rsidRDefault="00330F21" w:rsidP="00095D82">
      <w:pPr>
        <w:pStyle w:val="FootnoteText"/>
      </w:pPr>
      <w:r w:rsidRPr="003B574C">
        <w:rPr>
          <w:rStyle w:val="FootnoteReference"/>
        </w:rPr>
        <w:footnoteRef/>
      </w:r>
      <w:r w:rsidRPr="003B574C">
        <w:t xml:space="preserve"> APP Guidelines, Chapter B: Key Concepts, paragraph B.39.</w:t>
      </w:r>
    </w:p>
  </w:footnote>
  <w:footnote w:id="33">
    <w:p w14:paraId="5465FA6F" w14:textId="77777777" w:rsidR="00330F21" w:rsidRDefault="00330F21" w:rsidP="00095D82">
      <w:pPr>
        <w:pStyle w:val="FootnoteText"/>
      </w:pPr>
      <w:r w:rsidRPr="003B574C">
        <w:rPr>
          <w:rStyle w:val="FootnoteReference"/>
        </w:rPr>
        <w:footnoteRef/>
      </w:r>
      <w:r w:rsidRPr="003B574C">
        <w:t xml:space="preserve"> APP Guidelines, Chapter B: Key Concepts, paragraph B.46.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AA0F" w14:textId="6C94E372" w:rsidR="00330F21" w:rsidRDefault="00330F21">
    <w:pPr>
      <w:pStyle w:val="Header"/>
    </w:pPr>
    <w:r w:rsidRPr="007220FA">
      <w:rPr>
        <w:noProof/>
      </w:rPr>
      <w:drawing>
        <wp:anchor distT="0" distB="0" distL="114300" distR="114300" simplePos="0" relativeHeight="251659264" behindDoc="1" locked="0" layoutInCell="1" allowOverlap="1" wp14:anchorId="26E67697" wp14:editId="2BDB5168">
          <wp:simplePos x="0" y="0"/>
          <wp:positionH relativeFrom="margin">
            <wp:posOffset>-1645920</wp:posOffset>
          </wp:positionH>
          <wp:positionV relativeFrom="paragraph">
            <wp:posOffset>434340</wp:posOffset>
          </wp:positionV>
          <wp:extent cx="9051290" cy="6309360"/>
          <wp:effectExtent l="0" t="0" r="0" b="0"/>
          <wp:wrapNone/>
          <wp:docPr id="3" name="Picture 3" descr="A picture containing fence,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BING SOLID PNG MEDIUM.PNG"/>
                  <pic:cNvPicPr/>
                </pic:nvPicPr>
                <pic:blipFill>
                  <a:blip r:embed="rId1">
                    <a:duotone>
                      <a:prstClr val="black"/>
                      <a:schemeClr val="accent1">
                        <a:lumMod val="75000"/>
                        <a:tint val="45000"/>
                        <a:satMod val="400000"/>
                      </a:schemeClr>
                    </a:duotone>
                    <a:extLst>
                      <a:ext uri="{28A0092B-C50C-407E-A947-70E740481C1C}">
                        <a14:useLocalDpi xmlns:a14="http://schemas.microsoft.com/office/drawing/2010/main" val="0"/>
                      </a:ext>
                    </a:extLst>
                  </a:blip>
                  <a:stretch>
                    <a:fillRect/>
                  </a:stretch>
                </pic:blipFill>
                <pic:spPr>
                  <a:xfrm>
                    <a:off x="0" y="0"/>
                    <a:ext cx="9051290" cy="6309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60BB48"/>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bCs w:val="0"/>
        <w:i w:val="0"/>
        <w:iCs w:val="0"/>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A66CF4"/>
    <w:multiLevelType w:val="hybridMultilevel"/>
    <w:tmpl w:val="12D245A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2047FA0"/>
    <w:multiLevelType w:val="hybridMultilevel"/>
    <w:tmpl w:val="F608527C"/>
    <w:name w:val="MaddNumpar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45648"/>
    <w:multiLevelType w:val="multilevel"/>
    <w:tmpl w:val="F7260A78"/>
    <w:lvl w:ilvl="0">
      <w:start w:val="1"/>
      <w:numFmt w:val="decimal"/>
      <w:pStyle w:val="Numpara1"/>
      <w:lvlText w:val="%1."/>
      <w:lvlJc w:val="left"/>
      <w:pPr>
        <w:ind w:left="851" w:hanging="851"/>
      </w:pPr>
      <w:rPr>
        <w:rFonts w:hint="default"/>
        <w:sz w:val="20"/>
        <w:szCs w:val="20"/>
      </w:rPr>
    </w:lvl>
    <w:lvl w:ilvl="1">
      <w:start w:val="1"/>
      <w:numFmt w:val="decimal"/>
      <w:pStyle w:val="Numpara1"/>
      <w:lvlText w:val="%1.%2"/>
      <w:lvlJc w:val="left"/>
      <w:pPr>
        <w:ind w:left="851" w:hanging="851"/>
      </w:pPr>
      <w:rPr>
        <w:rFonts w:hint="default"/>
        <w:b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8528E236"/>
    <w:lvl w:ilvl="0">
      <w:start w:val="1"/>
      <w:numFmt w:val="upperLetter"/>
      <w:pStyle w:val="legalPart"/>
      <w:lvlText w:val="Part %1"/>
      <w:lvlJc w:val="left"/>
      <w:pPr>
        <w:tabs>
          <w:tab w:val="num" w:pos="1701"/>
        </w:tabs>
        <w:ind w:left="1701" w:hanging="1701"/>
      </w:pPr>
      <w:rPr>
        <w:rFonts w:ascii="Arial" w:hAnsi="Arial" w:cs="Times New Roman" w:hint="default"/>
        <w:b/>
        <w:i w:val="0"/>
        <w:color w:val="82002A"/>
        <w:sz w:val="36"/>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931F3D"/>
    <w:multiLevelType w:val="hybridMultilevel"/>
    <w:tmpl w:val="3F529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183487"/>
    <w:multiLevelType w:val="multilevel"/>
    <w:tmpl w:val="11D8DD4E"/>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7A4F2B"/>
    <w:multiLevelType w:val="hybridMultilevel"/>
    <w:tmpl w:val="D48CA910"/>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start w:val="1"/>
      <w:numFmt w:val="bullet"/>
      <w:lvlText w:val=""/>
      <w:lvlJc w:val="left"/>
      <w:pPr>
        <w:ind w:left="2221" w:hanging="360"/>
      </w:pPr>
      <w:rPr>
        <w:rFonts w:ascii="Wingdings" w:hAnsi="Wingdings" w:hint="default"/>
      </w:rPr>
    </w:lvl>
    <w:lvl w:ilvl="3" w:tplc="0C090001">
      <w:start w:val="1"/>
      <w:numFmt w:val="bullet"/>
      <w:lvlText w:val=""/>
      <w:lvlJc w:val="left"/>
      <w:pPr>
        <w:ind w:left="2941" w:hanging="360"/>
      </w:pPr>
      <w:rPr>
        <w:rFonts w:ascii="Symbol" w:hAnsi="Symbol" w:hint="default"/>
      </w:rPr>
    </w:lvl>
    <w:lvl w:ilvl="4" w:tplc="0C090003">
      <w:start w:val="1"/>
      <w:numFmt w:val="bullet"/>
      <w:lvlText w:val="o"/>
      <w:lvlJc w:val="left"/>
      <w:pPr>
        <w:ind w:left="3661" w:hanging="360"/>
      </w:pPr>
      <w:rPr>
        <w:rFonts w:ascii="Courier New" w:hAnsi="Courier New" w:cs="Courier New" w:hint="default"/>
      </w:rPr>
    </w:lvl>
    <w:lvl w:ilvl="5" w:tplc="0C090005">
      <w:start w:val="1"/>
      <w:numFmt w:val="bullet"/>
      <w:lvlText w:val=""/>
      <w:lvlJc w:val="left"/>
      <w:pPr>
        <w:ind w:left="4381" w:hanging="360"/>
      </w:pPr>
      <w:rPr>
        <w:rFonts w:ascii="Wingdings" w:hAnsi="Wingdings" w:hint="default"/>
      </w:rPr>
    </w:lvl>
    <w:lvl w:ilvl="6" w:tplc="0C090001">
      <w:start w:val="1"/>
      <w:numFmt w:val="bullet"/>
      <w:lvlText w:val=""/>
      <w:lvlJc w:val="left"/>
      <w:pPr>
        <w:ind w:left="5101" w:hanging="360"/>
      </w:pPr>
      <w:rPr>
        <w:rFonts w:ascii="Symbol" w:hAnsi="Symbol" w:hint="default"/>
      </w:rPr>
    </w:lvl>
    <w:lvl w:ilvl="7" w:tplc="0C090003">
      <w:start w:val="1"/>
      <w:numFmt w:val="bullet"/>
      <w:lvlText w:val="o"/>
      <w:lvlJc w:val="left"/>
      <w:pPr>
        <w:ind w:left="5821" w:hanging="360"/>
      </w:pPr>
      <w:rPr>
        <w:rFonts w:ascii="Courier New" w:hAnsi="Courier New" w:cs="Courier New" w:hint="default"/>
      </w:rPr>
    </w:lvl>
    <w:lvl w:ilvl="8" w:tplc="0C090005">
      <w:start w:val="1"/>
      <w:numFmt w:val="bullet"/>
      <w:lvlText w:val=""/>
      <w:lvlJc w:val="left"/>
      <w:pPr>
        <w:ind w:left="6541" w:hanging="360"/>
      </w:pPr>
      <w:rPr>
        <w:rFonts w:ascii="Wingdings" w:hAnsi="Wingdings" w:hint="default"/>
      </w:rPr>
    </w:lvl>
  </w:abstractNum>
  <w:abstractNum w:abstractNumId="9"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0" w15:restartNumberingAfterBreak="0">
    <w:nsid w:val="13EC6EA8"/>
    <w:multiLevelType w:val="hybridMultilevel"/>
    <w:tmpl w:val="CA2C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468D5"/>
    <w:multiLevelType w:val="hybridMultilevel"/>
    <w:tmpl w:val="FC96D0F2"/>
    <w:name w:val="MaddNumpar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65849"/>
    <w:multiLevelType w:val="multilevel"/>
    <w:tmpl w:val="45E4C2AC"/>
    <w:lvl w:ilvl="0">
      <w:start w:val="1"/>
      <w:numFmt w:val="decimal"/>
      <w:lvlText w:val="%1."/>
      <w:lvlJc w:val="left"/>
      <w:pPr>
        <w:ind w:left="720" w:hanging="360"/>
      </w:pPr>
    </w:lvl>
    <w:lvl w:ilvl="1">
      <w:start w:val="5"/>
      <w:numFmt w:val="decimal"/>
      <w:isLgl/>
      <w:lvlText w:val="%1.%2"/>
      <w:lvlJc w:val="left"/>
      <w:pPr>
        <w:ind w:left="1210" w:hanging="850"/>
      </w:pPr>
      <w:rPr>
        <w:rFonts w:hint="default"/>
      </w:rPr>
    </w:lvl>
    <w:lvl w:ilvl="2">
      <w:start w:val="5"/>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800C74"/>
    <w:multiLevelType w:val="hybridMultilevel"/>
    <w:tmpl w:val="EBFE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65184"/>
    <w:multiLevelType w:val="multilevel"/>
    <w:tmpl w:val="A33E163A"/>
    <w:lvl w:ilvl="0">
      <w:start w:val="1"/>
      <w:numFmt w:val="upperLetter"/>
      <w:pStyle w:val="legalSchedule"/>
      <w:lvlText w:val="Section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A683C46"/>
    <w:multiLevelType w:val="hybridMultilevel"/>
    <w:tmpl w:val="FADC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A157D8"/>
    <w:multiLevelType w:val="hybridMultilevel"/>
    <w:tmpl w:val="8D4ABF36"/>
    <w:lvl w:ilvl="0" w:tplc="BB0C31B6">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512834"/>
    <w:multiLevelType w:val="hybridMultilevel"/>
    <w:tmpl w:val="FF9EE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4425E7"/>
    <w:multiLevelType w:val="hybridMultilevel"/>
    <w:tmpl w:val="7134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F76BAB"/>
    <w:multiLevelType w:val="hybridMultilevel"/>
    <w:tmpl w:val="9004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m"/>
      <w:lvlText w:val="–"/>
      <w:lvlJc w:val="left"/>
      <w:pPr>
        <w:tabs>
          <w:tab w:val="num" w:pos="850"/>
        </w:tabs>
        <w:ind w:left="850" w:hanging="425"/>
      </w:pPr>
      <w:rPr>
        <w:b w:val="0"/>
        <w:i w:val="0"/>
      </w:rPr>
    </w:lvl>
    <w:lvl w:ilvl="3">
      <w:start w:val="1"/>
      <w:numFmt w:val="bullet"/>
      <w:pStyle w:val="DashEm1"/>
      <w:lvlText w:val="–"/>
      <w:lvlJc w:val="left"/>
      <w:pPr>
        <w:tabs>
          <w:tab w:val="num" w:pos="1276"/>
        </w:tabs>
        <w:ind w:left="1276" w:hanging="426"/>
      </w:pPr>
      <w:rPr>
        <w:b w:val="0"/>
        <w:i w:val="0"/>
      </w:rPr>
    </w:lvl>
    <w:lvl w:ilvl="4">
      <w:start w:val="1"/>
      <w:numFmt w:val="bullet"/>
      <w:pStyle w:val="DashEn1"/>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1" w15:restartNumberingAfterBreak="0">
    <w:nsid w:val="2FAD2A0F"/>
    <w:multiLevelType w:val="hybridMultilevel"/>
    <w:tmpl w:val="58E00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C4FEE"/>
    <w:multiLevelType w:val="multilevel"/>
    <w:tmpl w:val="74A2E8E2"/>
    <w:lvl w:ilvl="0">
      <w:start w:val="1"/>
      <w:numFmt w:val="decimal"/>
      <w:pStyle w:val="ClauseLevel1"/>
      <w:lvlText w:val="Recommendation %1"/>
      <w:lvlJc w:val="left"/>
      <w:pPr>
        <w:tabs>
          <w:tab w:val="num" w:pos="2976"/>
        </w:tabs>
        <w:ind w:left="4394" w:hanging="2552"/>
      </w:pPr>
      <w:rPr>
        <w:rFonts w:hint="default"/>
        <w:b/>
        <w:i w:val="0"/>
        <w:color w:val="FFFFFF" w:themeColor="background1"/>
        <w:sz w:val="22"/>
        <w:szCs w:val="22"/>
        <w:u w:val="single"/>
      </w:rPr>
    </w:lvl>
    <w:lvl w:ilvl="1">
      <w:start w:val="1"/>
      <w:numFmt w:val="decimal"/>
      <w:pStyle w:val="ClauseLevel1"/>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lvlText w:val="(%3)"/>
      <w:lvlJc w:val="left"/>
      <w:pPr>
        <w:tabs>
          <w:tab w:val="num" w:pos="1559"/>
        </w:tabs>
        <w:ind w:left="155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276"/>
        </w:tabs>
        <w:ind w:left="1276"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3" w15:restartNumberingAfterBreak="0">
    <w:nsid w:val="3073761D"/>
    <w:multiLevelType w:val="multilevel"/>
    <w:tmpl w:val="1342478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i w:val="0"/>
        <w:iCs w:val="0"/>
        <w:sz w:val="20"/>
        <w:szCs w:val="20"/>
      </w:rPr>
    </w:lvl>
    <w:lvl w:ilvl="2">
      <w:start w:val="1"/>
      <w:numFmt w:val="bullet"/>
      <w:lvlText w:val=""/>
      <w:lvlJc w:val="left"/>
      <w:pPr>
        <w:ind w:left="1701" w:hanging="850"/>
      </w:pPr>
      <w:rPr>
        <w:rFonts w:ascii="Symbol" w:hAnsi="Symbo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3BD2584"/>
    <w:multiLevelType w:val="multilevel"/>
    <w:tmpl w:val="F36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657F8"/>
    <w:multiLevelType w:val="hybridMultilevel"/>
    <w:tmpl w:val="3546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1D5F41"/>
    <w:multiLevelType w:val="multilevel"/>
    <w:tmpl w:val="C116F758"/>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7" w15:restartNumberingAfterBreak="0">
    <w:nsid w:val="46DF1F53"/>
    <w:multiLevelType w:val="hybridMultilevel"/>
    <w:tmpl w:val="E982C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285D3A"/>
    <w:multiLevelType w:val="hybridMultilevel"/>
    <w:tmpl w:val="80B2A0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B726FB"/>
    <w:multiLevelType w:val="hybridMultilevel"/>
    <w:tmpl w:val="B5CCF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3705EF"/>
    <w:multiLevelType w:val="hybridMultilevel"/>
    <w:tmpl w:val="82186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F950B8"/>
    <w:multiLevelType w:val="hybridMultilevel"/>
    <w:tmpl w:val="F0A82024"/>
    <w:name w:val="MaddNumpara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FF5F2C"/>
    <w:multiLevelType w:val="hybridMultilevel"/>
    <w:tmpl w:val="52CA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150AA2"/>
    <w:multiLevelType w:val="hybridMultilevel"/>
    <w:tmpl w:val="13342566"/>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5" w15:restartNumberingAfterBreak="0">
    <w:nsid w:val="731378EE"/>
    <w:multiLevelType w:val="hybridMultilevel"/>
    <w:tmpl w:val="9314E206"/>
    <w:lvl w:ilvl="0" w:tplc="561E1416">
      <w:start w:val="1"/>
      <w:numFmt w:val="bullet"/>
      <w:pStyle w:val="Bulletlevel1"/>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7"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0"/>
  </w:num>
  <w:num w:numId="3">
    <w:abstractNumId w:val="9"/>
  </w:num>
  <w:num w:numId="4">
    <w:abstractNumId w:val="14"/>
  </w:num>
  <w:num w:numId="5">
    <w:abstractNumId w:val="7"/>
  </w:num>
  <w:num w:numId="6">
    <w:abstractNumId w:val="5"/>
  </w:num>
  <w:num w:numId="7">
    <w:abstractNumId w:val="32"/>
  </w:num>
  <w:num w:numId="8">
    <w:abstractNumId w:val="4"/>
  </w:num>
  <w:num w:numId="9">
    <w:abstractNumId w:val="3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12"/>
  </w:num>
  <w:num w:numId="14">
    <w:abstractNumId w:val="3"/>
  </w:num>
  <w:num w:numId="15">
    <w:abstractNumId w:val="0"/>
  </w:num>
  <w:num w:numId="16">
    <w:abstractNumId w:val="28"/>
  </w:num>
  <w:num w:numId="17">
    <w:abstractNumId w:val="3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6"/>
  </w:num>
  <w:num w:numId="21">
    <w:abstractNumId w:val="1"/>
  </w:num>
  <w:num w:numId="22">
    <w:abstractNumId w:val="34"/>
  </w:num>
  <w:num w:numId="23">
    <w:abstractNumId w:val="16"/>
  </w:num>
  <w:num w:numId="24">
    <w:abstractNumId w:val="17"/>
  </w:num>
  <w:num w:numId="25">
    <w:abstractNumId w:val="14"/>
  </w:num>
  <w:num w:numId="26">
    <w:abstractNumId w:val="8"/>
  </w:num>
  <w:num w:numId="27">
    <w:abstractNumId w:val="24"/>
  </w:num>
  <w:num w:numId="28">
    <w:abstractNumId w:val="15"/>
  </w:num>
  <w:num w:numId="29">
    <w:abstractNumId w:val="6"/>
  </w:num>
  <w:num w:numId="30">
    <w:abstractNumId w:val="21"/>
  </w:num>
  <w:num w:numId="31">
    <w:abstractNumId w:val="19"/>
  </w:num>
  <w:num w:numId="32">
    <w:abstractNumId w:val="25"/>
  </w:num>
  <w:num w:numId="33">
    <w:abstractNumId w:val="30"/>
  </w:num>
  <w:num w:numId="34">
    <w:abstractNumId w:val="33"/>
  </w:num>
  <w:num w:numId="35">
    <w:abstractNumId w:val="23"/>
  </w:num>
  <w:num w:numId="36">
    <w:abstractNumId w:val="27"/>
  </w:num>
  <w:num w:numId="37">
    <w:abstractNumId w:val="13"/>
  </w:num>
  <w:num w:numId="38">
    <w:abstractNumId w:val="18"/>
  </w:num>
  <w:num w:numId="39">
    <w:abstractNumId w:val="10"/>
  </w:num>
  <w:num w:numId="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51"/>
    <w:rsid w:val="0000014D"/>
    <w:rsid w:val="0000029E"/>
    <w:rsid w:val="000008CC"/>
    <w:rsid w:val="00000D74"/>
    <w:rsid w:val="000022C4"/>
    <w:rsid w:val="000027A7"/>
    <w:rsid w:val="00003A85"/>
    <w:rsid w:val="00003DBE"/>
    <w:rsid w:val="00004852"/>
    <w:rsid w:val="00004AF4"/>
    <w:rsid w:val="00004FAA"/>
    <w:rsid w:val="0000535D"/>
    <w:rsid w:val="00005D1A"/>
    <w:rsid w:val="00005D52"/>
    <w:rsid w:val="0000602B"/>
    <w:rsid w:val="0000640C"/>
    <w:rsid w:val="00006814"/>
    <w:rsid w:val="00006B0A"/>
    <w:rsid w:val="00006C32"/>
    <w:rsid w:val="00006D0F"/>
    <w:rsid w:val="0000718C"/>
    <w:rsid w:val="00007809"/>
    <w:rsid w:val="000101EC"/>
    <w:rsid w:val="00010438"/>
    <w:rsid w:val="000106C1"/>
    <w:rsid w:val="0001086A"/>
    <w:rsid w:val="00010BCF"/>
    <w:rsid w:val="00011754"/>
    <w:rsid w:val="00012500"/>
    <w:rsid w:val="00012CF4"/>
    <w:rsid w:val="00013318"/>
    <w:rsid w:val="0001338D"/>
    <w:rsid w:val="000133C1"/>
    <w:rsid w:val="000144C7"/>
    <w:rsid w:val="0001465E"/>
    <w:rsid w:val="000147F5"/>
    <w:rsid w:val="00014854"/>
    <w:rsid w:val="00014B64"/>
    <w:rsid w:val="00014D07"/>
    <w:rsid w:val="000152B0"/>
    <w:rsid w:val="00015441"/>
    <w:rsid w:val="00015C55"/>
    <w:rsid w:val="00015FDE"/>
    <w:rsid w:val="00016103"/>
    <w:rsid w:val="0001611B"/>
    <w:rsid w:val="00016158"/>
    <w:rsid w:val="00016C41"/>
    <w:rsid w:val="00016C7C"/>
    <w:rsid w:val="00016E1A"/>
    <w:rsid w:val="0001772B"/>
    <w:rsid w:val="00020259"/>
    <w:rsid w:val="000206E1"/>
    <w:rsid w:val="000210E4"/>
    <w:rsid w:val="000212B5"/>
    <w:rsid w:val="000213F9"/>
    <w:rsid w:val="00021A78"/>
    <w:rsid w:val="00021C57"/>
    <w:rsid w:val="00021F07"/>
    <w:rsid w:val="00022DBC"/>
    <w:rsid w:val="000234BD"/>
    <w:rsid w:val="0002429F"/>
    <w:rsid w:val="00024734"/>
    <w:rsid w:val="00025473"/>
    <w:rsid w:val="0002564D"/>
    <w:rsid w:val="00025BB5"/>
    <w:rsid w:val="00025DD4"/>
    <w:rsid w:val="0002658F"/>
    <w:rsid w:val="00026F7B"/>
    <w:rsid w:val="00027AE7"/>
    <w:rsid w:val="00030554"/>
    <w:rsid w:val="00030BC0"/>
    <w:rsid w:val="000312E6"/>
    <w:rsid w:val="00031B8C"/>
    <w:rsid w:val="00032050"/>
    <w:rsid w:val="0003215F"/>
    <w:rsid w:val="000323AF"/>
    <w:rsid w:val="00032A0F"/>
    <w:rsid w:val="00032A95"/>
    <w:rsid w:val="00032C60"/>
    <w:rsid w:val="00033248"/>
    <w:rsid w:val="00033B95"/>
    <w:rsid w:val="0003430A"/>
    <w:rsid w:val="0003439B"/>
    <w:rsid w:val="000344EF"/>
    <w:rsid w:val="00034539"/>
    <w:rsid w:val="000348BA"/>
    <w:rsid w:val="0003518A"/>
    <w:rsid w:val="00035433"/>
    <w:rsid w:val="00035B90"/>
    <w:rsid w:val="00036117"/>
    <w:rsid w:val="0003639C"/>
    <w:rsid w:val="00036828"/>
    <w:rsid w:val="00036F74"/>
    <w:rsid w:val="0003774E"/>
    <w:rsid w:val="00040414"/>
    <w:rsid w:val="00040769"/>
    <w:rsid w:val="000407D2"/>
    <w:rsid w:val="00041351"/>
    <w:rsid w:val="00041AB4"/>
    <w:rsid w:val="00041EC9"/>
    <w:rsid w:val="00042254"/>
    <w:rsid w:val="00042CF2"/>
    <w:rsid w:val="00043142"/>
    <w:rsid w:val="00043262"/>
    <w:rsid w:val="000433F4"/>
    <w:rsid w:val="00043632"/>
    <w:rsid w:val="00043DFF"/>
    <w:rsid w:val="00044B20"/>
    <w:rsid w:val="00044D64"/>
    <w:rsid w:val="0004557D"/>
    <w:rsid w:val="000469C8"/>
    <w:rsid w:val="00046CC6"/>
    <w:rsid w:val="00047139"/>
    <w:rsid w:val="000476CD"/>
    <w:rsid w:val="000479F6"/>
    <w:rsid w:val="00047BB3"/>
    <w:rsid w:val="00047C38"/>
    <w:rsid w:val="00050E5D"/>
    <w:rsid w:val="00050F7B"/>
    <w:rsid w:val="00051158"/>
    <w:rsid w:val="00051481"/>
    <w:rsid w:val="000518AC"/>
    <w:rsid w:val="00051D2D"/>
    <w:rsid w:val="000522E8"/>
    <w:rsid w:val="00053064"/>
    <w:rsid w:val="0005315A"/>
    <w:rsid w:val="00053929"/>
    <w:rsid w:val="0005398F"/>
    <w:rsid w:val="00053B40"/>
    <w:rsid w:val="00053EB2"/>
    <w:rsid w:val="00053EF2"/>
    <w:rsid w:val="00054009"/>
    <w:rsid w:val="000544D3"/>
    <w:rsid w:val="00054DC1"/>
    <w:rsid w:val="00055567"/>
    <w:rsid w:val="000556F3"/>
    <w:rsid w:val="00056124"/>
    <w:rsid w:val="00056D07"/>
    <w:rsid w:val="00057364"/>
    <w:rsid w:val="0005755B"/>
    <w:rsid w:val="00057816"/>
    <w:rsid w:val="00057983"/>
    <w:rsid w:val="0006077E"/>
    <w:rsid w:val="00060C6F"/>
    <w:rsid w:val="00060F19"/>
    <w:rsid w:val="0006119E"/>
    <w:rsid w:val="000614C0"/>
    <w:rsid w:val="00061CB2"/>
    <w:rsid w:val="000625B3"/>
    <w:rsid w:val="000627AF"/>
    <w:rsid w:val="00062A41"/>
    <w:rsid w:val="00063511"/>
    <w:rsid w:val="000635E4"/>
    <w:rsid w:val="00064300"/>
    <w:rsid w:val="00064526"/>
    <w:rsid w:val="00064CF1"/>
    <w:rsid w:val="00065268"/>
    <w:rsid w:val="0006606B"/>
    <w:rsid w:val="00066438"/>
    <w:rsid w:val="000669A8"/>
    <w:rsid w:val="00066B7F"/>
    <w:rsid w:val="0006749F"/>
    <w:rsid w:val="00067A64"/>
    <w:rsid w:val="00067AD2"/>
    <w:rsid w:val="00067E65"/>
    <w:rsid w:val="000703BC"/>
    <w:rsid w:val="00070EF0"/>
    <w:rsid w:val="000714B3"/>
    <w:rsid w:val="00071504"/>
    <w:rsid w:val="0007223F"/>
    <w:rsid w:val="000722E9"/>
    <w:rsid w:val="000725B1"/>
    <w:rsid w:val="00072D7C"/>
    <w:rsid w:val="00072E91"/>
    <w:rsid w:val="0007347F"/>
    <w:rsid w:val="00073917"/>
    <w:rsid w:val="000741DD"/>
    <w:rsid w:val="0007488F"/>
    <w:rsid w:val="00074938"/>
    <w:rsid w:val="00074A0A"/>
    <w:rsid w:val="00074D58"/>
    <w:rsid w:val="00075722"/>
    <w:rsid w:val="0007586B"/>
    <w:rsid w:val="00075A04"/>
    <w:rsid w:val="000765F1"/>
    <w:rsid w:val="000767E7"/>
    <w:rsid w:val="000769FA"/>
    <w:rsid w:val="00076FD7"/>
    <w:rsid w:val="0007748F"/>
    <w:rsid w:val="000775A2"/>
    <w:rsid w:val="00077D7D"/>
    <w:rsid w:val="00077FC9"/>
    <w:rsid w:val="00080087"/>
    <w:rsid w:val="00080552"/>
    <w:rsid w:val="000805E3"/>
    <w:rsid w:val="00080822"/>
    <w:rsid w:val="0008097A"/>
    <w:rsid w:val="00080CD3"/>
    <w:rsid w:val="000818A7"/>
    <w:rsid w:val="000826C2"/>
    <w:rsid w:val="00082927"/>
    <w:rsid w:val="00082CC6"/>
    <w:rsid w:val="00083513"/>
    <w:rsid w:val="0008364B"/>
    <w:rsid w:val="00083E30"/>
    <w:rsid w:val="00084006"/>
    <w:rsid w:val="0008468E"/>
    <w:rsid w:val="00084CE2"/>
    <w:rsid w:val="00084EDD"/>
    <w:rsid w:val="0008532A"/>
    <w:rsid w:val="000862EB"/>
    <w:rsid w:val="00086832"/>
    <w:rsid w:val="00086AAF"/>
    <w:rsid w:val="00086BCA"/>
    <w:rsid w:val="00087123"/>
    <w:rsid w:val="00087166"/>
    <w:rsid w:val="000875BF"/>
    <w:rsid w:val="00087782"/>
    <w:rsid w:val="00087789"/>
    <w:rsid w:val="00087A27"/>
    <w:rsid w:val="00090086"/>
    <w:rsid w:val="00090996"/>
    <w:rsid w:val="00090A43"/>
    <w:rsid w:val="000910C7"/>
    <w:rsid w:val="00091370"/>
    <w:rsid w:val="000928C4"/>
    <w:rsid w:val="00092B75"/>
    <w:rsid w:val="00092DFD"/>
    <w:rsid w:val="000930B3"/>
    <w:rsid w:val="00093A1D"/>
    <w:rsid w:val="00093D50"/>
    <w:rsid w:val="00094138"/>
    <w:rsid w:val="000944CF"/>
    <w:rsid w:val="000947C3"/>
    <w:rsid w:val="00094A6B"/>
    <w:rsid w:val="00094E30"/>
    <w:rsid w:val="000954DF"/>
    <w:rsid w:val="00095D82"/>
    <w:rsid w:val="00097577"/>
    <w:rsid w:val="000A0596"/>
    <w:rsid w:val="000A0CC3"/>
    <w:rsid w:val="000A11B9"/>
    <w:rsid w:val="000A169F"/>
    <w:rsid w:val="000A1B2C"/>
    <w:rsid w:val="000A1B37"/>
    <w:rsid w:val="000A1F26"/>
    <w:rsid w:val="000A220E"/>
    <w:rsid w:val="000A297A"/>
    <w:rsid w:val="000A2F00"/>
    <w:rsid w:val="000A3244"/>
    <w:rsid w:val="000A3B97"/>
    <w:rsid w:val="000A3EF8"/>
    <w:rsid w:val="000A4126"/>
    <w:rsid w:val="000A440D"/>
    <w:rsid w:val="000A44AE"/>
    <w:rsid w:val="000A4AF8"/>
    <w:rsid w:val="000A502B"/>
    <w:rsid w:val="000A566A"/>
    <w:rsid w:val="000A590D"/>
    <w:rsid w:val="000A599E"/>
    <w:rsid w:val="000A5E76"/>
    <w:rsid w:val="000A5E86"/>
    <w:rsid w:val="000A6077"/>
    <w:rsid w:val="000A6453"/>
    <w:rsid w:val="000A6CD7"/>
    <w:rsid w:val="000A6E12"/>
    <w:rsid w:val="000A715E"/>
    <w:rsid w:val="000A7872"/>
    <w:rsid w:val="000A7B8C"/>
    <w:rsid w:val="000A7BC1"/>
    <w:rsid w:val="000B0655"/>
    <w:rsid w:val="000B090D"/>
    <w:rsid w:val="000B09F4"/>
    <w:rsid w:val="000B0B8F"/>
    <w:rsid w:val="000B0E17"/>
    <w:rsid w:val="000B0F98"/>
    <w:rsid w:val="000B0FCF"/>
    <w:rsid w:val="000B1059"/>
    <w:rsid w:val="000B27DC"/>
    <w:rsid w:val="000B27F4"/>
    <w:rsid w:val="000B2B43"/>
    <w:rsid w:val="000B3328"/>
    <w:rsid w:val="000B4377"/>
    <w:rsid w:val="000B49B0"/>
    <w:rsid w:val="000B51C8"/>
    <w:rsid w:val="000B5335"/>
    <w:rsid w:val="000B5422"/>
    <w:rsid w:val="000B63AA"/>
    <w:rsid w:val="000B7240"/>
    <w:rsid w:val="000B73FF"/>
    <w:rsid w:val="000C04B5"/>
    <w:rsid w:val="000C06E7"/>
    <w:rsid w:val="000C0B5C"/>
    <w:rsid w:val="000C0D96"/>
    <w:rsid w:val="000C124E"/>
    <w:rsid w:val="000C170E"/>
    <w:rsid w:val="000C1A21"/>
    <w:rsid w:val="000C2482"/>
    <w:rsid w:val="000C2DA6"/>
    <w:rsid w:val="000C2E86"/>
    <w:rsid w:val="000C2EF2"/>
    <w:rsid w:val="000C2F86"/>
    <w:rsid w:val="000C34A2"/>
    <w:rsid w:val="000C3611"/>
    <w:rsid w:val="000C3B1F"/>
    <w:rsid w:val="000C4678"/>
    <w:rsid w:val="000C491C"/>
    <w:rsid w:val="000C4967"/>
    <w:rsid w:val="000C4E18"/>
    <w:rsid w:val="000C4EC7"/>
    <w:rsid w:val="000C51AA"/>
    <w:rsid w:val="000C52BD"/>
    <w:rsid w:val="000C53DE"/>
    <w:rsid w:val="000C54B1"/>
    <w:rsid w:val="000C555F"/>
    <w:rsid w:val="000C5827"/>
    <w:rsid w:val="000C646E"/>
    <w:rsid w:val="000C719F"/>
    <w:rsid w:val="000C7443"/>
    <w:rsid w:val="000C7575"/>
    <w:rsid w:val="000C762F"/>
    <w:rsid w:val="000C78F1"/>
    <w:rsid w:val="000C7CD4"/>
    <w:rsid w:val="000D0010"/>
    <w:rsid w:val="000D05CC"/>
    <w:rsid w:val="000D0608"/>
    <w:rsid w:val="000D1382"/>
    <w:rsid w:val="000D15AC"/>
    <w:rsid w:val="000D1628"/>
    <w:rsid w:val="000D1971"/>
    <w:rsid w:val="000D1C0A"/>
    <w:rsid w:val="000D1FED"/>
    <w:rsid w:val="000D1FF8"/>
    <w:rsid w:val="000D2036"/>
    <w:rsid w:val="000D2783"/>
    <w:rsid w:val="000D28AC"/>
    <w:rsid w:val="000D2A5D"/>
    <w:rsid w:val="000D2B5D"/>
    <w:rsid w:val="000D3E73"/>
    <w:rsid w:val="000D4088"/>
    <w:rsid w:val="000D431D"/>
    <w:rsid w:val="000D49EF"/>
    <w:rsid w:val="000D57B0"/>
    <w:rsid w:val="000D678F"/>
    <w:rsid w:val="000D778A"/>
    <w:rsid w:val="000D7FFD"/>
    <w:rsid w:val="000E046B"/>
    <w:rsid w:val="000E0541"/>
    <w:rsid w:val="000E0549"/>
    <w:rsid w:val="000E0A4C"/>
    <w:rsid w:val="000E1351"/>
    <w:rsid w:val="000E1DFD"/>
    <w:rsid w:val="000E24D4"/>
    <w:rsid w:val="000E2727"/>
    <w:rsid w:val="000E2ACA"/>
    <w:rsid w:val="000E2D09"/>
    <w:rsid w:val="000E2F23"/>
    <w:rsid w:val="000E3580"/>
    <w:rsid w:val="000E380A"/>
    <w:rsid w:val="000E3C82"/>
    <w:rsid w:val="000E3E2E"/>
    <w:rsid w:val="000E3F92"/>
    <w:rsid w:val="000E3F9B"/>
    <w:rsid w:val="000E4322"/>
    <w:rsid w:val="000E4674"/>
    <w:rsid w:val="000E47AF"/>
    <w:rsid w:val="000E4870"/>
    <w:rsid w:val="000E4ADF"/>
    <w:rsid w:val="000E509C"/>
    <w:rsid w:val="000E523B"/>
    <w:rsid w:val="000E540D"/>
    <w:rsid w:val="000E564B"/>
    <w:rsid w:val="000E5709"/>
    <w:rsid w:val="000E5BE2"/>
    <w:rsid w:val="000E6F93"/>
    <w:rsid w:val="000E7A31"/>
    <w:rsid w:val="000F036C"/>
    <w:rsid w:val="000F0676"/>
    <w:rsid w:val="000F1F7A"/>
    <w:rsid w:val="000F228D"/>
    <w:rsid w:val="000F2768"/>
    <w:rsid w:val="000F2E87"/>
    <w:rsid w:val="000F427B"/>
    <w:rsid w:val="000F48D6"/>
    <w:rsid w:val="000F57AE"/>
    <w:rsid w:val="000F611A"/>
    <w:rsid w:val="000F67E7"/>
    <w:rsid w:val="000F696B"/>
    <w:rsid w:val="000F6C1D"/>
    <w:rsid w:val="000F6D07"/>
    <w:rsid w:val="000F6FA1"/>
    <w:rsid w:val="000F7A7F"/>
    <w:rsid w:val="0010061E"/>
    <w:rsid w:val="00101542"/>
    <w:rsid w:val="00101A38"/>
    <w:rsid w:val="00102DF5"/>
    <w:rsid w:val="00103CE4"/>
    <w:rsid w:val="00103D7D"/>
    <w:rsid w:val="0010431F"/>
    <w:rsid w:val="001043D2"/>
    <w:rsid w:val="00104871"/>
    <w:rsid w:val="00104E16"/>
    <w:rsid w:val="00104F8B"/>
    <w:rsid w:val="00104FD3"/>
    <w:rsid w:val="00105437"/>
    <w:rsid w:val="001054B3"/>
    <w:rsid w:val="00106D83"/>
    <w:rsid w:val="00106E23"/>
    <w:rsid w:val="00106E2B"/>
    <w:rsid w:val="00107E08"/>
    <w:rsid w:val="0011016F"/>
    <w:rsid w:val="00110224"/>
    <w:rsid w:val="001103AC"/>
    <w:rsid w:val="001103BE"/>
    <w:rsid w:val="001107E3"/>
    <w:rsid w:val="00110D64"/>
    <w:rsid w:val="00111043"/>
    <w:rsid w:val="00111308"/>
    <w:rsid w:val="00111415"/>
    <w:rsid w:val="001115F6"/>
    <w:rsid w:val="00111C84"/>
    <w:rsid w:val="00111C91"/>
    <w:rsid w:val="00111EB2"/>
    <w:rsid w:val="0011258D"/>
    <w:rsid w:val="00112914"/>
    <w:rsid w:val="00112CD6"/>
    <w:rsid w:val="0011306E"/>
    <w:rsid w:val="001134C1"/>
    <w:rsid w:val="0011412A"/>
    <w:rsid w:val="00114CFA"/>
    <w:rsid w:val="001157BC"/>
    <w:rsid w:val="0011607E"/>
    <w:rsid w:val="001161FD"/>
    <w:rsid w:val="00117370"/>
    <w:rsid w:val="00120233"/>
    <w:rsid w:val="00120458"/>
    <w:rsid w:val="00120BF7"/>
    <w:rsid w:val="00120EA6"/>
    <w:rsid w:val="0012138F"/>
    <w:rsid w:val="00121ADD"/>
    <w:rsid w:val="0012245F"/>
    <w:rsid w:val="0012284E"/>
    <w:rsid w:val="0012285B"/>
    <w:rsid w:val="00123225"/>
    <w:rsid w:val="001234B3"/>
    <w:rsid w:val="00123B06"/>
    <w:rsid w:val="00123DAE"/>
    <w:rsid w:val="0012416C"/>
    <w:rsid w:val="00124200"/>
    <w:rsid w:val="001242F7"/>
    <w:rsid w:val="00124563"/>
    <w:rsid w:val="00124778"/>
    <w:rsid w:val="00124993"/>
    <w:rsid w:val="00124ADD"/>
    <w:rsid w:val="001261CF"/>
    <w:rsid w:val="0012628C"/>
    <w:rsid w:val="001262F1"/>
    <w:rsid w:val="00126354"/>
    <w:rsid w:val="00126E24"/>
    <w:rsid w:val="00127582"/>
    <w:rsid w:val="00127670"/>
    <w:rsid w:val="00127A6A"/>
    <w:rsid w:val="00127D53"/>
    <w:rsid w:val="00130206"/>
    <w:rsid w:val="001303FF"/>
    <w:rsid w:val="001308F5"/>
    <w:rsid w:val="00130BA3"/>
    <w:rsid w:val="00130C2F"/>
    <w:rsid w:val="00130D51"/>
    <w:rsid w:val="00131121"/>
    <w:rsid w:val="00131519"/>
    <w:rsid w:val="00131A61"/>
    <w:rsid w:val="00131D33"/>
    <w:rsid w:val="001323FC"/>
    <w:rsid w:val="00132453"/>
    <w:rsid w:val="001325D5"/>
    <w:rsid w:val="00132DB1"/>
    <w:rsid w:val="00132FCC"/>
    <w:rsid w:val="00133398"/>
    <w:rsid w:val="001337F1"/>
    <w:rsid w:val="00133A20"/>
    <w:rsid w:val="001354BC"/>
    <w:rsid w:val="0013570F"/>
    <w:rsid w:val="00135840"/>
    <w:rsid w:val="00135BBA"/>
    <w:rsid w:val="00135C3F"/>
    <w:rsid w:val="00135E06"/>
    <w:rsid w:val="00135FCA"/>
    <w:rsid w:val="0013647F"/>
    <w:rsid w:val="0013726C"/>
    <w:rsid w:val="001376BA"/>
    <w:rsid w:val="001376D8"/>
    <w:rsid w:val="00140150"/>
    <w:rsid w:val="00140262"/>
    <w:rsid w:val="00141923"/>
    <w:rsid w:val="00141BEC"/>
    <w:rsid w:val="00141D09"/>
    <w:rsid w:val="00141EB0"/>
    <w:rsid w:val="00142416"/>
    <w:rsid w:val="00142674"/>
    <w:rsid w:val="00142752"/>
    <w:rsid w:val="00142901"/>
    <w:rsid w:val="00143005"/>
    <w:rsid w:val="001439A2"/>
    <w:rsid w:val="00143ECE"/>
    <w:rsid w:val="00144403"/>
    <w:rsid w:val="00144475"/>
    <w:rsid w:val="00144516"/>
    <w:rsid w:val="00145066"/>
    <w:rsid w:val="00145F6B"/>
    <w:rsid w:val="0014679D"/>
    <w:rsid w:val="0014700E"/>
    <w:rsid w:val="001472E9"/>
    <w:rsid w:val="00147A54"/>
    <w:rsid w:val="0015072D"/>
    <w:rsid w:val="00150BA4"/>
    <w:rsid w:val="00151EE2"/>
    <w:rsid w:val="00152400"/>
    <w:rsid w:val="001524C8"/>
    <w:rsid w:val="001527AF"/>
    <w:rsid w:val="00152831"/>
    <w:rsid w:val="001529E0"/>
    <w:rsid w:val="00152C1A"/>
    <w:rsid w:val="00152ECB"/>
    <w:rsid w:val="00153112"/>
    <w:rsid w:val="001540D0"/>
    <w:rsid w:val="001552CF"/>
    <w:rsid w:val="001553C5"/>
    <w:rsid w:val="0015549F"/>
    <w:rsid w:val="00155853"/>
    <w:rsid w:val="0015615A"/>
    <w:rsid w:val="001562C7"/>
    <w:rsid w:val="0015637D"/>
    <w:rsid w:val="001566E6"/>
    <w:rsid w:val="00156D33"/>
    <w:rsid w:val="00160134"/>
    <w:rsid w:val="001602DD"/>
    <w:rsid w:val="001602E0"/>
    <w:rsid w:val="00160388"/>
    <w:rsid w:val="00160CBE"/>
    <w:rsid w:val="00160D9D"/>
    <w:rsid w:val="0016108D"/>
    <w:rsid w:val="001619FF"/>
    <w:rsid w:val="00161D65"/>
    <w:rsid w:val="0016224F"/>
    <w:rsid w:val="001623A9"/>
    <w:rsid w:val="001624BE"/>
    <w:rsid w:val="001629FA"/>
    <w:rsid w:val="001629FB"/>
    <w:rsid w:val="00162BAD"/>
    <w:rsid w:val="00162CA9"/>
    <w:rsid w:val="00163418"/>
    <w:rsid w:val="00163584"/>
    <w:rsid w:val="00163818"/>
    <w:rsid w:val="00163C83"/>
    <w:rsid w:val="00164390"/>
    <w:rsid w:val="00164433"/>
    <w:rsid w:val="00164AAC"/>
    <w:rsid w:val="00164AAE"/>
    <w:rsid w:val="001653AD"/>
    <w:rsid w:val="00165815"/>
    <w:rsid w:val="00165844"/>
    <w:rsid w:val="00165D07"/>
    <w:rsid w:val="0016638F"/>
    <w:rsid w:val="0016690F"/>
    <w:rsid w:val="00166A83"/>
    <w:rsid w:val="00166C63"/>
    <w:rsid w:val="00166F3C"/>
    <w:rsid w:val="00167ADA"/>
    <w:rsid w:val="00167C38"/>
    <w:rsid w:val="0017003C"/>
    <w:rsid w:val="001701DA"/>
    <w:rsid w:val="00170712"/>
    <w:rsid w:val="00170F35"/>
    <w:rsid w:val="0017140A"/>
    <w:rsid w:val="00171C20"/>
    <w:rsid w:val="00171C89"/>
    <w:rsid w:val="00172206"/>
    <w:rsid w:val="0017271F"/>
    <w:rsid w:val="00173088"/>
    <w:rsid w:val="001732B5"/>
    <w:rsid w:val="00173944"/>
    <w:rsid w:val="00173E3E"/>
    <w:rsid w:val="00173E71"/>
    <w:rsid w:val="00174182"/>
    <w:rsid w:val="001746F9"/>
    <w:rsid w:val="00174A97"/>
    <w:rsid w:val="00174DA8"/>
    <w:rsid w:val="00175143"/>
    <w:rsid w:val="00175FB5"/>
    <w:rsid w:val="00176081"/>
    <w:rsid w:val="00176512"/>
    <w:rsid w:val="001765B3"/>
    <w:rsid w:val="001765DF"/>
    <w:rsid w:val="001766DF"/>
    <w:rsid w:val="00176820"/>
    <w:rsid w:val="00176A0E"/>
    <w:rsid w:val="00177D1F"/>
    <w:rsid w:val="00177F51"/>
    <w:rsid w:val="00177F57"/>
    <w:rsid w:val="00180922"/>
    <w:rsid w:val="0018180C"/>
    <w:rsid w:val="00181942"/>
    <w:rsid w:val="001819A0"/>
    <w:rsid w:val="00181E95"/>
    <w:rsid w:val="0018259A"/>
    <w:rsid w:val="00182F44"/>
    <w:rsid w:val="0018331B"/>
    <w:rsid w:val="0018418F"/>
    <w:rsid w:val="001841F2"/>
    <w:rsid w:val="001841F7"/>
    <w:rsid w:val="00184468"/>
    <w:rsid w:val="00184C57"/>
    <w:rsid w:val="00184E4D"/>
    <w:rsid w:val="00184E85"/>
    <w:rsid w:val="00185934"/>
    <w:rsid w:val="00185F0D"/>
    <w:rsid w:val="00186A0B"/>
    <w:rsid w:val="00187139"/>
    <w:rsid w:val="00187AA3"/>
    <w:rsid w:val="00187B99"/>
    <w:rsid w:val="00187BFA"/>
    <w:rsid w:val="00187EF0"/>
    <w:rsid w:val="001908D7"/>
    <w:rsid w:val="00191B17"/>
    <w:rsid w:val="00191B5A"/>
    <w:rsid w:val="00191CE4"/>
    <w:rsid w:val="00192267"/>
    <w:rsid w:val="001922FE"/>
    <w:rsid w:val="00192D4E"/>
    <w:rsid w:val="00193674"/>
    <w:rsid w:val="00193694"/>
    <w:rsid w:val="00193923"/>
    <w:rsid w:val="00193D7D"/>
    <w:rsid w:val="00194209"/>
    <w:rsid w:val="0019428D"/>
    <w:rsid w:val="001949BD"/>
    <w:rsid w:val="00194F67"/>
    <w:rsid w:val="00195343"/>
    <w:rsid w:val="00195556"/>
    <w:rsid w:val="0019570C"/>
    <w:rsid w:val="00195BD8"/>
    <w:rsid w:val="00196100"/>
    <w:rsid w:val="001963F6"/>
    <w:rsid w:val="00196B80"/>
    <w:rsid w:val="00196DCD"/>
    <w:rsid w:val="00197D84"/>
    <w:rsid w:val="00197DE0"/>
    <w:rsid w:val="00197EC7"/>
    <w:rsid w:val="001A0250"/>
    <w:rsid w:val="001A0ACA"/>
    <w:rsid w:val="001A0B70"/>
    <w:rsid w:val="001A11FA"/>
    <w:rsid w:val="001A138C"/>
    <w:rsid w:val="001A13C5"/>
    <w:rsid w:val="001A1928"/>
    <w:rsid w:val="001A2113"/>
    <w:rsid w:val="001A2529"/>
    <w:rsid w:val="001A2962"/>
    <w:rsid w:val="001A2A43"/>
    <w:rsid w:val="001A2B56"/>
    <w:rsid w:val="001A30C3"/>
    <w:rsid w:val="001A3578"/>
    <w:rsid w:val="001A42C2"/>
    <w:rsid w:val="001A4562"/>
    <w:rsid w:val="001A4869"/>
    <w:rsid w:val="001A487A"/>
    <w:rsid w:val="001A4DE9"/>
    <w:rsid w:val="001A618F"/>
    <w:rsid w:val="001A61A2"/>
    <w:rsid w:val="001A6220"/>
    <w:rsid w:val="001A6A61"/>
    <w:rsid w:val="001A6D7F"/>
    <w:rsid w:val="001A7659"/>
    <w:rsid w:val="001A798E"/>
    <w:rsid w:val="001A7A6E"/>
    <w:rsid w:val="001A7D01"/>
    <w:rsid w:val="001B025F"/>
    <w:rsid w:val="001B09A7"/>
    <w:rsid w:val="001B0C5A"/>
    <w:rsid w:val="001B111E"/>
    <w:rsid w:val="001B1358"/>
    <w:rsid w:val="001B17B6"/>
    <w:rsid w:val="001B1C34"/>
    <w:rsid w:val="001B1E23"/>
    <w:rsid w:val="001B1EC7"/>
    <w:rsid w:val="001B2591"/>
    <w:rsid w:val="001B29D8"/>
    <w:rsid w:val="001B31E1"/>
    <w:rsid w:val="001B3375"/>
    <w:rsid w:val="001B3E05"/>
    <w:rsid w:val="001B405F"/>
    <w:rsid w:val="001B4234"/>
    <w:rsid w:val="001B497B"/>
    <w:rsid w:val="001B5806"/>
    <w:rsid w:val="001B6099"/>
    <w:rsid w:val="001B626C"/>
    <w:rsid w:val="001B64D2"/>
    <w:rsid w:val="001B6526"/>
    <w:rsid w:val="001B691C"/>
    <w:rsid w:val="001B69A7"/>
    <w:rsid w:val="001B7101"/>
    <w:rsid w:val="001B757E"/>
    <w:rsid w:val="001C02E3"/>
    <w:rsid w:val="001C02F8"/>
    <w:rsid w:val="001C090B"/>
    <w:rsid w:val="001C092C"/>
    <w:rsid w:val="001C0933"/>
    <w:rsid w:val="001C1038"/>
    <w:rsid w:val="001C1518"/>
    <w:rsid w:val="001C167A"/>
    <w:rsid w:val="001C17BC"/>
    <w:rsid w:val="001C1EDA"/>
    <w:rsid w:val="001C1FC5"/>
    <w:rsid w:val="001C296B"/>
    <w:rsid w:val="001C3DDF"/>
    <w:rsid w:val="001C40D3"/>
    <w:rsid w:val="001C4144"/>
    <w:rsid w:val="001C427A"/>
    <w:rsid w:val="001C437F"/>
    <w:rsid w:val="001C526D"/>
    <w:rsid w:val="001C5D83"/>
    <w:rsid w:val="001C5EBA"/>
    <w:rsid w:val="001C5FAC"/>
    <w:rsid w:val="001C6087"/>
    <w:rsid w:val="001C6956"/>
    <w:rsid w:val="001C6A9B"/>
    <w:rsid w:val="001C73AE"/>
    <w:rsid w:val="001C79A1"/>
    <w:rsid w:val="001D01B4"/>
    <w:rsid w:val="001D0255"/>
    <w:rsid w:val="001D0A45"/>
    <w:rsid w:val="001D21DC"/>
    <w:rsid w:val="001D2307"/>
    <w:rsid w:val="001D2555"/>
    <w:rsid w:val="001D2CDC"/>
    <w:rsid w:val="001D2FA2"/>
    <w:rsid w:val="001D3081"/>
    <w:rsid w:val="001D3224"/>
    <w:rsid w:val="001D322D"/>
    <w:rsid w:val="001D362C"/>
    <w:rsid w:val="001D3968"/>
    <w:rsid w:val="001D3AA0"/>
    <w:rsid w:val="001D3FF0"/>
    <w:rsid w:val="001D49B7"/>
    <w:rsid w:val="001D52A5"/>
    <w:rsid w:val="001D54DA"/>
    <w:rsid w:val="001D5903"/>
    <w:rsid w:val="001D5B8D"/>
    <w:rsid w:val="001D607F"/>
    <w:rsid w:val="001D60E9"/>
    <w:rsid w:val="001D668A"/>
    <w:rsid w:val="001D6B83"/>
    <w:rsid w:val="001D709C"/>
    <w:rsid w:val="001D749A"/>
    <w:rsid w:val="001D7DF8"/>
    <w:rsid w:val="001D7E37"/>
    <w:rsid w:val="001E02D6"/>
    <w:rsid w:val="001E1683"/>
    <w:rsid w:val="001E1D56"/>
    <w:rsid w:val="001E1E82"/>
    <w:rsid w:val="001E1E96"/>
    <w:rsid w:val="001E26E3"/>
    <w:rsid w:val="001E2CFD"/>
    <w:rsid w:val="001E2DA1"/>
    <w:rsid w:val="001E2E90"/>
    <w:rsid w:val="001E37EB"/>
    <w:rsid w:val="001E3941"/>
    <w:rsid w:val="001E39F7"/>
    <w:rsid w:val="001E3C11"/>
    <w:rsid w:val="001E3F57"/>
    <w:rsid w:val="001E40A8"/>
    <w:rsid w:val="001E435A"/>
    <w:rsid w:val="001E45F1"/>
    <w:rsid w:val="001E4AFC"/>
    <w:rsid w:val="001E51AF"/>
    <w:rsid w:val="001E5248"/>
    <w:rsid w:val="001E59AC"/>
    <w:rsid w:val="001E5D5A"/>
    <w:rsid w:val="001E6C96"/>
    <w:rsid w:val="001E7202"/>
    <w:rsid w:val="001E7B7E"/>
    <w:rsid w:val="001E7D10"/>
    <w:rsid w:val="001F00F9"/>
    <w:rsid w:val="001F0163"/>
    <w:rsid w:val="001F0464"/>
    <w:rsid w:val="001F04A5"/>
    <w:rsid w:val="001F1C64"/>
    <w:rsid w:val="001F1F0A"/>
    <w:rsid w:val="001F2318"/>
    <w:rsid w:val="001F36CA"/>
    <w:rsid w:val="001F4097"/>
    <w:rsid w:val="001F45ED"/>
    <w:rsid w:val="001F470E"/>
    <w:rsid w:val="001F491C"/>
    <w:rsid w:val="001F4E79"/>
    <w:rsid w:val="001F4F15"/>
    <w:rsid w:val="001F5469"/>
    <w:rsid w:val="001F5495"/>
    <w:rsid w:val="001F56A5"/>
    <w:rsid w:val="001F5E28"/>
    <w:rsid w:val="001F5FAF"/>
    <w:rsid w:val="001F652F"/>
    <w:rsid w:val="001F6AB4"/>
    <w:rsid w:val="001F6B8D"/>
    <w:rsid w:val="001F6F1D"/>
    <w:rsid w:val="001F71FA"/>
    <w:rsid w:val="001F7677"/>
    <w:rsid w:val="001F77C9"/>
    <w:rsid w:val="001F7970"/>
    <w:rsid w:val="001F7AA9"/>
    <w:rsid w:val="001F7AE2"/>
    <w:rsid w:val="002004D3"/>
    <w:rsid w:val="0020059C"/>
    <w:rsid w:val="002006CB"/>
    <w:rsid w:val="00200701"/>
    <w:rsid w:val="00200933"/>
    <w:rsid w:val="00200C42"/>
    <w:rsid w:val="00200C43"/>
    <w:rsid w:val="00200DD4"/>
    <w:rsid w:val="00200E0D"/>
    <w:rsid w:val="00200E3C"/>
    <w:rsid w:val="00201150"/>
    <w:rsid w:val="0020140E"/>
    <w:rsid w:val="002014AC"/>
    <w:rsid w:val="002014EE"/>
    <w:rsid w:val="002016F8"/>
    <w:rsid w:val="00201D0C"/>
    <w:rsid w:val="00201D7A"/>
    <w:rsid w:val="00201F09"/>
    <w:rsid w:val="002020ED"/>
    <w:rsid w:val="0020223C"/>
    <w:rsid w:val="00202AEE"/>
    <w:rsid w:val="00202B0F"/>
    <w:rsid w:val="00202C55"/>
    <w:rsid w:val="00203527"/>
    <w:rsid w:val="00203C4E"/>
    <w:rsid w:val="0020446C"/>
    <w:rsid w:val="00204675"/>
    <w:rsid w:val="00204941"/>
    <w:rsid w:val="00204A46"/>
    <w:rsid w:val="00204FA0"/>
    <w:rsid w:val="00205165"/>
    <w:rsid w:val="002053E1"/>
    <w:rsid w:val="0020636D"/>
    <w:rsid w:val="00206680"/>
    <w:rsid w:val="00206BF2"/>
    <w:rsid w:val="00207C36"/>
    <w:rsid w:val="00207FF1"/>
    <w:rsid w:val="002103BC"/>
    <w:rsid w:val="0021090C"/>
    <w:rsid w:val="00210BBC"/>
    <w:rsid w:val="00210C45"/>
    <w:rsid w:val="00210FFF"/>
    <w:rsid w:val="002115ED"/>
    <w:rsid w:val="00211629"/>
    <w:rsid w:val="0021204D"/>
    <w:rsid w:val="00212980"/>
    <w:rsid w:val="002129E4"/>
    <w:rsid w:val="00213054"/>
    <w:rsid w:val="0021335F"/>
    <w:rsid w:val="002135BE"/>
    <w:rsid w:val="00213AC2"/>
    <w:rsid w:val="00213FDF"/>
    <w:rsid w:val="002143B5"/>
    <w:rsid w:val="002145B3"/>
    <w:rsid w:val="00214788"/>
    <w:rsid w:val="00214AC3"/>
    <w:rsid w:val="00214E32"/>
    <w:rsid w:val="00215A6C"/>
    <w:rsid w:val="00215CBD"/>
    <w:rsid w:val="00215E29"/>
    <w:rsid w:val="00216635"/>
    <w:rsid w:val="002168CF"/>
    <w:rsid w:val="00220283"/>
    <w:rsid w:val="00220A78"/>
    <w:rsid w:val="00220ADE"/>
    <w:rsid w:val="00220B7E"/>
    <w:rsid w:val="00220C4B"/>
    <w:rsid w:val="00220FC7"/>
    <w:rsid w:val="00221E1A"/>
    <w:rsid w:val="00222394"/>
    <w:rsid w:val="002225D5"/>
    <w:rsid w:val="00222637"/>
    <w:rsid w:val="00222C16"/>
    <w:rsid w:val="002231CD"/>
    <w:rsid w:val="002239D0"/>
    <w:rsid w:val="00223D5C"/>
    <w:rsid w:val="00224796"/>
    <w:rsid w:val="0022497A"/>
    <w:rsid w:val="00224BB5"/>
    <w:rsid w:val="00224EBB"/>
    <w:rsid w:val="00225222"/>
    <w:rsid w:val="0022535B"/>
    <w:rsid w:val="00225848"/>
    <w:rsid w:val="002262E7"/>
    <w:rsid w:val="002267BF"/>
    <w:rsid w:val="00226F50"/>
    <w:rsid w:val="00227755"/>
    <w:rsid w:val="00227E10"/>
    <w:rsid w:val="00230139"/>
    <w:rsid w:val="002304AA"/>
    <w:rsid w:val="0023099F"/>
    <w:rsid w:val="00230DF3"/>
    <w:rsid w:val="002311B7"/>
    <w:rsid w:val="002311C4"/>
    <w:rsid w:val="00231B14"/>
    <w:rsid w:val="00231DED"/>
    <w:rsid w:val="00232509"/>
    <w:rsid w:val="00232688"/>
    <w:rsid w:val="00232ADE"/>
    <w:rsid w:val="00232C23"/>
    <w:rsid w:val="00232EC4"/>
    <w:rsid w:val="0023324D"/>
    <w:rsid w:val="00233736"/>
    <w:rsid w:val="00233F01"/>
    <w:rsid w:val="0023449D"/>
    <w:rsid w:val="0023469D"/>
    <w:rsid w:val="00235AAE"/>
    <w:rsid w:val="0023666C"/>
    <w:rsid w:val="00236BC3"/>
    <w:rsid w:val="002373D2"/>
    <w:rsid w:val="002375CB"/>
    <w:rsid w:val="00237B80"/>
    <w:rsid w:val="00237E8C"/>
    <w:rsid w:val="00237FF5"/>
    <w:rsid w:val="002402FB"/>
    <w:rsid w:val="002410CD"/>
    <w:rsid w:val="002421D0"/>
    <w:rsid w:val="00242374"/>
    <w:rsid w:val="002425EF"/>
    <w:rsid w:val="00242AD7"/>
    <w:rsid w:val="00242C77"/>
    <w:rsid w:val="002434D7"/>
    <w:rsid w:val="002437B3"/>
    <w:rsid w:val="00243912"/>
    <w:rsid w:val="00243DDB"/>
    <w:rsid w:val="00244476"/>
    <w:rsid w:val="002448E3"/>
    <w:rsid w:val="0024520E"/>
    <w:rsid w:val="0024565B"/>
    <w:rsid w:val="00245BA1"/>
    <w:rsid w:val="0024613D"/>
    <w:rsid w:val="002473ED"/>
    <w:rsid w:val="002476B1"/>
    <w:rsid w:val="0024782B"/>
    <w:rsid w:val="002479B9"/>
    <w:rsid w:val="0025094D"/>
    <w:rsid w:val="002509CC"/>
    <w:rsid w:val="00250A57"/>
    <w:rsid w:val="00251020"/>
    <w:rsid w:val="002510CB"/>
    <w:rsid w:val="00251360"/>
    <w:rsid w:val="0025202A"/>
    <w:rsid w:val="00252369"/>
    <w:rsid w:val="00252DEF"/>
    <w:rsid w:val="00253E29"/>
    <w:rsid w:val="00253F46"/>
    <w:rsid w:val="0025404C"/>
    <w:rsid w:val="00254945"/>
    <w:rsid w:val="00254B56"/>
    <w:rsid w:val="00255663"/>
    <w:rsid w:val="00255934"/>
    <w:rsid w:val="00255B9D"/>
    <w:rsid w:val="002566E2"/>
    <w:rsid w:val="00256F15"/>
    <w:rsid w:val="00256FA2"/>
    <w:rsid w:val="002578A9"/>
    <w:rsid w:val="00257B47"/>
    <w:rsid w:val="00257C1F"/>
    <w:rsid w:val="002609F6"/>
    <w:rsid w:val="00260E1E"/>
    <w:rsid w:val="00261D07"/>
    <w:rsid w:val="00261D95"/>
    <w:rsid w:val="00262389"/>
    <w:rsid w:val="00262F9E"/>
    <w:rsid w:val="002631F2"/>
    <w:rsid w:val="0026324A"/>
    <w:rsid w:val="00263615"/>
    <w:rsid w:val="0026380A"/>
    <w:rsid w:val="002639A2"/>
    <w:rsid w:val="00263B28"/>
    <w:rsid w:val="00263C11"/>
    <w:rsid w:val="0026401D"/>
    <w:rsid w:val="0026418A"/>
    <w:rsid w:val="0026470C"/>
    <w:rsid w:val="00264750"/>
    <w:rsid w:val="0026483B"/>
    <w:rsid w:val="00264E77"/>
    <w:rsid w:val="0026503A"/>
    <w:rsid w:val="0026556A"/>
    <w:rsid w:val="0026581D"/>
    <w:rsid w:val="00265992"/>
    <w:rsid w:val="00267466"/>
    <w:rsid w:val="00267EA2"/>
    <w:rsid w:val="00267F70"/>
    <w:rsid w:val="002702FB"/>
    <w:rsid w:val="002707B4"/>
    <w:rsid w:val="00270B4E"/>
    <w:rsid w:val="002710E7"/>
    <w:rsid w:val="002711CD"/>
    <w:rsid w:val="002714AE"/>
    <w:rsid w:val="00271651"/>
    <w:rsid w:val="00272279"/>
    <w:rsid w:val="002724A0"/>
    <w:rsid w:val="002724AF"/>
    <w:rsid w:val="00273BFE"/>
    <w:rsid w:val="00273E88"/>
    <w:rsid w:val="002746F8"/>
    <w:rsid w:val="0027483A"/>
    <w:rsid w:val="00274913"/>
    <w:rsid w:val="00275266"/>
    <w:rsid w:val="0027544D"/>
    <w:rsid w:val="002756CB"/>
    <w:rsid w:val="00275C42"/>
    <w:rsid w:val="00275DD6"/>
    <w:rsid w:val="00276121"/>
    <w:rsid w:val="0027630B"/>
    <w:rsid w:val="00276405"/>
    <w:rsid w:val="00276827"/>
    <w:rsid w:val="00276DC2"/>
    <w:rsid w:val="002770D9"/>
    <w:rsid w:val="0027737C"/>
    <w:rsid w:val="00277592"/>
    <w:rsid w:val="00281260"/>
    <w:rsid w:val="00281B8F"/>
    <w:rsid w:val="00282A91"/>
    <w:rsid w:val="00283249"/>
    <w:rsid w:val="002838C0"/>
    <w:rsid w:val="002847C5"/>
    <w:rsid w:val="00284A2C"/>
    <w:rsid w:val="00284A9A"/>
    <w:rsid w:val="00284B55"/>
    <w:rsid w:val="00284ED7"/>
    <w:rsid w:val="0028592D"/>
    <w:rsid w:val="00285A8C"/>
    <w:rsid w:val="00285B07"/>
    <w:rsid w:val="00285C43"/>
    <w:rsid w:val="002863FF"/>
    <w:rsid w:val="002867FF"/>
    <w:rsid w:val="00286A59"/>
    <w:rsid w:val="00286B68"/>
    <w:rsid w:val="00286D25"/>
    <w:rsid w:val="00286D4F"/>
    <w:rsid w:val="00286EB2"/>
    <w:rsid w:val="00287A3F"/>
    <w:rsid w:val="00290286"/>
    <w:rsid w:val="002903BA"/>
    <w:rsid w:val="00290FF0"/>
    <w:rsid w:val="0029100E"/>
    <w:rsid w:val="002912FD"/>
    <w:rsid w:val="002916F8"/>
    <w:rsid w:val="00291E24"/>
    <w:rsid w:val="00292147"/>
    <w:rsid w:val="00292712"/>
    <w:rsid w:val="00292C45"/>
    <w:rsid w:val="00294101"/>
    <w:rsid w:val="00294431"/>
    <w:rsid w:val="00294806"/>
    <w:rsid w:val="00294A9E"/>
    <w:rsid w:val="00295180"/>
    <w:rsid w:val="00295328"/>
    <w:rsid w:val="00295897"/>
    <w:rsid w:val="002961F6"/>
    <w:rsid w:val="0029697B"/>
    <w:rsid w:val="00296AF1"/>
    <w:rsid w:val="002971CA"/>
    <w:rsid w:val="00297590"/>
    <w:rsid w:val="0029768D"/>
    <w:rsid w:val="00297BB6"/>
    <w:rsid w:val="00297CA2"/>
    <w:rsid w:val="00297CB6"/>
    <w:rsid w:val="002A0619"/>
    <w:rsid w:val="002A0B8B"/>
    <w:rsid w:val="002A0E4F"/>
    <w:rsid w:val="002A120F"/>
    <w:rsid w:val="002A142A"/>
    <w:rsid w:val="002A1B66"/>
    <w:rsid w:val="002A1EBC"/>
    <w:rsid w:val="002A2952"/>
    <w:rsid w:val="002A2BA5"/>
    <w:rsid w:val="002A2EF3"/>
    <w:rsid w:val="002A321A"/>
    <w:rsid w:val="002A3445"/>
    <w:rsid w:val="002A3796"/>
    <w:rsid w:val="002A41C3"/>
    <w:rsid w:val="002A44D3"/>
    <w:rsid w:val="002A4889"/>
    <w:rsid w:val="002A4AF5"/>
    <w:rsid w:val="002A4F01"/>
    <w:rsid w:val="002A534F"/>
    <w:rsid w:val="002A5972"/>
    <w:rsid w:val="002A5C35"/>
    <w:rsid w:val="002A5E46"/>
    <w:rsid w:val="002A63F0"/>
    <w:rsid w:val="002A68FE"/>
    <w:rsid w:val="002A6AEB"/>
    <w:rsid w:val="002A756B"/>
    <w:rsid w:val="002A7881"/>
    <w:rsid w:val="002A7AB2"/>
    <w:rsid w:val="002A7C8E"/>
    <w:rsid w:val="002A7E41"/>
    <w:rsid w:val="002A7FDF"/>
    <w:rsid w:val="002B16BE"/>
    <w:rsid w:val="002B1E58"/>
    <w:rsid w:val="002B1F16"/>
    <w:rsid w:val="002B248E"/>
    <w:rsid w:val="002B252A"/>
    <w:rsid w:val="002B2F7E"/>
    <w:rsid w:val="002B33A8"/>
    <w:rsid w:val="002B3ACC"/>
    <w:rsid w:val="002B3B38"/>
    <w:rsid w:val="002B3FCE"/>
    <w:rsid w:val="002B4434"/>
    <w:rsid w:val="002B462D"/>
    <w:rsid w:val="002B4CE5"/>
    <w:rsid w:val="002B4D55"/>
    <w:rsid w:val="002B5380"/>
    <w:rsid w:val="002B5CCF"/>
    <w:rsid w:val="002B5DB2"/>
    <w:rsid w:val="002B62A7"/>
    <w:rsid w:val="002B6430"/>
    <w:rsid w:val="002B64BB"/>
    <w:rsid w:val="002B6915"/>
    <w:rsid w:val="002B6952"/>
    <w:rsid w:val="002B69D0"/>
    <w:rsid w:val="002B6F8D"/>
    <w:rsid w:val="002B7324"/>
    <w:rsid w:val="002B73CC"/>
    <w:rsid w:val="002B7665"/>
    <w:rsid w:val="002B7FD8"/>
    <w:rsid w:val="002C0300"/>
    <w:rsid w:val="002C09BF"/>
    <w:rsid w:val="002C1300"/>
    <w:rsid w:val="002C1963"/>
    <w:rsid w:val="002C1CF6"/>
    <w:rsid w:val="002C208D"/>
    <w:rsid w:val="002C20BD"/>
    <w:rsid w:val="002C270B"/>
    <w:rsid w:val="002C2D50"/>
    <w:rsid w:val="002C2F68"/>
    <w:rsid w:val="002C3818"/>
    <w:rsid w:val="002C3A7D"/>
    <w:rsid w:val="002C3A99"/>
    <w:rsid w:val="002C412E"/>
    <w:rsid w:val="002C4A77"/>
    <w:rsid w:val="002C520F"/>
    <w:rsid w:val="002C58FC"/>
    <w:rsid w:val="002C7054"/>
    <w:rsid w:val="002C7980"/>
    <w:rsid w:val="002C7EE4"/>
    <w:rsid w:val="002D0C52"/>
    <w:rsid w:val="002D1290"/>
    <w:rsid w:val="002D12B1"/>
    <w:rsid w:val="002D19CE"/>
    <w:rsid w:val="002D327E"/>
    <w:rsid w:val="002D385F"/>
    <w:rsid w:val="002D3919"/>
    <w:rsid w:val="002D392C"/>
    <w:rsid w:val="002D4171"/>
    <w:rsid w:val="002D440D"/>
    <w:rsid w:val="002D44A9"/>
    <w:rsid w:val="002D4964"/>
    <w:rsid w:val="002D4EAE"/>
    <w:rsid w:val="002D51EB"/>
    <w:rsid w:val="002D5800"/>
    <w:rsid w:val="002D5D74"/>
    <w:rsid w:val="002D5F7A"/>
    <w:rsid w:val="002D6387"/>
    <w:rsid w:val="002D6D43"/>
    <w:rsid w:val="002E015C"/>
    <w:rsid w:val="002E0394"/>
    <w:rsid w:val="002E0495"/>
    <w:rsid w:val="002E131C"/>
    <w:rsid w:val="002E155C"/>
    <w:rsid w:val="002E1DAD"/>
    <w:rsid w:val="002E3032"/>
    <w:rsid w:val="002E306F"/>
    <w:rsid w:val="002E3710"/>
    <w:rsid w:val="002E4CFF"/>
    <w:rsid w:val="002E53DC"/>
    <w:rsid w:val="002E5816"/>
    <w:rsid w:val="002E5B40"/>
    <w:rsid w:val="002E5F96"/>
    <w:rsid w:val="002E6004"/>
    <w:rsid w:val="002E65B2"/>
    <w:rsid w:val="002E689C"/>
    <w:rsid w:val="002E6FCA"/>
    <w:rsid w:val="002E7388"/>
    <w:rsid w:val="002E7ACC"/>
    <w:rsid w:val="002F0BB3"/>
    <w:rsid w:val="002F11C9"/>
    <w:rsid w:val="002F11D0"/>
    <w:rsid w:val="002F14AB"/>
    <w:rsid w:val="002F16DA"/>
    <w:rsid w:val="002F1D69"/>
    <w:rsid w:val="002F1E07"/>
    <w:rsid w:val="002F1F16"/>
    <w:rsid w:val="002F1FE6"/>
    <w:rsid w:val="002F3074"/>
    <w:rsid w:val="002F3296"/>
    <w:rsid w:val="002F36FD"/>
    <w:rsid w:val="002F3AE4"/>
    <w:rsid w:val="002F3BB4"/>
    <w:rsid w:val="002F3E1E"/>
    <w:rsid w:val="002F430F"/>
    <w:rsid w:val="002F43C9"/>
    <w:rsid w:val="002F4586"/>
    <w:rsid w:val="002F45A6"/>
    <w:rsid w:val="002F481D"/>
    <w:rsid w:val="002F55B6"/>
    <w:rsid w:val="002F58A4"/>
    <w:rsid w:val="002F5C75"/>
    <w:rsid w:val="002F6111"/>
    <w:rsid w:val="002F6958"/>
    <w:rsid w:val="002F6F22"/>
    <w:rsid w:val="002F7150"/>
    <w:rsid w:val="002F7155"/>
    <w:rsid w:val="002F7452"/>
    <w:rsid w:val="002F7B15"/>
    <w:rsid w:val="0030008B"/>
    <w:rsid w:val="0030037B"/>
    <w:rsid w:val="00301B92"/>
    <w:rsid w:val="00302DFA"/>
    <w:rsid w:val="00302E3B"/>
    <w:rsid w:val="003035CF"/>
    <w:rsid w:val="00304781"/>
    <w:rsid w:val="00304967"/>
    <w:rsid w:val="00304AA3"/>
    <w:rsid w:val="00304AF8"/>
    <w:rsid w:val="00304E71"/>
    <w:rsid w:val="0030520B"/>
    <w:rsid w:val="00305382"/>
    <w:rsid w:val="003053A0"/>
    <w:rsid w:val="0030567C"/>
    <w:rsid w:val="0030594A"/>
    <w:rsid w:val="00305A31"/>
    <w:rsid w:val="003068BC"/>
    <w:rsid w:val="00306D0B"/>
    <w:rsid w:val="00307065"/>
    <w:rsid w:val="00307181"/>
    <w:rsid w:val="003072DE"/>
    <w:rsid w:val="00307807"/>
    <w:rsid w:val="00307FFB"/>
    <w:rsid w:val="00310315"/>
    <w:rsid w:val="00310438"/>
    <w:rsid w:val="00310886"/>
    <w:rsid w:val="00310BCE"/>
    <w:rsid w:val="00310CBC"/>
    <w:rsid w:val="00310EA2"/>
    <w:rsid w:val="00311227"/>
    <w:rsid w:val="00311445"/>
    <w:rsid w:val="00312358"/>
    <w:rsid w:val="00312747"/>
    <w:rsid w:val="00312954"/>
    <w:rsid w:val="003134A5"/>
    <w:rsid w:val="00314113"/>
    <w:rsid w:val="003141F8"/>
    <w:rsid w:val="0031421E"/>
    <w:rsid w:val="00314251"/>
    <w:rsid w:val="003147CD"/>
    <w:rsid w:val="003150FD"/>
    <w:rsid w:val="00315180"/>
    <w:rsid w:val="0031608C"/>
    <w:rsid w:val="003166AF"/>
    <w:rsid w:val="00316B1B"/>
    <w:rsid w:val="00317223"/>
    <w:rsid w:val="0031746A"/>
    <w:rsid w:val="003178E4"/>
    <w:rsid w:val="00317B04"/>
    <w:rsid w:val="00317EBE"/>
    <w:rsid w:val="00320291"/>
    <w:rsid w:val="00320783"/>
    <w:rsid w:val="00320AE9"/>
    <w:rsid w:val="00320B0B"/>
    <w:rsid w:val="00320B6C"/>
    <w:rsid w:val="00320B8D"/>
    <w:rsid w:val="00320C9A"/>
    <w:rsid w:val="00321108"/>
    <w:rsid w:val="0032137D"/>
    <w:rsid w:val="003218ED"/>
    <w:rsid w:val="00323373"/>
    <w:rsid w:val="0032347B"/>
    <w:rsid w:val="0032352C"/>
    <w:rsid w:val="00323B48"/>
    <w:rsid w:val="003242E0"/>
    <w:rsid w:val="003255D2"/>
    <w:rsid w:val="003256D5"/>
    <w:rsid w:val="00325923"/>
    <w:rsid w:val="003262A2"/>
    <w:rsid w:val="003265C8"/>
    <w:rsid w:val="003266D0"/>
    <w:rsid w:val="0032699B"/>
    <w:rsid w:val="00326C94"/>
    <w:rsid w:val="00326F76"/>
    <w:rsid w:val="00327105"/>
    <w:rsid w:val="00327556"/>
    <w:rsid w:val="003275D6"/>
    <w:rsid w:val="0032799F"/>
    <w:rsid w:val="00330422"/>
    <w:rsid w:val="0033079E"/>
    <w:rsid w:val="00330F21"/>
    <w:rsid w:val="0033119B"/>
    <w:rsid w:val="0033142C"/>
    <w:rsid w:val="0033199D"/>
    <w:rsid w:val="00331B07"/>
    <w:rsid w:val="00331B18"/>
    <w:rsid w:val="00331C17"/>
    <w:rsid w:val="0033294E"/>
    <w:rsid w:val="003329DA"/>
    <w:rsid w:val="00332FB3"/>
    <w:rsid w:val="003332E4"/>
    <w:rsid w:val="00333D07"/>
    <w:rsid w:val="00333E5D"/>
    <w:rsid w:val="003351C0"/>
    <w:rsid w:val="00335326"/>
    <w:rsid w:val="0033626F"/>
    <w:rsid w:val="003374EA"/>
    <w:rsid w:val="00337A27"/>
    <w:rsid w:val="00337EAF"/>
    <w:rsid w:val="00340530"/>
    <w:rsid w:val="003409FF"/>
    <w:rsid w:val="00340BA2"/>
    <w:rsid w:val="00341211"/>
    <w:rsid w:val="003412C9"/>
    <w:rsid w:val="00342409"/>
    <w:rsid w:val="00342791"/>
    <w:rsid w:val="00342CDC"/>
    <w:rsid w:val="00342E3B"/>
    <w:rsid w:val="003433B0"/>
    <w:rsid w:val="00343678"/>
    <w:rsid w:val="00343B7A"/>
    <w:rsid w:val="00343D06"/>
    <w:rsid w:val="00343D18"/>
    <w:rsid w:val="00344C6F"/>
    <w:rsid w:val="0034509E"/>
    <w:rsid w:val="003450EF"/>
    <w:rsid w:val="00345153"/>
    <w:rsid w:val="00345487"/>
    <w:rsid w:val="0034556C"/>
    <w:rsid w:val="00345570"/>
    <w:rsid w:val="003458C6"/>
    <w:rsid w:val="00345D9A"/>
    <w:rsid w:val="00345EE5"/>
    <w:rsid w:val="00346145"/>
    <w:rsid w:val="003466B0"/>
    <w:rsid w:val="0034685A"/>
    <w:rsid w:val="00346BD9"/>
    <w:rsid w:val="00347982"/>
    <w:rsid w:val="00347CAD"/>
    <w:rsid w:val="00347CD8"/>
    <w:rsid w:val="00347DDC"/>
    <w:rsid w:val="003500D0"/>
    <w:rsid w:val="00350EBF"/>
    <w:rsid w:val="00351382"/>
    <w:rsid w:val="003514EA"/>
    <w:rsid w:val="003516BB"/>
    <w:rsid w:val="00351A15"/>
    <w:rsid w:val="00351E03"/>
    <w:rsid w:val="00351E68"/>
    <w:rsid w:val="0035255A"/>
    <w:rsid w:val="003529D1"/>
    <w:rsid w:val="00352ABB"/>
    <w:rsid w:val="00352B4B"/>
    <w:rsid w:val="00352DFC"/>
    <w:rsid w:val="00352E86"/>
    <w:rsid w:val="00352F37"/>
    <w:rsid w:val="00353281"/>
    <w:rsid w:val="00353B3A"/>
    <w:rsid w:val="00353E16"/>
    <w:rsid w:val="00353E53"/>
    <w:rsid w:val="003543D3"/>
    <w:rsid w:val="003555BD"/>
    <w:rsid w:val="0035572C"/>
    <w:rsid w:val="00355E82"/>
    <w:rsid w:val="003562AC"/>
    <w:rsid w:val="00356AC7"/>
    <w:rsid w:val="00356D56"/>
    <w:rsid w:val="00356F03"/>
    <w:rsid w:val="00357122"/>
    <w:rsid w:val="003572A9"/>
    <w:rsid w:val="003578E3"/>
    <w:rsid w:val="00357A58"/>
    <w:rsid w:val="00357B65"/>
    <w:rsid w:val="00357CB2"/>
    <w:rsid w:val="003605D5"/>
    <w:rsid w:val="00360DEB"/>
    <w:rsid w:val="00360ED1"/>
    <w:rsid w:val="003610F8"/>
    <w:rsid w:val="00361183"/>
    <w:rsid w:val="003612AE"/>
    <w:rsid w:val="00361991"/>
    <w:rsid w:val="00362344"/>
    <w:rsid w:val="00362501"/>
    <w:rsid w:val="003627AC"/>
    <w:rsid w:val="003628EC"/>
    <w:rsid w:val="00362B83"/>
    <w:rsid w:val="003630C6"/>
    <w:rsid w:val="003634F7"/>
    <w:rsid w:val="00363671"/>
    <w:rsid w:val="00364B90"/>
    <w:rsid w:val="00364F42"/>
    <w:rsid w:val="0036541B"/>
    <w:rsid w:val="00365A6F"/>
    <w:rsid w:val="00365D6E"/>
    <w:rsid w:val="00366192"/>
    <w:rsid w:val="003666C5"/>
    <w:rsid w:val="00366B0C"/>
    <w:rsid w:val="00366F72"/>
    <w:rsid w:val="00366FC1"/>
    <w:rsid w:val="003670A6"/>
    <w:rsid w:val="00367580"/>
    <w:rsid w:val="00367A3D"/>
    <w:rsid w:val="00370297"/>
    <w:rsid w:val="003707D4"/>
    <w:rsid w:val="003723F3"/>
    <w:rsid w:val="00372715"/>
    <w:rsid w:val="00372DC9"/>
    <w:rsid w:val="003730E5"/>
    <w:rsid w:val="0037381E"/>
    <w:rsid w:val="00373E08"/>
    <w:rsid w:val="0037474B"/>
    <w:rsid w:val="00374773"/>
    <w:rsid w:val="00374868"/>
    <w:rsid w:val="00374929"/>
    <w:rsid w:val="00374DE9"/>
    <w:rsid w:val="00374F78"/>
    <w:rsid w:val="00375338"/>
    <w:rsid w:val="003758BF"/>
    <w:rsid w:val="00375B17"/>
    <w:rsid w:val="00375E88"/>
    <w:rsid w:val="003766F7"/>
    <w:rsid w:val="00376721"/>
    <w:rsid w:val="0037687E"/>
    <w:rsid w:val="00377218"/>
    <w:rsid w:val="0037736A"/>
    <w:rsid w:val="0037783C"/>
    <w:rsid w:val="003809CF"/>
    <w:rsid w:val="00380B75"/>
    <w:rsid w:val="00381443"/>
    <w:rsid w:val="00381964"/>
    <w:rsid w:val="00381E1E"/>
    <w:rsid w:val="0038259F"/>
    <w:rsid w:val="00382756"/>
    <w:rsid w:val="00383522"/>
    <w:rsid w:val="0038365D"/>
    <w:rsid w:val="00383BAA"/>
    <w:rsid w:val="00383EE3"/>
    <w:rsid w:val="003842D7"/>
    <w:rsid w:val="0038509E"/>
    <w:rsid w:val="00385667"/>
    <w:rsid w:val="003860A7"/>
    <w:rsid w:val="00386D01"/>
    <w:rsid w:val="003874CC"/>
    <w:rsid w:val="00387C6E"/>
    <w:rsid w:val="00387D14"/>
    <w:rsid w:val="00387E7C"/>
    <w:rsid w:val="003901D6"/>
    <w:rsid w:val="00390377"/>
    <w:rsid w:val="003906FB"/>
    <w:rsid w:val="003910BE"/>
    <w:rsid w:val="00391211"/>
    <w:rsid w:val="00391A9C"/>
    <w:rsid w:val="0039217F"/>
    <w:rsid w:val="003922DE"/>
    <w:rsid w:val="00392933"/>
    <w:rsid w:val="00392B25"/>
    <w:rsid w:val="00393307"/>
    <w:rsid w:val="00393D7A"/>
    <w:rsid w:val="00393F3B"/>
    <w:rsid w:val="00393FB9"/>
    <w:rsid w:val="00394152"/>
    <w:rsid w:val="00394454"/>
    <w:rsid w:val="0039467A"/>
    <w:rsid w:val="0039469E"/>
    <w:rsid w:val="00394990"/>
    <w:rsid w:val="00394CC3"/>
    <w:rsid w:val="00395815"/>
    <w:rsid w:val="00396116"/>
    <w:rsid w:val="00396144"/>
    <w:rsid w:val="003964C1"/>
    <w:rsid w:val="0039699D"/>
    <w:rsid w:val="00396A8C"/>
    <w:rsid w:val="00396C36"/>
    <w:rsid w:val="0039743B"/>
    <w:rsid w:val="003977BE"/>
    <w:rsid w:val="00397C88"/>
    <w:rsid w:val="003A0585"/>
    <w:rsid w:val="003A0769"/>
    <w:rsid w:val="003A0E9E"/>
    <w:rsid w:val="003A12E8"/>
    <w:rsid w:val="003A16EF"/>
    <w:rsid w:val="003A1821"/>
    <w:rsid w:val="003A1AD1"/>
    <w:rsid w:val="003A1BEB"/>
    <w:rsid w:val="003A1E3D"/>
    <w:rsid w:val="003A2632"/>
    <w:rsid w:val="003A2B2C"/>
    <w:rsid w:val="003A3269"/>
    <w:rsid w:val="003A357E"/>
    <w:rsid w:val="003A373E"/>
    <w:rsid w:val="003A38A0"/>
    <w:rsid w:val="003A3D3F"/>
    <w:rsid w:val="003A3E19"/>
    <w:rsid w:val="003A413C"/>
    <w:rsid w:val="003A469A"/>
    <w:rsid w:val="003A46A4"/>
    <w:rsid w:val="003A4C4B"/>
    <w:rsid w:val="003A5A49"/>
    <w:rsid w:val="003A5EF4"/>
    <w:rsid w:val="003A6500"/>
    <w:rsid w:val="003A704F"/>
    <w:rsid w:val="003A720C"/>
    <w:rsid w:val="003A732B"/>
    <w:rsid w:val="003A7AF0"/>
    <w:rsid w:val="003A7CD7"/>
    <w:rsid w:val="003B01B0"/>
    <w:rsid w:val="003B0607"/>
    <w:rsid w:val="003B076A"/>
    <w:rsid w:val="003B09C2"/>
    <w:rsid w:val="003B125B"/>
    <w:rsid w:val="003B135B"/>
    <w:rsid w:val="003B13F6"/>
    <w:rsid w:val="003B1808"/>
    <w:rsid w:val="003B190F"/>
    <w:rsid w:val="003B2453"/>
    <w:rsid w:val="003B27BA"/>
    <w:rsid w:val="003B2F4E"/>
    <w:rsid w:val="003B3225"/>
    <w:rsid w:val="003B3722"/>
    <w:rsid w:val="003B41F0"/>
    <w:rsid w:val="003B4210"/>
    <w:rsid w:val="003B45B6"/>
    <w:rsid w:val="003B4C95"/>
    <w:rsid w:val="003B5430"/>
    <w:rsid w:val="003B574C"/>
    <w:rsid w:val="003B6990"/>
    <w:rsid w:val="003B6C57"/>
    <w:rsid w:val="003B73F1"/>
    <w:rsid w:val="003B74B0"/>
    <w:rsid w:val="003C0D01"/>
    <w:rsid w:val="003C11F5"/>
    <w:rsid w:val="003C1DAF"/>
    <w:rsid w:val="003C28F6"/>
    <w:rsid w:val="003C28FF"/>
    <w:rsid w:val="003C2D67"/>
    <w:rsid w:val="003C39A4"/>
    <w:rsid w:val="003C4667"/>
    <w:rsid w:val="003C4767"/>
    <w:rsid w:val="003C47CF"/>
    <w:rsid w:val="003C5319"/>
    <w:rsid w:val="003C5422"/>
    <w:rsid w:val="003C61E9"/>
    <w:rsid w:val="003C68E7"/>
    <w:rsid w:val="003C6A76"/>
    <w:rsid w:val="003C6F16"/>
    <w:rsid w:val="003C7B53"/>
    <w:rsid w:val="003C7D61"/>
    <w:rsid w:val="003C7E58"/>
    <w:rsid w:val="003D0538"/>
    <w:rsid w:val="003D069C"/>
    <w:rsid w:val="003D2771"/>
    <w:rsid w:val="003D295B"/>
    <w:rsid w:val="003D296E"/>
    <w:rsid w:val="003D2A16"/>
    <w:rsid w:val="003D2A3D"/>
    <w:rsid w:val="003D2AC2"/>
    <w:rsid w:val="003D2AE0"/>
    <w:rsid w:val="003D2B52"/>
    <w:rsid w:val="003D3648"/>
    <w:rsid w:val="003D36D8"/>
    <w:rsid w:val="003D37FE"/>
    <w:rsid w:val="003D3BD6"/>
    <w:rsid w:val="003D43E6"/>
    <w:rsid w:val="003D4813"/>
    <w:rsid w:val="003D5065"/>
    <w:rsid w:val="003D512D"/>
    <w:rsid w:val="003D58D9"/>
    <w:rsid w:val="003D59A8"/>
    <w:rsid w:val="003D59C5"/>
    <w:rsid w:val="003D5A53"/>
    <w:rsid w:val="003D62AC"/>
    <w:rsid w:val="003D65AE"/>
    <w:rsid w:val="003D6622"/>
    <w:rsid w:val="003D673C"/>
    <w:rsid w:val="003D713B"/>
    <w:rsid w:val="003D731A"/>
    <w:rsid w:val="003D749A"/>
    <w:rsid w:val="003D75A7"/>
    <w:rsid w:val="003D7C69"/>
    <w:rsid w:val="003E08F2"/>
    <w:rsid w:val="003E10F3"/>
    <w:rsid w:val="003E12BC"/>
    <w:rsid w:val="003E1657"/>
    <w:rsid w:val="003E1D40"/>
    <w:rsid w:val="003E2807"/>
    <w:rsid w:val="003E2886"/>
    <w:rsid w:val="003E2EE7"/>
    <w:rsid w:val="003E35C9"/>
    <w:rsid w:val="003E3774"/>
    <w:rsid w:val="003E379F"/>
    <w:rsid w:val="003E3BD5"/>
    <w:rsid w:val="003E3C10"/>
    <w:rsid w:val="003E3D4E"/>
    <w:rsid w:val="003E41E7"/>
    <w:rsid w:val="003E442C"/>
    <w:rsid w:val="003E49DD"/>
    <w:rsid w:val="003E5223"/>
    <w:rsid w:val="003E5928"/>
    <w:rsid w:val="003E5BD2"/>
    <w:rsid w:val="003E66E1"/>
    <w:rsid w:val="003E6706"/>
    <w:rsid w:val="003E670C"/>
    <w:rsid w:val="003F1480"/>
    <w:rsid w:val="003F15E5"/>
    <w:rsid w:val="003F1D97"/>
    <w:rsid w:val="003F25FF"/>
    <w:rsid w:val="003F2E06"/>
    <w:rsid w:val="003F3A7D"/>
    <w:rsid w:val="003F3D32"/>
    <w:rsid w:val="003F3D86"/>
    <w:rsid w:val="003F3EED"/>
    <w:rsid w:val="003F4234"/>
    <w:rsid w:val="003F4CFF"/>
    <w:rsid w:val="003F533D"/>
    <w:rsid w:val="003F5B41"/>
    <w:rsid w:val="003F69BF"/>
    <w:rsid w:val="003F7344"/>
    <w:rsid w:val="003F75B6"/>
    <w:rsid w:val="003F75E4"/>
    <w:rsid w:val="003F77E4"/>
    <w:rsid w:val="003F7D5B"/>
    <w:rsid w:val="0040061E"/>
    <w:rsid w:val="004008D0"/>
    <w:rsid w:val="00400969"/>
    <w:rsid w:val="00401BCB"/>
    <w:rsid w:val="00402227"/>
    <w:rsid w:val="0040254E"/>
    <w:rsid w:val="00402C21"/>
    <w:rsid w:val="00403682"/>
    <w:rsid w:val="00403D51"/>
    <w:rsid w:val="00404263"/>
    <w:rsid w:val="00404EDD"/>
    <w:rsid w:val="0040502A"/>
    <w:rsid w:val="0040514E"/>
    <w:rsid w:val="00405453"/>
    <w:rsid w:val="004054BE"/>
    <w:rsid w:val="004054F0"/>
    <w:rsid w:val="00405747"/>
    <w:rsid w:val="00405898"/>
    <w:rsid w:val="00405A10"/>
    <w:rsid w:val="0040714A"/>
    <w:rsid w:val="00407A2E"/>
    <w:rsid w:val="00407E43"/>
    <w:rsid w:val="004102B3"/>
    <w:rsid w:val="00410387"/>
    <w:rsid w:val="00410955"/>
    <w:rsid w:val="00410CCC"/>
    <w:rsid w:val="00410DBC"/>
    <w:rsid w:val="00411536"/>
    <w:rsid w:val="004119AD"/>
    <w:rsid w:val="00411A43"/>
    <w:rsid w:val="00411B7A"/>
    <w:rsid w:val="00411F26"/>
    <w:rsid w:val="00412367"/>
    <w:rsid w:val="00412A69"/>
    <w:rsid w:val="00412F38"/>
    <w:rsid w:val="0041320E"/>
    <w:rsid w:val="0041341E"/>
    <w:rsid w:val="00413521"/>
    <w:rsid w:val="004136F9"/>
    <w:rsid w:val="00413C85"/>
    <w:rsid w:val="00413D25"/>
    <w:rsid w:val="00415680"/>
    <w:rsid w:val="004159C3"/>
    <w:rsid w:val="004159D5"/>
    <w:rsid w:val="00415B95"/>
    <w:rsid w:val="00415C44"/>
    <w:rsid w:val="004161CA"/>
    <w:rsid w:val="00416797"/>
    <w:rsid w:val="00416D83"/>
    <w:rsid w:val="00416F52"/>
    <w:rsid w:val="0041745B"/>
    <w:rsid w:val="00417EE1"/>
    <w:rsid w:val="0042053C"/>
    <w:rsid w:val="00420787"/>
    <w:rsid w:val="0042088D"/>
    <w:rsid w:val="0042099C"/>
    <w:rsid w:val="00420E97"/>
    <w:rsid w:val="0042155D"/>
    <w:rsid w:val="0042164B"/>
    <w:rsid w:val="00421C87"/>
    <w:rsid w:val="00421DE7"/>
    <w:rsid w:val="00421FEA"/>
    <w:rsid w:val="004222C1"/>
    <w:rsid w:val="00422644"/>
    <w:rsid w:val="00422CE9"/>
    <w:rsid w:val="00423309"/>
    <w:rsid w:val="004238A7"/>
    <w:rsid w:val="004238EC"/>
    <w:rsid w:val="00424204"/>
    <w:rsid w:val="00424742"/>
    <w:rsid w:val="004249E0"/>
    <w:rsid w:val="004256F4"/>
    <w:rsid w:val="00425773"/>
    <w:rsid w:val="00425F43"/>
    <w:rsid w:val="00427545"/>
    <w:rsid w:val="00427950"/>
    <w:rsid w:val="00427C2F"/>
    <w:rsid w:val="00427E27"/>
    <w:rsid w:val="004305CA"/>
    <w:rsid w:val="004308D2"/>
    <w:rsid w:val="004308DF"/>
    <w:rsid w:val="00430E0E"/>
    <w:rsid w:val="004310E1"/>
    <w:rsid w:val="00431869"/>
    <w:rsid w:val="00431B9D"/>
    <w:rsid w:val="00431BF0"/>
    <w:rsid w:val="004323AA"/>
    <w:rsid w:val="004323D4"/>
    <w:rsid w:val="00432D51"/>
    <w:rsid w:val="00433064"/>
    <w:rsid w:val="004332E7"/>
    <w:rsid w:val="00433318"/>
    <w:rsid w:val="0043385E"/>
    <w:rsid w:val="00433E1D"/>
    <w:rsid w:val="004345B3"/>
    <w:rsid w:val="00434A47"/>
    <w:rsid w:val="00434BD9"/>
    <w:rsid w:val="00435254"/>
    <w:rsid w:val="00435527"/>
    <w:rsid w:val="00435853"/>
    <w:rsid w:val="004359C1"/>
    <w:rsid w:val="00436707"/>
    <w:rsid w:val="00436E10"/>
    <w:rsid w:val="00436E2E"/>
    <w:rsid w:val="00436FBD"/>
    <w:rsid w:val="00437293"/>
    <w:rsid w:val="00437309"/>
    <w:rsid w:val="004376FD"/>
    <w:rsid w:val="00437FE5"/>
    <w:rsid w:val="00440136"/>
    <w:rsid w:val="004408D9"/>
    <w:rsid w:val="00440C5A"/>
    <w:rsid w:val="00441762"/>
    <w:rsid w:val="004417CE"/>
    <w:rsid w:val="0044186B"/>
    <w:rsid w:val="00441B20"/>
    <w:rsid w:val="00441F47"/>
    <w:rsid w:val="004422D5"/>
    <w:rsid w:val="00442561"/>
    <w:rsid w:val="004427F7"/>
    <w:rsid w:val="0044293D"/>
    <w:rsid w:val="00442AA9"/>
    <w:rsid w:val="004433BC"/>
    <w:rsid w:val="00443678"/>
    <w:rsid w:val="004438B7"/>
    <w:rsid w:val="004438C0"/>
    <w:rsid w:val="004439EC"/>
    <w:rsid w:val="00443E7C"/>
    <w:rsid w:val="00443F30"/>
    <w:rsid w:val="004442D7"/>
    <w:rsid w:val="00444428"/>
    <w:rsid w:val="0044448F"/>
    <w:rsid w:val="004446CD"/>
    <w:rsid w:val="0044489A"/>
    <w:rsid w:val="004449CA"/>
    <w:rsid w:val="004454AA"/>
    <w:rsid w:val="00445617"/>
    <w:rsid w:val="00445A5A"/>
    <w:rsid w:val="00446BB9"/>
    <w:rsid w:val="0044756B"/>
    <w:rsid w:val="0044772D"/>
    <w:rsid w:val="00447D32"/>
    <w:rsid w:val="00447DCF"/>
    <w:rsid w:val="004504C1"/>
    <w:rsid w:val="00450C50"/>
    <w:rsid w:val="00451450"/>
    <w:rsid w:val="0045276B"/>
    <w:rsid w:val="00452D37"/>
    <w:rsid w:val="00452E91"/>
    <w:rsid w:val="004534A9"/>
    <w:rsid w:val="00453506"/>
    <w:rsid w:val="00453A23"/>
    <w:rsid w:val="0045428F"/>
    <w:rsid w:val="00454693"/>
    <w:rsid w:val="004547BD"/>
    <w:rsid w:val="00455143"/>
    <w:rsid w:val="00455957"/>
    <w:rsid w:val="00455FA1"/>
    <w:rsid w:val="00455FFC"/>
    <w:rsid w:val="004560E1"/>
    <w:rsid w:val="00456263"/>
    <w:rsid w:val="00456503"/>
    <w:rsid w:val="004577BF"/>
    <w:rsid w:val="00460C4C"/>
    <w:rsid w:val="00460E0E"/>
    <w:rsid w:val="00461122"/>
    <w:rsid w:val="0046115B"/>
    <w:rsid w:val="00461446"/>
    <w:rsid w:val="00461FFE"/>
    <w:rsid w:val="004620AB"/>
    <w:rsid w:val="00462C56"/>
    <w:rsid w:val="00462FBD"/>
    <w:rsid w:val="00464083"/>
    <w:rsid w:val="004643E1"/>
    <w:rsid w:val="0046456E"/>
    <w:rsid w:val="00464890"/>
    <w:rsid w:val="0046595C"/>
    <w:rsid w:val="00465D40"/>
    <w:rsid w:val="00466B7B"/>
    <w:rsid w:val="00466BB0"/>
    <w:rsid w:val="00467261"/>
    <w:rsid w:val="0046780B"/>
    <w:rsid w:val="004679B1"/>
    <w:rsid w:val="00467AE3"/>
    <w:rsid w:val="00467BAF"/>
    <w:rsid w:val="00467BB5"/>
    <w:rsid w:val="00470057"/>
    <w:rsid w:val="004706F6"/>
    <w:rsid w:val="004709B0"/>
    <w:rsid w:val="004709C0"/>
    <w:rsid w:val="00471049"/>
    <w:rsid w:val="004710BB"/>
    <w:rsid w:val="004710E2"/>
    <w:rsid w:val="00472341"/>
    <w:rsid w:val="004723A5"/>
    <w:rsid w:val="0047304F"/>
    <w:rsid w:val="0047313C"/>
    <w:rsid w:val="004735FC"/>
    <w:rsid w:val="00473D45"/>
    <w:rsid w:val="00473E00"/>
    <w:rsid w:val="00474232"/>
    <w:rsid w:val="004742E8"/>
    <w:rsid w:val="00474522"/>
    <w:rsid w:val="00474C84"/>
    <w:rsid w:val="00475063"/>
    <w:rsid w:val="00475983"/>
    <w:rsid w:val="004765EC"/>
    <w:rsid w:val="0047668B"/>
    <w:rsid w:val="00476B27"/>
    <w:rsid w:val="00476C92"/>
    <w:rsid w:val="00476E73"/>
    <w:rsid w:val="00476FF4"/>
    <w:rsid w:val="00477025"/>
    <w:rsid w:val="004770BE"/>
    <w:rsid w:val="004774D8"/>
    <w:rsid w:val="004777E2"/>
    <w:rsid w:val="0047785D"/>
    <w:rsid w:val="004778B4"/>
    <w:rsid w:val="004779EC"/>
    <w:rsid w:val="00477EFE"/>
    <w:rsid w:val="00480313"/>
    <w:rsid w:val="00480341"/>
    <w:rsid w:val="00480451"/>
    <w:rsid w:val="004806A3"/>
    <w:rsid w:val="00480935"/>
    <w:rsid w:val="00480B87"/>
    <w:rsid w:val="00480BF5"/>
    <w:rsid w:val="00480D8D"/>
    <w:rsid w:val="00480F77"/>
    <w:rsid w:val="00481301"/>
    <w:rsid w:val="004815E2"/>
    <w:rsid w:val="00481A05"/>
    <w:rsid w:val="00481EDF"/>
    <w:rsid w:val="0048232D"/>
    <w:rsid w:val="004829DC"/>
    <w:rsid w:val="00482A18"/>
    <w:rsid w:val="00482B3A"/>
    <w:rsid w:val="00483409"/>
    <w:rsid w:val="004839FF"/>
    <w:rsid w:val="004841C6"/>
    <w:rsid w:val="00484668"/>
    <w:rsid w:val="00484C84"/>
    <w:rsid w:val="004866A2"/>
    <w:rsid w:val="00486802"/>
    <w:rsid w:val="0048684B"/>
    <w:rsid w:val="00486880"/>
    <w:rsid w:val="00486B96"/>
    <w:rsid w:val="00487768"/>
    <w:rsid w:val="00487ABC"/>
    <w:rsid w:val="00487FF1"/>
    <w:rsid w:val="0049069D"/>
    <w:rsid w:val="00490C02"/>
    <w:rsid w:val="00491E4B"/>
    <w:rsid w:val="004922D2"/>
    <w:rsid w:val="0049298D"/>
    <w:rsid w:val="00492C40"/>
    <w:rsid w:val="00492C79"/>
    <w:rsid w:val="00492DBD"/>
    <w:rsid w:val="00492E92"/>
    <w:rsid w:val="00492ED6"/>
    <w:rsid w:val="0049301D"/>
    <w:rsid w:val="004931BA"/>
    <w:rsid w:val="004933F2"/>
    <w:rsid w:val="00493B61"/>
    <w:rsid w:val="00493CDE"/>
    <w:rsid w:val="00493E36"/>
    <w:rsid w:val="0049527A"/>
    <w:rsid w:val="00496496"/>
    <w:rsid w:val="004965C4"/>
    <w:rsid w:val="0049673C"/>
    <w:rsid w:val="004968F5"/>
    <w:rsid w:val="00496F17"/>
    <w:rsid w:val="004972BB"/>
    <w:rsid w:val="00497519"/>
    <w:rsid w:val="00497989"/>
    <w:rsid w:val="00497BC7"/>
    <w:rsid w:val="004A02E9"/>
    <w:rsid w:val="004A0E9C"/>
    <w:rsid w:val="004A0EC2"/>
    <w:rsid w:val="004A14D6"/>
    <w:rsid w:val="004A1761"/>
    <w:rsid w:val="004A1867"/>
    <w:rsid w:val="004A1A27"/>
    <w:rsid w:val="004A1B59"/>
    <w:rsid w:val="004A249A"/>
    <w:rsid w:val="004A3211"/>
    <w:rsid w:val="004A3814"/>
    <w:rsid w:val="004A3E44"/>
    <w:rsid w:val="004A3EC2"/>
    <w:rsid w:val="004A4610"/>
    <w:rsid w:val="004A48C3"/>
    <w:rsid w:val="004A4B03"/>
    <w:rsid w:val="004A4D0B"/>
    <w:rsid w:val="004A4D23"/>
    <w:rsid w:val="004A4D5A"/>
    <w:rsid w:val="004A5066"/>
    <w:rsid w:val="004A537E"/>
    <w:rsid w:val="004A55C8"/>
    <w:rsid w:val="004A57BE"/>
    <w:rsid w:val="004A6104"/>
    <w:rsid w:val="004A621E"/>
    <w:rsid w:val="004A6625"/>
    <w:rsid w:val="004A665E"/>
    <w:rsid w:val="004A6C40"/>
    <w:rsid w:val="004A6CBD"/>
    <w:rsid w:val="004A76B3"/>
    <w:rsid w:val="004A792A"/>
    <w:rsid w:val="004B0175"/>
    <w:rsid w:val="004B04EF"/>
    <w:rsid w:val="004B07F3"/>
    <w:rsid w:val="004B0B6E"/>
    <w:rsid w:val="004B12D5"/>
    <w:rsid w:val="004B15BF"/>
    <w:rsid w:val="004B1659"/>
    <w:rsid w:val="004B1778"/>
    <w:rsid w:val="004B18B0"/>
    <w:rsid w:val="004B20D3"/>
    <w:rsid w:val="004B22DA"/>
    <w:rsid w:val="004B238C"/>
    <w:rsid w:val="004B2676"/>
    <w:rsid w:val="004B2BEB"/>
    <w:rsid w:val="004B3507"/>
    <w:rsid w:val="004B3798"/>
    <w:rsid w:val="004B3C56"/>
    <w:rsid w:val="004B3CB7"/>
    <w:rsid w:val="004B4132"/>
    <w:rsid w:val="004B4E15"/>
    <w:rsid w:val="004B520D"/>
    <w:rsid w:val="004B52A9"/>
    <w:rsid w:val="004B52B5"/>
    <w:rsid w:val="004B53F2"/>
    <w:rsid w:val="004B589A"/>
    <w:rsid w:val="004B5E45"/>
    <w:rsid w:val="004B63DF"/>
    <w:rsid w:val="004B64AB"/>
    <w:rsid w:val="004B69B4"/>
    <w:rsid w:val="004B72AE"/>
    <w:rsid w:val="004B764B"/>
    <w:rsid w:val="004C01DD"/>
    <w:rsid w:val="004C02FC"/>
    <w:rsid w:val="004C0442"/>
    <w:rsid w:val="004C09EA"/>
    <w:rsid w:val="004C0B45"/>
    <w:rsid w:val="004C0C57"/>
    <w:rsid w:val="004C1641"/>
    <w:rsid w:val="004C18F6"/>
    <w:rsid w:val="004C1A7D"/>
    <w:rsid w:val="004C262C"/>
    <w:rsid w:val="004C2AAB"/>
    <w:rsid w:val="004C2B64"/>
    <w:rsid w:val="004C358B"/>
    <w:rsid w:val="004C3E6D"/>
    <w:rsid w:val="004C3E88"/>
    <w:rsid w:val="004C422A"/>
    <w:rsid w:val="004C424E"/>
    <w:rsid w:val="004C4686"/>
    <w:rsid w:val="004C4FC3"/>
    <w:rsid w:val="004C55B4"/>
    <w:rsid w:val="004C5DFB"/>
    <w:rsid w:val="004C6377"/>
    <w:rsid w:val="004C6E9D"/>
    <w:rsid w:val="004C71BD"/>
    <w:rsid w:val="004C778C"/>
    <w:rsid w:val="004C7A19"/>
    <w:rsid w:val="004C7B27"/>
    <w:rsid w:val="004D0393"/>
    <w:rsid w:val="004D04B1"/>
    <w:rsid w:val="004D0D4E"/>
    <w:rsid w:val="004D1081"/>
    <w:rsid w:val="004D178F"/>
    <w:rsid w:val="004D2118"/>
    <w:rsid w:val="004D2836"/>
    <w:rsid w:val="004D28C9"/>
    <w:rsid w:val="004D29FB"/>
    <w:rsid w:val="004D2F14"/>
    <w:rsid w:val="004D36FA"/>
    <w:rsid w:val="004D3F0F"/>
    <w:rsid w:val="004D405E"/>
    <w:rsid w:val="004D47BF"/>
    <w:rsid w:val="004D54A6"/>
    <w:rsid w:val="004D5EC0"/>
    <w:rsid w:val="004D62B8"/>
    <w:rsid w:val="004D65A8"/>
    <w:rsid w:val="004D67CF"/>
    <w:rsid w:val="004D70C8"/>
    <w:rsid w:val="004D7794"/>
    <w:rsid w:val="004D7AA9"/>
    <w:rsid w:val="004D7DB7"/>
    <w:rsid w:val="004E0523"/>
    <w:rsid w:val="004E0B8B"/>
    <w:rsid w:val="004E0EB2"/>
    <w:rsid w:val="004E1438"/>
    <w:rsid w:val="004E1719"/>
    <w:rsid w:val="004E19C4"/>
    <w:rsid w:val="004E1BCA"/>
    <w:rsid w:val="004E2201"/>
    <w:rsid w:val="004E2262"/>
    <w:rsid w:val="004E2601"/>
    <w:rsid w:val="004E2DC0"/>
    <w:rsid w:val="004E2E5D"/>
    <w:rsid w:val="004E305A"/>
    <w:rsid w:val="004E316D"/>
    <w:rsid w:val="004E3431"/>
    <w:rsid w:val="004E37FE"/>
    <w:rsid w:val="004E4496"/>
    <w:rsid w:val="004E4947"/>
    <w:rsid w:val="004E4F2B"/>
    <w:rsid w:val="004E4F9D"/>
    <w:rsid w:val="004E5322"/>
    <w:rsid w:val="004E53FC"/>
    <w:rsid w:val="004E597D"/>
    <w:rsid w:val="004E6088"/>
    <w:rsid w:val="004E6288"/>
    <w:rsid w:val="004E67E8"/>
    <w:rsid w:val="004E69FE"/>
    <w:rsid w:val="004E6D7E"/>
    <w:rsid w:val="004E70FD"/>
    <w:rsid w:val="004E741F"/>
    <w:rsid w:val="004E78E6"/>
    <w:rsid w:val="004E7C57"/>
    <w:rsid w:val="004E7C77"/>
    <w:rsid w:val="004E7E57"/>
    <w:rsid w:val="004F1226"/>
    <w:rsid w:val="004F1A19"/>
    <w:rsid w:val="004F21FD"/>
    <w:rsid w:val="004F22D5"/>
    <w:rsid w:val="004F22E6"/>
    <w:rsid w:val="004F2481"/>
    <w:rsid w:val="004F254F"/>
    <w:rsid w:val="004F26F9"/>
    <w:rsid w:val="004F2D92"/>
    <w:rsid w:val="004F3344"/>
    <w:rsid w:val="004F365A"/>
    <w:rsid w:val="004F4B72"/>
    <w:rsid w:val="004F4BA7"/>
    <w:rsid w:val="004F4CBF"/>
    <w:rsid w:val="004F594E"/>
    <w:rsid w:val="004F5964"/>
    <w:rsid w:val="004F5C2E"/>
    <w:rsid w:val="004F60BA"/>
    <w:rsid w:val="004F6BC2"/>
    <w:rsid w:val="004F6F0D"/>
    <w:rsid w:val="004F74C2"/>
    <w:rsid w:val="004F768D"/>
    <w:rsid w:val="004F7C08"/>
    <w:rsid w:val="00500D04"/>
    <w:rsid w:val="00500DB6"/>
    <w:rsid w:val="00500E28"/>
    <w:rsid w:val="005023B5"/>
    <w:rsid w:val="0050251D"/>
    <w:rsid w:val="0050256D"/>
    <w:rsid w:val="005025FE"/>
    <w:rsid w:val="0050265F"/>
    <w:rsid w:val="00502B95"/>
    <w:rsid w:val="005042A8"/>
    <w:rsid w:val="00504BB7"/>
    <w:rsid w:val="0050516C"/>
    <w:rsid w:val="005052EE"/>
    <w:rsid w:val="00505560"/>
    <w:rsid w:val="005058F7"/>
    <w:rsid w:val="00505CCE"/>
    <w:rsid w:val="00505D1C"/>
    <w:rsid w:val="00505FEE"/>
    <w:rsid w:val="00506227"/>
    <w:rsid w:val="0050633A"/>
    <w:rsid w:val="005069AF"/>
    <w:rsid w:val="00506B36"/>
    <w:rsid w:val="00506CD9"/>
    <w:rsid w:val="0050712F"/>
    <w:rsid w:val="00507598"/>
    <w:rsid w:val="00507ADE"/>
    <w:rsid w:val="00507F68"/>
    <w:rsid w:val="00510106"/>
    <w:rsid w:val="00510889"/>
    <w:rsid w:val="00510A7C"/>
    <w:rsid w:val="00510B18"/>
    <w:rsid w:val="00510F20"/>
    <w:rsid w:val="00511498"/>
    <w:rsid w:val="005115FB"/>
    <w:rsid w:val="00512044"/>
    <w:rsid w:val="00512377"/>
    <w:rsid w:val="005127C7"/>
    <w:rsid w:val="0051282C"/>
    <w:rsid w:val="005137E3"/>
    <w:rsid w:val="00513E70"/>
    <w:rsid w:val="00514579"/>
    <w:rsid w:val="00514FC0"/>
    <w:rsid w:val="00515A4F"/>
    <w:rsid w:val="00515C68"/>
    <w:rsid w:val="00515FF1"/>
    <w:rsid w:val="005160B2"/>
    <w:rsid w:val="00516301"/>
    <w:rsid w:val="00516952"/>
    <w:rsid w:val="00516D5A"/>
    <w:rsid w:val="00516DE8"/>
    <w:rsid w:val="00517177"/>
    <w:rsid w:val="005173DE"/>
    <w:rsid w:val="00520322"/>
    <w:rsid w:val="005207F6"/>
    <w:rsid w:val="005208B3"/>
    <w:rsid w:val="005210E7"/>
    <w:rsid w:val="00521658"/>
    <w:rsid w:val="005216C5"/>
    <w:rsid w:val="00521780"/>
    <w:rsid w:val="00521BC9"/>
    <w:rsid w:val="00522A7A"/>
    <w:rsid w:val="00522CEF"/>
    <w:rsid w:val="005232DC"/>
    <w:rsid w:val="00523427"/>
    <w:rsid w:val="005238CF"/>
    <w:rsid w:val="00523C62"/>
    <w:rsid w:val="00523F52"/>
    <w:rsid w:val="00524009"/>
    <w:rsid w:val="0052403E"/>
    <w:rsid w:val="005244D5"/>
    <w:rsid w:val="005252A9"/>
    <w:rsid w:val="00525C21"/>
    <w:rsid w:val="00525E1D"/>
    <w:rsid w:val="00525F7E"/>
    <w:rsid w:val="005260DA"/>
    <w:rsid w:val="00526354"/>
    <w:rsid w:val="0052684E"/>
    <w:rsid w:val="00526C2C"/>
    <w:rsid w:val="0052736E"/>
    <w:rsid w:val="005279DE"/>
    <w:rsid w:val="00527D44"/>
    <w:rsid w:val="0053031A"/>
    <w:rsid w:val="00530DDF"/>
    <w:rsid w:val="005320C3"/>
    <w:rsid w:val="00532749"/>
    <w:rsid w:val="00532C48"/>
    <w:rsid w:val="00533367"/>
    <w:rsid w:val="005336B5"/>
    <w:rsid w:val="005336D6"/>
    <w:rsid w:val="00533865"/>
    <w:rsid w:val="00533C9B"/>
    <w:rsid w:val="00533EC4"/>
    <w:rsid w:val="00533F2C"/>
    <w:rsid w:val="005341DD"/>
    <w:rsid w:val="005347CE"/>
    <w:rsid w:val="00534EB4"/>
    <w:rsid w:val="00535564"/>
    <w:rsid w:val="00536EBB"/>
    <w:rsid w:val="005376D5"/>
    <w:rsid w:val="005378ED"/>
    <w:rsid w:val="00540620"/>
    <w:rsid w:val="00540F39"/>
    <w:rsid w:val="005410CB"/>
    <w:rsid w:val="005411BF"/>
    <w:rsid w:val="005415A5"/>
    <w:rsid w:val="005415B2"/>
    <w:rsid w:val="00541A7D"/>
    <w:rsid w:val="0054202D"/>
    <w:rsid w:val="0054336D"/>
    <w:rsid w:val="00543415"/>
    <w:rsid w:val="00543935"/>
    <w:rsid w:val="00543C0D"/>
    <w:rsid w:val="00543CE7"/>
    <w:rsid w:val="00544439"/>
    <w:rsid w:val="005447E9"/>
    <w:rsid w:val="00544B62"/>
    <w:rsid w:val="00544E6E"/>
    <w:rsid w:val="00545D29"/>
    <w:rsid w:val="005460F5"/>
    <w:rsid w:val="00546872"/>
    <w:rsid w:val="0054687B"/>
    <w:rsid w:val="00550C2C"/>
    <w:rsid w:val="005512E5"/>
    <w:rsid w:val="00551345"/>
    <w:rsid w:val="00551501"/>
    <w:rsid w:val="005516AD"/>
    <w:rsid w:val="00551763"/>
    <w:rsid w:val="0055209D"/>
    <w:rsid w:val="0055241B"/>
    <w:rsid w:val="005528CD"/>
    <w:rsid w:val="00552A59"/>
    <w:rsid w:val="0055357D"/>
    <w:rsid w:val="005535AE"/>
    <w:rsid w:val="0055388E"/>
    <w:rsid w:val="00554417"/>
    <w:rsid w:val="005546E3"/>
    <w:rsid w:val="005553D5"/>
    <w:rsid w:val="0055551C"/>
    <w:rsid w:val="00555610"/>
    <w:rsid w:val="005557F7"/>
    <w:rsid w:val="00555FFC"/>
    <w:rsid w:val="00556A46"/>
    <w:rsid w:val="00556AA0"/>
    <w:rsid w:val="00557296"/>
    <w:rsid w:val="00557BA8"/>
    <w:rsid w:val="00560093"/>
    <w:rsid w:val="00560545"/>
    <w:rsid w:val="00560BE6"/>
    <w:rsid w:val="00561072"/>
    <w:rsid w:val="00561207"/>
    <w:rsid w:val="00561753"/>
    <w:rsid w:val="00561802"/>
    <w:rsid w:val="00561AFE"/>
    <w:rsid w:val="00561C0D"/>
    <w:rsid w:val="00561F73"/>
    <w:rsid w:val="005621B7"/>
    <w:rsid w:val="005625CD"/>
    <w:rsid w:val="005627BA"/>
    <w:rsid w:val="00562FB5"/>
    <w:rsid w:val="0056304D"/>
    <w:rsid w:val="0056468F"/>
    <w:rsid w:val="00564D85"/>
    <w:rsid w:val="00564E03"/>
    <w:rsid w:val="00564E5A"/>
    <w:rsid w:val="005654BE"/>
    <w:rsid w:val="005654DF"/>
    <w:rsid w:val="00565A8B"/>
    <w:rsid w:val="005663BB"/>
    <w:rsid w:val="00566F78"/>
    <w:rsid w:val="00567492"/>
    <w:rsid w:val="005676CB"/>
    <w:rsid w:val="00567763"/>
    <w:rsid w:val="00570B6A"/>
    <w:rsid w:val="00570BD4"/>
    <w:rsid w:val="00570EA7"/>
    <w:rsid w:val="005717E9"/>
    <w:rsid w:val="00571ADE"/>
    <w:rsid w:val="00571F88"/>
    <w:rsid w:val="00571FE6"/>
    <w:rsid w:val="005722C2"/>
    <w:rsid w:val="00572379"/>
    <w:rsid w:val="005723D0"/>
    <w:rsid w:val="00572561"/>
    <w:rsid w:val="005729D5"/>
    <w:rsid w:val="005729DD"/>
    <w:rsid w:val="00573CF3"/>
    <w:rsid w:val="0057462F"/>
    <w:rsid w:val="00575000"/>
    <w:rsid w:val="0057522B"/>
    <w:rsid w:val="0057579E"/>
    <w:rsid w:val="00575D55"/>
    <w:rsid w:val="00575E18"/>
    <w:rsid w:val="005770B9"/>
    <w:rsid w:val="005775BD"/>
    <w:rsid w:val="00577617"/>
    <w:rsid w:val="00577DA7"/>
    <w:rsid w:val="005809DC"/>
    <w:rsid w:val="00581F91"/>
    <w:rsid w:val="00581FD7"/>
    <w:rsid w:val="0058203A"/>
    <w:rsid w:val="005822A5"/>
    <w:rsid w:val="00583073"/>
    <w:rsid w:val="00583292"/>
    <w:rsid w:val="00583467"/>
    <w:rsid w:val="00583B86"/>
    <w:rsid w:val="00583D1F"/>
    <w:rsid w:val="005842EE"/>
    <w:rsid w:val="00584A1C"/>
    <w:rsid w:val="00585034"/>
    <w:rsid w:val="005850A4"/>
    <w:rsid w:val="00586367"/>
    <w:rsid w:val="00586389"/>
    <w:rsid w:val="005863DD"/>
    <w:rsid w:val="00586456"/>
    <w:rsid w:val="0058698D"/>
    <w:rsid w:val="00586F67"/>
    <w:rsid w:val="00587737"/>
    <w:rsid w:val="00587B8F"/>
    <w:rsid w:val="00587E50"/>
    <w:rsid w:val="00590189"/>
    <w:rsid w:val="00590377"/>
    <w:rsid w:val="00590877"/>
    <w:rsid w:val="00590A06"/>
    <w:rsid w:val="00590A3D"/>
    <w:rsid w:val="00591139"/>
    <w:rsid w:val="00591219"/>
    <w:rsid w:val="005919BD"/>
    <w:rsid w:val="005919D4"/>
    <w:rsid w:val="00591D2D"/>
    <w:rsid w:val="00591F8C"/>
    <w:rsid w:val="005925C5"/>
    <w:rsid w:val="005925FF"/>
    <w:rsid w:val="0059273D"/>
    <w:rsid w:val="00592E68"/>
    <w:rsid w:val="00592FE0"/>
    <w:rsid w:val="0059330F"/>
    <w:rsid w:val="0059346B"/>
    <w:rsid w:val="005934B4"/>
    <w:rsid w:val="00593E28"/>
    <w:rsid w:val="005944CE"/>
    <w:rsid w:val="0059483B"/>
    <w:rsid w:val="00594C38"/>
    <w:rsid w:val="005957A3"/>
    <w:rsid w:val="00596365"/>
    <w:rsid w:val="005965E5"/>
    <w:rsid w:val="0059674F"/>
    <w:rsid w:val="00596F4A"/>
    <w:rsid w:val="00597839"/>
    <w:rsid w:val="00597CBD"/>
    <w:rsid w:val="00597F65"/>
    <w:rsid w:val="005A05E8"/>
    <w:rsid w:val="005A0D6F"/>
    <w:rsid w:val="005A11EE"/>
    <w:rsid w:val="005A14F0"/>
    <w:rsid w:val="005A161C"/>
    <w:rsid w:val="005A1712"/>
    <w:rsid w:val="005A198F"/>
    <w:rsid w:val="005A1FF8"/>
    <w:rsid w:val="005A23A7"/>
    <w:rsid w:val="005A2CEB"/>
    <w:rsid w:val="005A2E44"/>
    <w:rsid w:val="005A3178"/>
    <w:rsid w:val="005A3292"/>
    <w:rsid w:val="005A3599"/>
    <w:rsid w:val="005A35E3"/>
    <w:rsid w:val="005A3AFB"/>
    <w:rsid w:val="005A3FCD"/>
    <w:rsid w:val="005A4620"/>
    <w:rsid w:val="005A4EBC"/>
    <w:rsid w:val="005A50AF"/>
    <w:rsid w:val="005A58EF"/>
    <w:rsid w:val="005A5A7A"/>
    <w:rsid w:val="005A5B87"/>
    <w:rsid w:val="005A65C1"/>
    <w:rsid w:val="005A6674"/>
    <w:rsid w:val="005A6890"/>
    <w:rsid w:val="005A6923"/>
    <w:rsid w:val="005A69D7"/>
    <w:rsid w:val="005A6B4E"/>
    <w:rsid w:val="005A6DC6"/>
    <w:rsid w:val="005B029F"/>
    <w:rsid w:val="005B0461"/>
    <w:rsid w:val="005B05CB"/>
    <w:rsid w:val="005B0AB2"/>
    <w:rsid w:val="005B0B9F"/>
    <w:rsid w:val="005B1353"/>
    <w:rsid w:val="005B17DF"/>
    <w:rsid w:val="005B1F15"/>
    <w:rsid w:val="005B2ADE"/>
    <w:rsid w:val="005B3248"/>
    <w:rsid w:val="005B3BC2"/>
    <w:rsid w:val="005B3D03"/>
    <w:rsid w:val="005B420B"/>
    <w:rsid w:val="005B43E8"/>
    <w:rsid w:val="005B4444"/>
    <w:rsid w:val="005B45A3"/>
    <w:rsid w:val="005B485D"/>
    <w:rsid w:val="005B4B46"/>
    <w:rsid w:val="005B5085"/>
    <w:rsid w:val="005B51ED"/>
    <w:rsid w:val="005B5272"/>
    <w:rsid w:val="005B5459"/>
    <w:rsid w:val="005B62C9"/>
    <w:rsid w:val="005B65D7"/>
    <w:rsid w:val="005B6CD6"/>
    <w:rsid w:val="005B701F"/>
    <w:rsid w:val="005B7C27"/>
    <w:rsid w:val="005C0255"/>
    <w:rsid w:val="005C0443"/>
    <w:rsid w:val="005C087E"/>
    <w:rsid w:val="005C0BB3"/>
    <w:rsid w:val="005C0F93"/>
    <w:rsid w:val="005C109C"/>
    <w:rsid w:val="005C1153"/>
    <w:rsid w:val="005C13A3"/>
    <w:rsid w:val="005C16F7"/>
    <w:rsid w:val="005C1821"/>
    <w:rsid w:val="005C1AEB"/>
    <w:rsid w:val="005C1B1D"/>
    <w:rsid w:val="005C22B8"/>
    <w:rsid w:val="005C24E6"/>
    <w:rsid w:val="005C2539"/>
    <w:rsid w:val="005C26D0"/>
    <w:rsid w:val="005C295F"/>
    <w:rsid w:val="005C33B5"/>
    <w:rsid w:val="005C3874"/>
    <w:rsid w:val="005C3C91"/>
    <w:rsid w:val="005C3CC8"/>
    <w:rsid w:val="005C4090"/>
    <w:rsid w:val="005C538B"/>
    <w:rsid w:val="005C53F3"/>
    <w:rsid w:val="005C58BC"/>
    <w:rsid w:val="005C6681"/>
    <w:rsid w:val="005C6FDE"/>
    <w:rsid w:val="005C7119"/>
    <w:rsid w:val="005C739B"/>
    <w:rsid w:val="005C74AD"/>
    <w:rsid w:val="005C75A4"/>
    <w:rsid w:val="005C75FC"/>
    <w:rsid w:val="005C788D"/>
    <w:rsid w:val="005C7B4A"/>
    <w:rsid w:val="005C7E55"/>
    <w:rsid w:val="005D0463"/>
    <w:rsid w:val="005D136F"/>
    <w:rsid w:val="005D13DD"/>
    <w:rsid w:val="005D1BC7"/>
    <w:rsid w:val="005D2892"/>
    <w:rsid w:val="005D29C4"/>
    <w:rsid w:val="005D2ED5"/>
    <w:rsid w:val="005D2F5A"/>
    <w:rsid w:val="005D30FE"/>
    <w:rsid w:val="005D34C8"/>
    <w:rsid w:val="005D35C5"/>
    <w:rsid w:val="005D3967"/>
    <w:rsid w:val="005D3D9A"/>
    <w:rsid w:val="005D4309"/>
    <w:rsid w:val="005D47EA"/>
    <w:rsid w:val="005D485A"/>
    <w:rsid w:val="005D4B05"/>
    <w:rsid w:val="005D4C18"/>
    <w:rsid w:val="005D4C75"/>
    <w:rsid w:val="005D4E48"/>
    <w:rsid w:val="005D505F"/>
    <w:rsid w:val="005D5A28"/>
    <w:rsid w:val="005D5AC0"/>
    <w:rsid w:val="005D5B31"/>
    <w:rsid w:val="005D5C9E"/>
    <w:rsid w:val="005D5CE2"/>
    <w:rsid w:val="005D6781"/>
    <w:rsid w:val="005D6BAA"/>
    <w:rsid w:val="005D6BD1"/>
    <w:rsid w:val="005D6ED0"/>
    <w:rsid w:val="005D71CD"/>
    <w:rsid w:val="005D7805"/>
    <w:rsid w:val="005D7AB3"/>
    <w:rsid w:val="005E0280"/>
    <w:rsid w:val="005E02C3"/>
    <w:rsid w:val="005E0362"/>
    <w:rsid w:val="005E0722"/>
    <w:rsid w:val="005E0BF7"/>
    <w:rsid w:val="005E0E85"/>
    <w:rsid w:val="005E0E9E"/>
    <w:rsid w:val="005E1057"/>
    <w:rsid w:val="005E148F"/>
    <w:rsid w:val="005E1497"/>
    <w:rsid w:val="005E1866"/>
    <w:rsid w:val="005E1D57"/>
    <w:rsid w:val="005E20E3"/>
    <w:rsid w:val="005E249F"/>
    <w:rsid w:val="005E2690"/>
    <w:rsid w:val="005E290A"/>
    <w:rsid w:val="005E2DE6"/>
    <w:rsid w:val="005E3173"/>
    <w:rsid w:val="005E321E"/>
    <w:rsid w:val="005E3300"/>
    <w:rsid w:val="005E356C"/>
    <w:rsid w:val="005E3887"/>
    <w:rsid w:val="005E38F9"/>
    <w:rsid w:val="005E3B28"/>
    <w:rsid w:val="005E3E25"/>
    <w:rsid w:val="005E41AA"/>
    <w:rsid w:val="005E4668"/>
    <w:rsid w:val="005E46CC"/>
    <w:rsid w:val="005E4D06"/>
    <w:rsid w:val="005E4D07"/>
    <w:rsid w:val="005E50B3"/>
    <w:rsid w:val="005E517E"/>
    <w:rsid w:val="005E5187"/>
    <w:rsid w:val="005E5319"/>
    <w:rsid w:val="005E5A18"/>
    <w:rsid w:val="005E5E69"/>
    <w:rsid w:val="005E6032"/>
    <w:rsid w:val="005E6110"/>
    <w:rsid w:val="005E632F"/>
    <w:rsid w:val="005E636B"/>
    <w:rsid w:val="005E6C7D"/>
    <w:rsid w:val="005E6CFA"/>
    <w:rsid w:val="005E6FAE"/>
    <w:rsid w:val="005E7050"/>
    <w:rsid w:val="005E7597"/>
    <w:rsid w:val="005E77BF"/>
    <w:rsid w:val="005E7843"/>
    <w:rsid w:val="005E7BF0"/>
    <w:rsid w:val="005F018A"/>
    <w:rsid w:val="005F0432"/>
    <w:rsid w:val="005F04DE"/>
    <w:rsid w:val="005F05F5"/>
    <w:rsid w:val="005F0837"/>
    <w:rsid w:val="005F0970"/>
    <w:rsid w:val="005F0C7A"/>
    <w:rsid w:val="005F14B8"/>
    <w:rsid w:val="005F1536"/>
    <w:rsid w:val="005F19AE"/>
    <w:rsid w:val="005F22BB"/>
    <w:rsid w:val="005F22E0"/>
    <w:rsid w:val="005F2A7C"/>
    <w:rsid w:val="005F2BA1"/>
    <w:rsid w:val="005F2E9B"/>
    <w:rsid w:val="005F3191"/>
    <w:rsid w:val="005F329C"/>
    <w:rsid w:val="005F37B5"/>
    <w:rsid w:val="005F3FA2"/>
    <w:rsid w:val="005F4A76"/>
    <w:rsid w:val="005F4B56"/>
    <w:rsid w:val="005F4D07"/>
    <w:rsid w:val="005F55E2"/>
    <w:rsid w:val="005F5ACA"/>
    <w:rsid w:val="005F5B84"/>
    <w:rsid w:val="005F6251"/>
    <w:rsid w:val="005F6AAA"/>
    <w:rsid w:val="005F70FB"/>
    <w:rsid w:val="005F71EE"/>
    <w:rsid w:val="005F77E5"/>
    <w:rsid w:val="005F790B"/>
    <w:rsid w:val="005F7D00"/>
    <w:rsid w:val="005F7E67"/>
    <w:rsid w:val="006004E0"/>
    <w:rsid w:val="006008B6"/>
    <w:rsid w:val="00600C48"/>
    <w:rsid w:val="00600DDD"/>
    <w:rsid w:val="00601653"/>
    <w:rsid w:val="00602616"/>
    <w:rsid w:val="006027EC"/>
    <w:rsid w:val="00602A00"/>
    <w:rsid w:val="00602F37"/>
    <w:rsid w:val="00602F48"/>
    <w:rsid w:val="00603554"/>
    <w:rsid w:val="00603A3A"/>
    <w:rsid w:val="00604370"/>
    <w:rsid w:val="00605442"/>
    <w:rsid w:val="00605781"/>
    <w:rsid w:val="00605F40"/>
    <w:rsid w:val="006069A7"/>
    <w:rsid w:val="00606F61"/>
    <w:rsid w:val="00606F73"/>
    <w:rsid w:val="00607D74"/>
    <w:rsid w:val="00610163"/>
    <w:rsid w:val="00610541"/>
    <w:rsid w:val="00610C27"/>
    <w:rsid w:val="00610FC5"/>
    <w:rsid w:val="00611968"/>
    <w:rsid w:val="00611BED"/>
    <w:rsid w:val="00611C5C"/>
    <w:rsid w:val="00611D1A"/>
    <w:rsid w:val="006122D8"/>
    <w:rsid w:val="00612784"/>
    <w:rsid w:val="00612C82"/>
    <w:rsid w:val="0061370A"/>
    <w:rsid w:val="0061438C"/>
    <w:rsid w:val="006147C7"/>
    <w:rsid w:val="006149CA"/>
    <w:rsid w:val="00614B28"/>
    <w:rsid w:val="006153D3"/>
    <w:rsid w:val="00615533"/>
    <w:rsid w:val="00615AF4"/>
    <w:rsid w:val="0061631B"/>
    <w:rsid w:val="00616549"/>
    <w:rsid w:val="00616939"/>
    <w:rsid w:val="006169DF"/>
    <w:rsid w:val="00616B09"/>
    <w:rsid w:val="0061715A"/>
    <w:rsid w:val="006174E0"/>
    <w:rsid w:val="00617797"/>
    <w:rsid w:val="006203CC"/>
    <w:rsid w:val="00620AC8"/>
    <w:rsid w:val="0062109B"/>
    <w:rsid w:val="006218D1"/>
    <w:rsid w:val="00621A8E"/>
    <w:rsid w:val="00621AF4"/>
    <w:rsid w:val="0062234D"/>
    <w:rsid w:val="006229FE"/>
    <w:rsid w:val="00622CBD"/>
    <w:rsid w:val="00623357"/>
    <w:rsid w:val="006233EF"/>
    <w:rsid w:val="0062374C"/>
    <w:rsid w:val="00623A17"/>
    <w:rsid w:val="00624416"/>
    <w:rsid w:val="0062442A"/>
    <w:rsid w:val="006254BE"/>
    <w:rsid w:val="006255C1"/>
    <w:rsid w:val="00625716"/>
    <w:rsid w:val="00625F01"/>
    <w:rsid w:val="00625F66"/>
    <w:rsid w:val="0062604C"/>
    <w:rsid w:val="006261C9"/>
    <w:rsid w:val="00626410"/>
    <w:rsid w:val="00626631"/>
    <w:rsid w:val="00627333"/>
    <w:rsid w:val="00627A11"/>
    <w:rsid w:val="00627E47"/>
    <w:rsid w:val="0063034F"/>
    <w:rsid w:val="00630ACA"/>
    <w:rsid w:val="00630CBE"/>
    <w:rsid w:val="00631471"/>
    <w:rsid w:val="00631A47"/>
    <w:rsid w:val="0063227D"/>
    <w:rsid w:val="00632588"/>
    <w:rsid w:val="006326E1"/>
    <w:rsid w:val="00632C90"/>
    <w:rsid w:val="00633FCC"/>
    <w:rsid w:val="006344D3"/>
    <w:rsid w:val="00634936"/>
    <w:rsid w:val="00634EA4"/>
    <w:rsid w:val="00635279"/>
    <w:rsid w:val="00635587"/>
    <w:rsid w:val="006359C3"/>
    <w:rsid w:val="00635A0A"/>
    <w:rsid w:val="006368B4"/>
    <w:rsid w:val="00637288"/>
    <w:rsid w:val="006378A0"/>
    <w:rsid w:val="00640C0A"/>
    <w:rsid w:val="00640D53"/>
    <w:rsid w:val="00641975"/>
    <w:rsid w:val="0064237C"/>
    <w:rsid w:val="00642781"/>
    <w:rsid w:val="006427AF"/>
    <w:rsid w:val="0064284A"/>
    <w:rsid w:val="00643740"/>
    <w:rsid w:val="00644840"/>
    <w:rsid w:val="00644F29"/>
    <w:rsid w:val="0064506B"/>
    <w:rsid w:val="0064566C"/>
    <w:rsid w:val="006457A7"/>
    <w:rsid w:val="006459C7"/>
    <w:rsid w:val="00647A84"/>
    <w:rsid w:val="00650269"/>
    <w:rsid w:val="0065057B"/>
    <w:rsid w:val="006515FF"/>
    <w:rsid w:val="00651889"/>
    <w:rsid w:val="00651909"/>
    <w:rsid w:val="00651C4F"/>
    <w:rsid w:val="00651CC5"/>
    <w:rsid w:val="00651E50"/>
    <w:rsid w:val="0065210C"/>
    <w:rsid w:val="00652696"/>
    <w:rsid w:val="00652B2C"/>
    <w:rsid w:val="00652F91"/>
    <w:rsid w:val="00652FC3"/>
    <w:rsid w:val="00653885"/>
    <w:rsid w:val="00653B46"/>
    <w:rsid w:val="00653BC4"/>
    <w:rsid w:val="00654157"/>
    <w:rsid w:val="00654A23"/>
    <w:rsid w:val="006565D0"/>
    <w:rsid w:val="006566FD"/>
    <w:rsid w:val="00656D37"/>
    <w:rsid w:val="00657796"/>
    <w:rsid w:val="0065790D"/>
    <w:rsid w:val="00657E4F"/>
    <w:rsid w:val="0066058D"/>
    <w:rsid w:val="006607F7"/>
    <w:rsid w:val="006608FE"/>
    <w:rsid w:val="00660939"/>
    <w:rsid w:val="00660F80"/>
    <w:rsid w:val="006617CD"/>
    <w:rsid w:val="00661FC8"/>
    <w:rsid w:val="006623D6"/>
    <w:rsid w:val="00662E8A"/>
    <w:rsid w:val="00662F93"/>
    <w:rsid w:val="00663858"/>
    <w:rsid w:val="00663C02"/>
    <w:rsid w:val="006641A2"/>
    <w:rsid w:val="0066475D"/>
    <w:rsid w:val="00664AC3"/>
    <w:rsid w:val="00664B29"/>
    <w:rsid w:val="00666BA2"/>
    <w:rsid w:val="00666FE1"/>
    <w:rsid w:val="00667DEA"/>
    <w:rsid w:val="00667E27"/>
    <w:rsid w:val="0067013A"/>
    <w:rsid w:val="00670730"/>
    <w:rsid w:val="00670763"/>
    <w:rsid w:val="00670D57"/>
    <w:rsid w:val="00671B91"/>
    <w:rsid w:val="00671C48"/>
    <w:rsid w:val="00671C67"/>
    <w:rsid w:val="00671E2F"/>
    <w:rsid w:val="00672EF7"/>
    <w:rsid w:val="006731AD"/>
    <w:rsid w:val="0067355D"/>
    <w:rsid w:val="006742F8"/>
    <w:rsid w:val="006749D8"/>
    <w:rsid w:val="00674B54"/>
    <w:rsid w:val="00674E11"/>
    <w:rsid w:val="006751E6"/>
    <w:rsid w:val="006752AA"/>
    <w:rsid w:val="00676425"/>
    <w:rsid w:val="00676AB9"/>
    <w:rsid w:val="00676E5D"/>
    <w:rsid w:val="0067786B"/>
    <w:rsid w:val="00677870"/>
    <w:rsid w:val="00677D6A"/>
    <w:rsid w:val="00677EBB"/>
    <w:rsid w:val="00677F29"/>
    <w:rsid w:val="00680283"/>
    <w:rsid w:val="006802E4"/>
    <w:rsid w:val="00680567"/>
    <w:rsid w:val="006807A9"/>
    <w:rsid w:val="00680972"/>
    <w:rsid w:val="00680A34"/>
    <w:rsid w:val="00680ABD"/>
    <w:rsid w:val="00680BE4"/>
    <w:rsid w:val="006815BB"/>
    <w:rsid w:val="006823DA"/>
    <w:rsid w:val="00682B30"/>
    <w:rsid w:val="00682BF6"/>
    <w:rsid w:val="00682D2A"/>
    <w:rsid w:val="00683DB1"/>
    <w:rsid w:val="00684688"/>
    <w:rsid w:val="0068488B"/>
    <w:rsid w:val="00684EA1"/>
    <w:rsid w:val="00684F49"/>
    <w:rsid w:val="00685160"/>
    <w:rsid w:val="006852C8"/>
    <w:rsid w:val="0068535A"/>
    <w:rsid w:val="0068624C"/>
    <w:rsid w:val="00686C15"/>
    <w:rsid w:val="00686CA2"/>
    <w:rsid w:val="006878FE"/>
    <w:rsid w:val="00687E3B"/>
    <w:rsid w:val="0069099B"/>
    <w:rsid w:val="0069154F"/>
    <w:rsid w:val="00691841"/>
    <w:rsid w:val="006920AF"/>
    <w:rsid w:val="00692486"/>
    <w:rsid w:val="0069260C"/>
    <w:rsid w:val="00692AB9"/>
    <w:rsid w:val="00692CD9"/>
    <w:rsid w:val="006932FF"/>
    <w:rsid w:val="00693347"/>
    <w:rsid w:val="00693B66"/>
    <w:rsid w:val="0069407E"/>
    <w:rsid w:val="00694BA6"/>
    <w:rsid w:val="006951AB"/>
    <w:rsid w:val="00695861"/>
    <w:rsid w:val="0069594F"/>
    <w:rsid w:val="00695C2F"/>
    <w:rsid w:val="00695F40"/>
    <w:rsid w:val="00696D2E"/>
    <w:rsid w:val="006974C6"/>
    <w:rsid w:val="006A016E"/>
    <w:rsid w:val="006A063C"/>
    <w:rsid w:val="006A0F57"/>
    <w:rsid w:val="006A11E9"/>
    <w:rsid w:val="006A1533"/>
    <w:rsid w:val="006A2169"/>
    <w:rsid w:val="006A25FA"/>
    <w:rsid w:val="006A3177"/>
    <w:rsid w:val="006A3780"/>
    <w:rsid w:val="006A3823"/>
    <w:rsid w:val="006A3FBB"/>
    <w:rsid w:val="006A432D"/>
    <w:rsid w:val="006A44CA"/>
    <w:rsid w:val="006A4661"/>
    <w:rsid w:val="006A46A5"/>
    <w:rsid w:val="006A46F6"/>
    <w:rsid w:val="006A488E"/>
    <w:rsid w:val="006A4B9F"/>
    <w:rsid w:val="006A52F3"/>
    <w:rsid w:val="006A5458"/>
    <w:rsid w:val="006A5D57"/>
    <w:rsid w:val="006A6617"/>
    <w:rsid w:val="006A70B5"/>
    <w:rsid w:val="006A716F"/>
    <w:rsid w:val="006B0413"/>
    <w:rsid w:val="006B0EC8"/>
    <w:rsid w:val="006B0F1D"/>
    <w:rsid w:val="006B1065"/>
    <w:rsid w:val="006B136D"/>
    <w:rsid w:val="006B1ABE"/>
    <w:rsid w:val="006B20C7"/>
    <w:rsid w:val="006B2207"/>
    <w:rsid w:val="006B22EA"/>
    <w:rsid w:val="006B2361"/>
    <w:rsid w:val="006B2C13"/>
    <w:rsid w:val="006B2CFF"/>
    <w:rsid w:val="006B355F"/>
    <w:rsid w:val="006B3D06"/>
    <w:rsid w:val="006B3EE4"/>
    <w:rsid w:val="006B4028"/>
    <w:rsid w:val="006B41D9"/>
    <w:rsid w:val="006B4ACD"/>
    <w:rsid w:val="006B4BFE"/>
    <w:rsid w:val="006B5322"/>
    <w:rsid w:val="006B56C8"/>
    <w:rsid w:val="006B59BE"/>
    <w:rsid w:val="006B5B17"/>
    <w:rsid w:val="006B5F7F"/>
    <w:rsid w:val="006B6969"/>
    <w:rsid w:val="006B6DE3"/>
    <w:rsid w:val="006B7F56"/>
    <w:rsid w:val="006C1140"/>
    <w:rsid w:val="006C12F3"/>
    <w:rsid w:val="006C13A8"/>
    <w:rsid w:val="006C152C"/>
    <w:rsid w:val="006C18BB"/>
    <w:rsid w:val="006C19B9"/>
    <w:rsid w:val="006C26C7"/>
    <w:rsid w:val="006C2A66"/>
    <w:rsid w:val="006C2B34"/>
    <w:rsid w:val="006C2C76"/>
    <w:rsid w:val="006C2E43"/>
    <w:rsid w:val="006C361B"/>
    <w:rsid w:val="006C383C"/>
    <w:rsid w:val="006C3CF5"/>
    <w:rsid w:val="006C402B"/>
    <w:rsid w:val="006C4C65"/>
    <w:rsid w:val="006C4F5A"/>
    <w:rsid w:val="006C5064"/>
    <w:rsid w:val="006C5257"/>
    <w:rsid w:val="006C5648"/>
    <w:rsid w:val="006C569B"/>
    <w:rsid w:val="006C592D"/>
    <w:rsid w:val="006C5E19"/>
    <w:rsid w:val="006C65BD"/>
    <w:rsid w:val="006C7340"/>
    <w:rsid w:val="006C759B"/>
    <w:rsid w:val="006C776A"/>
    <w:rsid w:val="006C78F9"/>
    <w:rsid w:val="006C7EC7"/>
    <w:rsid w:val="006D00DB"/>
    <w:rsid w:val="006D09A1"/>
    <w:rsid w:val="006D09BA"/>
    <w:rsid w:val="006D1ABD"/>
    <w:rsid w:val="006D210D"/>
    <w:rsid w:val="006D217D"/>
    <w:rsid w:val="006D220F"/>
    <w:rsid w:val="006D25DA"/>
    <w:rsid w:val="006D2959"/>
    <w:rsid w:val="006D2B80"/>
    <w:rsid w:val="006D3686"/>
    <w:rsid w:val="006D3D4B"/>
    <w:rsid w:val="006D44C6"/>
    <w:rsid w:val="006D45C9"/>
    <w:rsid w:val="006D59D5"/>
    <w:rsid w:val="006D6BBB"/>
    <w:rsid w:val="006D6C5C"/>
    <w:rsid w:val="006D7A3D"/>
    <w:rsid w:val="006E01B9"/>
    <w:rsid w:val="006E0362"/>
    <w:rsid w:val="006E0663"/>
    <w:rsid w:val="006E07E2"/>
    <w:rsid w:val="006E120D"/>
    <w:rsid w:val="006E19F7"/>
    <w:rsid w:val="006E1FBB"/>
    <w:rsid w:val="006E2126"/>
    <w:rsid w:val="006E2B5D"/>
    <w:rsid w:val="006E2F6A"/>
    <w:rsid w:val="006E4200"/>
    <w:rsid w:val="006E4846"/>
    <w:rsid w:val="006E4927"/>
    <w:rsid w:val="006E4BA0"/>
    <w:rsid w:val="006E517F"/>
    <w:rsid w:val="006E561B"/>
    <w:rsid w:val="006E563C"/>
    <w:rsid w:val="006E5843"/>
    <w:rsid w:val="006E5966"/>
    <w:rsid w:val="006E5986"/>
    <w:rsid w:val="006E6351"/>
    <w:rsid w:val="006E64FC"/>
    <w:rsid w:val="006E6A9D"/>
    <w:rsid w:val="006E6FF5"/>
    <w:rsid w:val="006E719A"/>
    <w:rsid w:val="006F032B"/>
    <w:rsid w:val="006F0726"/>
    <w:rsid w:val="006F0A6E"/>
    <w:rsid w:val="006F0EB0"/>
    <w:rsid w:val="006F1940"/>
    <w:rsid w:val="006F22E5"/>
    <w:rsid w:val="006F24E3"/>
    <w:rsid w:val="006F352D"/>
    <w:rsid w:val="006F3621"/>
    <w:rsid w:val="006F38AB"/>
    <w:rsid w:val="006F3C8F"/>
    <w:rsid w:val="006F3CBA"/>
    <w:rsid w:val="006F3DAE"/>
    <w:rsid w:val="006F4142"/>
    <w:rsid w:val="006F48C9"/>
    <w:rsid w:val="006F4986"/>
    <w:rsid w:val="006F4D2C"/>
    <w:rsid w:val="006F5256"/>
    <w:rsid w:val="006F54B4"/>
    <w:rsid w:val="006F5EA8"/>
    <w:rsid w:val="006F613E"/>
    <w:rsid w:val="006F68FC"/>
    <w:rsid w:val="006F6A3A"/>
    <w:rsid w:val="006F6AD4"/>
    <w:rsid w:val="006F702E"/>
    <w:rsid w:val="006F7178"/>
    <w:rsid w:val="006F7B55"/>
    <w:rsid w:val="006F7D2C"/>
    <w:rsid w:val="006F7E37"/>
    <w:rsid w:val="006F7FCA"/>
    <w:rsid w:val="0070022A"/>
    <w:rsid w:val="0070024C"/>
    <w:rsid w:val="00700AE9"/>
    <w:rsid w:val="00700E6B"/>
    <w:rsid w:val="00700E78"/>
    <w:rsid w:val="007010FF"/>
    <w:rsid w:val="007014D5"/>
    <w:rsid w:val="0070161E"/>
    <w:rsid w:val="0070175F"/>
    <w:rsid w:val="0070189D"/>
    <w:rsid w:val="00702058"/>
    <w:rsid w:val="00703ECE"/>
    <w:rsid w:val="00704308"/>
    <w:rsid w:val="00704833"/>
    <w:rsid w:val="007051A7"/>
    <w:rsid w:val="0070536D"/>
    <w:rsid w:val="007055AD"/>
    <w:rsid w:val="007059D9"/>
    <w:rsid w:val="00705A20"/>
    <w:rsid w:val="00705C20"/>
    <w:rsid w:val="007060F5"/>
    <w:rsid w:val="00706311"/>
    <w:rsid w:val="00706447"/>
    <w:rsid w:val="00706F62"/>
    <w:rsid w:val="007078BD"/>
    <w:rsid w:val="00707B06"/>
    <w:rsid w:val="00707D43"/>
    <w:rsid w:val="0071022A"/>
    <w:rsid w:val="0071029B"/>
    <w:rsid w:val="0071055A"/>
    <w:rsid w:val="00710991"/>
    <w:rsid w:val="00711079"/>
    <w:rsid w:val="007112DF"/>
    <w:rsid w:val="00711708"/>
    <w:rsid w:val="007124C6"/>
    <w:rsid w:val="007128EA"/>
    <w:rsid w:val="00712F69"/>
    <w:rsid w:val="0071354C"/>
    <w:rsid w:val="0071388E"/>
    <w:rsid w:val="00713D1B"/>
    <w:rsid w:val="0071426D"/>
    <w:rsid w:val="007142B2"/>
    <w:rsid w:val="0071449F"/>
    <w:rsid w:val="00714EE5"/>
    <w:rsid w:val="00714F2D"/>
    <w:rsid w:val="00716393"/>
    <w:rsid w:val="0071641B"/>
    <w:rsid w:val="00716D5A"/>
    <w:rsid w:val="00717831"/>
    <w:rsid w:val="00717A16"/>
    <w:rsid w:val="00720539"/>
    <w:rsid w:val="007212C1"/>
    <w:rsid w:val="007215EB"/>
    <w:rsid w:val="00721751"/>
    <w:rsid w:val="007218AD"/>
    <w:rsid w:val="007220FA"/>
    <w:rsid w:val="00722512"/>
    <w:rsid w:val="007226A9"/>
    <w:rsid w:val="00722778"/>
    <w:rsid w:val="00722F78"/>
    <w:rsid w:val="00723B45"/>
    <w:rsid w:val="00723E98"/>
    <w:rsid w:val="00724422"/>
    <w:rsid w:val="007253C2"/>
    <w:rsid w:val="00725908"/>
    <w:rsid w:val="00725C56"/>
    <w:rsid w:val="0072608D"/>
    <w:rsid w:val="007261F7"/>
    <w:rsid w:val="00726528"/>
    <w:rsid w:val="00726695"/>
    <w:rsid w:val="00726865"/>
    <w:rsid w:val="00726F8D"/>
    <w:rsid w:val="007274D6"/>
    <w:rsid w:val="007277A6"/>
    <w:rsid w:val="00727C0F"/>
    <w:rsid w:val="00727D45"/>
    <w:rsid w:val="0073039A"/>
    <w:rsid w:val="0073138E"/>
    <w:rsid w:val="00731663"/>
    <w:rsid w:val="00731DD0"/>
    <w:rsid w:val="00731F2B"/>
    <w:rsid w:val="007320AF"/>
    <w:rsid w:val="00732231"/>
    <w:rsid w:val="0073227E"/>
    <w:rsid w:val="00732851"/>
    <w:rsid w:val="00732B11"/>
    <w:rsid w:val="00732B8D"/>
    <w:rsid w:val="00732D76"/>
    <w:rsid w:val="0073351C"/>
    <w:rsid w:val="00733676"/>
    <w:rsid w:val="00733787"/>
    <w:rsid w:val="00733CF4"/>
    <w:rsid w:val="00733EBD"/>
    <w:rsid w:val="00734B54"/>
    <w:rsid w:val="00734E85"/>
    <w:rsid w:val="00734F0B"/>
    <w:rsid w:val="007352DA"/>
    <w:rsid w:val="007355DB"/>
    <w:rsid w:val="00736AF4"/>
    <w:rsid w:val="00736F4E"/>
    <w:rsid w:val="00740546"/>
    <w:rsid w:val="00740A10"/>
    <w:rsid w:val="00740C87"/>
    <w:rsid w:val="00740DCB"/>
    <w:rsid w:val="00741357"/>
    <w:rsid w:val="007415A2"/>
    <w:rsid w:val="00741C3A"/>
    <w:rsid w:val="00741F4F"/>
    <w:rsid w:val="00741F65"/>
    <w:rsid w:val="0074223F"/>
    <w:rsid w:val="0074249B"/>
    <w:rsid w:val="00742822"/>
    <w:rsid w:val="00742F11"/>
    <w:rsid w:val="00742FE8"/>
    <w:rsid w:val="007433AE"/>
    <w:rsid w:val="00743438"/>
    <w:rsid w:val="0074345D"/>
    <w:rsid w:val="00743578"/>
    <w:rsid w:val="007441BA"/>
    <w:rsid w:val="007445F0"/>
    <w:rsid w:val="00744983"/>
    <w:rsid w:val="00745160"/>
    <w:rsid w:val="007455BE"/>
    <w:rsid w:val="00745CA5"/>
    <w:rsid w:val="00745E7D"/>
    <w:rsid w:val="007462AE"/>
    <w:rsid w:val="00746566"/>
    <w:rsid w:val="007468E2"/>
    <w:rsid w:val="007469B2"/>
    <w:rsid w:val="00746CB3"/>
    <w:rsid w:val="007470A4"/>
    <w:rsid w:val="007470DE"/>
    <w:rsid w:val="00747110"/>
    <w:rsid w:val="0074746C"/>
    <w:rsid w:val="00750B53"/>
    <w:rsid w:val="00750B67"/>
    <w:rsid w:val="00750EFD"/>
    <w:rsid w:val="00751333"/>
    <w:rsid w:val="007513F9"/>
    <w:rsid w:val="007518EA"/>
    <w:rsid w:val="00752285"/>
    <w:rsid w:val="0075240F"/>
    <w:rsid w:val="007526D5"/>
    <w:rsid w:val="00752B75"/>
    <w:rsid w:val="00753483"/>
    <w:rsid w:val="0075357E"/>
    <w:rsid w:val="0075369B"/>
    <w:rsid w:val="00753F9B"/>
    <w:rsid w:val="0075403B"/>
    <w:rsid w:val="0075430F"/>
    <w:rsid w:val="00754947"/>
    <w:rsid w:val="00754D34"/>
    <w:rsid w:val="00754D8C"/>
    <w:rsid w:val="00755DB5"/>
    <w:rsid w:val="007563CB"/>
    <w:rsid w:val="00756640"/>
    <w:rsid w:val="007567D9"/>
    <w:rsid w:val="00756A7D"/>
    <w:rsid w:val="00756E39"/>
    <w:rsid w:val="0075705F"/>
    <w:rsid w:val="00757357"/>
    <w:rsid w:val="00757441"/>
    <w:rsid w:val="00757877"/>
    <w:rsid w:val="00757D5F"/>
    <w:rsid w:val="0076041D"/>
    <w:rsid w:val="0076058E"/>
    <w:rsid w:val="007607FA"/>
    <w:rsid w:val="0076080E"/>
    <w:rsid w:val="0076095B"/>
    <w:rsid w:val="00760D75"/>
    <w:rsid w:val="00761CB0"/>
    <w:rsid w:val="00761F0F"/>
    <w:rsid w:val="007621B6"/>
    <w:rsid w:val="007622DA"/>
    <w:rsid w:val="0076265A"/>
    <w:rsid w:val="00762754"/>
    <w:rsid w:val="0076298C"/>
    <w:rsid w:val="007629C0"/>
    <w:rsid w:val="00762F4E"/>
    <w:rsid w:val="00762FC7"/>
    <w:rsid w:val="007632CF"/>
    <w:rsid w:val="007636D3"/>
    <w:rsid w:val="007643DA"/>
    <w:rsid w:val="0076441B"/>
    <w:rsid w:val="00764863"/>
    <w:rsid w:val="00765A90"/>
    <w:rsid w:val="00766360"/>
    <w:rsid w:val="007667ED"/>
    <w:rsid w:val="00766D9D"/>
    <w:rsid w:val="007670D5"/>
    <w:rsid w:val="007671BD"/>
    <w:rsid w:val="00767347"/>
    <w:rsid w:val="00767B21"/>
    <w:rsid w:val="007700B3"/>
    <w:rsid w:val="007701E7"/>
    <w:rsid w:val="007707B1"/>
    <w:rsid w:val="00770D08"/>
    <w:rsid w:val="007712F2"/>
    <w:rsid w:val="007714C7"/>
    <w:rsid w:val="0077202A"/>
    <w:rsid w:val="00772659"/>
    <w:rsid w:val="00772B99"/>
    <w:rsid w:val="00772E4E"/>
    <w:rsid w:val="007730A1"/>
    <w:rsid w:val="007732FD"/>
    <w:rsid w:val="00773790"/>
    <w:rsid w:val="00773B2E"/>
    <w:rsid w:val="00773FFE"/>
    <w:rsid w:val="0077422D"/>
    <w:rsid w:val="0077470B"/>
    <w:rsid w:val="00774A50"/>
    <w:rsid w:val="0077577E"/>
    <w:rsid w:val="007757B1"/>
    <w:rsid w:val="00775D04"/>
    <w:rsid w:val="007765DE"/>
    <w:rsid w:val="00776B24"/>
    <w:rsid w:val="00776B9C"/>
    <w:rsid w:val="00776E36"/>
    <w:rsid w:val="00776E62"/>
    <w:rsid w:val="007776C5"/>
    <w:rsid w:val="00777DC9"/>
    <w:rsid w:val="00780253"/>
    <w:rsid w:val="0078071B"/>
    <w:rsid w:val="007808B8"/>
    <w:rsid w:val="00781085"/>
    <w:rsid w:val="00781889"/>
    <w:rsid w:val="0078203E"/>
    <w:rsid w:val="0078208B"/>
    <w:rsid w:val="007831ED"/>
    <w:rsid w:val="00783D65"/>
    <w:rsid w:val="00783E0B"/>
    <w:rsid w:val="007848E7"/>
    <w:rsid w:val="00785045"/>
    <w:rsid w:val="007851F8"/>
    <w:rsid w:val="007853E0"/>
    <w:rsid w:val="00785853"/>
    <w:rsid w:val="00785E81"/>
    <w:rsid w:val="00786051"/>
    <w:rsid w:val="007861E4"/>
    <w:rsid w:val="00786499"/>
    <w:rsid w:val="007868E5"/>
    <w:rsid w:val="0078698A"/>
    <w:rsid w:val="007869A7"/>
    <w:rsid w:val="00786C6C"/>
    <w:rsid w:val="00787064"/>
    <w:rsid w:val="00787AD2"/>
    <w:rsid w:val="00787B14"/>
    <w:rsid w:val="007902E9"/>
    <w:rsid w:val="00790721"/>
    <w:rsid w:val="00790F8F"/>
    <w:rsid w:val="007912BA"/>
    <w:rsid w:val="007914EA"/>
    <w:rsid w:val="00791C1E"/>
    <w:rsid w:val="00791E8B"/>
    <w:rsid w:val="007924E1"/>
    <w:rsid w:val="00792597"/>
    <w:rsid w:val="00792856"/>
    <w:rsid w:val="0079302B"/>
    <w:rsid w:val="007930F3"/>
    <w:rsid w:val="0079324B"/>
    <w:rsid w:val="00793642"/>
    <w:rsid w:val="007936AF"/>
    <w:rsid w:val="00793760"/>
    <w:rsid w:val="0079386C"/>
    <w:rsid w:val="00793A9A"/>
    <w:rsid w:val="00793E84"/>
    <w:rsid w:val="00793F86"/>
    <w:rsid w:val="0079456D"/>
    <w:rsid w:val="0079579D"/>
    <w:rsid w:val="00795A24"/>
    <w:rsid w:val="0079605F"/>
    <w:rsid w:val="00796652"/>
    <w:rsid w:val="00796F51"/>
    <w:rsid w:val="00796F60"/>
    <w:rsid w:val="0079705A"/>
    <w:rsid w:val="00797159"/>
    <w:rsid w:val="007971A2"/>
    <w:rsid w:val="00797324"/>
    <w:rsid w:val="0079762E"/>
    <w:rsid w:val="007A02AD"/>
    <w:rsid w:val="007A04FA"/>
    <w:rsid w:val="007A1049"/>
    <w:rsid w:val="007A1271"/>
    <w:rsid w:val="007A1372"/>
    <w:rsid w:val="007A140C"/>
    <w:rsid w:val="007A149F"/>
    <w:rsid w:val="007A1F90"/>
    <w:rsid w:val="007A20C5"/>
    <w:rsid w:val="007A2214"/>
    <w:rsid w:val="007A22ED"/>
    <w:rsid w:val="007A2B92"/>
    <w:rsid w:val="007A2BA8"/>
    <w:rsid w:val="007A2E76"/>
    <w:rsid w:val="007A30B9"/>
    <w:rsid w:val="007A33E6"/>
    <w:rsid w:val="007A3B1F"/>
    <w:rsid w:val="007A42C2"/>
    <w:rsid w:val="007A4EF0"/>
    <w:rsid w:val="007A54E8"/>
    <w:rsid w:val="007A58F0"/>
    <w:rsid w:val="007A5AF3"/>
    <w:rsid w:val="007A5B0E"/>
    <w:rsid w:val="007A682F"/>
    <w:rsid w:val="007A6918"/>
    <w:rsid w:val="007A6A1C"/>
    <w:rsid w:val="007A6D38"/>
    <w:rsid w:val="007A6F22"/>
    <w:rsid w:val="007A6F41"/>
    <w:rsid w:val="007A6F6B"/>
    <w:rsid w:val="007A6FB4"/>
    <w:rsid w:val="007A70A5"/>
    <w:rsid w:val="007A7AFB"/>
    <w:rsid w:val="007B03A3"/>
    <w:rsid w:val="007B05A8"/>
    <w:rsid w:val="007B07EF"/>
    <w:rsid w:val="007B0F8B"/>
    <w:rsid w:val="007B1900"/>
    <w:rsid w:val="007B1E22"/>
    <w:rsid w:val="007B1F08"/>
    <w:rsid w:val="007B1F5C"/>
    <w:rsid w:val="007B2103"/>
    <w:rsid w:val="007B229E"/>
    <w:rsid w:val="007B2533"/>
    <w:rsid w:val="007B2568"/>
    <w:rsid w:val="007B2E4E"/>
    <w:rsid w:val="007B2F45"/>
    <w:rsid w:val="007B3354"/>
    <w:rsid w:val="007B3455"/>
    <w:rsid w:val="007B358F"/>
    <w:rsid w:val="007B3A39"/>
    <w:rsid w:val="007B3B16"/>
    <w:rsid w:val="007B3B98"/>
    <w:rsid w:val="007B423A"/>
    <w:rsid w:val="007B43E1"/>
    <w:rsid w:val="007B485D"/>
    <w:rsid w:val="007B4A27"/>
    <w:rsid w:val="007B4AC7"/>
    <w:rsid w:val="007B59C4"/>
    <w:rsid w:val="007B5EB1"/>
    <w:rsid w:val="007B6D0C"/>
    <w:rsid w:val="007B6D17"/>
    <w:rsid w:val="007B6DF6"/>
    <w:rsid w:val="007B70A1"/>
    <w:rsid w:val="007B75A3"/>
    <w:rsid w:val="007B7F37"/>
    <w:rsid w:val="007C0A4A"/>
    <w:rsid w:val="007C142F"/>
    <w:rsid w:val="007C1721"/>
    <w:rsid w:val="007C1789"/>
    <w:rsid w:val="007C192B"/>
    <w:rsid w:val="007C1BD6"/>
    <w:rsid w:val="007C2073"/>
    <w:rsid w:val="007C20E5"/>
    <w:rsid w:val="007C21AC"/>
    <w:rsid w:val="007C2653"/>
    <w:rsid w:val="007C2E11"/>
    <w:rsid w:val="007C34A6"/>
    <w:rsid w:val="007C36E7"/>
    <w:rsid w:val="007C38A0"/>
    <w:rsid w:val="007C38CC"/>
    <w:rsid w:val="007C390D"/>
    <w:rsid w:val="007C3D4C"/>
    <w:rsid w:val="007C3D73"/>
    <w:rsid w:val="007C3DDF"/>
    <w:rsid w:val="007C42D4"/>
    <w:rsid w:val="007C49A5"/>
    <w:rsid w:val="007C5100"/>
    <w:rsid w:val="007C5411"/>
    <w:rsid w:val="007C5841"/>
    <w:rsid w:val="007C5B01"/>
    <w:rsid w:val="007C5F3D"/>
    <w:rsid w:val="007C5F9F"/>
    <w:rsid w:val="007C6EDE"/>
    <w:rsid w:val="007C72E9"/>
    <w:rsid w:val="007C7448"/>
    <w:rsid w:val="007C7B4D"/>
    <w:rsid w:val="007C7EBF"/>
    <w:rsid w:val="007D0111"/>
    <w:rsid w:val="007D01BB"/>
    <w:rsid w:val="007D0D20"/>
    <w:rsid w:val="007D1896"/>
    <w:rsid w:val="007D1AD2"/>
    <w:rsid w:val="007D1D24"/>
    <w:rsid w:val="007D294F"/>
    <w:rsid w:val="007D2C44"/>
    <w:rsid w:val="007D2CD7"/>
    <w:rsid w:val="007D356C"/>
    <w:rsid w:val="007D3579"/>
    <w:rsid w:val="007D3D0B"/>
    <w:rsid w:val="007D4143"/>
    <w:rsid w:val="007D429F"/>
    <w:rsid w:val="007D439E"/>
    <w:rsid w:val="007D47BC"/>
    <w:rsid w:val="007D4E49"/>
    <w:rsid w:val="007D5945"/>
    <w:rsid w:val="007D5C0E"/>
    <w:rsid w:val="007D6569"/>
    <w:rsid w:val="007D6771"/>
    <w:rsid w:val="007D7142"/>
    <w:rsid w:val="007D7210"/>
    <w:rsid w:val="007D764B"/>
    <w:rsid w:val="007D7B7A"/>
    <w:rsid w:val="007D7DD0"/>
    <w:rsid w:val="007E09FA"/>
    <w:rsid w:val="007E18DC"/>
    <w:rsid w:val="007E28D3"/>
    <w:rsid w:val="007E2F92"/>
    <w:rsid w:val="007E3C69"/>
    <w:rsid w:val="007E44C1"/>
    <w:rsid w:val="007E4777"/>
    <w:rsid w:val="007E47C1"/>
    <w:rsid w:val="007E4DA1"/>
    <w:rsid w:val="007E4E79"/>
    <w:rsid w:val="007E4EC5"/>
    <w:rsid w:val="007E51A8"/>
    <w:rsid w:val="007E5A67"/>
    <w:rsid w:val="007E5BB1"/>
    <w:rsid w:val="007E69B6"/>
    <w:rsid w:val="007E6D95"/>
    <w:rsid w:val="007E7524"/>
    <w:rsid w:val="007E7A3E"/>
    <w:rsid w:val="007F02E3"/>
    <w:rsid w:val="007F0385"/>
    <w:rsid w:val="007F04F1"/>
    <w:rsid w:val="007F09D4"/>
    <w:rsid w:val="007F0EF2"/>
    <w:rsid w:val="007F1268"/>
    <w:rsid w:val="007F189B"/>
    <w:rsid w:val="007F1C70"/>
    <w:rsid w:val="007F1F60"/>
    <w:rsid w:val="007F2A97"/>
    <w:rsid w:val="007F2C9C"/>
    <w:rsid w:val="007F3024"/>
    <w:rsid w:val="007F36FF"/>
    <w:rsid w:val="007F3B9F"/>
    <w:rsid w:val="007F4269"/>
    <w:rsid w:val="007F4B08"/>
    <w:rsid w:val="007F4B6A"/>
    <w:rsid w:val="007F4DB7"/>
    <w:rsid w:val="007F591E"/>
    <w:rsid w:val="007F5A08"/>
    <w:rsid w:val="007F6149"/>
    <w:rsid w:val="007F6663"/>
    <w:rsid w:val="007F6B3E"/>
    <w:rsid w:val="007F7364"/>
    <w:rsid w:val="007F7469"/>
    <w:rsid w:val="007F7977"/>
    <w:rsid w:val="007F7B1C"/>
    <w:rsid w:val="00800222"/>
    <w:rsid w:val="00800263"/>
    <w:rsid w:val="00800DE2"/>
    <w:rsid w:val="0080139C"/>
    <w:rsid w:val="008017B9"/>
    <w:rsid w:val="00801835"/>
    <w:rsid w:val="008019EF"/>
    <w:rsid w:val="00801A0D"/>
    <w:rsid w:val="00801DD7"/>
    <w:rsid w:val="00802499"/>
    <w:rsid w:val="0080267C"/>
    <w:rsid w:val="00802C30"/>
    <w:rsid w:val="008033F1"/>
    <w:rsid w:val="00803496"/>
    <w:rsid w:val="0080418C"/>
    <w:rsid w:val="008041BE"/>
    <w:rsid w:val="00804356"/>
    <w:rsid w:val="008043D4"/>
    <w:rsid w:val="00804CCE"/>
    <w:rsid w:val="008053DA"/>
    <w:rsid w:val="00805687"/>
    <w:rsid w:val="008058AC"/>
    <w:rsid w:val="00805DD9"/>
    <w:rsid w:val="008061FB"/>
    <w:rsid w:val="008062EA"/>
    <w:rsid w:val="0080630F"/>
    <w:rsid w:val="00806D72"/>
    <w:rsid w:val="00806E78"/>
    <w:rsid w:val="008072D1"/>
    <w:rsid w:val="008074F6"/>
    <w:rsid w:val="0080775F"/>
    <w:rsid w:val="00807C32"/>
    <w:rsid w:val="00807DDB"/>
    <w:rsid w:val="0081000C"/>
    <w:rsid w:val="0081059B"/>
    <w:rsid w:val="00810C1C"/>
    <w:rsid w:val="00810E6E"/>
    <w:rsid w:val="008111A2"/>
    <w:rsid w:val="00811202"/>
    <w:rsid w:val="00812662"/>
    <w:rsid w:val="0081296D"/>
    <w:rsid w:val="00812E1C"/>
    <w:rsid w:val="008133F9"/>
    <w:rsid w:val="00813729"/>
    <w:rsid w:val="00813C0C"/>
    <w:rsid w:val="00813F84"/>
    <w:rsid w:val="00814024"/>
    <w:rsid w:val="008147B1"/>
    <w:rsid w:val="00814B28"/>
    <w:rsid w:val="00814DFE"/>
    <w:rsid w:val="00815352"/>
    <w:rsid w:val="0081549D"/>
    <w:rsid w:val="00815769"/>
    <w:rsid w:val="0081595E"/>
    <w:rsid w:val="00815AD0"/>
    <w:rsid w:val="00815C03"/>
    <w:rsid w:val="00815CA3"/>
    <w:rsid w:val="00815D84"/>
    <w:rsid w:val="00815E32"/>
    <w:rsid w:val="00816C8E"/>
    <w:rsid w:val="008175F2"/>
    <w:rsid w:val="008176A7"/>
    <w:rsid w:val="0081794E"/>
    <w:rsid w:val="00817963"/>
    <w:rsid w:val="0081799C"/>
    <w:rsid w:val="00817DD5"/>
    <w:rsid w:val="00820CAE"/>
    <w:rsid w:val="0082168B"/>
    <w:rsid w:val="00821824"/>
    <w:rsid w:val="00822321"/>
    <w:rsid w:val="0082243B"/>
    <w:rsid w:val="00822598"/>
    <w:rsid w:val="00822B13"/>
    <w:rsid w:val="00822F86"/>
    <w:rsid w:val="008230F9"/>
    <w:rsid w:val="008231A5"/>
    <w:rsid w:val="0082339D"/>
    <w:rsid w:val="0082399D"/>
    <w:rsid w:val="00823AE1"/>
    <w:rsid w:val="00824493"/>
    <w:rsid w:val="008244ED"/>
    <w:rsid w:val="008247F8"/>
    <w:rsid w:val="00824BEC"/>
    <w:rsid w:val="00824E2F"/>
    <w:rsid w:val="008250C0"/>
    <w:rsid w:val="008254FD"/>
    <w:rsid w:val="00825A22"/>
    <w:rsid w:val="00825D25"/>
    <w:rsid w:val="008262C9"/>
    <w:rsid w:val="0082637F"/>
    <w:rsid w:val="00826607"/>
    <w:rsid w:val="00826EC4"/>
    <w:rsid w:val="008271B6"/>
    <w:rsid w:val="00827322"/>
    <w:rsid w:val="0082743A"/>
    <w:rsid w:val="0082763B"/>
    <w:rsid w:val="0082774C"/>
    <w:rsid w:val="0082786E"/>
    <w:rsid w:val="0082790C"/>
    <w:rsid w:val="00827964"/>
    <w:rsid w:val="008279E2"/>
    <w:rsid w:val="00827A82"/>
    <w:rsid w:val="00827CD2"/>
    <w:rsid w:val="008302DF"/>
    <w:rsid w:val="008303B4"/>
    <w:rsid w:val="008305D3"/>
    <w:rsid w:val="00830D30"/>
    <w:rsid w:val="008314CC"/>
    <w:rsid w:val="00831BB7"/>
    <w:rsid w:val="00831C29"/>
    <w:rsid w:val="00831D79"/>
    <w:rsid w:val="00832087"/>
    <w:rsid w:val="00832987"/>
    <w:rsid w:val="0083298B"/>
    <w:rsid w:val="00832A79"/>
    <w:rsid w:val="00833C53"/>
    <w:rsid w:val="00834086"/>
    <w:rsid w:val="008355DF"/>
    <w:rsid w:val="008356F4"/>
    <w:rsid w:val="008357F6"/>
    <w:rsid w:val="00835AE7"/>
    <w:rsid w:val="00835B7C"/>
    <w:rsid w:val="00835D9F"/>
    <w:rsid w:val="0083615B"/>
    <w:rsid w:val="00836300"/>
    <w:rsid w:val="008368A5"/>
    <w:rsid w:val="00836AB7"/>
    <w:rsid w:val="00836D50"/>
    <w:rsid w:val="00836E0F"/>
    <w:rsid w:val="00837682"/>
    <w:rsid w:val="00837929"/>
    <w:rsid w:val="00837993"/>
    <w:rsid w:val="008379C2"/>
    <w:rsid w:val="00837DD4"/>
    <w:rsid w:val="00837FF5"/>
    <w:rsid w:val="00840095"/>
    <w:rsid w:val="008402F6"/>
    <w:rsid w:val="00840D40"/>
    <w:rsid w:val="00840DB9"/>
    <w:rsid w:val="008415A2"/>
    <w:rsid w:val="0084195D"/>
    <w:rsid w:val="00841AA1"/>
    <w:rsid w:val="00841B36"/>
    <w:rsid w:val="00841C72"/>
    <w:rsid w:val="00841F2F"/>
    <w:rsid w:val="0084261A"/>
    <w:rsid w:val="008427AE"/>
    <w:rsid w:val="00842C42"/>
    <w:rsid w:val="00842E9B"/>
    <w:rsid w:val="00842F83"/>
    <w:rsid w:val="008434DE"/>
    <w:rsid w:val="00843B9D"/>
    <w:rsid w:val="00844220"/>
    <w:rsid w:val="00844C5F"/>
    <w:rsid w:val="00846228"/>
    <w:rsid w:val="008470A0"/>
    <w:rsid w:val="0084781A"/>
    <w:rsid w:val="00847D11"/>
    <w:rsid w:val="00847FE0"/>
    <w:rsid w:val="00850039"/>
    <w:rsid w:val="00850170"/>
    <w:rsid w:val="008503E5"/>
    <w:rsid w:val="008506FE"/>
    <w:rsid w:val="0085094E"/>
    <w:rsid w:val="00850A46"/>
    <w:rsid w:val="00850AE5"/>
    <w:rsid w:val="00850FF5"/>
    <w:rsid w:val="0085124E"/>
    <w:rsid w:val="00851462"/>
    <w:rsid w:val="008518CC"/>
    <w:rsid w:val="00852229"/>
    <w:rsid w:val="00852AE7"/>
    <w:rsid w:val="00852C31"/>
    <w:rsid w:val="00852D08"/>
    <w:rsid w:val="00852E43"/>
    <w:rsid w:val="00852E93"/>
    <w:rsid w:val="00852EA4"/>
    <w:rsid w:val="00852F54"/>
    <w:rsid w:val="00852FD9"/>
    <w:rsid w:val="00853536"/>
    <w:rsid w:val="0085385A"/>
    <w:rsid w:val="00853AA4"/>
    <w:rsid w:val="00853B30"/>
    <w:rsid w:val="008545E4"/>
    <w:rsid w:val="00854FCD"/>
    <w:rsid w:val="00855305"/>
    <w:rsid w:val="008557B6"/>
    <w:rsid w:val="008557EE"/>
    <w:rsid w:val="0085607D"/>
    <w:rsid w:val="008560CA"/>
    <w:rsid w:val="008564AD"/>
    <w:rsid w:val="00856EC7"/>
    <w:rsid w:val="0085719C"/>
    <w:rsid w:val="0085765C"/>
    <w:rsid w:val="00857A8E"/>
    <w:rsid w:val="00857E86"/>
    <w:rsid w:val="00860141"/>
    <w:rsid w:val="008603DE"/>
    <w:rsid w:val="0086085C"/>
    <w:rsid w:val="00861285"/>
    <w:rsid w:val="00861403"/>
    <w:rsid w:val="00861D31"/>
    <w:rsid w:val="00861FD6"/>
    <w:rsid w:val="008623DE"/>
    <w:rsid w:val="0086253A"/>
    <w:rsid w:val="0086291D"/>
    <w:rsid w:val="008630EC"/>
    <w:rsid w:val="00863A75"/>
    <w:rsid w:val="00863E7D"/>
    <w:rsid w:val="00864225"/>
    <w:rsid w:val="008647B5"/>
    <w:rsid w:val="00864B7E"/>
    <w:rsid w:val="008652B2"/>
    <w:rsid w:val="00865828"/>
    <w:rsid w:val="008660A4"/>
    <w:rsid w:val="008664B4"/>
    <w:rsid w:val="008667DB"/>
    <w:rsid w:val="00866B6D"/>
    <w:rsid w:val="00866DFE"/>
    <w:rsid w:val="00866E39"/>
    <w:rsid w:val="0086732A"/>
    <w:rsid w:val="008675BB"/>
    <w:rsid w:val="00867760"/>
    <w:rsid w:val="00867A81"/>
    <w:rsid w:val="008701CB"/>
    <w:rsid w:val="008710BF"/>
    <w:rsid w:val="008715FE"/>
    <w:rsid w:val="008717B6"/>
    <w:rsid w:val="00871C0D"/>
    <w:rsid w:val="00872229"/>
    <w:rsid w:val="00872232"/>
    <w:rsid w:val="0087248F"/>
    <w:rsid w:val="008724AD"/>
    <w:rsid w:val="0087383D"/>
    <w:rsid w:val="00873BBE"/>
    <w:rsid w:val="00873E13"/>
    <w:rsid w:val="008748FC"/>
    <w:rsid w:val="00875345"/>
    <w:rsid w:val="008756ED"/>
    <w:rsid w:val="00876F21"/>
    <w:rsid w:val="008770C3"/>
    <w:rsid w:val="008773CE"/>
    <w:rsid w:val="0087760B"/>
    <w:rsid w:val="008779BD"/>
    <w:rsid w:val="00880622"/>
    <w:rsid w:val="0088085C"/>
    <w:rsid w:val="00880BC7"/>
    <w:rsid w:val="00880E2A"/>
    <w:rsid w:val="00881E96"/>
    <w:rsid w:val="00882005"/>
    <w:rsid w:val="008820BC"/>
    <w:rsid w:val="008821D4"/>
    <w:rsid w:val="00882474"/>
    <w:rsid w:val="008829CC"/>
    <w:rsid w:val="0088368A"/>
    <w:rsid w:val="00883690"/>
    <w:rsid w:val="00883A3A"/>
    <w:rsid w:val="0088424A"/>
    <w:rsid w:val="00884D49"/>
    <w:rsid w:val="00884DB6"/>
    <w:rsid w:val="00884E2D"/>
    <w:rsid w:val="008851BA"/>
    <w:rsid w:val="0088544A"/>
    <w:rsid w:val="0088549A"/>
    <w:rsid w:val="008861C6"/>
    <w:rsid w:val="00886812"/>
    <w:rsid w:val="00886EB2"/>
    <w:rsid w:val="00887F1E"/>
    <w:rsid w:val="008902C4"/>
    <w:rsid w:val="0089063B"/>
    <w:rsid w:val="00890841"/>
    <w:rsid w:val="008908CD"/>
    <w:rsid w:val="008913BC"/>
    <w:rsid w:val="0089148A"/>
    <w:rsid w:val="00891563"/>
    <w:rsid w:val="008916FE"/>
    <w:rsid w:val="00891A07"/>
    <w:rsid w:val="00891D13"/>
    <w:rsid w:val="008921AE"/>
    <w:rsid w:val="008925C2"/>
    <w:rsid w:val="008932A1"/>
    <w:rsid w:val="008932AE"/>
    <w:rsid w:val="0089336B"/>
    <w:rsid w:val="008934F0"/>
    <w:rsid w:val="00893886"/>
    <w:rsid w:val="0089390A"/>
    <w:rsid w:val="00893C86"/>
    <w:rsid w:val="00894175"/>
    <w:rsid w:val="00894209"/>
    <w:rsid w:val="0089504E"/>
    <w:rsid w:val="0089511F"/>
    <w:rsid w:val="00895D58"/>
    <w:rsid w:val="008963E8"/>
    <w:rsid w:val="00896717"/>
    <w:rsid w:val="00896CF4"/>
    <w:rsid w:val="00896EF2"/>
    <w:rsid w:val="008971DB"/>
    <w:rsid w:val="0089792B"/>
    <w:rsid w:val="00897D1B"/>
    <w:rsid w:val="00897D36"/>
    <w:rsid w:val="00897EF3"/>
    <w:rsid w:val="008A005F"/>
    <w:rsid w:val="008A038E"/>
    <w:rsid w:val="008A0BD6"/>
    <w:rsid w:val="008A0FE2"/>
    <w:rsid w:val="008A144C"/>
    <w:rsid w:val="008A18EE"/>
    <w:rsid w:val="008A1C9C"/>
    <w:rsid w:val="008A2654"/>
    <w:rsid w:val="008A3106"/>
    <w:rsid w:val="008A3685"/>
    <w:rsid w:val="008A43A0"/>
    <w:rsid w:val="008A4635"/>
    <w:rsid w:val="008A4F92"/>
    <w:rsid w:val="008A5820"/>
    <w:rsid w:val="008A64D3"/>
    <w:rsid w:val="008A75EC"/>
    <w:rsid w:val="008A7CA6"/>
    <w:rsid w:val="008B02A5"/>
    <w:rsid w:val="008B098A"/>
    <w:rsid w:val="008B0BD6"/>
    <w:rsid w:val="008B0F76"/>
    <w:rsid w:val="008B100A"/>
    <w:rsid w:val="008B1099"/>
    <w:rsid w:val="008B184C"/>
    <w:rsid w:val="008B1AFC"/>
    <w:rsid w:val="008B1B01"/>
    <w:rsid w:val="008B1B95"/>
    <w:rsid w:val="008B1BFE"/>
    <w:rsid w:val="008B231F"/>
    <w:rsid w:val="008B2730"/>
    <w:rsid w:val="008B2AB7"/>
    <w:rsid w:val="008B2DDA"/>
    <w:rsid w:val="008B3753"/>
    <w:rsid w:val="008B3C6F"/>
    <w:rsid w:val="008B3F9B"/>
    <w:rsid w:val="008B417A"/>
    <w:rsid w:val="008B424C"/>
    <w:rsid w:val="008B4394"/>
    <w:rsid w:val="008B469D"/>
    <w:rsid w:val="008B4E16"/>
    <w:rsid w:val="008B4EAE"/>
    <w:rsid w:val="008B5084"/>
    <w:rsid w:val="008B5355"/>
    <w:rsid w:val="008B5484"/>
    <w:rsid w:val="008B57BB"/>
    <w:rsid w:val="008B60B4"/>
    <w:rsid w:val="008B6C67"/>
    <w:rsid w:val="008B7043"/>
    <w:rsid w:val="008B765C"/>
    <w:rsid w:val="008B7BEE"/>
    <w:rsid w:val="008B7E7C"/>
    <w:rsid w:val="008C0123"/>
    <w:rsid w:val="008C087D"/>
    <w:rsid w:val="008C0D0C"/>
    <w:rsid w:val="008C0EBE"/>
    <w:rsid w:val="008C1512"/>
    <w:rsid w:val="008C1E67"/>
    <w:rsid w:val="008C256E"/>
    <w:rsid w:val="008C28AE"/>
    <w:rsid w:val="008C3112"/>
    <w:rsid w:val="008C3666"/>
    <w:rsid w:val="008C3B7B"/>
    <w:rsid w:val="008C46EB"/>
    <w:rsid w:val="008C5146"/>
    <w:rsid w:val="008C57E6"/>
    <w:rsid w:val="008C597E"/>
    <w:rsid w:val="008C5F5F"/>
    <w:rsid w:val="008C6112"/>
    <w:rsid w:val="008C6459"/>
    <w:rsid w:val="008C64D9"/>
    <w:rsid w:val="008C6BC5"/>
    <w:rsid w:val="008C6E59"/>
    <w:rsid w:val="008C716E"/>
    <w:rsid w:val="008C7630"/>
    <w:rsid w:val="008C7F96"/>
    <w:rsid w:val="008D0094"/>
    <w:rsid w:val="008D0CE7"/>
    <w:rsid w:val="008D0F19"/>
    <w:rsid w:val="008D16E5"/>
    <w:rsid w:val="008D2041"/>
    <w:rsid w:val="008D2266"/>
    <w:rsid w:val="008D29CB"/>
    <w:rsid w:val="008D2B00"/>
    <w:rsid w:val="008D2C7F"/>
    <w:rsid w:val="008D3A34"/>
    <w:rsid w:val="008D3C8A"/>
    <w:rsid w:val="008D4114"/>
    <w:rsid w:val="008D41F2"/>
    <w:rsid w:val="008D4E35"/>
    <w:rsid w:val="008D5747"/>
    <w:rsid w:val="008D5AC5"/>
    <w:rsid w:val="008D5F45"/>
    <w:rsid w:val="008D6061"/>
    <w:rsid w:val="008D68FF"/>
    <w:rsid w:val="008D6C02"/>
    <w:rsid w:val="008D7076"/>
    <w:rsid w:val="008D7150"/>
    <w:rsid w:val="008D715D"/>
    <w:rsid w:val="008D74F1"/>
    <w:rsid w:val="008E0470"/>
    <w:rsid w:val="008E09B2"/>
    <w:rsid w:val="008E10F0"/>
    <w:rsid w:val="008E15CF"/>
    <w:rsid w:val="008E1DA6"/>
    <w:rsid w:val="008E25D1"/>
    <w:rsid w:val="008E29FE"/>
    <w:rsid w:val="008E2C41"/>
    <w:rsid w:val="008E2EEE"/>
    <w:rsid w:val="008E3135"/>
    <w:rsid w:val="008E37DB"/>
    <w:rsid w:val="008E38D5"/>
    <w:rsid w:val="008E50F5"/>
    <w:rsid w:val="008E5435"/>
    <w:rsid w:val="008E56F2"/>
    <w:rsid w:val="008E6483"/>
    <w:rsid w:val="008E70AF"/>
    <w:rsid w:val="008E729B"/>
    <w:rsid w:val="008E745C"/>
    <w:rsid w:val="008E7B87"/>
    <w:rsid w:val="008E7D6F"/>
    <w:rsid w:val="008E7E06"/>
    <w:rsid w:val="008F05B2"/>
    <w:rsid w:val="008F0679"/>
    <w:rsid w:val="008F0895"/>
    <w:rsid w:val="008F104B"/>
    <w:rsid w:val="008F1146"/>
    <w:rsid w:val="008F1661"/>
    <w:rsid w:val="008F175F"/>
    <w:rsid w:val="008F17B8"/>
    <w:rsid w:val="008F247B"/>
    <w:rsid w:val="008F24B2"/>
    <w:rsid w:val="008F2638"/>
    <w:rsid w:val="008F2AC0"/>
    <w:rsid w:val="008F2B95"/>
    <w:rsid w:val="008F3690"/>
    <w:rsid w:val="008F3C4F"/>
    <w:rsid w:val="008F3E0B"/>
    <w:rsid w:val="008F3EEC"/>
    <w:rsid w:val="008F46AF"/>
    <w:rsid w:val="008F4A62"/>
    <w:rsid w:val="008F5191"/>
    <w:rsid w:val="008F5354"/>
    <w:rsid w:val="008F55A1"/>
    <w:rsid w:val="008F5740"/>
    <w:rsid w:val="008F59A7"/>
    <w:rsid w:val="008F5DE5"/>
    <w:rsid w:val="008F5F9F"/>
    <w:rsid w:val="008F671E"/>
    <w:rsid w:val="008F6B41"/>
    <w:rsid w:val="008F6BDB"/>
    <w:rsid w:val="008F6BE6"/>
    <w:rsid w:val="008F733B"/>
    <w:rsid w:val="008F7EE3"/>
    <w:rsid w:val="00900A67"/>
    <w:rsid w:val="00900AB5"/>
    <w:rsid w:val="00900D53"/>
    <w:rsid w:val="00900E41"/>
    <w:rsid w:val="00901B15"/>
    <w:rsid w:val="0090287F"/>
    <w:rsid w:val="00902C6E"/>
    <w:rsid w:val="00903C54"/>
    <w:rsid w:val="00903E48"/>
    <w:rsid w:val="00903FE3"/>
    <w:rsid w:val="009040C8"/>
    <w:rsid w:val="00904D9B"/>
    <w:rsid w:val="00904EA1"/>
    <w:rsid w:val="00905035"/>
    <w:rsid w:val="00905BBC"/>
    <w:rsid w:val="0090604E"/>
    <w:rsid w:val="009069A3"/>
    <w:rsid w:val="00906B71"/>
    <w:rsid w:val="00906CD3"/>
    <w:rsid w:val="0090733B"/>
    <w:rsid w:val="00907C25"/>
    <w:rsid w:val="00907D47"/>
    <w:rsid w:val="00907D65"/>
    <w:rsid w:val="00907ECF"/>
    <w:rsid w:val="00910250"/>
    <w:rsid w:val="00910910"/>
    <w:rsid w:val="00910C2A"/>
    <w:rsid w:val="00910DEC"/>
    <w:rsid w:val="009110D9"/>
    <w:rsid w:val="00911345"/>
    <w:rsid w:val="00911842"/>
    <w:rsid w:val="00911FC1"/>
    <w:rsid w:val="009120F0"/>
    <w:rsid w:val="00912C34"/>
    <w:rsid w:val="00912C3C"/>
    <w:rsid w:val="009134B7"/>
    <w:rsid w:val="0091354C"/>
    <w:rsid w:val="0091357A"/>
    <w:rsid w:val="00913A77"/>
    <w:rsid w:val="00913E2D"/>
    <w:rsid w:val="00914FF7"/>
    <w:rsid w:val="009150CC"/>
    <w:rsid w:val="0091564C"/>
    <w:rsid w:val="009159AB"/>
    <w:rsid w:val="00915B14"/>
    <w:rsid w:val="00915D05"/>
    <w:rsid w:val="0091631C"/>
    <w:rsid w:val="009163DF"/>
    <w:rsid w:val="0091642C"/>
    <w:rsid w:val="0091688F"/>
    <w:rsid w:val="00916BF6"/>
    <w:rsid w:val="00916D73"/>
    <w:rsid w:val="00917122"/>
    <w:rsid w:val="009176A8"/>
    <w:rsid w:val="00917A94"/>
    <w:rsid w:val="00920D72"/>
    <w:rsid w:val="00921233"/>
    <w:rsid w:val="00921255"/>
    <w:rsid w:val="00922E11"/>
    <w:rsid w:val="00922E82"/>
    <w:rsid w:val="009230C8"/>
    <w:rsid w:val="0092310B"/>
    <w:rsid w:val="009233B4"/>
    <w:rsid w:val="009236AA"/>
    <w:rsid w:val="00923F8D"/>
    <w:rsid w:val="00924227"/>
    <w:rsid w:val="00924F56"/>
    <w:rsid w:val="00926254"/>
    <w:rsid w:val="00926701"/>
    <w:rsid w:val="00926DA7"/>
    <w:rsid w:val="009274A5"/>
    <w:rsid w:val="009308EE"/>
    <w:rsid w:val="00930ACC"/>
    <w:rsid w:val="00930DD3"/>
    <w:rsid w:val="00931001"/>
    <w:rsid w:val="009314F3"/>
    <w:rsid w:val="00931A99"/>
    <w:rsid w:val="0093221B"/>
    <w:rsid w:val="00932C39"/>
    <w:rsid w:val="00933D0C"/>
    <w:rsid w:val="00935368"/>
    <w:rsid w:val="009354F2"/>
    <w:rsid w:val="00935E7A"/>
    <w:rsid w:val="0093673F"/>
    <w:rsid w:val="009368EC"/>
    <w:rsid w:val="009371B3"/>
    <w:rsid w:val="00937492"/>
    <w:rsid w:val="00937C9B"/>
    <w:rsid w:val="009402B6"/>
    <w:rsid w:val="00940969"/>
    <w:rsid w:val="00940CE6"/>
    <w:rsid w:val="009415A4"/>
    <w:rsid w:val="00941CF6"/>
    <w:rsid w:val="009420FA"/>
    <w:rsid w:val="0094228F"/>
    <w:rsid w:val="009427C6"/>
    <w:rsid w:val="00942DCB"/>
    <w:rsid w:val="00943130"/>
    <w:rsid w:val="00943340"/>
    <w:rsid w:val="009439F5"/>
    <w:rsid w:val="00943B7C"/>
    <w:rsid w:val="00944025"/>
    <w:rsid w:val="0094403E"/>
    <w:rsid w:val="00944313"/>
    <w:rsid w:val="0094456A"/>
    <w:rsid w:val="00944DFF"/>
    <w:rsid w:val="00944FFF"/>
    <w:rsid w:val="0094535C"/>
    <w:rsid w:val="009458CF"/>
    <w:rsid w:val="009459B4"/>
    <w:rsid w:val="00945AC8"/>
    <w:rsid w:val="00945F63"/>
    <w:rsid w:val="009460E7"/>
    <w:rsid w:val="00946D47"/>
    <w:rsid w:val="009470B1"/>
    <w:rsid w:val="009472EF"/>
    <w:rsid w:val="00947432"/>
    <w:rsid w:val="00947870"/>
    <w:rsid w:val="00947F14"/>
    <w:rsid w:val="009502D5"/>
    <w:rsid w:val="009504A4"/>
    <w:rsid w:val="0095086D"/>
    <w:rsid w:val="00950CCA"/>
    <w:rsid w:val="00950FC6"/>
    <w:rsid w:val="009512EA"/>
    <w:rsid w:val="00951489"/>
    <w:rsid w:val="00951614"/>
    <w:rsid w:val="00951822"/>
    <w:rsid w:val="00951C58"/>
    <w:rsid w:val="00951EA6"/>
    <w:rsid w:val="0095249D"/>
    <w:rsid w:val="0095259B"/>
    <w:rsid w:val="00952DB3"/>
    <w:rsid w:val="00952EA8"/>
    <w:rsid w:val="00953F04"/>
    <w:rsid w:val="00953F81"/>
    <w:rsid w:val="009541B5"/>
    <w:rsid w:val="00954443"/>
    <w:rsid w:val="00954494"/>
    <w:rsid w:val="009548AE"/>
    <w:rsid w:val="00954AB8"/>
    <w:rsid w:val="00954E5A"/>
    <w:rsid w:val="00955991"/>
    <w:rsid w:val="00955D9E"/>
    <w:rsid w:val="00956959"/>
    <w:rsid w:val="009576FC"/>
    <w:rsid w:val="009579C7"/>
    <w:rsid w:val="00957AEA"/>
    <w:rsid w:val="00960008"/>
    <w:rsid w:val="00960320"/>
    <w:rsid w:val="00960399"/>
    <w:rsid w:val="00960BFD"/>
    <w:rsid w:val="0096109E"/>
    <w:rsid w:val="0096127D"/>
    <w:rsid w:val="00961605"/>
    <w:rsid w:val="00961784"/>
    <w:rsid w:val="009626E9"/>
    <w:rsid w:val="009635FD"/>
    <w:rsid w:val="00963831"/>
    <w:rsid w:val="00963BAB"/>
    <w:rsid w:val="00963FA8"/>
    <w:rsid w:val="009640FA"/>
    <w:rsid w:val="0096458A"/>
    <w:rsid w:val="009645AA"/>
    <w:rsid w:val="0096489E"/>
    <w:rsid w:val="00964BCC"/>
    <w:rsid w:val="00964EE4"/>
    <w:rsid w:val="00965028"/>
    <w:rsid w:val="0096589F"/>
    <w:rsid w:val="00965A95"/>
    <w:rsid w:val="0096647F"/>
    <w:rsid w:val="00966B33"/>
    <w:rsid w:val="0097008E"/>
    <w:rsid w:val="009703E1"/>
    <w:rsid w:val="00970889"/>
    <w:rsid w:val="009708C5"/>
    <w:rsid w:val="009715CF"/>
    <w:rsid w:val="00971668"/>
    <w:rsid w:val="009718FB"/>
    <w:rsid w:val="00972548"/>
    <w:rsid w:val="00972631"/>
    <w:rsid w:val="0097294A"/>
    <w:rsid w:val="009733D2"/>
    <w:rsid w:val="0097376B"/>
    <w:rsid w:val="00973A98"/>
    <w:rsid w:val="00975500"/>
    <w:rsid w:val="009761D4"/>
    <w:rsid w:val="00976B65"/>
    <w:rsid w:val="00976CD9"/>
    <w:rsid w:val="00977FCC"/>
    <w:rsid w:val="009801F7"/>
    <w:rsid w:val="009803ED"/>
    <w:rsid w:val="009804A4"/>
    <w:rsid w:val="00980CDB"/>
    <w:rsid w:val="0098135A"/>
    <w:rsid w:val="0098162E"/>
    <w:rsid w:val="00981B6D"/>
    <w:rsid w:val="00981F40"/>
    <w:rsid w:val="00982220"/>
    <w:rsid w:val="00982313"/>
    <w:rsid w:val="009824EA"/>
    <w:rsid w:val="00982826"/>
    <w:rsid w:val="00982C16"/>
    <w:rsid w:val="00982F08"/>
    <w:rsid w:val="009833F1"/>
    <w:rsid w:val="00983697"/>
    <w:rsid w:val="00983AE7"/>
    <w:rsid w:val="00983D43"/>
    <w:rsid w:val="00983F00"/>
    <w:rsid w:val="009842F8"/>
    <w:rsid w:val="009844A5"/>
    <w:rsid w:val="00984702"/>
    <w:rsid w:val="009854DB"/>
    <w:rsid w:val="009855B9"/>
    <w:rsid w:val="00985ED6"/>
    <w:rsid w:val="00986D9D"/>
    <w:rsid w:val="00986FD6"/>
    <w:rsid w:val="00987A60"/>
    <w:rsid w:val="00987F48"/>
    <w:rsid w:val="00990BCF"/>
    <w:rsid w:val="00990F7A"/>
    <w:rsid w:val="009910E0"/>
    <w:rsid w:val="00991869"/>
    <w:rsid w:val="00991F36"/>
    <w:rsid w:val="00992237"/>
    <w:rsid w:val="009923A6"/>
    <w:rsid w:val="00992B90"/>
    <w:rsid w:val="00992B91"/>
    <w:rsid w:val="00993019"/>
    <w:rsid w:val="00993655"/>
    <w:rsid w:val="0099369C"/>
    <w:rsid w:val="00994124"/>
    <w:rsid w:val="009946E1"/>
    <w:rsid w:val="00994C8D"/>
    <w:rsid w:val="00995012"/>
    <w:rsid w:val="00995BA4"/>
    <w:rsid w:val="00995DC3"/>
    <w:rsid w:val="00996B94"/>
    <w:rsid w:val="00996B97"/>
    <w:rsid w:val="00996BBD"/>
    <w:rsid w:val="00996D20"/>
    <w:rsid w:val="009975EC"/>
    <w:rsid w:val="00997625"/>
    <w:rsid w:val="00997847"/>
    <w:rsid w:val="009A034A"/>
    <w:rsid w:val="009A03CA"/>
    <w:rsid w:val="009A051F"/>
    <w:rsid w:val="009A0631"/>
    <w:rsid w:val="009A1125"/>
    <w:rsid w:val="009A1425"/>
    <w:rsid w:val="009A18FF"/>
    <w:rsid w:val="009A1901"/>
    <w:rsid w:val="009A2114"/>
    <w:rsid w:val="009A22B0"/>
    <w:rsid w:val="009A24D3"/>
    <w:rsid w:val="009A265E"/>
    <w:rsid w:val="009A2958"/>
    <w:rsid w:val="009A2BD7"/>
    <w:rsid w:val="009A2FA2"/>
    <w:rsid w:val="009A31FC"/>
    <w:rsid w:val="009A34E1"/>
    <w:rsid w:val="009A4062"/>
    <w:rsid w:val="009A41DA"/>
    <w:rsid w:val="009A4A69"/>
    <w:rsid w:val="009A4C0B"/>
    <w:rsid w:val="009A5376"/>
    <w:rsid w:val="009A5C36"/>
    <w:rsid w:val="009A5F63"/>
    <w:rsid w:val="009A659C"/>
    <w:rsid w:val="009A6849"/>
    <w:rsid w:val="009A6881"/>
    <w:rsid w:val="009A768B"/>
    <w:rsid w:val="009A7825"/>
    <w:rsid w:val="009A79A7"/>
    <w:rsid w:val="009A7EDA"/>
    <w:rsid w:val="009A7FD1"/>
    <w:rsid w:val="009B0016"/>
    <w:rsid w:val="009B0246"/>
    <w:rsid w:val="009B05D3"/>
    <w:rsid w:val="009B158A"/>
    <w:rsid w:val="009B1654"/>
    <w:rsid w:val="009B1B13"/>
    <w:rsid w:val="009B1ED6"/>
    <w:rsid w:val="009B20F9"/>
    <w:rsid w:val="009B26CD"/>
    <w:rsid w:val="009B274E"/>
    <w:rsid w:val="009B2BB7"/>
    <w:rsid w:val="009B2E02"/>
    <w:rsid w:val="009B3B6F"/>
    <w:rsid w:val="009B3C3A"/>
    <w:rsid w:val="009B3D8C"/>
    <w:rsid w:val="009B3EAF"/>
    <w:rsid w:val="009B4580"/>
    <w:rsid w:val="009B49E2"/>
    <w:rsid w:val="009B4A07"/>
    <w:rsid w:val="009B4DCC"/>
    <w:rsid w:val="009B4F8B"/>
    <w:rsid w:val="009B508B"/>
    <w:rsid w:val="009B5422"/>
    <w:rsid w:val="009B5512"/>
    <w:rsid w:val="009B5B1F"/>
    <w:rsid w:val="009B5BF6"/>
    <w:rsid w:val="009B5FDE"/>
    <w:rsid w:val="009B6FF9"/>
    <w:rsid w:val="009B708B"/>
    <w:rsid w:val="009B7692"/>
    <w:rsid w:val="009B781B"/>
    <w:rsid w:val="009B7AA1"/>
    <w:rsid w:val="009C04A2"/>
    <w:rsid w:val="009C0A7E"/>
    <w:rsid w:val="009C1005"/>
    <w:rsid w:val="009C1077"/>
    <w:rsid w:val="009C1382"/>
    <w:rsid w:val="009C14B7"/>
    <w:rsid w:val="009C1F4D"/>
    <w:rsid w:val="009C2468"/>
    <w:rsid w:val="009C247C"/>
    <w:rsid w:val="009C29B4"/>
    <w:rsid w:val="009C2A68"/>
    <w:rsid w:val="009C2E94"/>
    <w:rsid w:val="009C2FCD"/>
    <w:rsid w:val="009C305E"/>
    <w:rsid w:val="009C4854"/>
    <w:rsid w:val="009C4968"/>
    <w:rsid w:val="009C496A"/>
    <w:rsid w:val="009C4B79"/>
    <w:rsid w:val="009C4CEC"/>
    <w:rsid w:val="009C4E36"/>
    <w:rsid w:val="009C4EFC"/>
    <w:rsid w:val="009C579E"/>
    <w:rsid w:val="009C5A7D"/>
    <w:rsid w:val="009C5E1A"/>
    <w:rsid w:val="009C5E28"/>
    <w:rsid w:val="009C5E79"/>
    <w:rsid w:val="009C660A"/>
    <w:rsid w:val="009C6812"/>
    <w:rsid w:val="009C6883"/>
    <w:rsid w:val="009C68E7"/>
    <w:rsid w:val="009C6E2B"/>
    <w:rsid w:val="009C7320"/>
    <w:rsid w:val="009C79C7"/>
    <w:rsid w:val="009C7F50"/>
    <w:rsid w:val="009D026C"/>
    <w:rsid w:val="009D029A"/>
    <w:rsid w:val="009D0346"/>
    <w:rsid w:val="009D0823"/>
    <w:rsid w:val="009D0A71"/>
    <w:rsid w:val="009D1175"/>
    <w:rsid w:val="009D14BE"/>
    <w:rsid w:val="009D1BCA"/>
    <w:rsid w:val="009D20E7"/>
    <w:rsid w:val="009D33CE"/>
    <w:rsid w:val="009D37FF"/>
    <w:rsid w:val="009D4A78"/>
    <w:rsid w:val="009D4F78"/>
    <w:rsid w:val="009D58B1"/>
    <w:rsid w:val="009D5A07"/>
    <w:rsid w:val="009D5C5B"/>
    <w:rsid w:val="009D6111"/>
    <w:rsid w:val="009D6A50"/>
    <w:rsid w:val="009D6F20"/>
    <w:rsid w:val="009D7A7E"/>
    <w:rsid w:val="009D7B5B"/>
    <w:rsid w:val="009D7C52"/>
    <w:rsid w:val="009E05ED"/>
    <w:rsid w:val="009E0EB4"/>
    <w:rsid w:val="009E161B"/>
    <w:rsid w:val="009E1660"/>
    <w:rsid w:val="009E1A1C"/>
    <w:rsid w:val="009E2124"/>
    <w:rsid w:val="009E23E8"/>
    <w:rsid w:val="009E2647"/>
    <w:rsid w:val="009E2CBA"/>
    <w:rsid w:val="009E3352"/>
    <w:rsid w:val="009E338B"/>
    <w:rsid w:val="009E35A3"/>
    <w:rsid w:val="009E383A"/>
    <w:rsid w:val="009E3E08"/>
    <w:rsid w:val="009E4195"/>
    <w:rsid w:val="009E42A6"/>
    <w:rsid w:val="009E44BB"/>
    <w:rsid w:val="009E4B0B"/>
    <w:rsid w:val="009E4F32"/>
    <w:rsid w:val="009E50A7"/>
    <w:rsid w:val="009E510E"/>
    <w:rsid w:val="009E511B"/>
    <w:rsid w:val="009E5E7A"/>
    <w:rsid w:val="009E63BD"/>
    <w:rsid w:val="009E64F7"/>
    <w:rsid w:val="009E67CD"/>
    <w:rsid w:val="009E6C76"/>
    <w:rsid w:val="009E710E"/>
    <w:rsid w:val="009E73B0"/>
    <w:rsid w:val="009E73FF"/>
    <w:rsid w:val="009E7B82"/>
    <w:rsid w:val="009E7C9C"/>
    <w:rsid w:val="009F034E"/>
    <w:rsid w:val="009F056F"/>
    <w:rsid w:val="009F0615"/>
    <w:rsid w:val="009F0B2C"/>
    <w:rsid w:val="009F13A5"/>
    <w:rsid w:val="009F169D"/>
    <w:rsid w:val="009F1B05"/>
    <w:rsid w:val="009F1BE2"/>
    <w:rsid w:val="009F1DEF"/>
    <w:rsid w:val="009F1DF8"/>
    <w:rsid w:val="009F20BA"/>
    <w:rsid w:val="009F2818"/>
    <w:rsid w:val="009F2874"/>
    <w:rsid w:val="009F2CBD"/>
    <w:rsid w:val="009F3215"/>
    <w:rsid w:val="009F3524"/>
    <w:rsid w:val="009F356F"/>
    <w:rsid w:val="009F35D8"/>
    <w:rsid w:val="009F383B"/>
    <w:rsid w:val="009F38EC"/>
    <w:rsid w:val="009F3CBD"/>
    <w:rsid w:val="009F4169"/>
    <w:rsid w:val="009F4356"/>
    <w:rsid w:val="009F457B"/>
    <w:rsid w:val="009F4E49"/>
    <w:rsid w:val="009F5638"/>
    <w:rsid w:val="009F5FB8"/>
    <w:rsid w:val="009F6502"/>
    <w:rsid w:val="009F6558"/>
    <w:rsid w:val="009F6919"/>
    <w:rsid w:val="009F743D"/>
    <w:rsid w:val="009F783C"/>
    <w:rsid w:val="009F787F"/>
    <w:rsid w:val="009F798D"/>
    <w:rsid w:val="009F7B37"/>
    <w:rsid w:val="00A004B9"/>
    <w:rsid w:val="00A00B64"/>
    <w:rsid w:val="00A013BD"/>
    <w:rsid w:val="00A01F28"/>
    <w:rsid w:val="00A021D1"/>
    <w:rsid w:val="00A023D3"/>
    <w:rsid w:val="00A029F6"/>
    <w:rsid w:val="00A02A46"/>
    <w:rsid w:val="00A034FD"/>
    <w:rsid w:val="00A03B8A"/>
    <w:rsid w:val="00A04902"/>
    <w:rsid w:val="00A05A20"/>
    <w:rsid w:val="00A05A92"/>
    <w:rsid w:val="00A0630C"/>
    <w:rsid w:val="00A06594"/>
    <w:rsid w:val="00A068B3"/>
    <w:rsid w:val="00A06D07"/>
    <w:rsid w:val="00A072A7"/>
    <w:rsid w:val="00A07FB4"/>
    <w:rsid w:val="00A1029C"/>
    <w:rsid w:val="00A10659"/>
    <w:rsid w:val="00A10CD0"/>
    <w:rsid w:val="00A112DC"/>
    <w:rsid w:val="00A11630"/>
    <w:rsid w:val="00A11DCE"/>
    <w:rsid w:val="00A11F07"/>
    <w:rsid w:val="00A120B0"/>
    <w:rsid w:val="00A12D8F"/>
    <w:rsid w:val="00A13D72"/>
    <w:rsid w:val="00A13FB0"/>
    <w:rsid w:val="00A1434F"/>
    <w:rsid w:val="00A14C7B"/>
    <w:rsid w:val="00A14CD1"/>
    <w:rsid w:val="00A14D9C"/>
    <w:rsid w:val="00A14EFE"/>
    <w:rsid w:val="00A14FEF"/>
    <w:rsid w:val="00A155F1"/>
    <w:rsid w:val="00A15635"/>
    <w:rsid w:val="00A158BC"/>
    <w:rsid w:val="00A15D78"/>
    <w:rsid w:val="00A15FFD"/>
    <w:rsid w:val="00A161B7"/>
    <w:rsid w:val="00A16349"/>
    <w:rsid w:val="00A1668E"/>
    <w:rsid w:val="00A170AE"/>
    <w:rsid w:val="00A1756D"/>
    <w:rsid w:val="00A17675"/>
    <w:rsid w:val="00A17C4B"/>
    <w:rsid w:val="00A17E22"/>
    <w:rsid w:val="00A17F46"/>
    <w:rsid w:val="00A17FEF"/>
    <w:rsid w:val="00A20E15"/>
    <w:rsid w:val="00A20E72"/>
    <w:rsid w:val="00A20FDC"/>
    <w:rsid w:val="00A21DDF"/>
    <w:rsid w:val="00A2202E"/>
    <w:rsid w:val="00A220F3"/>
    <w:rsid w:val="00A224FE"/>
    <w:rsid w:val="00A22590"/>
    <w:rsid w:val="00A22D6F"/>
    <w:rsid w:val="00A233D0"/>
    <w:rsid w:val="00A24085"/>
    <w:rsid w:val="00A24108"/>
    <w:rsid w:val="00A246C3"/>
    <w:rsid w:val="00A24753"/>
    <w:rsid w:val="00A24964"/>
    <w:rsid w:val="00A24CEE"/>
    <w:rsid w:val="00A24F88"/>
    <w:rsid w:val="00A25752"/>
    <w:rsid w:val="00A25788"/>
    <w:rsid w:val="00A25883"/>
    <w:rsid w:val="00A25961"/>
    <w:rsid w:val="00A26A92"/>
    <w:rsid w:val="00A27022"/>
    <w:rsid w:val="00A27132"/>
    <w:rsid w:val="00A27220"/>
    <w:rsid w:val="00A27E42"/>
    <w:rsid w:val="00A30F40"/>
    <w:rsid w:val="00A31122"/>
    <w:rsid w:val="00A31785"/>
    <w:rsid w:val="00A31BBF"/>
    <w:rsid w:val="00A32326"/>
    <w:rsid w:val="00A326EE"/>
    <w:rsid w:val="00A3286E"/>
    <w:rsid w:val="00A32B2F"/>
    <w:rsid w:val="00A32E8B"/>
    <w:rsid w:val="00A33571"/>
    <w:rsid w:val="00A33C10"/>
    <w:rsid w:val="00A33E7B"/>
    <w:rsid w:val="00A34120"/>
    <w:rsid w:val="00A345CC"/>
    <w:rsid w:val="00A34742"/>
    <w:rsid w:val="00A34B8A"/>
    <w:rsid w:val="00A34C85"/>
    <w:rsid w:val="00A3556E"/>
    <w:rsid w:val="00A356AB"/>
    <w:rsid w:val="00A35A2B"/>
    <w:rsid w:val="00A35AD3"/>
    <w:rsid w:val="00A36D55"/>
    <w:rsid w:val="00A36D98"/>
    <w:rsid w:val="00A37832"/>
    <w:rsid w:val="00A37853"/>
    <w:rsid w:val="00A3792E"/>
    <w:rsid w:val="00A37F6A"/>
    <w:rsid w:val="00A4087A"/>
    <w:rsid w:val="00A40F37"/>
    <w:rsid w:val="00A4167D"/>
    <w:rsid w:val="00A41694"/>
    <w:rsid w:val="00A416AB"/>
    <w:rsid w:val="00A4193A"/>
    <w:rsid w:val="00A42402"/>
    <w:rsid w:val="00A42640"/>
    <w:rsid w:val="00A427E9"/>
    <w:rsid w:val="00A43178"/>
    <w:rsid w:val="00A432C5"/>
    <w:rsid w:val="00A43C06"/>
    <w:rsid w:val="00A43D21"/>
    <w:rsid w:val="00A43F1D"/>
    <w:rsid w:val="00A4453D"/>
    <w:rsid w:val="00A44642"/>
    <w:rsid w:val="00A44FF0"/>
    <w:rsid w:val="00A45A85"/>
    <w:rsid w:val="00A46188"/>
    <w:rsid w:val="00A46329"/>
    <w:rsid w:val="00A46711"/>
    <w:rsid w:val="00A4684C"/>
    <w:rsid w:val="00A46B5E"/>
    <w:rsid w:val="00A46D49"/>
    <w:rsid w:val="00A4748F"/>
    <w:rsid w:val="00A50EAD"/>
    <w:rsid w:val="00A51211"/>
    <w:rsid w:val="00A513A6"/>
    <w:rsid w:val="00A523EC"/>
    <w:rsid w:val="00A52502"/>
    <w:rsid w:val="00A528DB"/>
    <w:rsid w:val="00A53051"/>
    <w:rsid w:val="00A533DB"/>
    <w:rsid w:val="00A5342B"/>
    <w:rsid w:val="00A535CE"/>
    <w:rsid w:val="00A5380E"/>
    <w:rsid w:val="00A53887"/>
    <w:rsid w:val="00A53A2A"/>
    <w:rsid w:val="00A53DB9"/>
    <w:rsid w:val="00A53FCF"/>
    <w:rsid w:val="00A5404C"/>
    <w:rsid w:val="00A5594A"/>
    <w:rsid w:val="00A559B7"/>
    <w:rsid w:val="00A55F3E"/>
    <w:rsid w:val="00A563F3"/>
    <w:rsid w:val="00A56494"/>
    <w:rsid w:val="00A5724A"/>
    <w:rsid w:val="00A5743F"/>
    <w:rsid w:val="00A576E5"/>
    <w:rsid w:val="00A57896"/>
    <w:rsid w:val="00A60278"/>
    <w:rsid w:val="00A60473"/>
    <w:rsid w:val="00A611D5"/>
    <w:rsid w:val="00A62041"/>
    <w:rsid w:val="00A620F1"/>
    <w:rsid w:val="00A625B8"/>
    <w:rsid w:val="00A62681"/>
    <w:rsid w:val="00A62969"/>
    <w:rsid w:val="00A632D5"/>
    <w:rsid w:val="00A6358A"/>
    <w:rsid w:val="00A63AE7"/>
    <w:rsid w:val="00A63E2F"/>
    <w:rsid w:val="00A64194"/>
    <w:rsid w:val="00A64223"/>
    <w:rsid w:val="00A64C03"/>
    <w:rsid w:val="00A64DE9"/>
    <w:rsid w:val="00A66715"/>
    <w:rsid w:val="00A6699E"/>
    <w:rsid w:val="00A67297"/>
    <w:rsid w:val="00A67444"/>
    <w:rsid w:val="00A67554"/>
    <w:rsid w:val="00A67687"/>
    <w:rsid w:val="00A67A9B"/>
    <w:rsid w:val="00A67D17"/>
    <w:rsid w:val="00A67DD0"/>
    <w:rsid w:val="00A70492"/>
    <w:rsid w:val="00A7068A"/>
    <w:rsid w:val="00A706F1"/>
    <w:rsid w:val="00A709BD"/>
    <w:rsid w:val="00A70E06"/>
    <w:rsid w:val="00A70E63"/>
    <w:rsid w:val="00A70F8C"/>
    <w:rsid w:val="00A71160"/>
    <w:rsid w:val="00A7149C"/>
    <w:rsid w:val="00A71CDD"/>
    <w:rsid w:val="00A727A5"/>
    <w:rsid w:val="00A7280E"/>
    <w:rsid w:val="00A7310F"/>
    <w:rsid w:val="00A733E3"/>
    <w:rsid w:val="00A73537"/>
    <w:rsid w:val="00A73642"/>
    <w:rsid w:val="00A739F1"/>
    <w:rsid w:val="00A73F5E"/>
    <w:rsid w:val="00A73FD7"/>
    <w:rsid w:val="00A741EE"/>
    <w:rsid w:val="00A74448"/>
    <w:rsid w:val="00A74498"/>
    <w:rsid w:val="00A745F9"/>
    <w:rsid w:val="00A74701"/>
    <w:rsid w:val="00A74968"/>
    <w:rsid w:val="00A74D41"/>
    <w:rsid w:val="00A74E10"/>
    <w:rsid w:val="00A74F57"/>
    <w:rsid w:val="00A75249"/>
    <w:rsid w:val="00A757C9"/>
    <w:rsid w:val="00A758CD"/>
    <w:rsid w:val="00A75F12"/>
    <w:rsid w:val="00A766A6"/>
    <w:rsid w:val="00A76BC6"/>
    <w:rsid w:val="00A76C92"/>
    <w:rsid w:val="00A76E21"/>
    <w:rsid w:val="00A770B7"/>
    <w:rsid w:val="00A7731B"/>
    <w:rsid w:val="00A778FE"/>
    <w:rsid w:val="00A77F42"/>
    <w:rsid w:val="00A80438"/>
    <w:rsid w:val="00A8044F"/>
    <w:rsid w:val="00A8054E"/>
    <w:rsid w:val="00A805D0"/>
    <w:rsid w:val="00A8139C"/>
    <w:rsid w:val="00A816F9"/>
    <w:rsid w:val="00A81B06"/>
    <w:rsid w:val="00A81F20"/>
    <w:rsid w:val="00A82B5F"/>
    <w:rsid w:val="00A8340B"/>
    <w:rsid w:val="00A83CE6"/>
    <w:rsid w:val="00A84493"/>
    <w:rsid w:val="00A8464C"/>
    <w:rsid w:val="00A84E3C"/>
    <w:rsid w:val="00A85133"/>
    <w:rsid w:val="00A85347"/>
    <w:rsid w:val="00A860CC"/>
    <w:rsid w:val="00A86144"/>
    <w:rsid w:val="00A86394"/>
    <w:rsid w:val="00A86469"/>
    <w:rsid w:val="00A86A90"/>
    <w:rsid w:val="00A86E08"/>
    <w:rsid w:val="00A87AAB"/>
    <w:rsid w:val="00A87D0D"/>
    <w:rsid w:val="00A90878"/>
    <w:rsid w:val="00A90AD7"/>
    <w:rsid w:val="00A90CC8"/>
    <w:rsid w:val="00A911B3"/>
    <w:rsid w:val="00A916AA"/>
    <w:rsid w:val="00A917FC"/>
    <w:rsid w:val="00A91B88"/>
    <w:rsid w:val="00A91C1E"/>
    <w:rsid w:val="00A91C31"/>
    <w:rsid w:val="00A92232"/>
    <w:rsid w:val="00A92360"/>
    <w:rsid w:val="00A92527"/>
    <w:rsid w:val="00A9280B"/>
    <w:rsid w:val="00A929EB"/>
    <w:rsid w:val="00A930F4"/>
    <w:rsid w:val="00A93151"/>
    <w:rsid w:val="00A933B2"/>
    <w:rsid w:val="00A937F1"/>
    <w:rsid w:val="00A940FD"/>
    <w:rsid w:val="00A942AE"/>
    <w:rsid w:val="00A947F0"/>
    <w:rsid w:val="00A9484A"/>
    <w:rsid w:val="00A94B8E"/>
    <w:rsid w:val="00A95AB4"/>
    <w:rsid w:val="00A95DCA"/>
    <w:rsid w:val="00A968DA"/>
    <w:rsid w:val="00A96D8F"/>
    <w:rsid w:val="00A97462"/>
    <w:rsid w:val="00A9784F"/>
    <w:rsid w:val="00AA0173"/>
    <w:rsid w:val="00AA07FB"/>
    <w:rsid w:val="00AA0853"/>
    <w:rsid w:val="00AA1C8E"/>
    <w:rsid w:val="00AA22F5"/>
    <w:rsid w:val="00AA2AAD"/>
    <w:rsid w:val="00AA2D96"/>
    <w:rsid w:val="00AA329C"/>
    <w:rsid w:val="00AA3357"/>
    <w:rsid w:val="00AA47D9"/>
    <w:rsid w:val="00AA47FA"/>
    <w:rsid w:val="00AA4C3A"/>
    <w:rsid w:val="00AA4E51"/>
    <w:rsid w:val="00AA5065"/>
    <w:rsid w:val="00AA5262"/>
    <w:rsid w:val="00AA531A"/>
    <w:rsid w:val="00AA57DF"/>
    <w:rsid w:val="00AA6226"/>
    <w:rsid w:val="00AA66D2"/>
    <w:rsid w:val="00AA6ED6"/>
    <w:rsid w:val="00AA7153"/>
    <w:rsid w:val="00AB03BE"/>
    <w:rsid w:val="00AB0672"/>
    <w:rsid w:val="00AB08FE"/>
    <w:rsid w:val="00AB09B3"/>
    <w:rsid w:val="00AB1285"/>
    <w:rsid w:val="00AB1CB9"/>
    <w:rsid w:val="00AB1CD2"/>
    <w:rsid w:val="00AB1F3C"/>
    <w:rsid w:val="00AB214B"/>
    <w:rsid w:val="00AB2497"/>
    <w:rsid w:val="00AB2792"/>
    <w:rsid w:val="00AB31AA"/>
    <w:rsid w:val="00AB3501"/>
    <w:rsid w:val="00AB3AF9"/>
    <w:rsid w:val="00AB3C28"/>
    <w:rsid w:val="00AB3CDC"/>
    <w:rsid w:val="00AB432E"/>
    <w:rsid w:val="00AB459D"/>
    <w:rsid w:val="00AB46B1"/>
    <w:rsid w:val="00AB46B6"/>
    <w:rsid w:val="00AB4887"/>
    <w:rsid w:val="00AB4D54"/>
    <w:rsid w:val="00AB556E"/>
    <w:rsid w:val="00AB63F1"/>
    <w:rsid w:val="00AB6D25"/>
    <w:rsid w:val="00AB6E9F"/>
    <w:rsid w:val="00AB79F2"/>
    <w:rsid w:val="00AB7DBA"/>
    <w:rsid w:val="00AC0C64"/>
    <w:rsid w:val="00AC0D3E"/>
    <w:rsid w:val="00AC114C"/>
    <w:rsid w:val="00AC13F4"/>
    <w:rsid w:val="00AC1B9D"/>
    <w:rsid w:val="00AC20E2"/>
    <w:rsid w:val="00AC2C0E"/>
    <w:rsid w:val="00AC2F0F"/>
    <w:rsid w:val="00AC33D6"/>
    <w:rsid w:val="00AC368E"/>
    <w:rsid w:val="00AC3867"/>
    <w:rsid w:val="00AC3D4E"/>
    <w:rsid w:val="00AC3FA5"/>
    <w:rsid w:val="00AC4984"/>
    <w:rsid w:val="00AC4A1A"/>
    <w:rsid w:val="00AC4A63"/>
    <w:rsid w:val="00AC4CA0"/>
    <w:rsid w:val="00AC5F8B"/>
    <w:rsid w:val="00AC6017"/>
    <w:rsid w:val="00AC6EA3"/>
    <w:rsid w:val="00AC6FFE"/>
    <w:rsid w:val="00AC7602"/>
    <w:rsid w:val="00AC7CD7"/>
    <w:rsid w:val="00AD0012"/>
    <w:rsid w:val="00AD0518"/>
    <w:rsid w:val="00AD0740"/>
    <w:rsid w:val="00AD0EEA"/>
    <w:rsid w:val="00AD1249"/>
    <w:rsid w:val="00AD15C5"/>
    <w:rsid w:val="00AD18AD"/>
    <w:rsid w:val="00AD1907"/>
    <w:rsid w:val="00AD1C97"/>
    <w:rsid w:val="00AD2095"/>
    <w:rsid w:val="00AD2341"/>
    <w:rsid w:val="00AD3174"/>
    <w:rsid w:val="00AD3F03"/>
    <w:rsid w:val="00AD4A65"/>
    <w:rsid w:val="00AD4C62"/>
    <w:rsid w:val="00AD50D0"/>
    <w:rsid w:val="00AD56B7"/>
    <w:rsid w:val="00AD5700"/>
    <w:rsid w:val="00AD5FEE"/>
    <w:rsid w:val="00AD6569"/>
    <w:rsid w:val="00AD6672"/>
    <w:rsid w:val="00AD6810"/>
    <w:rsid w:val="00AD6BA8"/>
    <w:rsid w:val="00AD7639"/>
    <w:rsid w:val="00AD78C3"/>
    <w:rsid w:val="00AD79E3"/>
    <w:rsid w:val="00AE007B"/>
    <w:rsid w:val="00AE0213"/>
    <w:rsid w:val="00AE08BB"/>
    <w:rsid w:val="00AE0E72"/>
    <w:rsid w:val="00AE0F60"/>
    <w:rsid w:val="00AE188A"/>
    <w:rsid w:val="00AE2328"/>
    <w:rsid w:val="00AE2546"/>
    <w:rsid w:val="00AE265E"/>
    <w:rsid w:val="00AE29C8"/>
    <w:rsid w:val="00AE2C83"/>
    <w:rsid w:val="00AE3685"/>
    <w:rsid w:val="00AE418C"/>
    <w:rsid w:val="00AE4217"/>
    <w:rsid w:val="00AE457D"/>
    <w:rsid w:val="00AE4591"/>
    <w:rsid w:val="00AE4765"/>
    <w:rsid w:val="00AE493B"/>
    <w:rsid w:val="00AE4A1A"/>
    <w:rsid w:val="00AE5D94"/>
    <w:rsid w:val="00AE642F"/>
    <w:rsid w:val="00AE6CD2"/>
    <w:rsid w:val="00AE6D94"/>
    <w:rsid w:val="00AE7090"/>
    <w:rsid w:val="00AE72CA"/>
    <w:rsid w:val="00AE75E6"/>
    <w:rsid w:val="00AE76D8"/>
    <w:rsid w:val="00AE7AE3"/>
    <w:rsid w:val="00AE7B5E"/>
    <w:rsid w:val="00AE7B84"/>
    <w:rsid w:val="00AE7BC0"/>
    <w:rsid w:val="00AF01AE"/>
    <w:rsid w:val="00AF06C8"/>
    <w:rsid w:val="00AF0865"/>
    <w:rsid w:val="00AF0A8B"/>
    <w:rsid w:val="00AF0BEC"/>
    <w:rsid w:val="00AF0DEA"/>
    <w:rsid w:val="00AF1C28"/>
    <w:rsid w:val="00AF1F02"/>
    <w:rsid w:val="00AF2883"/>
    <w:rsid w:val="00AF29FB"/>
    <w:rsid w:val="00AF2DCD"/>
    <w:rsid w:val="00AF2FC5"/>
    <w:rsid w:val="00AF3221"/>
    <w:rsid w:val="00AF35B9"/>
    <w:rsid w:val="00AF3DB0"/>
    <w:rsid w:val="00AF4948"/>
    <w:rsid w:val="00AF5387"/>
    <w:rsid w:val="00AF5739"/>
    <w:rsid w:val="00AF5862"/>
    <w:rsid w:val="00AF5C57"/>
    <w:rsid w:val="00AF6242"/>
    <w:rsid w:val="00AF62C4"/>
    <w:rsid w:val="00AF68BF"/>
    <w:rsid w:val="00AF6E0E"/>
    <w:rsid w:val="00AF70AE"/>
    <w:rsid w:val="00AF7713"/>
    <w:rsid w:val="00AF7A6F"/>
    <w:rsid w:val="00AF7BC6"/>
    <w:rsid w:val="00B003EE"/>
    <w:rsid w:val="00B007D0"/>
    <w:rsid w:val="00B00C5D"/>
    <w:rsid w:val="00B016D7"/>
    <w:rsid w:val="00B01A14"/>
    <w:rsid w:val="00B01C1D"/>
    <w:rsid w:val="00B01FD3"/>
    <w:rsid w:val="00B020BC"/>
    <w:rsid w:val="00B02217"/>
    <w:rsid w:val="00B026BC"/>
    <w:rsid w:val="00B02A06"/>
    <w:rsid w:val="00B02C12"/>
    <w:rsid w:val="00B03711"/>
    <w:rsid w:val="00B03BDD"/>
    <w:rsid w:val="00B04AF7"/>
    <w:rsid w:val="00B04C7C"/>
    <w:rsid w:val="00B04C7E"/>
    <w:rsid w:val="00B052CE"/>
    <w:rsid w:val="00B054AB"/>
    <w:rsid w:val="00B05CEC"/>
    <w:rsid w:val="00B06024"/>
    <w:rsid w:val="00B065CD"/>
    <w:rsid w:val="00B07DB6"/>
    <w:rsid w:val="00B1027F"/>
    <w:rsid w:val="00B10EA1"/>
    <w:rsid w:val="00B113F7"/>
    <w:rsid w:val="00B12DC8"/>
    <w:rsid w:val="00B13111"/>
    <w:rsid w:val="00B13191"/>
    <w:rsid w:val="00B13319"/>
    <w:rsid w:val="00B13622"/>
    <w:rsid w:val="00B13836"/>
    <w:rsid w:val="00B13AE6"/>
    <w:rsid w:val="00B13F1B"/>
    <w:rsid w:val="00B14451"/>
    <w:rsid w:val="00B14BAA"/>
    <w:rsid w:val="00B157D4"/>
    <w:rsid w:val="00B1662A"/>
    <w:rsid w:val="00B1670D"/>
    <w:rsid w:val="00B16CC9"/>
    <w:rsid w:val="00B17C28"/>
    <w:rsid w:val="00B201B1"/>
    <w:rsid w:val="00B204E4"/>
    <w:rsid w:val="00B20662"/>
    <w:rsid w:val="00B20682"/>
    <w:rsid w:val="00B206BC"/>
    <w:rsid w:val="00B207BE"/>
    <w:rsid w:val="00B21748"/>
    <w:rsid w:val="00B21B87"/>
    <w:rsid w:val="00B21FA7"/>
    <w:rsid w:val="00B226A2"/>
    <w:rsid w:val="00B22712"/>
    <w:rsid w:val="00B23460"/>
    <w:rsid w:val="00B23654"/>
    <w:rsid w:val="00B23C2B"/>
    <w:rsid w:val="00B23CF4"/>
    <w:rsid w:val="00B23E79"/>
    <w:rsid w:val="00B23EE8"/>
    <w:rsid w:val="00B23F09"/>
    <w:rsid w:val="00B2412D"/>
    <w:rsid w:val="00B24167"/>
    <w:rsid w:val="00B2456B"/>
    <w:rsid w:val="00B24BCA"/>
    <w:rsid w:val="00B24CC3"/>
    <w:rsid w:val="00B25651"/>
    <w:rsid w:val="00B25974"/>
    <w:rsid w:val="00B26100"/>
    <w:rsid w:val="00B26139"/>
    <w:rsid w:val="00B262DF"/>
    <w:rsid w:val="00B26472"/>
    <w:rsid w:val="00B27450"/>
    <w:rsid w:val="00B3016F"/>
    <w:rsid w:val="00B30360"/>
    <w:rsid w:val="00B3039B"/>
    <w:rsid w:val="00B303D3"/>
    <w:rsid w:val="00B30874"/>
    <w:rsid w:val="00B309E3"/>
    <w:rsid w:val="00B30D8E"/>
    <w:rsid w:val="00B3183C"/>
    <w:rsid w:val="00B31C2B"/>
    <w:rsid w:val="00B31DE4"/>
    <w:rsid w:val="00B31DFA"/>
    <w:rsid w:val="00B32047"/>
    <w:rsid w:val="00B32313"/>
    <w:rsid w:val="00B32B2C"/>
    <w:rsid w:val="00B32BA2"/>
    <w:rsid w:val="00B32C3F"/>
    <w:rsid w:val="00B33405"/>
    <w:rsid w:val="00B337EC"/>
    <w:rsid w:val="00B33905"/>
    <w:rsid w:val="00B349AC"/>
    <w:rsid w:val="00B34A0A"/>
    <w:rsid w:val="00B34D30"/>
    <w:rsid w:val="00B356D2"/>
    <w:rsid w:val="00B35817"/>
    <w:rsid w:val="00B35A3F"/>
    <w:rsid w:val="00B35FC6"/>
    <w:rsid w:val="00B36101"/>
    <w:rsid w:val="00B36220"/>
    <w:rsid w:val="00B36B1A"/>
    <w:rsid w:val="00B36B52"/>
    <w:rsid w:val="00B36E75"/>
    <w:rsid w:val="00B371BB"/>
    <w:rsid w:val="00B4013C"/>
    <w:rsid w:val="00B4096E"/>
    <w:rsid w:val="00B409A8"/>
    <w:rsid w:val="00B4130F"/>
    <w:rsid w:val="00B4184A"/>
    <w:rsid w:val="00B41AAD"/>
    <w:rsid w:val="00B41B2E"/>
    <w:rsid w:val="00B41D52"/>
    <w:rsid w:val="00B4299C"/>
    <w:rsid w:val="00B429F7"/>
    <w:rsid w:val="00B42D6A"/>
    <w:rsid w:val="00B43367"/>
    <w:rsid w:val="00B435AE"/>
    <w:rsid w:val="00B43861"/>
    <w:rsid w:val="00B441C7"/>
    <w:rsid w:val="00B4473F"/>
    <w:rsid w:val="00B447DF"/>
    <w:rsid w:val="00B4486C"/>
    <w:rsid w:val="00B44883"/>
    <w:rsid w:val="00B44A7C"/>
    <w:rsid w:val="00B44E85"/>
    <w:rsid w:val="00B44EC9"/>
    <w:rsid w:val="00B45065"/>
    <w:rsid w:val="00B453C9"/>
    <w:rsid w:val="00B4555D"/>
    <w:rsid w:val="00B45907"/>
    <w:rsid w:val="00B45949"/>
    <w:rsid w:val="00B45CC0"/>
    <w:rsid w:val="00B4699B"/>
    <w:rsid w:val="00B46F39"/>
    <w:rsid w:val="00B47D88"/>
    <w:rsid w:val="00B50D76"/>
    <w:rsid w:val="00B50F67"/>
    <w:rsid w:val="00B52F02"/>
    <w:rsid w:val="00B53051"/>
    <w:rsid w:val="00B53507"/>
    <w:rsid w:val="00B53839"/>
    <w:rsid w:val="00B544F1"/>
    <w:rsid w:val="00B54656"/>
    <w:rsid w:val="00B548D6"/>
    <w:rsid w:val="00B54C15"/>
    <w:rsid w:val="00B551BE"/>
    <w:rsid w:val="00B5552C"/>
    <w:rsid w:val="00B555F8"/>
    <w:rsid w:val="00B56F33"/>
    <w:rsid w:val="00B571B7"/>
    <w:rsid w:val="00B572A4"/>
    <w:rsid w:val="00B5759F"/>
    <w:rsid w:val="00B5761C"/>
    <w:rsid w:val="00B576C4"/>
    <w:rsid w:val="00B576FD"/>
    <w:rsid w:val="00B57B43"/>
    <w:rsid w:val="00B57F15"/>
    <w:rsid w:val="00B57F8F"/>
    <w:rsid w:val="00B60440"/>
    <w:rsid w:val="00B61275"/>
    <w:rsid w:val="00B61772"/>
    <w:rsid w:val="00B61B35"/>
    <w:rsid w:val="00B61B65"/>
    <w:rsid w:val="00B621F0"/>
    <w:rsid w:val="00B62518"/>
    <w:rsid w:val="00B626EB"/>
    <w:rsid w:val="00B62C11"/>
    <w:rsid w:val="00B634DB"/>
    <w:rsid w:val="00B635E8"/>
    <w:rsid w:val="00B63AF5"/>
    <w:rsid w:val="00B641B1"/>
    <w:rsid w:val="00B64220"/>
    <w:rsid w:val="00B64549"/>
    <w:rsid w:val="00B64A66"/>
    <w:rsid w:val="00B6519F"/>
    <w:rsid w:val="00B656D2"/>
    <w:rsid w:val="00B65802"/>
    <w:rsid w:val="00B658CE"/>
    <w:rsid w:val="00B65F47"/>
    <w:rsid w:val="00B6649D"/>
    <w:rsid w:val="00B667B0"/>
    <w:rsid w:val="00B668CC"/>
    <w:rsid w:val="00B6708D"/>
    <w:rsid w:val="00B6747B"/>
    <w:rsid w:val="00B674AD"/>
    <w:rsid w:val="00B67E15"/>
    <w:rsid w:val="00B70950"/>
    <w:rsid w:val="00B70984"/>
    <w:rsid w:val="00B70C0B"/>
    <w:rsid w:val="00B70D12"/>
    <w:rsid w:val="00B712DA"/>
    <w:rsid w:val="00B7154A"/>
    <w:rsid w:val="00B715D7"/>
    <w:rsid w:val="00B718BC"/>
    <w:rsid w:val="00B72065"/>
    <w:rsid w:val="00B7227C"/>
    <w:rsid w:val="00B7238D"/>
    <w:rsid w:val="00B725A2"/>
    <w:rsid w:val="00B729DD"/>
    <w:rsid w:val="00B72CA9"/>
    <w:rsid w:val="00B73965"/>
    <w:rsid w:val="00B7425A"/>
    <w:rsid w:val="00B74A2C"/>
    <w:rsid w:val="00B74A88"/>
    <w:rsid w:val="00B74B88"/>
    <w:rsid w:val="00B75007"/>
    <w:rsid w:val="00B75303"/>
    <w:rsid w:val="00B753E6"/>
    <w:rsid w:val="00B7565A"/>
    <w:rsid w:val="00B75921"/>
    <w:rsid w:val="00B75CFC"/>
    <w:rsid w:val="00B75D0E"/>
    <w:rsid w:val="00B75E6C"/>
    <w:rsid w:val="00B760AD"/>
    <w:rsid w:val="00B76284"/>
    <w:rsid w:val="00B76588"/>
    <w:rsid w:val="00B7686E"/>
    <w:rsid w:val="00B76D57"/>
    <w:rsid w:val="00B773AC"/>
    <w:rsid w:val="00B77E56"/>
    <w:rsid w:val="00B8077C"/>
    <w:rsid w:val="00B809D5"/>
    <w:rsid w:val="00B80E6D"/>
    <w:rsid w:val="00B810BA"/>
    <w:rsid w:val="00B811E0"/>
    <w:rsid w:val="00B81323"/>
    <w:rsid w:val="00B813E7"/>
    <w:rsid w:val="00B814B7"/>
    <w:rsid w:val="00B8176C"/>
    <w:rsid w:val="00B81C01"/>
    <w:rsid w:val="00B81EF5"/>
    <w:rsid w:val="00B82804"/>
    <w:rsid w:val="00B8298A"/>
    <w:rsid w:val="00B82EB4"/>
    <w:rsid w:val="00B82FA6"/>
    <w:rsid w:val="00B83A6B"/>
    <w:rsid w:val="00B83DDB"/>
    <w:rsid w:val="00B848D4"/>
    <w:rsid w:val="00B84C1A"/>
    <w:rsid w:val="00B850CD"/>
    <w:rsid w:val="00B854DE"/>
    <w:rsid w:val="00B85BBA"/>
    <w:rsid w:val="00B85CF2"/>
    <w:rsid w:val="00B85E2C"/>
    <w:rsid w:val="00B8631C"/>
    <w:rsid w:val="00B865D2"/>
    <w:rsid w:val="00B865EB"/>
    <w:rsid w:val="00B869CB"/>
    <w:rsid w:val="00B86D28"/>
    <w:rsid w:val="00B86EA1"/>
    <w:rsid w:val="00B877FF"/>
    <w:rsid w:val="00B87AE4"/>
    <w:rsid w:val="00B87BBB"/>
    <w:rsid w:val="00B9030C"/>
    <w:rsid w:val="00B9288F"/>
    <w:rsid w:val="00B92FF0"/>
    <w:rsid w:val="00B93167"/>
    <w:rsid w:val="00B93B73"/>
    <w:rsid w:val="00B93BB4"/>
    <w:rsid w:val="00B941CD"/>
    <w:rsid w:val="00B94630"/>
    <w:rsid w:val="00B9485C"/>
    <w:rsid w:val="00B94951"/>
    <w:rsid w:val="00B94BA1"/>
    <w:rsid w:val="00B94C57"/>
    <w:rsid w:val="00B94C91"/>
    <w:rsid w:val="00B951BA"/>
    <w:rsid w:val="00B9532B"/>
    <w:rsid w:val="00B95AF7"/>
    <w:rsid w:val="00B95DCD"/>
    <w:rsid w:val="00B961F7"/>
    <w:rsid w:val="00B96755"/>
    <w:rsid w:val="00B9725F"/>
    <w:rsid w:val="00B97ABE"/>
    <w:rsid w:val="00B97F45"/>
    <w:rsid w:val="00BA035A"/>
    <w:rsid w:val="00BA0C58"/>
    <w:rsid w:val="00BA0CD3"/>
    <w:rsid w:val="00BA0EC5"/>
    <w:rsid w:val="00BA0F7C"/>
    <w:rsid w:val="00BA1A2E"/>
    <w:rsid w:val="00BA1EE8"/>
    <w:rsid w:val="00BA2B18"/>
    <w:rsid w:val="00BA2DF9"/>
    <w:rsid w:val="00BA3113"/>
    <w:rsid w:val="00BA3573"/>
    <w:rsid w:val="00BA4095"/>
    <w:rsid w:val="00BA441D"/>
    <w:rsid w:val="00BA4DB8"/>
    <w:rsid w:val="00BA56BD"/>
    <w:rsid w:val="00BA5C3E"/>
    <w:rsid w:val="00BA5EC8"/>
    <w:rsid w:val="00BA5FB4"/>
    <w:rsid w:val="00BA67B0"/>
    <w:rsid w:val="00BA6A62"/>
    <w:rsid w:val="00BA6A65"/>
    <w:rsid w:val="00BA6B4F"/>
    <w:rsid w:val="00BA6B5C"/>
    <w:rsid w:val="00BA6D2C"/>
    <w:rsid w:val="00BA6D2E"/>
    <w:rsid w:val="00BA7380"/>
    <w:rsid w:val="00BB0099"/>
    <w:rsid w:val="00BB0531"/>
    <w:rsid w:val="00BB0D1D"/>
    <w:rsid w:val="00BB1279"/>
    <w:rsid w:val="00BB1591"/>
    <w:rsid w:val="00BB18AA"/>
    <w:rsid w:val="00BB1E05"/>
    <w:rsid w:val="00BB213D"/>
    <w:rsid w:val="00BB252B"/>
    <w:rsid w:val="00BB2C90"/>
    <w:rsid w:val="00BB2F7F"/>
    <w:rsid w:val="00BB331D"/>
    <w:rsid w:val="00BB3570"/>
    <w:rsid w:val="00BB404B"/>
    <w:rsid w:val="00BB4737"/>
    <w:rsid w:val="00BB478C"/>
    <w:rsid w:val="00BB4ACF"/>
    <w:rsid w:val="00BB5497"/>
    <w:rsid w:val="00BB5585"/>
    <w:rsid w:val="00BB5613"/>
    <w:rsid w:val="00BB579E"/>
    <w:rsid w:val="00BB693E"/>
    <w:rsid w:val="00BB7DAD"/>
    <w:rsid w:val="00BC0032"/>
    <w:rsid w:val="00BC0939"/>
    <w:rsid w:val="00BC0DF7"/>
    <w:rsid w:val="00BC162F"/>
    <w:rsid w:val="00BC17E3"/>
    <w:rsid w:val="00BC1C29"/>
    <w:rsid w:val="00BC1E40"/>
    <w:rsid w:val="00BC1F6D"/>
    <w:rsid w:val="00BC22D3"/>
    <w:rsid w:val="00BC2552"/>
    <w:rsid w:val="00BC2707"/>
    <w:rsid w:val="00BC32CE"/>
    <w:rsid w:val="00BC3307"/>
    <w:rsid w:val="00BC34B4"/>
    <w:rsid w:val="00BC4D36"/>
    <w:rsid w:val="00BC50AA"/>
    <w:rsid w:val="00BC50C6"/>
    <w:rsid w:val="00BC55DD"/>
    <w:rsid w:val="00BC5923"/>
    <w:rsid w:val="00BC5A56"/>
    <w:rsid w:val="00BC5E2B"/>
    <w:rsid w:val="00BC5EBB"/>
    <w:rsid w:val="00BC5EBF"/>
    <w:rsid w:val="00BC6458"/>
    <w:rsid w:val="00BC6A77"/>
    <w:rsid w:val="00BC770B"/>
    <w:rsid w:val="00BC7FB8"/>
    <w:rsid w:val="00BD029F"/>
    <w:rsid w:val="00BD11E6"/>
    <w:rsid w:val="00BD12BE"/>
    <w:rsid w:val="00BD1621"/>
    <w:rsid w:val="00BD1802"/>
    <w:rsid w:val="00BD182F"/>
    <w:rsid w:val="00BD2F95"/>
    <w:rsid w:val="00BD2F99"/>
    <w:rsid w:val="00BD32F7"/>
    <w:rsid w:val="00BD3522"/>
    <w:rsid w:val="00BD3B55"/>
    <w:rsid w:val="00BD3C15"/>
    <w:rsid w:val="00BD3C63"/>
    <w:rsid w:val="00BD3CD8"/>
    <w:rsid w:val="00BD506A"/>
    <w:rsid w:val="00BD5990"/>
    <w:rsid w:val="00BD5EE1"/>
    <w:rsid w:val="00BD5EE4"/>
    <w:rsid w:val="00BD5FF5"/>
    <w:rsid w:val="00BD636B"/>
    <w:rsid w:val="00BD650D"/>
    <w:rsid w:val="00BD6CB2"/>
    <w:rsid w:val="00BD70C0"/>
    <w:rsid w:val="00BD750C"/>
    <w:rsid w:val="00BD78A4"/>
    <w:rsid w:val="00BD7EE3"/>
    <w:rsid w:val="00BE0C33"/>
    <w:rsid w:val="00BE0C99"/>
    <w:rsid w:val="00BE0E8C"/>
    <w:rsid w:val="00BE1D01"/>
    <w:rsid w:val="00BE244B"/>
    <w:rsid w:val="00BE2EDC"/>
    <w:rsid w:val="00BE30B0"/>
    <w:rsid w:val="00BE30C5"/>
    <w:rsid w:val="00BE3434"/>
    <w:rsid w:val="00BE3B58"/>
    <w:rsid w:val="00BE3CF1"/>
    <w:rsid w:val="00BE3EFE"/>
    <w:rsid w:val="00BE43E4"/>
    <w:rsid w:val="00BE4E0A"/>
    <w:rsid w:val="00BE4EE6"/>
    <w:rsid w:val="00BE52DC"/>
    <w:rsid w:val="00BE60F4"/>
    <w:rsid w:val="00BE66E1"/>
    <w:rsid w:val="00BE7085"/>
    <w:rsid w:val="00BE71A2"/>
    <w:rsid w:val="00BE7423"/>
    <w:rsid w:val="00BE7825"/>
    <w:rsid w:val="00BE7A69"/>
    <w:rsid w:val="00BF02E0"/>
    <w:rsid w:val="00BF0396"/>
    <w:rsid w:val="00BF0F2F"/>
    <w:rsid w:val="00BF1370"/>
    <w:rsid w:val="00BF1391"/>
    <w:rsid w:val="00BF18AD"/>
    <w:rsid w:val="00BF19E2"/>
    <w:rsid w:val="00BF1F10"/>
    <w:rsid w:val="00BF26EE"/>
    <w:rsid w:val="00BF27F4"/>
    <w:rsid w:val="00BF296D"/>
    <w:rsid w:val="00BF30A3"/>
    <w:rsid w:val="00BF37BD"/>
    <w:rsid w:val="00BF4C20"/>
    <w:rsid w:val="00BF4CDF"/>
    <w:rsid w:val="00BF4D23"/>
    <w:rsid w:val="00BF4F38"/>
    <w:rsid w:val="00BF5BBC"/>
    <w:rsid w:val="00BF5E60"/>
    <w:rsid w:val="00BF60EC"/>
    <w:rsid w:val="00BF671E"/>
    <w:rsid w:val="00BF682E"/>
    <w:rsid w:val="00BF6C4C"/>
    <w:rsid w:val="00BF70AE"/>
    <w:rsid w:val="00BF7A14"/>
    <w:rsid w:val="00BF7B6A"/>
    <w:rsid w:val="00BF7C0F"/>
    <w:rsid w:val="00C003C6"/>
    <w:rsid w:val="00C00933"/>
    <w:rsid w:val="00C00CD9"/>
    <w:rsid w:val="00C01462"/>
    <w:rsid w:val="00C014DA"/>
    <w:rsid w:val="00C0157E"/>
    <w:rsid w:val="00C0226A"/>
    <w:rsid w:val="00C023C7"/>
    <w:rsid w:val="00C025EB"/>
    <w:rsid w:val="00C02F6A"/>
    <w:rsid w:val="00C0310B"/>
    <w:rsid w:val="00C03314"/>
    <w:rsid w:val="00C0331E"/>
    <w:rsid w:val="00C0376B"/>
    <w:rsid w:val="00C03806"/>
    <w:rsid w:val="00C03810"/>
    <w:rsid w:val="00C03B6C"/>
    <w:rsid w:val="00C03E34"/>
    <w:rsid w:val="00C04790"/>
    <w:rsid w:val="00C0504C"/>
    <w:rsid w:val="00C05080"/>
    <w:rsid w:val="00C053D8"/>
    <w:rsid w:val="00C0596C"/>
    <w:rsid w:val="00C05E2F"/>
    <w:rsid w:val="00C05F9F"/>
    <w:rsid w:val="00C06483"/>
    <w:rsid w:val="00C07231"/>
    <w:rsid w:val="00C0738B"/>
    <w:rsid w:val="00C0740C"/>
    <w:rsid w:val="00C074A0"/>
    <w:rsid w:val="00C07724"/>
    <w:rsid w:val="00C079FE"/>
    <w:rsid w:val="00C07A59"/>
    <w:rsid w:val="00C07C01"/>
    <w:rsid w:val="00C07E94"/>
    <w:rsid w:val="00C1041F"/>
    <w:rsid w:val="00C107AF"/>
    <w:rsid w:val="00C10F64"/>
    <w:rsid w:val="00C11499"/>
    <w:rsid w:val="00C1177A"/>
    <w:rsid w:val="00C12483"/>
    <w:rsid w:val="00C12DDB"/>
    <w:rsid w:val="00C12F73"/>
    <w:rsid w:val="00C132DE"/>
    <w:rsid w:val="00C13422"/>
    <w:rsid w:val="00C13783"/>
    <w:rsid w:val="00C138EE"/>
    <w:rsid w:val="00C13C40"/>
    <w:rsid w:val="00C1421D"/>
    <w:rsid w:val="00C1436A"/>
    <w:rsid w:val="00C1442F"/>
    <w:rsid w:val="00C15240"/>
    <w:rsid w:val="00C1527B"/>
    <w:rsid w:val="00C15905"/>
    <w:rsid w:val="00C15E4B"/>
    <w:rsid w:val="00C16429"/>
    <w:rsid w:val="00C1669F"/>
    <w:rsid w:val="00C16AA9"/>
    <w:rsid w:val="00C16E42"/>
    <w:rsid w:val="00C16E99"/>
    <w:rsid w:val="00C17071"/>
    <w:rsid w:val="00C17F04"/>
    <w:rsid w:val="00C20241"/>
    <w:rsid w:val="00C207C6"/>
    <w:rsid w:val="00C20CA0"/>
    <w:rsid w:val="00C2188D"/>
    <w:rsid w:val="00C22050"/>
    <w:rsid w:val="00C220CA"/>
    <w:rsid w:val="00C2211D"/>
    <w:rsid w:val="00C22557"/>
    <w:rsid w:val="00C2342A"/>
    <w:rsid w:val="00C235C8"/>
    <w:rsid w:val="00C236EA"/>
    <w:rsid w:val="00C236F6"/>
    <w:rsid w:val="00C24391"/>
    <w:rsid w:val="00C24D61"/>
    <w:rsid w:val="00C2500F"/>
    <w:rsid w:val="00C25998"/>
    <w:rsid w:val="00C25BB2"/>
    <w:rsid w:val="00C2681F"/>
    <w:rsid w:val="00C26AFE"/>
    <w:rsid w:val="00C270F4"/>
    <w:rsid w:val="00C27EB5"/>
    <w:rsid w:val="00C300F2"/>
    <w:rsid w:val="00C30119"/>
    <w:rsid w:val="00C303A4"/>
    <w:rsid w:val="00C306B3"/>
    <w:rsid w:val="00C3085C"/>
    <w:rsid w:val="00C30925"/>
    <w:rsid w:val="00C309A6"/>
    <w:rsid w:val="00C30DED"/>
    <w:rsid w:val="00C30F69"/>
    <w:rsid w:val="00C31058"/>
    <w:rsid w:val="00C3139C"/>
    <w:rsid w:val="00C325CA"/>
    <w:rsid w:val="00C343A2"/>
    <w:rsid w:val="00C347CB"/>
    <w:rsid w:val="00C34C01"/>
    <w:rsid w:val="00C35153"/>
    <w:rsid w:val="00C35EE8"/>
    <w:rsid w:val="00C3661B"/>
    <w:rsid w:val="00C36B06"/>
    <w:rsid w:val="00C36BC0"/>
    <w:rsid w:val="00C37103"/>
    <w:rsid w:val="00C40DD5"/>
    <w:rsid w:val="00C41C14"/>
    <w:rsid w:val="00C41CB9"/>
    <w:rsid w:val="00C42D42"/>
    <w:rsid w:val="00C43142"/>
    <w:rsid w:val="00C4331F"/>
    <w:rsid w:val="00C4387E"/>
    <w:rsid w:val="00C43AF8"/>
    <w:rsid w:val="00C43F1C"/>
    <w:rsid w:val="00C44583"/>
    <w:rsid w:val="00C446EF"/>
    <w:rsid w:val="00C44D0F"/>
    <w:rsid w:val="00C45528"/>
    <w:rsid w:val="00C46531"/>
    <w:rsid w:val="00C465C2"/>
    <w:rsid w:val="00C465D9"/>
    <w:rsid w:val="00C465FE"/>
    <w:rsid w:val="00C46867"/>
    <w:rsid w:val="00C46BC5"/>
    <w:rsid w:val="00C46F10"/>
    <w:rsid w:val="00C47329"/>
    <w:rsid w:val="00C47A95"/>
    <w:rsid w:val="00C502E7"/>
    <w:rsid w:val="00C51A68"/>
    <w:rsid w:val="00C51AD9"/>
    <w:rsid w:val="00C51F2D"/>
    <w:rsid w:val="00C523C0"/>
    <w:rsid w:val="00C52FA4"/>
    <w:rsid w:val="00C53358"/>
    <w:rsid w:val="00C53BC5"/>
    <w:rsid w:val="00C541A1"/>
    <w:rsid w:val="00C543D2"/>
    <w:rsid w:val="00C543E9"/>
    <w:rsid w:val="00C544C4"/>
    <w:rsid w:val="00C547E5"/>
    <w:rsid w:val="00C548DF"/>
    <w:rsid w:val="00C54926"/>
    <w:rsid w:val="00C54BB5"/>
    <w:rsid w:val="00C54F7B"/>
    <w:rsid w:val="00C55004"/>
    <w:rsid w:val="00C5514B"/>
    <w:rsid w:val="00C55163"/>
    <w:rsid w:val="00C552F8"/>
    <w:rsid w:val="00C55DF7"/>
    <w:rsid w:val="00C56593"/>
    <w:rsid w:val="00C56A4D"/>
    <w:rsid w:val="00C56F6D"/>
    <w:rsid w:val="00C572B9"/>
    <w:rsid w:val="00C5752B"/>
    <w:rsid w:val="00C57814"/>
    <w:rsid w:val="00C60637"/>
    <w:rsid w:val="00C6078A"/>
    <w:rsid w:val="00C60807"/>
    <w:rsid w:val="00C610F4"/>
    <w:rsid w:val="00C6111A"/>
    <w:rsid w:val="00C618A4"/>
    <w:rsid w:val="00C62081"/>
    <w:rsid w:val="00C6245D"/>
    <w:rsid w:val="00C633CA"/>
    <w:rsid w:val="00C63AFF"/>
    <w:rsid w:val="00C63C89"/>
    <w:rsid w:val="00C64393"/>
    <w:rsid w:val="00C6482C"/>
    <w:rsid w:val="00C64DB9"/>
    <w:rsid w:val="00C651BA"/>
    <w:rsid w:val="00C6590A"/>
    <w:rsid w:val="00C65B79"/>
    <w:rsid w:val="00C65DCB"/>
    <w:rsid w:val="00C66A8E"/>
    <w:rsid w:val="00C66E07"/>
    <w:rsid w:val="00C675F5"/>
    <w:rsid w:val="00C679A7"/>
    <w:rsid w:val="00C70010"/>
    <w:rsid w:val="00C70562"/>
    <w:rsid w:val="00C71042"/>
    <w:rsid w:val="00C71205"/>
    <w:rsid w:val="00C71A4E"/>
    <w:rsid w:val="00C724D0"/>
    <w:rsid w:val="00C72871"/>
    <w:rsid w:val="00C72ADD"/>
    <w:rsid w:val="00C73D79"/>
    <w:rsid w:val="00C740D1"/>
    <w:rsid w:val="00C747B2"/>
    <w:rsid w:val="00C74C8F"/>
    <w:rsid w:val="00C74E95"/>
    <w:rsid w:val="00C750A8"/>
    <w:rsid w:val="00C753F3"/>
    <w:rsid w:val="00C76121"/>
    <w:rsid w:val="00C763E8"/>
    <w:rsid w:val="00C7659E"/>
    <w:rsid w:val="00C768F8"/>
    <w:rsid w:val="00C8049E"/>
    <w:rsid w:val="00C80749"/>
    <w:rsid w:val="00C80B4E"/>
    <w:rsid w:val="00C80D0C"/>
    <w:rsid w:val="00C80D7B"/>
    <w:rsid w:val="00C80F0E"/>
    <w:rsid w:val="00C80F67"/>
    <w:rsid w:val="00C8153D"/>
    <w:rsid w:val="00C82019"/>
    <w:rsid w:val="00C822B7"/>
    <w:rsid w:val="00C8398A"/>
    <w:rsid w:val="00C83B13"/>
    <w:rsid w:val="00C84298"/>
    <w:rsid w:val="00C8471C"/>
    <w:rsid w:val="00C848F5"/>
    <w:rsid w:val="00C8498A"/>
    <w:rsid w:val="00C84DE7"/>
    <w:rsid w:val="00C8583E"/>
    <w:rsid w:val="00C85985"/>
    <w:rsid w:val="00C85B34"/>
    <w:rsid w:val="00C8613C"/>
    <w:rsid w:val="00C864C8"/>
    <w:rsid w:val="00C86ACF"/>
    <w:rsid w:val="00C86D8E"/>
    <w:rsid w:val="00C86E94"/>
    <w:rsid w:val="00C86F14"/>
    <w:rsid w:val="00C86F84"/>
    <w:rsid w:val="00C8786D"/>
    <w:rsid w:val="00C878A0"/>
    <w:rsid w:val="00C87A47"/>
    <w:rsid w:val="00C87FC7"/>
    <w:rsid w:val="00C903FE"/>
    <w:rsid w:val="00C90563"/>
    <w:rsid w:val="00C910DD"/>
    <w:rsid w:val="00C91ACA"/>
    <w:rsid w:val="00C91BB7"/>
    <w:rsid w:val="00C91D81"/>
    <w:rsid w:val="00C92B0F"/>
    <w:rsid w:val="00C92E4F"/>
    <w:rsid w:val="00C93648"/>
    <w:rsid w:val="00C9377D"/>
    <w:rsid w:val="00C93BBC"/>
    <w:rsid w:val="00C9501B"/>
    <w:rsid w:val="00C95763"/>
    <w:rsid w:val="00C95C62"/>
    <w:rsid w:val="00C96B39"/>
    <w:rsid w:val="00C970B3"/>
    <w:rsid w:val="00C9729A"/>
    <w:rsid w:val="00C97EAB"/>
    <w:rsid w:val="00CA009C"/>
    <w:rsid w:val="00CA0291"/>
    <w:rsid w:val="00CA0376"/>
    <w:rsid w:val="00CA0C93"/>
    <w:rsid w:val="00CA0EBA"/>
    <w:rsid w:val="00CA1084"/>
    <w:rsid w:val="00CA15EC"/>
    <w:rsid w:val="00CA165B"/>
    <w:rsid w:val="00CA2389"/>
    <w:rsid w:val="00CA2CC8"/>
    <w:rsid w:val="00CA300A"/>
    <w:rsid w:val="00CA3552"/>
    <w:rsid w:val="00CA3EEE"/>
    <w:rsid w:val="00CA4299"/>
    <w:rsid w:val="00CA4AA0"/>
    <w:rsid w:val="00CA4B12"/>
    <w:rsid w:val="00CA529E"/>
    <w:rsid w:val="00CA5666"/>
    <w:rsid w:val="00CA576F"/>
    <w:rsid w:val="00CA577E"/>
    <w:rsid w:val="00CA5C6D"/>
    <w:rsid w:val="00CA6EE2"/>
    <w:rsid w:val="00CA6F08"/>
    <w:rsid w:val="00CA77E2"/>
    <w:rsid w:val="00CA7C8F"/>
    <w:rsid w:val="00CB024F"/>
    <w:rsid w:val="00CB0D30"/>
    <w:rsid w:val="00CB10CD"/>
    <w:rsid w:val="00CB1584"/>
    <w:rsid w:val="00CB17DC"/>
    <w:rsid w:val="00CB2446"/>
    <w:rsid w:val="00CB2B0F"/>
    <w:rsid w:val="00CB2E88"/>
    <w:rsid w:val="00CB3282"/>
    <w:rsid w:val="00CB3C19"/>
    <w:rsid w:val="00CB40E0"/>
    <w:rsid w:val="00CB4450"/>
    <w:rsid w:val="00CB4714"/>
    <w:rsid w:val="00CB4CD9"/>
    <w:rsid w:val="00CB500E"/>
    <w:rsid w:val="00CB53D1"/>
    <w:rsid w:val="00CB55F0"/>
    <w:rsid w:val="00CB5AED"/>
    <w:rsid w:val="00CB5ED3"/>
    <w:rsid w:val="00CB70DB"/>
    <w:rsid w:val="00CB77AF"/>
    <w:rsid w:val="00CB7D38"/>
    <w:rsid w:val="00CC0035"/>
    <w:rsid w:val="00CC0469"/>
    <w:rsid w:val="00CC08F6"/>
    <w:rsid w:val="00CC0A99"/>
    <w:rsid w:val="00CC0F3E"/>
    <w:rsid w:val="00CC1015"/>
    <w:rsid w:val="00CC1102"/>
    <w:rsid w:val="00CC2892"/>
    <w:rsid w:val="00CC2EEE"/>
    <w:rsid w:val="00CC35AC"/>
    <w:rsid w:val="00CC376D"/>
    <w:rsid w:val="00CC39B9"/>
    <w:rsid w:val="00CC3AA3"/>
    <w:rsid w:val="00CC61D4"/>
    <w:rsid w:val="00CC62BD"/>
    <w:rsid w:val="00CC6880"/>
    <w:rsid w:val="00CC69A4"/>
    <w:rsid w:val="00CC7328"/>
    <w:rsid w:val="00CC77CF"/>
    <w:rsid w:val="00CC77D9"/>
    <w:rsid w:val="00CC7E30"/>
    <w:rsid w:val="00CD095F"/>
    <w:rsid w:val="00CD0DD2"/>
    <w:rsid w:val="00CD10FC"/>
    <w:rsid w:val="00CD1160"/>
    <w:rsid w:val="00CD1725"/>
    <w:rsid w:val="00CD1FAA"/>
    <w:rsid w:val="00CD27CA"/>
    <w:rsid w:val="00CD289B"/>
    <w:rsid w:val="00CD2A08"/>
    <w:rsid w:val="00CD2E9E"/>
    <w:rsid w:val="00CD35C8"/>
    <w:rsid w:val="00CD376C"/>
    <w:rsid w:val="00CD3B51"/>
    <w:rsid w:val="00CD3DEA"/>
    <w:rsid w:val="00CD4024"/>
    <w:rsid w:val="00CD45D0"/>
    <w:rsid w:val="00CD47CF"/>
    <w:rsid w:val="00CD496F"/>
    <w:rsid w:val="00CD5AD4"/>
    <w:rsid w:val="00CD6867"/>
    <w:rsid w:val="00CD690C"/>
    <w:rsid w:val="00CD7571"/>
    <w:rsid w:val="00CE04AA"/>
    <w:rsid w:val="00CE067F"/>
    <w:rsid w:val="00CE084F"/>
    <w:rsid w:val="00CE09C0"/>
    <w:rsid w:val="00CE1320"/>
    <w:rsid w:val="00CE14AE"/>
    <w:rsid w:val="00CE1609"/>
    <w:rsid w:val="00CE1B00"/>
    <w:rsid w:val="00CE3189"/>
    <w:rsid w:val="00CE376F"/>
    <w:rsid w:val="00CE41BE"/>
    <w:rsid w:val="00CE4A94"/>
    <w:rsid w:val="00CE516C"/>
    <w:rsid w:val="00CE52BE"/>
    <w:rsid w:val="00CE53CA"/>
    <w:rsid w:val="00CE5888"/>
    <w:rsid w:val="00CE5936"/>
    <w:rsid w:val="00CE6296"/>
    <w:rsid w:val="00CE64ED"/>
    <w:rsid w:val="00CE6955"/>
    <w:rsid w:val="00CE69C2"/>
    <w:rsid w:val="00CE6C3A"/>
    <w:rsid w:val="00CE6F63"/>
    <w:rsid w:val="00CE71E6"/>
    <w:rsid w:val="00CF0274"/>
    <w:rsid w:val="00CF044F"/>
    <w:rsid w:val="00CF06D8"/>
    <w:rsid w:val="00CF0D65"/>
    <w:rsid w:val="00CF0E4C"/>
    <w:rsid w:val="00CF15DB"/>
    <w:rsid w:val="00CF16F2"/>
    <w:rsid w:val="00CF1918"/>
    <w:rsid w:val="00CF1E46"/>
    <w:rsid w:val="00CF22CA"/>
    <w:rsid w:val="00CF2671"/>
    <w:rsid w:val="00CF27E2"/>
    <w:rsid w:val="00CF2AF2"/>
    <w:rsid w:val="00CF2D96"/>
    <w:rsid w:val="00CF31E0"/>
    <w:rsid w:val="00CF33FD"/>
    <w:rsid w:val="00CF3B57"/>
    <w:rsid w:val="00CF3BFC"/>
    <w:rsid w:val="00CF4C38"/>
    <w:rsid w:val="00CF4C3A"/>
    <w:rsid w:val="00CF4E4D"/>
    <w:rsid w:val="00CF56F4"/>
    <w:rsid w:val="00CF59AA"/>
    <w:rsid w:val="00CF5C98"/>
    <w:rsid w:val="00CF6228"/>
    <w:rsid w:val="00CF65B4"/>
    <w:rsid w:val="00CF7885"/>
    <w:rsid w:val="00D009CF"/>
    <w:rsid w:val="00D00D08"/>
    <w:rsid w:val="00D016D9"/>
    <w:rsid w:val="00D01FB8"/>
    <w:rsid w:val="00D02253"/>
    <w:rsid w:val="00D027CF"/>
    <w:rsid w:val="00D02B56"/>
    <w:rsid w:val="00D02EEF"/>
    <w:rsid w:val="00D030CA"/>
    <w:rsid w:val="00D03267"/>
    <w:rsid w:val="00D032DD"/>
    <w:rsid w:val="00D03339"/>
    <w:rsid w:val="00D037D5"/>
    <w:rsid w:val="00D03BDD"/>
    <w:rsid w:val="00D044C1"/>
    <w:rsid w:val="00D04789"/>
    <w:rsid w:val="00D0490E"/>
    <w:rsid w:val="00D04D9E"/>
    <w:rsid w:val="00D04ED7"/>
    <w:rsid w:val="00D051E0"/>
    <w:rsid w:val="00D0580C"/>
    <w:rsid w:val="00D060C1"/>
    <w:rsid w:val="00D063B4"/>
    <w:rsid w:val="00D06745"/>
    <w:rsid w:val="00D07FA9"/>
    <w:rsid w:val="00D10118"/>
    <w:rsid w:val="00D101BD"/>
    <w:rsid w:val="00D102F5"/>
    <w:rsid w:val="00D110D4"/>
    <w:rsid w:val="00D113A9"/>
    <w:rsid w:val="00D1140A"/>
    <w:rsid w:val="00D12108"/>
    <w:rsid w:val="00D121A6"/>
    <w:rsid w:val="00D12B83"/>
    <w:rsid w:val="00D13031"/>
    <w:rsid w:val="00D130FB"/>
    <w:rsid w:val="00D132D1"/>
    <w:rsid w:val="00D13393"/>
    <w:rsid w:val="00D1396C"/>
    <w:rsid w:val="00D13BB7"/>
    <w:rsid w:val="00D140E6"/>
    <w:rsid w:val="00D1428B"/>
    <w:rsid w:val="00D14364"/>
    <w:rsid w:val="00D14ABF"/>
    <w:rsid w:val="00D14B2F"/>
    <w:rsid w:val="00D15FFF"/>
    <w:rsid w:val="00D16545"/>
    <w:rsid w:val="00D17152"/>
    <w:rsid w:val="00D17607"/>
    <w:rsid w:val="00D2070E"/>
    <w:rsid w:val="00D20803"/>
    <w:rsid w:val="00D20C55"/>
    <w:rsid w:val="00D22031"/>
    <w:rsid w:val="00D22A68"/>
    <w:rsid w:val="00D2310D"/>
    <w:rsid w:val="00D232C2"/>
    <w:rsid w:val="00D23335"/>
    <w:rsid w:val="00D238B0"/>
    <w:rsid w:val="00D240BE"/>
    <w:rsid w:val="00D24881"/>
    <w:rsid w:val="00D25E8E"/>
    <w:rsid w:val="00D262C1"/>
    <w:rsid w:val="00D2661D"/>
    <w:rsid w:val="00D26DBE"/>
    <w:rsid w:val="00D27492"/>
    <w:rsid w:val="00D27737"/>
    <w:rsid w:val="00D27DF0"/>
    <w:rsid w:val="00D27E95"/>
    <w:rsid w:val="00D300D2"/>
    <w:rsid w:val="00D308B1"/>
    <w:rsid w:val="00D30907"/>
    <w:rsid w:val="00D30F92"/>
    <w:rsid w:val="00D3140B"/>
    <w:rsid w:val="00D314C1"/>
    <w:rsid w:val="00D31581"/>
    <w:rsid w:val="00D3183F"/>
    <w:rsid w:val="00D3184E"/>
    <w:rsid w:val="00D322F7"/>
    <w:rsid w:val="00D323E6"/>
    <w:rsid w:val="00D32541"/>
    <w:rsid w:val="00D3256D"/>
    <w:rsid w:val="00D32598"/>
    <w:rsid w:val="00D3294E"/>
    <w:rsid w:val="00D329A0"/>
    <w:rsid w:val="00D32E4B"/>
    <w:rsid w:val="00D32E8B"/>
    <w:rsid w:val="00D330BA"/>
    <w:rsid w:val="00D3317E"/>
    <w:rsid w:val="00D3321D"/>
    <w:rsid w:val="00D33265"/>
    <w:rsid w:val="00D33308"/>
    <w:rsid w:val="00D341A7"/>
    <w:rsid w:val="00D3480C"/>
    <w:rsid w:val="00D3538A"/>
    <w:rsid w:val="00D35E43"/>
    <w:rsid w:val="00D36611"/>
    <w:rsid w:val="00D36C2E"/>
    <w:rsid w:val="00D36E76"/>
    <w:rsid w:val="00D37275"/>
    <w:rsid w:val="00D41CA4"/>
    <w:rsid w:val="00D41E7B"/>
    <w:rsid w:val="00D4291B"/>
    <w:rsid w:val="00D42A3B"/>
    <w:rsid w:val="00D42B07"/>
    <w:rsid w:val="00D42D58"/>
    <w:rsid w:val="00D431E9"/>
    <w:rsid w:val="00D4378F"/>
    <w:rsid w:val="00D439CB"/>
    <w:rsid w:val="00D43CFE"/>
    <w:rsid w:val="00D44111"/>
    <w:rsid w:val="00D44504"/>
    <w:rsid w:val="00D44692"/>
    <w:rsid w:val="00D446C1"/>
    <w:rsid w:val="00D44D77"/>
    <w:rsid w:val="00D44DF5"/>
    <w:rsid w:val="00D45418"/>
    <w:rsid w:val="00D45B62"/>
    <w:rsid w:val="00D46E49"/>
    <w:rsid w:val="00D46FFC"/>
    <w:rsid w:val="00D47045"/>
    <w:rsid w:val="00D4796D"/>
    <w:rsid w:val="00D47C94"/>
    <w:rsid w:val="00D500E5"/>
    <w:rsid w:val="00D5058D"/>
    <w:rsid w:val="00D51292"/>
    <w:rsid w:val="00D51891"/>
    <w:rsid w:val="00D52318"/>
    <w:rsid w:val="00D52734"/>
    <w:rsid w:val="00D52A17"/>
    <w:rsid w:val="00D52C1B"/>
    <w:rsid w:val="00D539C3"/>
    <w:rsid w:val="00D54558"/>
    <w:rsid w:val="00D54DFB"/>
    <w:rsid w:val="00D55117"/>
    <w:rsid w:val="00D55D56"/>
    <w:rsid w:val="00D56ED5"/>
    <w:rsid w:val="00D57002"/>
    <w:rsid w:val="00D577F5"/>
    <w:rsid w:val="00D57CC8"/>
    <w:rsid w:val="00D60045"/>
    <w:rsid w:val="00D612B4"/>
    <w:rsid w:val="00D61642"/>
    <w:rsid w:val="00D622CB"/>
    <w:rsid w:val="00D62664"/>
    <w:rsid w:val="00D626E3"/>
    <w:rsid w:val="00D62E49"/>
    <w:rsid w:val="00D6358C"/>
    <w:rsid w:val="00D636FC"/>
    <w:rsid w:val="00D6390F"/>
    <w:rsid w:val="00D63924"/>
    <w:rsid w:val="00D63A14"/>
    <w:rsid w:val="00D63F29"/>
    <w:rsid w:val="00D6454C"/>
    <w:rsid w:val="00D648FA"/>
    <w:rsid w:val="00D65C04"/>
    <w:rsid w:val="00D66000"/>
    <w:rsid w:val="00D66BD5"/>
    <w:rsid w:val="00D66E58"/>
    <w:rsid w:val="00D67043"/>
    <w:rsid w:val="00D67874"/>
    <w:rsid w:val="00D67BDA"/>
    <w:rsid w:val="00D704CA"/>
    <w:rsid w:val="00D707E2"/>
    <w:rsid w:val="00D70F33"/>
    <w:rsid w:val="00D70F3A"/>
    <w:rsid w:val="00D71066"/>
    <w:rsid w:val="00D71E20"/>
    <w:rsid w:val="00D71F35"/>
    <w:rsid w:val="00D721FE"/>
    <w:rsid w:val="00D7244C"/>
    <w:rsid w:val="00D7259D"/>
    <w:rsid w:val="00D72796"/>
    <w:rsid w:val="00D7289B"/>
    <w:rsid w:val="00D72B01"/>
    <w:rsid w:val="00D72DFC"/>
    <w:rsid w:val="00D72F93"/>
    <w:rsid w:val="00D742B5"/>
    <w:rsid w:val="00D74847"/>
    <w:rsid w:val="00D74F10"/>
    <w:rsid w:val="00D75A42"/>
    <w:rsid w:val="00D760CC"/>
    <w:rsid w:val="00D7690E"/>
    <w:rsid w:val="00D76BA3"/>
    <w:rsid w:val="00D76EAE"/>
    <w:rsid w:val="00D770DA"/>
    <w:rsid w:val="00D7711D"/>
    <w:rsid w:val="00D772EF"/>
    <w:rsid w:val="00D77A8E"/>
    <w:rsid w:val="00D77AB9"/>
    <w:rsid w:val="00D77C90"/>
    <w:rsid w:val="00D77DD7"/>
    <w:rsid w:val="00D805CB"/>
    <w:rsid w:val="00D8061D"/>
    <w:rsid w:val="00D816E2"/>
    <w:rsid w:val="00D817FE"/>
    <w:rsid w:val="00D819E3"/>
    <w:rsid w:val="00D82821"/>
    <w:rsid w:val="00D82A6F"/>
    <w:rsid w:val="00D8352C"/>
    <w:rsid w:val="00D835F0"/>
    <w:rsid w:val="00D83DF0"/>
    <w:rsid w:val="00D84421"/>
    <w:rsid w:val="00D84696"/>
    <w:rsid w:val="00D84999"/>
    <w:rsid w:val="00D852E1"/>
    <w:rsid w:val="00D85D8C"/>
    <w:rsid w:val="00D86436"/>
    <w:rsid w:val="00D8691E"/>
    <w:rsid w:val="00D87748"/>
    <w:rsid w:val="00D879DF"/>
    <w:rsid w:val="00D87B25"/>
    <w:rsid w:val="00D87D40"/>
    <w:rsid w:val="00D90014"/>
    <w:rsid w:val="00D9002F"/>
    <w:rsid w:val="00D90199"/>
    <w:rsid w:val="00D9021A"/>
    <w:rsid w:val="00D9025D"/>
    <w:rsid w:val="00D90B4D"/>
    <w:rsid w:val="00D91133"/>
    <w:rsid w:val="00D91498"/>
    <w:rsid w:val="00D91793"/>
    <w:rsid w:val="00D91CE4"/>
    <w:rsid w:val="00D92129"/>
    <w:rsid w:val="00D923ED"/>
    <w:rsid w:val="00D92659"/>
    <w:rsid w:val="00D92F0A"/>
    <w:rsid w:val="00D932F0"/>
    <w:rsid w:val="00D9334D"/>
    <w:rsid w:val="00D94430"/>
    <w:rsid w:val="00D954DD"/>
    <w:rsid w:val="00D957FB"/>
    <w:rsid w:val="00D959D1"/>
    <w:rsid w:val="00D95CC7"/>
    <w:rsid w:val="00D96145"/>
    <w:rsid w:val="00D96600"/>
    <w:rsid w:val="00D96ACE"/>
    <w:rsid w:val="00D96D83"/>
    <w:rsid w:val="00D9767B"/>
    <w:rsid w:val="00D97935"/>
    <w:rsid w:val="00DA0118"/>
    <w:rsid w:val="00DA0343"/>
    <w:rsid w:val="00DA0504"/>
    <w:rsid w:val="00DA0DBB"/>
    <w:rsid w:val="00DA2406"/>
    <w:rsid w:val="00DA29B9"/>
    <w:rsid w:val="00DA2C30"/>
    <w:rsid w:val="00DA3504"/>
    <w:rsid w:val="00DA360F"/>
    <w:rsid w:val="00DA3EAF"/>
    <w:rsid w:val="00DA5E62"/>
    <w:rsid w:val="00DA6658"/>
    <w:rsid w:val="00DA68A6"/>
    <w:rsid w:val="00DA6C7F"/>
    <w:rsid w:val="00DA72D0"/>
    <w:rsid w:val="00DA7D1A"/>
    <w:rsid w:val="00DA7DEC"/>
    <w:rsid w:val="00DB00FF"/>
    <w:rsid w:val="00DB056E"/>
    <w:rsid w:val="00DB058C"/>
    <w:rsid w:val="00DB0CEC"/>
    <w:rsid w:val="00DB0F03"/>
    <w:rsid w:val="00DB14A1"/>
    <w:rsid w:val="00DB182E"/>
    <w:rsid w:val="00DB1C7D"/>
    <w:rsid w:val="00DB1DA7"/>
    <w:rsid w:val="00DB1F37"/>
    <w:rsid w:val="00DB22EE"/>
    <w:rsid w:val="00DB23C6"/>
    <w:rsid w:val="00DB2F6B"/>
    <w:rsid w:val="00DB339E"/>
    <w:rsid w:val="00DB3DFD"/>
    <w:rsid w:val="00DB3EA6"/>
    <w:rsid w:val="00DB47AF"/>
    <w:rsid w:val="00DB47EF"/>
    <w:rsid w:val="00DB4CCF"/>
    <w:rsid w:val="00DB5069"/>
    <w:rsid w:val="00DB52E0"/>
    <w:rsid w:val="00DB53C7"/>
    <w:rsid w:val="00DB55C9"/>
    <w:rsid w:val="00DB5C12"/>
    <w:rsid w:val="00DB63A1"/>
    <w:rsid w:val="00DB6820"/>
    <w:rsid w:val="00DB6851"/>
    <w:rsid w:val="00DB6853"/>
    <w:rsid w:val="00DB6E24"/>
    <w:rsid w:val="00DB709C"/>
    <w:rsid w:val="00DB7FF8"/>
    <w:rsid w:val="00DC0963"/>
    <w:rsid w:val="00DC11A7"/>
    <w:rsid w:val="00DC162C"/>
    <w:rsid w:val="00DC16E7"/>
    <w:rsid w:val="00DC239A"/>
    <w:rsid w:val="00DC2882"/>
    <w:rsid w:val="00DC29A9"/>
    <w:rsid w:val="00DC2B21"/>
    <w:rsid w:val="00DC33B6"/>
    <w:rsid w:val="00DC3673"/>
    <w:rsid w:val="00DC3709"/>
    <w:rsid w:val="00DC414E"/>
    <w:rsid w:val="00DC41B5"/>
    <w:rsid w:val="00DC5180"/>
    <w:rsid w:val="00DC5435"/>
    <w:rsid w:val="00DC60C3"/>
    <w:rsid w:val="00DC64BA"/>
    <w:rsid w:val="00DC64DD"/>
    <w:rsid w:val="00DC66B8"/>
    <w:rsid w:val="00DC677B"/>
    <w:rsid w:val="00DC6812"/>
    <w:rsid w:val="00DC68BF"/>
    <w:rsid w:val="00DC6E2B"/>
    <w:rsid w:val="00DC72ED"/>
    <w:rsid w:val="00DC72F5"/>
    <w:rsid w:val="00DC7422"/>
    <w:rsid w:val="00DC74D3"/>
    <w:rsid w:val="00DC761F"/>
    <w:rsid w:val="00DC7AE1"/>
    <w:rsid w:val="00DC7E5C"/>
    <w:rsid w:val="00DD013A"/>
    <w:rsid w:val="00DD08CC"/>
    <w:rsid w:val="00DD0B44"/>
    <w:rsid w:val="00DD0D48"/>
    <w:rsid w:val="00DD124F"/>
    <w:rsid w:val="00DD1D94"/>
    <w:rsid w:val="00DD22B3"/>
    <w:rsid w:val="00DD2317"/>
    <w:rsid w:val="00DD2563"/>
    <w:rsid w:val="00DD2C93"/>
    <w:rsid w:val="00DD2DB3"/>
    <w:rsid w:val="00DD51AA"/>
    <w:rsid w:val="00DD522F"/>
    <w:rsid w:val="00DD52EA"/>
    <w:rsid w:val="00DD5565"/>
    <w:rsid w:val="00DD57AA"/>
    <w:rsid w:val="00DD5801"/>
    <w:rsid w:val="00DD590C"/>
    <w:rsid w:val="00DD5AD6"/>
    <w:rsid w:val="00DD5C5C"/>
    <w:rsid w:val="00DD5EB9"/>
    <w:rsid w:val="00DD64DA"/>
    <w:rsid w:val="00DD6A21"/>
    <w:rsid w:val="00DD7500"/>
    <w:rsid w:val="00DD752D"/>
    <w:rsid w:val="00DD7879"/>
    <w:rsid w:val="00DD79C2"/>
    <w:rsid w:val="00DD7C33"/>
    <w:rsid w:val="00DE002B"/>
    <w:rsid w:val="00DE03F0"/>
    <w:rsid w:val="00DE0AC8"/>
    <w:rsid w:val="00DE0B50"/>
    <w:rsid w:val="00DE231C"/>
    <w:rsid w:val="00DE2B44"/>
    <w:rsid w:val="00DE2D30"/>
    <w:rsid w:val="00DE2FFC"/>
    <w:rsid w:val="00DE30BE"/>
    <w:rsid w:val="00DE3103"/>
    <w:rsid w:val="00DE3604"/>
    <w:rsid w:val="00DE4D85"/>
    <w:rsid w:val="00DE5038"/>
    <w:rsid w:val="00DE5165"/>
    <w:rsid w:val="00DE5C9E"/>
    <w:rsid w:val="00DE64B3"/>
    <w:rsid w:val="00DE64DA"/>
    <w:rsid w:val="00DE7582"/>
    <w:rsid w:val="00DE79FC"/>
    <w:rsid w:val="00DE7BAD"/>
    <w:rsid w:val="00DE7FAE"/>
    <w:rsid w:val="00DF0379"/>
    <w:rsid w:val="00DF06B4"/>
    <w:rsid w:val="00DF0720"/>
    <w:rsid w:val="00DF1716"/>
    <w:rsid w:val="00DF17FA"/>
    <w:rsid w:val="00DF1B01"/>
    <w:rsid w:val="00DF239D"/>
    <w:rsid w:val="00DF2F16"/>
    <w:rsid w:val="00DF3185"/>
    <w:rsid w:val="00DF333E"/>
    <w:rsid w:val="00DF3696"/>
    <w:rsid w:val="00DF3BB9"/>
    <w:rsid w:val="00DF3BCA"/>
    <w:rsid w:val="00DF3C80"/>
    <w:rsid w:val="00DF4AAA"/>
    <w:rsid w:val="00DF573A"/>
    <w:rsid w:val="00DF585B"/>
    <w:rsid w:val="00DF5B21"/>
    <w:rsid w:val="00DF5C18"/>
    <w:rsid w:val="00DF610B"/>
    <w:rsid w:val="00DF6623"/>
    <w:rsid w:val="00DF6807"/>
    <w:rsid w:val="00DF6AC6"/>
    <w:rsid w:val="00DF6B79"/>
    <w:rsid w:val="00DF6E83"/>
    <w:rsid w:val="00DF7067"/>
    <w:rsid w:val="00DF7C6D"/>
    <w:rsid w:val="00DF7F1D"/>
    <w:rsid w:val="00E0000D"/>
    <w:rsid w:val="00E00271"/>
    <w:rsid w:val="00E00924"/>
    <w:rsid w:val="00E00BD0"/>
    <w:rsid w:val="00E0128A"/>
    <w:rsid w:val="00E013B4"/>
    <w:rsid w:val="00E0193B"/>
    <w:rsid w:val="00E01D15"/>
    <w:rsid w:val="00E021D1"/>
    <w:rsid w:val="00E0225B"/>
    <w:rsid w:val="00E03455"/>
    <w:rsid w:val="00E03798"/>
    <w:rsid w:val="00E0386E"/>
    <w:rsid w:val="00E03C26"/>
    <w:rsid w:val="00E03D9F"/>
    <w:rsid w:val="00E04188"/>
    <w:rsid w:val="00E0427F"/>
    <w:rsid w:val="00E044FA"/>
    <w:rsid w:val="00E049AB"/>
    <w:rsid w:val="00E04D99"/>
    <w:rsid w:val="00E05BF1"/>
    <w:rsid w:val="00E05F4F"/>
    <w:rsid w:val="00E0634F"/>
    <w:rsid w:val="00E065AE"/>
    <w:rsid w:val="00E065EB"/>
    <w:rsid w:val="00E06976"/>
    <w:rsid w:val="00E074A9"/>
    <w:rsid w:val="00E07C44"/>
    <w:rsid w:val="00E07E36"/>
    <w:rsid w:val="00E10C93"/>
    <w:rsid w:val="00E11279"/>
    <w:rsid w:val="00E114C7"/>
    <w:rsid w:val="00E11795"/>
    <w:rsid w:val="00E11D0D"/>
    <w:rsid w:val="00E123DA"/>
    <w:rsid w:val="00E129DB"/>
    <w:rsid w:val="00E1335A"/>
    <w:rsid w:val="00E134DD"/>
    <w:rsid w:val="00E135EE"/>
    <w:rsid w:val="00E13830"/>
    <w:rsid w:val="00E13891"/>
    <w:rsid w:val="00E14145"/>
    <w:rsid w:val="00E14419"/>
    <w:rsid w:val="00E144C5"/>
    <w:rsid w:val="00E14AE6"/>
    <w:rsid w:val="00E14B20"/>
    <w:rsid w:val="00E14B21"/>
    <w:rsid w:val="00E14B7D"/>
    <w:rsid w:val="00E152AB"/>
    <w:rsid w:val="00E1578C"/>
    <w:rsid w:val="00E158A9"/>
    <w:rsid w:val="00E15BD6"/>
    <w:rsid w:val="00E1636A"/>
    <w:rsid w:val="00E16E9E"/>
    <w:rsid w:val="00E16EB4"/>
    <w:rsid w:val="00E1771A"/>
    <w:rsid w:val="00E179C7"/>
    <w:rsid w:val="00E2047D"/>
    <w:rsid w:val="00E21903"/>
    <w:rsid w:val="00E21B6B"/>
    <w:rsid w:val="00E2271A"/>
    <w:rsid w:val="00E22730"/>
    <w:rsid w:val="00E22DA6"/>
    <w:rsid w:val="00E235B4"/>
    <w:rsid w:val="00E24088"/>
    <w:rsid w:val="00E250E5"/>
    <w:rsid w:val="00E2511F"/>
    <w:rsid w:val="00E256DF"/>
    <w:rsid w:val="00E25913"/>
    <w:rsid w:val="00E25E10"/>
    <w:rsid w:val="00E267D1"/>
    <w:rsid w:val="00E268F3"/>
    <w:rsid w:val="00E2704D"/>
    <w:rsid w:val="00E2737F"/>
    <w:rsid w:val="00E275DE"/>
    <w:rsid w:val="00E27985"/>
    <w:rsid w:val="00E27AED"/>
    <w:rsid w:val="00E27F19"/>
    <w:rsid w:val="00E30408"/>
    <w:rsid w:val="00E3043C"/>
    <w:rsid w:val="00E3056C"/>
    <w:rsid w:val="00E306C7"/>
    <w:rsid w:val="00E30B55"/>
    <w:rsid w:val="00E3114B"/>
    <w:rsid w:val="00E31212"/>
    <w:rsid w:val="00E3143E"/>
    <w:rsid w:val="00E314D2"/>
    <w:rsid w:val="00E31651"/>
    <w:rsid w:val="00E31939"/>
    <w:rsid w:val="00E32897"/>
    <w:rsid w:val="00E331E4"/>
    <w:rsid w:val="00E33382"/>
    <w:rsid w:val="00E33618"/>
    <w:rsid w:val="00E3388F"/>
    <w:rsid w:val="00E33A41"/>
    <w:rsid w:val="00E34455"/>
    <w:rsid w:val="00E34DC2"/>
    <w:rsid w:val="00E350FD"/>
    <w:rsid w:val="00E354EE"/>
    <w:rsid w:val="00E3588A"/>
    <w:rsid w:val="00E35B14"/>
    <w:rsid w:val="00E35DC2"/>
    <w:rsid w:val="00E366B1"/>
    <w:rsid w:val="00E368B6"/>
    <w:rsid w:val="00E36B44"/>
    <w:rsid w:val="00E36DC7"/>
    <w:rsid w:val="00E36E6D"/>
    <w:rsid w:val="00E37529"/>
    <w:rsid w:val="00E3781A"/>
    <w:rsid w:val="00E40B56"/>
    <w:rsid w:val="00E40D5D"/>
    <w:rsid w:val="00E40DB1"/>
    <w:rsid w:val="00E40EF2"/>
    <w:rsid w:val="00E41DF8"/>
    <w:rsid w:val="00E42077"/>
    <w:rsid w:val="00E42244"/>
    <w:rsid w:val="00E42449"/>
    <w:rsid w:val="00E42643"/>
    <w:rsid w:val="00E428F2"/>
    <w:rsid w:val="00E42949"/>
    <w:rsid w:val="00E42CF9"/>
    <w:rsid w:val="00E43174"/>
    <w:rsid w:val="00E43332"/>
    <w:rsid w:val="00E439B6"/>
    <w:rsid w:val="00E44131"/>
    <w:rsid w:val="00E44577"/>
    <w:rsid w:val="00E447AA"/>
    <w:rsid w:val="00E452E3"/>
    <w:rsid w:val="00E454FF"/>
    <w:rsid w:val="00E457BF"/>
    <w:rsid w:val="00E4593B"/>
    <w:rsid w:val="00E45D63"/>
    <w:rsid w:val="00E467BD"/>
    <w:rsid w:val="00E46DD3"/>
    <w:rsid w:val="00E46DDE"/>
    <w:rsid w:val="00E4732E"/>
    <w:rsid w:val="00E4773D"/>
    <w:rsid w:val="00E47DA1"/>
    <w:rsid w:val="00E47DE0"/>
    <w:rsid w:val="00E5051F"/>
    <w:rsid w:val="00E50755"/>
    <w:rsid w:val="00E508E0"/>
    <w:rsid w:val="00E50CDB"/>
    <w:rsid w:val="00E50D3D"/>
    <w:rsid w:val="00E50F67"/>
    <w:rsid w:val="00E51203"/>
    <w:rsid w:val="00E51348"/>
    <w:rsid w:val="00E514D5"/>
    <w:rsid w:val="00E5262B"/>
    <w:rsid w:val="00E5273D"/>
    <w:rsid w:val="00E52D4E"/>
    <w:rsid w:val="00E52DEA"/>
    <w:rsid w:val="00E53071"/>
    <w:rsid w:val="00E53590"/>
    <w:rsid w:val="00E53764"/>
    <w:rsid w:val="00E5384C"/>
    <w:rsid w:val="00E53C93"/>
    <w:rsid w:val="00E53FD1"/>
    <w:rsid w:val="00E541B1"/>
    <w:rsid w:val="00E541D3"/>
    <w:rsid w:val="00E543CA"/>
    <w:rsid w:val="00E54540"/>
    <w:rsid w:val="00E54A6E"/>
    <w:rsid w:val="00E55021"/>
    <w:rsid w:val="00E55205"/>
    <w:rsid w:val="00E55402"/>
    <w:rsid w:val="00E56629"/>
    <w:rsid w:val="00E56669"/>
    <w:rsid w:val="00E56BEC"/>
    <w:rsid w:val="00E57A49"/>
    <w:rsid w:val="00E602B8"/>
    <w:rsid w:val="00E60516"/>
    <w:rsid w:val="00E607E9"/>
    <w:rsid w:val="00E61386"/>
    <w:rsid w:val="00E617D5"/>
    <w:rsid w:val="00E61E29"/>
    <w:rsid w:val="00E62099"/>
    <w:rsid w:val="00E62748"/>
    <w:rsid w:val="00E62E62"/>
    <w:rsid w:val="00E633BF"/>
    <w:rsid w:val="00E63D51"/>
    <w:rsid w:val="00E64738"/>
    <w:rsid w:val="00E648B0"/>
    <w:rsid w:val="00E64A9A"/>
    <w:rsid w:val="00E64B8E"/>
    <w:rsid w:val="00E657B3"/>
    <w:rsid w:val="00E65899"/>
    <w:rsid w:val="00E65CE6"/>
    <w:rsid w:val="00E65F77"/>
    <w:rsid w:val="00E672D6"/>
    <w:rsid w:val="00E67CF6"/>
    <w:rsid w:val="00E70556"/>
    <w:rsid w:val="00E71150"/>
    <w:rsid w:val="00E711EC"/>
    <w:rsid w:val="00E715C0"/>
    <w:rsid w:val="00E71C1C"/>
    <w:rsid w:val="00E71EAC"/>
    <w:rsid w:val="00E7286A"/>
    <w:rsid w:val="00E72DB6"/>
    <w:rsid w:val="00E72E5E"/>
    <w:rsid w:val="00E72F58"/>
    <w:rsid w:val="00E73068"/>
    <w:rsid w:val="00E73130"/>
    <w:rsid w:val="00E73242"/>
    <w:rsid w:val="00E73636"/>
    <w:rsid w:val="00E738F5"/>
    <w:rsid w:val="00E73A06"/>
    <w:rsid w:val="00E73A63"/>
    <w:rsid w:val="00E73B95"/>
    <w:rsid w:val="00E74563"/>
    <w:rsid w:val="00E748C0"/>
    <w:rsid w:val="00E74B5E"/>
    <w:rsid w:val="00E74DD8"/>
    <w:rsid w:val="00E7508F"/>
    <w:rsid w:val="00E75137"/>
    <w:rsid w:val="00E75465"/>
    <w:rsid w:val="00E759BE"/>
    <w:rsid w:val="00E75A42"/>
    <w:rsid w:val="00E75C5D"/>
    <w:rsid w:val="00E75CC2"/>
    <w:rsid w:val="00E768A2"/>
    <w:rsid w:val="00E7746E"/>
    <w:rsid w:val="00E77520"/>
    <w:rsid w:val="00E77C8F"/>
    <w:rsid w:val="00E77D44"/>
    <w:rsid w:val="00E77F8C"/>
    <w:rsid w:val="00E800D4"/>
    <w:rsid w:val="00E80817"/>
    <w:rsid w:val="00E8086A"/>
    <w:rsid w:val="00E80F7D"/>
    <w:rsid w:val="00E80FF2"/>
    <w:rsid w:val="00E81F35"/>
    <w:rsid w:val="00E82717"/>
    <w:rsid w:val="00E82C2A"/>
    <w:rsid w:val="00E82E39"/>
    <w:rsid w:val="00E83021"/>
    <w:rsid w:val="00E831CE"/>
    <w:rsid w:val="00E838D9"/>
    <w:rsid w:val="00E84F17"/>
    <w:rsid w:val="00E8502E"/>
    <w:rsid w:val="00E856C7"/>
    <w:rsid w:val="00E858E2"/>
    <w:rsid w:val="00E862D8"/>
    <w:rsid w:val="00E863EA"/>
    <w:rsid w:val="00E86B43"/>
    <w:rsid w:val="00E86D82"/>
    <w:rsid w:val="00E86F2F"/>
    <w:rsid w:val="00E8719F"/>
    <w:rsid w:val="00E875D4"/>
    <w:rsid w:val="00E9082E"/>
    <w:rsid w:val="00E90BEE"/>
    <w:rsid w:val="00E90E4B"/>
    <w:rsid w:val="00E9132B"/>
    <w:rsid w:val="00E918CC"/>
    <w:rsid w:val="00E91BD3"/>
    <w:rsid w:val="00E91D91"/>
    <w:rsid w:val="00E92064"/>
    <w:rsid w:val="00E92A30"/>
    <w:rsid w:val="00E936C3"/>
    <w:rsid w:val="00E939C4"/>
    <w:rsid w:val="00E93A1E"/>
    <w:rsid w:val="00E9417F"/>
    <w:rsid w:val="00E944BF"/>
    <w:rsid w:val="00E945FC"/>
    <w:rsid w:val="00E94C3A"/>
    <w:rsid w:val="00E952F6"/>
    <w:rsid w:val="00E9544A"/>
    <w:rsid w:val="00E961FE"/>
    <w:rsid w:val="00E966A6"/>
    <w:rsid w:val="00E96ECD"/>
    <w:rsid w:val="00E970A8"/>
    <w:rsid w:val="00E97253"/>
    <w:rsid w:val="00E972D6"/>
    <w:rsid w:val="00E97400"/>
    <w:rsid w:val="00E9745D"/>
    <w:rsid w:val="00E976EC"/>
    <w:rsid w:val="00EA0FD2"/>
    <w:rsid w:val="00EA1053"/>
    <w:rsid w:val="00EA13EE"/>
    <w:rsid w:val="00EA1524"/>
    <w:rsid w:val="00EA26AB"/>
    <w:rsid w:val="00EA2755"/>
    <w:rsid w:val="00EA2981"/>
    <w:rsid w:val="00EA328C"/>
    <w:rsid w:val="00EA3789"/>
    <w:rsid w:val="00EA403B"/>
    <w:rsid w:val="00EA469E"/>
    <w:rsid w:val="00EA4D05"/>
    <w:rsid w:val="00EA4E93"/>
    <w:rsid w:val="00EA4EBD"/>
    <w:rsid w:val="00EA5CCB"/>
    <w:rsid w:val="00EA5D48"/>
    <w:rsid w:val="00EA65A1"/>
    <w:rsid w:val="00EA66F9"/>
    <w:rsid w:val="00EA6E9D"/>
    <w:rsid w:val="00EA6FA1"/>
    <w:rsid w:val="00EA7134"/>
    <w:rsid w:val="00EA7678"/>
    <w:rsid w:val="00EA7834"/>
    <w:rsid w:val="00EA7940"/>
    <w:rsid w:val="00EA7B8C"/>
    <w:rsid w:val="00EB0505"/>
    <w:rsid w:val="00EB089A"/>
    <w:rsid w:val="00EB0F9E"/>
    <w:rsid w:val="00EB181A"/>
    <w:rsid w:val="00EB1B4E"/>
    <w:rsid w:val="00EB1F74"/>
    <w:rsid w:val="00EB20CE"/>
    <w:rsid w:val="00EB22AC"/>
    <w:rsid w:val="00EB2576"/>
    <w:rsid w:val="00EB2D79"/>
    <w:rsid w:val="00EB3130"/>
    <w:rsid w:val="00EB34FB"/>
    <w:rsid w:val="00EB3684"/>
    <w:rsid w:val="00EB3685"/>
    <w:rsid w:val="00EB3885"/>
    <w:rsid w:val="00EB4658"/>
    <w:rsid w:val="00EB4B5D"/>
    <w:rsid w:val="00EB4FC7"/>
    <w:rsid w:val="00EB4FDA"/>
    <w:rsid w:val="00EB50D5"/>
    <w:rsid w:val="00EB5127"/>
    <w:rsid w:val="00EB5B27"/>
    <w:rsid w:val="00EB5BBE"/>
    <w:rsid w:val="00EB5F71"/>
    <w:rsid w:val="00EB64DF"/>
    <w:rsid w:val="00EB6874"/>
    <w:rsid w:val="00EB6885"/>
    <w:rsid w:val="00EB7989"/>
    <w:rsid w:val="00EB7E5F"/>
    <w:rsid w:val="00EC0E15"/>
    <w:rsid w:val="00EC0EC9"/>
    <w:rsid w:val="00EC15C7"/>
    <w:rsid w:val="00EC15F1"/>
    <w:rsid w:val="00EC1B61"/>
    <w:rsid w:val="00EC233D"/>
    <w:rsid w:val="00EC2918"/>
    <w:rsid w:val="00EC2A8C"/>
    <w:rsid w:val="00EC3716"/>
    <w:rsid w:val="00EC3779"/>
    <w:rsid w:val="00EC3A23"/>
    <w:rsid w:val="00EC3BE7"/>
    <w:rsid w:val="00EC3FE1"/>
    <w:rsid w:val="00EC47FA"/>
    <w:rsid w:val="00EC5A42"/>
    <w:rsid w:val="00EC5B4D"/>
    <w:rsid w:val="00EC5D9A"/>
    <w:rsid w:val="00EC5E7C"/>
    <w:rsid w:val="00EC722B"/>
    <w:rsid w:val="00EC730C"/>
    <w:rsid w:val="00EC732D"/>
    <w:rsid w:val="00ED05AE"/>
    <w:rsid w:val="00ED0879"/>
    <w:rsid w:val="00ED0A97"/>
    <w:rsid w:val="00ED0B98"/>
    <w:rsid w:val="00ED0D78"/>
    <w:rsid w:val="00ED203C"/>
    <w:rsid w:val="00ED2F1F"/>
    <w:rsid w:val="00ED3424"/>
    <w:rsid w:val="00ED37EE"/>
    <w:rsid w:val="00ED37FB"/>
    <w:rsid w:val="00ED3AA2"/>
    <w:rsid w:val="00ED3BCF"/>
    <w:rsid w:val="00ED4074"/>
    <w:rsid w:val="00ED4AC2"/>
    <w:rsid w:val="00ED54D0"/>
    <w:rsid w:val="00ED5696"/>
    <w:rsid w:val="00ED5F2D"/>
    <w:rsid w:val="00ED651C"/>
    <w:rsid w:val="00ED6941"/>
    <w:rsid w:val="00ED6D2E"/>
    <w:rsid w:val="00ED6D73"/>
    <w:rsid w:val="00ED6F31"/>
    <w:rsid w:val="00ED6F87"/>
    <w:rsid w:val="00ED7949"/>
    <w:rsid w:val="00ED7CBF"/>
    <w:rsid w:val="00ED7DD5"/>
    <w:rsid w:val="00EE0B83"/>
    <w:rsid w:val="00EE0DE1"/>
    <w:rsid w:val="00EE1498"/>
    <w:rsid w:val="00EE176E"/>
    <w:rsid w:val="00EE1D37"/>
    <w:rsid w:val="00EE1EEB"/>
    <w:rsid w:val="00EE1FB7"/>
    <w:rsid w:val="00EE2349"/>
    <w:rsid w:val="00EE25DA"/>
    <w:rsid w:val="00EE4CBE"/>
    <w:rsid w:val="00EE511A"/>
    <w:rsid w:val="00EE542E"/>
    <w:rsid w:val="00EE59D1"/>
    <w:rsid w:val="00EE60DD"/>
    <w:rsid w:val="00EE627D"/>
    <w:rsid w:val="00EE6542"/>
    <w:rsid w:val="00EE6E5D"/>
    <w:rsid w:val="00EE7471"/>
    <w:rsid w:val="00EE7A13"/>
    <w:rsid w:val="00EE7ADC"/>
    <w:rsid w:val="00EE7FC2"/>
    <w:rsid w:val="00EF0064"/>
    <w:rsid w:val="00EF029F"/>
    <w:rsid w:val="00EF0A27"/>
    <w:rsid w:val="00EF0AE7"/>
    <w:rsid w:val="00EF0F46"/>
    <w:rsid w:val="00EF1F43"/>
    <w:rsid w:val="00EF24B5"/>
    <w:rsid w:val="00EF26B1"/>
    <w:rsid w:val="00EF27A9"/>
    <w:rsid w:val="00EF28C1"/>
    <w:rsid w:val="00EF2F60"/>
    <w:rsid w:val="00EF3540"/>
    <w:rsid w:val="00EF3BF8"/>
    <w:rsid w:val="00EF45C0"/>
    <w:rsid w:val="00EF5371"/>
    <w:rsid w:val="00EF5669"/>
    <w:rsid w:val="00EF56CE"/>
    <w:rsid w:val="00EF62A0"/>
    <w:rsid w:val="00EF7A53"/>
    <w:rsid w:val="00F00D4A"/>
    <w:rsid w:val="00F015FC"/>
    <w:rsid w:val="00F019F5"/>
    <w:rsid w:val="00F021A9"/>
    <w:rsid w:val="00F02938"/>
    <w:rsid w:val="00F030D0"/>
    <w:rsid w:val="00F03780"/>
    <w:rsid w:val="00F03AEE"/>
    <w:rsid w:val="00F0453F"/>
    <w:rsid w:val="00F052C5"/>
    <w:rsid w:val="00F05BBF"/>
    <w:rsid w:val="00F060B2"/>
    <w:rsid w:val="00F06761"/>
    <w:rsid w:val="00F06A28"/>
    <w:rsid w:val="00F06A7B"/>
    <w:rsid w:val="00F071AA"/>
    <w:rsid w:val="00F07413"/>
    <w:rsid w:val="00F07881"/>
    <w:rsid w:val="00F079CA"/>
    <w:rsid w:val="00F07C34"/>
    <w:rsid w:val="00F07EA3"/>
    <w:rsid w:val="00F10360"/>
    <w:rsid w:val="00F103E2"/>
    <w:rsid w:val="00F10953"/>
    <w:rsid w:val="00F1096D"/>
    <w:rsid w:val="00F10D70"/>
    <w:rsid w:val="00F10DB5"/>
    <w:rsid w:val="00F1173D"/>
    <w:rsid w:val="00F11879"/>
    <w:rsid w:val="00F11B7B"/>
    <w:rsid w:val="00F12068"/>
    <w:rsid w:val="00F12629"/>
    <w:rsid w:val="00F1425E"/>
    <w:rsid w:val="00F142BB"/>
    <w:rsid w:val="00F142C1"/>
    <w:rsid w:val="00F14EC4"/>
    <w:rsid w:val="00F1506D"/>
    <w:rsid w:val="00F155B4"/>
    <w:rsid w:val="00F15781"/>
    <w:rsid w:val="00F15E1A"/>
    <w:rsid w:val="00F164C3"/>
    <w:rsid w:val="00F16909"/>
    <w:rsid w:val="00F16BD8"/>
    <w:rsid w:val="00F1742B"/>
    <w:rsid w:val="00F17CC6"/>
    <w:rsid w:val="00F17CE3"/>
    <w:rsid w:val="00F17E51"/>
    <w:rsid w:val="00F2005A"/>
    <w:rsid w:val="00F203C1"/>
    <w:rsid w:val="00F203F7"/>
    <w:rsid w:val="00F20419"/>
    <w:rsid w:val="00F20A5D"/>
    <w:rsid w:val="00F21040"/>
    <w:rsid w:val="00F214C1"/>
    <w:rsid w:val="00F217F4"/>
    <w:rsid w:val="00F220EC"/>
    <w:rsid w:val="00F224D1"/>
    <w:rsid w:val="00F22B14"/>
    <w:rsid w:val="00F231C0"/>
    <w:rsid w:val="00F2347D"/>
    <w:rsid w:val="00F23514"/>
    <w:rsid w:val="00F235BE"/>
    <w:rsid w:val="00F24006"/>
    <w:rsid w:val="00F24427"/>
    <w:rsid w:val="00F24609"/>
    <w:rsid w:val="00F24F41"/>
    <w:rsid w:val="00F25E83"/>
    <w:rsid w:val="00F2640F"/>
    <w:rsid w:val="00F2657B"/>
    <w:rsid w:val="00F2684D"/>
    <w:rsid w:val="00F26BFF"/>
    <w:rsid w:val="00F26C14"/>
    <w:rsid w:val="00F26CE7"/>
    <w:rsid w:val="00F26E8E"/>
    <w:rsid w:val="00F279E0"/>
    <w:rsid w:val="00F27B82"/>
    <w:rsid w:val="00F27F41"/>
    <w:rsid w:val="00F3013D"/>
    <w:rsid w:val="00F301E1"/>
    <w:rsid w:val="00F316DA"/>
    <w:rsid w:val="00F322A6"/>
    <w:rsid w:val="00F327B6"/>
    <w:rsid w:val="00F32CE1"/>
    <w:rsid w:val="00F333B7"/>
    <w:rsid w:val="00F33B00"/>
    <w:rsid w:val="00F33D27"/>
    <w:rsid w:val="00F34253"/>
    <w:rsid w:val="00F3464F"/>
    <w:rsid w:val="00F34A95"/>
    <w:rsid w:val="00F35769"/>
    <w:rsid w:val="00F35B20"/>
    <w:rsid w:val="00F3617D"/>
    <w:rsid w:val="00F3663A"/>
    <w:rsid w:val="00F36B6E"/>
    <w:rsid w:val="00F373FC"/>
    <w:rsid w:val="00F378AB"/>
    <w:rsid w:val="00F37C31"/>
    <w:rsid w:val="00F409BF"/>
    <w:rsid w:val="00F40E90"/>
    <w:rsid w:val="00F41920"/>
    <w:rsid w:val="00F42C7B"/>
    <w:rsid w:val="00F43375"/>
    <w:rsid w:val="00F43A6A"/>
    <w:rsid w:val="00F4410F"/>
    <w:rsid w:val="00F4435F"/>
    <w:rsid w:val="00F4505C"/>
    <w:rsid w:val="00F4543D"/>
    <w:rsid w:val="00F457B4"/>
    <w:rsid w:val="00F45C09"/>
    <w:rsid w:val="00F45C37"/>
    <w:rsid w:val="00F45D0D"/>
    <w:rsid w:val="00F45EBF"/>
    <w:rsid w:val="00F46567"/>
    <w:rsid w:val="00F46EA2"/>
    <w:rsid w:val="00F46F0A"/>
    <w:rsid w:val="00F47CCA"/>
    <w:rsid w:val="00F47D72"/>
    <w:rsid w:val="00F47F92"/>
    <w:rsid w:val="00F50718"/>
    <w:rsid w:val="00F5076C"/>
    <w:rsid w:val="00F51C74"/>
    <w:rsid w:val="00F52A5A"/>
    <w:rsid w:val="00F53072"/>
    <w:rsid w:val="00F531AB"/>
    <w:rsid w:val="00F53412"/>
    <w:rsid w:val="00F534B2"/>
    <w:rsid w:val="00F53DF7"/>
    <w:rsid w:val="00F5457E"/>
    <w:rsid w:val="00F547C3"/>
    <w:rsid w:val="00F548B8"/>
    <w:rsid w:val="00F54925"/>
    <w:rsid w:val="00F54C11"/>
    <w:rsid w:val="00F54CE7"/>
    <w:rsid w:val="00F55542"/>
    <w:rsid w:val="00F556F4"/>
    <w:rsid w:val="00F55C0A"/>
    <w:rsid w:val="00F55C45"/>
    <w:rsid w:val="00F55DDA"/>
    <w:rsid w:val="00F55DFD"/>
    <w:rsid w:val="00F56249"/>
    <w:rsid w:val="00F5682C"/>
    <w:rsid w:val="00F568F7"/>
    <w:rsid w:val="00F56A36"/>
    <w:rsid w:val="00F56C13"/>
    <w:rsid w:val="00F57638"/>
    <w:rsid w:val="00F577BE"/>
    <w:rsid w:val="00F57CF6"/>
    <w:rsid w:val="00F60322"/>
    <w:rsid w:val="00F604A0"/>
    <w:rsid w:val="00F60B37"/>
    <w:rsid w:val="00F60B61"/>
    <w:rsid w:val="00F616AC"/>
    <w:rsid w:val="00F61AC3"/>
    <w:rsid w:val="00F61B8E"/>
    <w:rsid w:val="00F61ED8"/>
    <w:rsid w:val="00F6460D"/>
    <w:rsid w:val="00F6494C"/>
    <w:rsid w:val="00F64A7E"/>
    <w:rsid w:val="00F64BCE"/>
    <w:rsid w:val="00F64E90"/>
    <w:rsid w:val="00F6580A"/>
    <w:rsid w:val="00F6587D"/>
    <w:rsid w:val="00F65BAC"/>
    <w:rsid w:val="00F6603A"/>
    <w:rsid w:val="00F66469"/>
    <w:rsid w:val="00F66817"/>
    <w:rsid w:val="00F66CDC"/>
    <w:rsid w:val="00F7001B"/>
    <w:rsid w:val="00F70120"/>
    <w:rsid w:val="00F705AD"/>
    <w:rsid w:val="00F70D66"/>
    <w:rsid w:val="00F71776"/>
    <w:rsid w:val="00F7191D"/>
    <w:rsid w:val="00F7194F"/>
    <w:rsid w:val="00F719EF"/>
    <w:rsid w:val="00F71D68"/>
    <w:rsid w:val="00F7288F"/>
    <w:rsid w:val="00F732BD"/>
    <w:rsid w:val="00F73306"/>
    <w:rsid w:val="00F73D81"/>
    <w:rsid w:val="00F73FF7"/>
    <w:rsid w:val="00F7413C"/>
    <w:rsid w:val="00F7448D"/>
    <w:rsid w:val="00F75731"/>
    <w:rsid w:val="00F75A47"/>
    <w:rsid w:val="00F75FB8"/>
    <w:rsid w:val="00F765A6"/>
    <w:rsid w:val="00F767D1"/>
    <w:rsid w:val="00F77024"/>
    <w:rsid w:val="00F7734D"/>
    <w:rsid w:val="00F779EE"/>
    <w:rsid w:val="00F77A3A"/>
    <w:rsid w:val="00F80342"/>
    <w:rsid w:val="00F81CA1"/>
    <w:rsid w:val="00F827CF"/>
    <w:rsid w:val="00F82D81"/>
    <w:rsid w:val="00F82F0C"/>
    <w:rsid w:val="00F82F9D"/>
    <w:rsid w:val="00F83460"/>
    <w:rsid w:val="00F83AA4"/>
    <w:rsid w:val="00F83B26"/>
    <w:rsid w:val="00F83F61"/>
    <w:rsid w:val="00F83FC1"/>
    <w:rsid w:val="00F8458C"/>
    <w:rsid w:val="00F84C8C"/>
    <w:rsid w:val="00F85624"/>
    <w:rsid w:val="00F85BDF"/>
    <w:rsid w:val="00F85DD9"/>
    <w:rsid w:val="00F85F9A"/>
    <w:rsid w:val="00F86EBF"/>
    <w:rsid w:val="00F871F8"/>
    <w:rsid w:val="00F872B7"/>
    <w:rsid w:val="00F8740C"/>
    <w:rsid w:val="00F87628"/>
    <w:rsid w:val="00F87719"/>
    <w:rsid w:val="00F902C6"/>
    <w:rsid w:val="00F91025"/>
    <w:rsid w:val="00F91DC2"/>
    <w:rsid w:val="00F924F6"/>
    <w:rsid w:val="00F925DE"/>
    <w:rsid w:val="00F92734"/>
    <w:rsid w:val="00F92BD8"/>
    <w:rsid w:val="00F930E3"/>
    <w:rsid w:val="00F93608"/>
    <w:rsid w:val="00F93655"/>
    <w:rsid w:val="00F93725"/>
    <w:rsid w:val="00F93747"/>
    <w:rsid w:val="00F93753"/>
    <w:rsid w:val="00F93F38"/>
    <w:rsid w:val="00F9446B"/>
    <w:rsid w:val="00F945D0"/>
    <w:rsid w:val="00F95199"/>
    <w:rsid w:val="00F9573C"/>
    <w:rsid w:val="00F95A77"/>
    <w:rsid w:val="00F95AD4"/>
    <w:rsid w:val="00F95BA0"/>
    <w:rsid w:val="00F95CA6"/>
    <w:rsid w:val="00F95EC8"/>
    <w:rsid w:val="00F963C5"/>
    <w:rsid w:val="00F9696B"/>
    <w:rsid w:val="00F97552"/>
    <w:rsid w:val="00F97932"/>
    <w:rsid w:val="00F97B2C"/>
    <w:rsid w:val="00F97D08"/>
    <w:rsid w:val="00FA001B"/>
    <w:rsid w:val="00FA0F0A"/>
    <w:rsid w:val="00FA1650"/>
    <w:rsid w:val="00FA189E"/>
    <w:rsid w:val="00FA1953"/>
    <w:rsid w:val="00FA1A05"/>
    <w:rsid w:val="00FA20D7"/>
    <w:rsid w:val="00FA369A"/>
    <w:rsid w:val="00FA3901"/>
    <w:rsid w:val="00FA4741"/>
    <w:rsid w:val="00FA48F4"/>
    <w:rsid w:val="00FA4B14"/>
    <w:rsid w:val="00FA5701"/>
    <w:rsid w:val="00FA5831"/>
    <w:rsid w:val="00FA5DE2"/>
    <w:rsid w:val="00FA649B"/>
    <w:rsid w:val="00FA67EF"/>
    <w:rsid w:val="00FA695A"/>
    <w:rsid w:val="00FA6D2E"/>
    <w:rsid w:val="00FA7868"/>
    <w:rsid w:val="00FA7FB6"/>
    <w:rsid w:val="00FB045E"/>
    <w:rsid w:val="00FB0748"/>
    <w:rsid w:val="00FB0BE7"/>
    <w:rsid w:val="00FB19C6"/>
    <w:rsid w:val="00FB1E2C"/>
    <w:rsid w:val="00FB26D9"/>
    <w:rsid w:val="00FB292E"/>
    <w:rsid w:val="00FB2E56"/>
    <w:rsid w:val="00FB36E7"/>
    <w:rsid w:val="00FB4145"/>
    <w:rsid w:val="00FB42F2"/>
    <w:rsid w:val="00FB42FF"/>
    <w:rsid w:val="00FB440D"/>
    <w:rsid w:val="00FB45B0"/>
    <w:rsid w:val="00FB490C"/>
    <w:rsid w:val="00FB4A63"/>
    <w:rsid w:val="00FB5131"/>
    <w:rsid w:val="00FB5320"/>
    <w:rsid w:val="00FB53B1"/>
    <w:rsid w:val="00FB55CB"/>
    <w:rsid w:val="00FB59BB"/>
    <w:rsid w:val="00FB5C69"/>
    <w:rsid w:val="00FB6363"/>
    <w:rsid w:val="00FB68C0"/>
    <w:rsid w:val="00FB69E9"/>
    <w:rsid w:val="00FB6A69"/>
    <w:rsid w:val="00FB6AB6"/>
    <w:rsid w:val="00FB6B65"/>
    <w:rsid w:val="00FB6E50"/>
    <w:rsid w:val="00FB7481"/>
    <w:rsid w:val="00FB789F"/>
    <w:rsid w:val="00FB7CA8"/>
    <w:rsid w:val="00FB7EB9"/>
    <w:rsid w:val="00FC056B"/>
    <w:rsid w:val="00FC0C10"/>
    <w:rsid w:val="00FC0DE8"/>
    <w:rsid w:val="00FC186B"/>
    <w:rsid w:val="00FC18E4"/>
    <w:rsid w:val="00FC195A"/>
    <w:rsid w:val="00FC1AAF"/>
    <w:rsid w:val="00FC1C49"/>
    <w:rsid w:val="00FC1DC0"/>
    <w:rsid w:val="00FC251F"/>
    <w:rsid w:val="00FC27C6"/>
    <w:rsid w:val="00FC2851"/>
    <w:rsid w:val="00FC29C1"/>
    <w:rsid w:val="00FC2A33"/>
    <w:rsid w:val="00FC2BA6"/>
    <w:rsid w:val="00FC2EFE"/>
    <w:rsid w:val="00FC32F0"/>
    <w:rsid w:val="00FC3689"/>
    <w:rsid w:val="00FC3AC2"/>
    <w:rsid w:val="00FC3CE3"/>
    <w:rsid w:val="00FC4101"/>
    <w:rsid w:val="00FC4247"/>
    <w:rsid w:val="00FC4454"/>
    <w:rsid w:val="00FC44E4"/>
    <w:rsid w:val="00FC4AE2"/>
    <w:rsid w:val="00FC4DCF"/>
    <w:rsid w:val="00FC5588"/>
    <w:rsid w:val="00FC58CD"/>
    <w:rsid w:val="00FC5BEB"/>
    <w:rsid w:val="00FC5EEC"/>
    <w:rsid w:val="00FC5F66"/>
    <w:rsid w:val="00FC6464"/>
    <w:rsid w:val="00FC64C9"/>
    <w:rsid w:val="00FC6798"/>
    <w:rsid w:val="00FC6CAC"/>
    <w:rsid w:val="00FC6D7C"/>
    <w:rsid w:val="00FC7177"/>
    <w:rsid w:val="00FC7A4E"/>
    <w:rsid w:val="00FD0260"/>
    <w:rsid w:val="00FD0DF1"/>
    <w:rsid w:val="00FD1223"/>
    <w:rsid w:val="00FD12D6"/>
    <w:rsid w:val="00FD1600"/>
    <w:rsid w:val="00FD1B02"/>
    <w:rsid w:val="00FD1C0F"/>
    <w:rsid w:val="00FD28BC"/>
    <w:rsid w:val="00FD2A2D"/>
    <w:rsid w:val="00FD3368"/>
    <w:rsid w:val="00FD3390"/>
    <w:rsid w:val="00FD364E"/>
    <w:rsid w:val="00FD366D"/>
    <w:rsid w:val="00FD3CE0"/>
    <w:rsid w:val="00FD3E57"/>
    <w:rsid w:val="00FD4D48"/>
    <w:rsid w:val="00FD4DFE"/>
    <w:rsid w:val="00FD4F38"/>
    <w:rsid w:val="00FD5600"/>
    <w:rsid w:val="00FD621C"/>
    <w:rsid w:val="00FD64A1"/>
    <w:rsid w:val="00FD6E08"/>
    <w:rsid w:val="00FD7650"/>
    <w:rsid w:val="00FD7653"/>
    <w:rsid w:val="00FD7B3B"/>
    <w:rsid w:val="00FE016A"/>
    <w:rsid w:val="00FE0B38"/>
    <w:rsid w:val="00FE11D4"/>
    <w:rsid w:val="00FE1DED"/>
    <w:rsid w:val="00FE3584"/>
    <w:rsid w:val="00FE39F3"/>
    <w:rsid w:val="00FE3CA8"/>
    <w:rsid w:val="00FE3F91"/>
    <w:rsid w:val="00FE4605"/>
    <w:rsid w:val="00FE5208"/>
    <w:rsid w:val="00FE56D8"/>
    <w:rsid w:val="00FE6616"/>
    <w:rsid w:val="00FE6D93"/>
    <w:rsid w:val="00FE6EE5"/>
    <w:rsid w:val="00FE7C0B"/>
    <w:rsid w:val="00FE7CE7"/>
    <w:rsid w:val="00FF0093"/>
    <w:rsid w:val="00FF05D6"/>
    <w:rsid w:val="00FF0621"/>
    <w:rsid w:val="00FF0BC4"/>
    <w:rsid w:val="00FF129B"/>
    <w:rsid w:val="00FF146C"/>
    <w:rsid w:val="00FF19B9"/>
    <w:rsid w:val="00FF1C9A"/>
    <w:rsid w:val="00FF1D6D"/>
    <w:rsid w:val="00FF1FE5"/>
    <w:rsid w:val="00FF2B33"/>
    <w:rsid w:val="00FF2D36"/>
    <w:rsid w:val="00FF2DEB"/>
    <w:rsid w:val="00FF2E07"/>
    <w:rsid w:val="00FF2EDE"/>
    <w:rsid w:val="00FF31C9"/>
    <w:rsid w:val="00FF37F8"/>
    <w:rsid w:val="00FF386E"/>
    <w:rsid w:val="00FF3B8F"/>
    <w:rsid w:val="00FF3D0B"/>
    <w:rsid w:val="00FF42FE"/>
    <w:rsid w:val="00FF43B3"/>
    <w:rsid w:val="00FF4715"/>
    <w:rsid w:val="00FF4A18"/>
    <w:rsid w:val="00FF4D1E"/>
    <w:rsid w:val="00FF4D78"/>
    <w:rsid w:val="00FF4E79"/>
    <w:rsid w:val="00FF55AE"/>
    <w:rsid w:val="00FF563E"/>
    <w:rsid w:val="00FF58AD"/>
    <w:rsid w:val="00FF5FA2"/>
    <w:rsid w:val="00FF6005"/>
    <w:rsid w:val="00FF6157"/>
    <w:rsid w:val="00FF6784"/>
    <w:rsid w:val="00FF6A68"/>
    <w:rsid w:val="00FF6AC7"/>
    <w:rsid w:val="00FF6B53"/>
    <w:rsid w:val="00FF6CC6"/>
    <w:rsid w:val="00FF6D35"/>
    <w:rsid w:val="00FF7289"/>
    <w:rsid w:val="00FF74BB"/>
    <w:rsid w:val="00FF7828"/>
    <w:rsid w:val="00FF785D"/>
    <w:rsid w:val="00FF7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ABD3D"/>
  <w15:chartTrackingRefBased/>
  <w15:docId w15:val="{3C99E28A-0B33-4C00-AED6-2D9BB47A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99"/>
    <w:rPr>
      <w:rFonts w:cs="Times New Roman"/>
      <w:lang w:eastAsia="en-AU"/>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BodyIndent1"/>
    <w:link w:val="Heading1Char"/>
    <w:qFormat/>
    <w:rsid w:val="00EE6542"/>
    <w:pPr>
      <w:keepNext/>
      <w:numPr>
        <w:numId w:val="2"/>
      </w:numPr>
      <w:pBdr>
        <w:top w:val="single" w:sz="4" w:space="6" w:color="auto"/>
      </w:pBdr>
      <w:spacing w:before="480"/>
      <w:outlineLvl w:val="0"/>
    </w:pPr>
    <w:rPr>
      <w:rFonts w:cstheme="minorBidi"/>
      <w:b/>
      <w:kern w:val="28"/>
      <w:sz w:val="22"/>
      <w:lang w:eastAsia="en-US"/>
    </w:rPr>
  </w:style>
  <w:style w:type="paragraph" w:styleId="Heading2">
    <w:name w:val="heading 2"/>
    <w:basedOn w:val="Normal"/>
    <w:next w:val="BodyIndent1"/>
    <w:link w:val="Heading2Char"/>
    <w:qFormat/>
    <w:rsid w:val="00EE6542"/>
    <w:pPr>
      <w:keepNext/>
      <w:numPr>
        <w:ilvl w:val="1"/>
        <w:numId w:val="2"/>
      </w:numPr>
      <w:spacing w:before="240"/>
      <w:outlineLvl w:val="1"/>
    </w:pPr>
    <w:rPr>
      <w:rFonts w:cstheme="minorBidi"/>
      <w:b/>
      <w:lang w:eastAsia="en-US"/>
    </w:rPr>
  </w:style>
  <w:style w:type="paragraph" w:styleId="Heading3">
    <w:name w:val="heading 3"/>
    <w:basedOn w:val="Normal"/>
    <w:link w:val="Heading3Char"/>
    <w:qFormat/>
    <w:rsid w:val="00EE6542"/>
    <w:pPr>
      <w:numPr>
        <w:ilvl w:val="2"/>
        <w:numId w:val="2"/>
      </w:numPr>
      <w:spacing w:before="240"/>
      <w:outlineLvl w:val="2"/>
    </w:pPr>
    <w:rPr>
      <w:rFonts w:cstheme="minorBidi"/>
      <w:lang w:eastAsia="en-US"/>
    </w:rPr>
  </w:style>
  <w:style w:type="paragraph" w:styleId="Heading4">
    <w:name w:val="heading 4"/>
    <w:basedOn w:val="Normal"/>
    <w:link w:val="Heading4Char"/>
    <w:qFormat/>
    <w:rsid w:val="00EE6542"/>
    <w:pPr>
      <w:numPr>
        <w:ilvl w:val="3"/>
        <w:numId w:val="2"/>
      </w:numPr>
      <w:spacing w:before="240"/>
      <w:outlineLvl w:val="3"/>
    </w:pPr>
    <w:rPr>
      <w:rFonts w:cstheme="minorBidi"/>
      <w:lang w:eastAsia="en-US"/>
    </w:rPr>
  </w:style>
  <w:style w:type="paragraph" w:styleId="Heading5">
    <w:name w:val="heading 5"/>
    <w:basedOn w:val="Normal"/>
    <w:link w:val="Heading5Char"/>
    <w:qFormat/>
    <w:rsid w:val="00EE6542"/>
    <w:pPr>
      <w:numPr>
        <w:ilvl w:val="4"/>
        <w:numId w:val="2"/>
      </w:numPr>
      <w:spacing w:before="240"/>
      <w:outlineLvl w:val="4"/>
    </w:pPr>
    <w:rPr>
      <w:rFonts w:cstheme="minorBidi"/>
      <w:lang w:eastAsia="en-US"/>
    </w:rPr>
  </w:style>
  <w:style w:type="paragraph" w:styleId="Heading6">
    <w:name w:val="heading 6"/>
    <w:basedOn w:val="Normal"/>
    <w:next w:val="Normal"/>
    <w:link w:val="Heading6Char"/>
    <w:semiHidden/>
    <w:rsid w:val="00EE6542"/>
    <w:pPr>
      <w:outlineLvl w:val="5"/>
    </w:pPr>
    <w:rPr>
      <w:rFonts w:cstheme="minorBidi"/>
      <w:lang w:eastAsia="en-US"/>
    </w:rPr>
  </w:style>
  <w:style w:type="paragraph" w:styleId="Heading7">
    <w:name w:val="heading 7"/>
    <w:basedOn w:val="Normal"/>
    <w:next w:val="Normal"/>
    <w:link w:val="Heading7Char"/>
    <w:semiHidden/>
    <w:rsid w:val="00EE6542"/>
    <w:pPr>
      <w:outlineLvl w:val="6"/>
    </w:pPr>
    <w:rPr>
      <w:rFonts w:cstheme="minorBidi"/>
      <w:lang w:eastAsia="en-US"/>
    </w:rPr>
  </w:style>
  <w:style w:type="paragraph" w:styleId="Heading8">
    <w:name w:val="heading 8"/>
    <w:basedOn w:val="Normal"/>
    <w:next w:val="Normal"/>
    <w:link w:val="Heading8Char"/>
    <w:semiHidden/>
    <w:rsid w:val="00EE6542"/>
    <w:pPr>
      <w:outlineLvl w:val="7"/>
    </w:pPr>
    <w:rPr>
      <w:rFonts w:cstheme="minorBidi"/>
      <w:lang w:eastAsia="en-US"/>
    </w:rPr>
  </w:style>
  <w:style w:type="paragraph" w:styleId="Heading9">
    <w:name w:val="heading 9"/>
    <w:basedOn w:val="Normal"/>
    <w:next w:val="Normal"/>
    <w:link w:val="Heading9Char"/>
    <w:semiHidden/>
    <w:rsid w:val="00EE6542"/>
    <w:pPr>
      <w:outlineLvl w:val="8"/>
    </w:pPr>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lang w:eastAsia="en-US"/>
    </w:rPr>
  </w:style>
  <w:style w:type="character" w:customStyle="1" w:styleId="BodyIndent1Char">
    <w:name w:val="Body Indent 1 Char"/>
    <w:link w:val="BodyIndent1"/>
    <w:locked/>
    <w:rsid w:val="009236AA"/>
    <w:rPr>
      <w:rFonts w:cs="Arial"/>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rsid w:val="00EE6542"/>
    <w:rPr>
      <w:b/>
      <w:kern w:val="28"/>
      <w:sz w:val="22"/>
    </w:rPr>
  </w:style>
  <w:style w:type="character" w:customStyle="1" w:styleId="Heading2Char">
    <w:name w:val="Heading 2 Char"/>
    <w:basedOn w:val="DefaultParagraphFont"/>
    <w:link w:val="Heading2"/>
    <w:rsid w:val="00EE6542"/>
    <w:rPr>
      <w:b/>
    </w:rPr>
  </w:style>
  <w:style w:type="character" w:customStyle="1" w:styleId="Heading3Char">
    <w:name w:val="Heading 3 Char"/>
    <w:basedOn w:val="DefaultParagraphFont"/>
    <w:link w:val="Heading3"/>
    <w:rsid w:val="00EE6542"/>
  </w:style>
  <w:style w:type="character" w:customStyle="1" w:styleId="Heading4Char">
    <w:name w:val="Heading 4 Char"/>
    <w:basedOn w:val="DefaultParagraphFont"/>
    <w:link w:val="Heading4"/>
    <w:rsid w:val="00EE6542"/>
  </w:style>
  <w:style w:type="character" w:customStyle="1" w:styleId="Heading5Char">
    <w:name w:val="Heading 5 Char"/>
    <w:basedOn w:val="DefaultParagraphFont"/>
    <w:link w:val="Heading5"/>
    <w:rsid w:val="00EE6542"/>
  </w:style>
  <w:style w:type="character" w:customStyle="1" w:styleId="Heading6Char">
    <w:name w:val="Heading 6 Char"/>
    <w:basedOn w:val="DefaultParagraphFont"/>
    <w:link w:val="Heading6"/>
    <w:semiHidden/>
    <w:rsid w:val="00EE6542"/>
  </w:style>
  <w:style w:type="character" w:customStyle="1" w:styleId="Heading7Char">
    <w:name w:val="Heading 7 Char"/>
    <w:basedOn w:val="DefaultParagraphFont"/>
    <w:link w:val="Heading7"/>
    <w:semiHidden/>
    <w:rsid w:val="00EE6542"/>
  </w:style>
  <w:style w:type="character" w:customStyle="1" w:styleId="Heading8Char">
    <w:name w:val="Heading 8 Char"/>
    <w:basedOn w:val="DefaultParagraphFont"/>
    <w:link w:val="Heading8"/>
    <w:semiHidden/>
    <w:rsid w:val="00EE6542"/>
  </w:style>
  <w:style w:type="character" w:customStyle="1" w:styleId="Heading9Char">
    <w:name w:val="Heading 9 Char"/>
    <w:basedOn w:val="DefaultParagraphFont"/>
    <w:link w:val="Heading9"/>
    <w:semiHidden/>
    <w:rsid w:val="00EE6542"/>
  </w:style>
  <w:style w:type="paragraph" w:customStyle="1" w:styleId="BodyIndent2">
    <w:name w:val="Body Indent 2"/>
    <w:basedOn w:val="Normal"/>
    <w:qFormat/>
    <w:rsid w:val="008C6E59"/>
    <w:pPr>
      <w:spacing w:before="240"/>
      <w:ind w:left="1701"/>
    </w:pPr>
    <w:rPr>
      <w:rFonts w:cs="Arial"/>
      <w:lang w:eastAsia="en-US"/>
    </w:rPr>
  </w:style>
  <w:style w:type="paragraph" w:customStyle="1" w:styleId="BodyIndent3">
    <w:name w:val="Body Indent 3"/>
    <w:basedOn w:val="Normal"/>
    <w:qFormat/>
    <w:rsid w:val="008C6E59"/>
    <w:pPr>
      <w:spacing w:before="240"/>
      <w:ind w:left="2268"/>
    </w:pPr>
    <w:rPr>
      <w:rFonts w:cs="Arial"/>
      <w:lang w:eastAsia="en-US"/>
    </w:rPr>
  </w:style>
  <w:style w:type="paragraph" w:customStyle="1" w:styleId="Bullet1">
    <w:name w:val="Bullet1"/>
    <w:basedOn w:val="Normal"/>
    <w:qFormat/>
    <w:rsid w:val="00EB4B5D"/>
    <w:pPr>
      <w:numPr>
        <w:numId w:val="1"/>
      </w:numPr>
      <w:spacing w:before="240"/>
    </w:pPr>
    <w:rPr>
      <w:rFonts w:cs="Arial"/>
      <w:lang w:eastAsia="en-US"/>
    </w:rPr>
  </w:style>
  <w:style w:type="paragraph" w:customStyle="1" w:styleId="Bullet2">
    <w:name w:val="Bullet2"/>
    <w:basedOn w:val="Normal"/>
    <w:qFormat/>
    <w:rsid w:val="00A46D49"/>
    <w:pPr>
      <w:numPr>
        <w:numId w:val="6"/>
      </w:numPr>
      <w:spacing w:before="240"/>
    </w:pPr>
    <w:rPr>
      <w:rFonts w:cstheme="minorBidi"/>
      <w:lang w:eastAsia="en-US"/>
    </w:rPr>
  </w:style>
  <w:style w:type="paragraph" w:customStyle="1" w:styleId="Bullet3">
    <w:name w:val="Bullet3"/>
    <w:basedOn w:val="Normal"/>
    <w:qFormat/>
    <w:rsid w:val="00A46D49"/>
    <w:pPr>
      <w:numPr>
        <w:numId w:val="7"/>
      </w:numPr>
      <w:spacing w:before="240"/>
    </w:pPr>
    <w:rPr>
      <w:rFonts w:cstheme="minorBidi"/>
      <w:lang w:eastAsia="en-US"/>
    </w:rPr>
  </w:style>
  <w:style w:type="paragraph" w:customStyle="1" w:styleId="correspQuote">
    <w:name w:val="correspQuote"/>
    <w:basedOn w:val="Normal"/>
    <w:qFormat/>
    <w:rsid w:val="008C6E59"/>
    <w:pPr>
      <w:spacing w:before="240"/>
      <w:ind w:left="851" w:right="851"/>
    </w:pPr>
    <w:rPr>
      <w:rFonts w:cs="Arial"/>
      <w:sz w:val="18"/>
      <w:lang w:eastAsia="en-US"/>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paragraph" w:customStyle="1" w:styleId="Headingpara2">
    <w:name w:val="Headingpara2"/>
    <w:basedOn w:val="Heading2"/>
    <w:qFormat/>
    <w:rsid w:val="00EE6542"/>
    <w:pPr>
      <w:keepNext w:val="0"/>
    </w:pPr>
    <w:rPr>
      <w:b w:val="0"/>
    </w:rPr>
  </w:style>
  <w:style w:type="paragraph" w:customStyle="1" w:styleId="legalDefinition">
    <w:name w:val="legalDefinition"/>
    <w:basedOn w:val="Normal"/>
    <w:qFormat/>
    <w:rsid w:val="00A71CDD"/>
    <w:pPr>
      <w:numPr>
        <w:numId w:val="9"/>
      </w:numPr>
      <w:spacing w:before="240"/>
    </w:pPr>
    <w:rPr>
      <w:lang w:eastAsia="en-US"/>
    </w:rPr>
  </w:style>
  <w:style w:type="paragraph" w:customStyle="1" w:styleId="legalRecital1">
    <w:name w:val="legalRecital1"/>
    <w:basedOn w:val="Normal"/>
    <w:qFormat/>
    <w:rsid w:val="003610F8"/>
    <w:pPr>
      <w:numPr>
        <w:numId w:val="3"/>
      </w:numPr>
      <w:spacing w:before="240"/>
    </w:pPr>
    <w:rPr>
      <w:rFonts w:cstheme="minorBidi"/>
      <w:lang w:eastAsia="en-US"/>
    </w:rPr>
  </w:style>
  <w:style w:type="paragraph" w:customStyle="1" w:styleId="legalSchedule">
    <w:name w:val="legalSchedule"/>
    <w:basedOn w:val="Normal"/>
    <w:next w:val="Normal"/>
    <w:qFormat/>
    <w:rsid w:val="001A138C"/>
    <w:pPr>
      <w:pageBreakBefore/>
      <w:numPr>
        <w:numId w:val="4"/>
      </w:numPr>
      <w:pBdr>
        <w:top w:val="single" w:sz="4" w:space="1" w:color="auto"/>
      </w:pBdr>
    </w:pPr>
    <w:rPr>
      <w:b/>
      <w:sz w:val="34"/>
      <w:lang w:eastAsia="en-US"/>
    </w:rPr>
  </w:style>
  <w:style w:type="paragraph" w:customStyle="1" w:styleId="legalScheduleDesc">
    <w:name w:val="legalScheduleDesc"/>
    <w:basedOn w:val="Normal"/>
    <w:next w:val="Normal"/>
    <w:qFormat/>
    <w:rsid w:val="00517177"/>
    <w:pPr>
      <w:keepNext/>
      <w:spacing w:before="240"/>
    </w:pPr>
    <w:rPr>
      <w:b/>
      <w:sz w:val="22"/>
      <w:lang w:eastAsia="en-US"/>
    </w:rPr>
  </w:style>
  <w:style w:type="paragraph" w:customStyle="1" w:styleId="legalTitleDescription">
    <w:name w:val="legalTitleDescription"/>
    <w:basedOn w:val="Normal"/>
    <w:next w:val="Normal"/>
    <w:qFormat/>
    <w:rsid w:val="00517177"/>
    <w:pPr>
      <w:spacing w:before="240"/>
    </w:pPr>
    <w:rPr>
      <w:b/>
      <w:sz w:val="22"/>
      <w:lang w:eastAsia="en-US"/>
    </w:rPr>
  </w:style>
  <w:style w:type="paragraph" w:customStyle="1" w:styleId="mainTitle">
    <w:name w:val="mainTitle"/>
    <w:basedOn w:val="Normal"/>
    <w:next w:val="Normal"/>
    <w:qFormat/>
    <w:rsid w:val="008C6E59"/>
    <w:pPr>
      <w:pBdr>
        <w:top w:val="single" w:sz="4" w:space="1" w:color="auto"/>
      </w:pBdr>
    </w:pPr>
    <w:rPr>
      <w:rFonts w:cstheme="minorBidi"/>
      <w:b/>
      <w:sz w:val="34"/>
      <w:lang w:eastAsia="en-US"/>
    </w:rPr>
  </w:style>
  <w:style w:type="paragraph" w:customStyle="1" w:styleId="Numpara1">
    <w:name w:val="Numpara1"/>
    <w:basedOn w:val="Normal"/>
    <w:link w:val="Numpara1Char"/>
    <w:qFormat/>
    <w:rsid w:val="00E3588A"/>
    <w:pPr>
      <w:numPr>
        <w:numId w:val="14"/>
      </w:numPr>
      <w:shd w:val="clear" w:color="auto" w:fill="770027" w:themeFill="accent3" w:themeFillShade="BF"/>
      <w:spacing w:before="240" w:after="240"/>
    </w:pPr>
    <w:rPr>
      <w:rFonts w:cs="Arial"/>
      <w:b/>
      <w:sz w:val="22"/>
      <w:szCs w:val="22"/>
      <w:lang w:eastAsia="en-US"/>
    </w:rPr>
  </w:style>
  <w:style w:type="character" w:customStyle="1" w:styleId="Numpara1Char">
    <w:name w:val="Numpara1 Char"/>
    <w:basedOn w:val="DefaultParagraphFont"/>
    <w:link w:val="Numpara1"/>
    <w:rsid w:val="006B5B17"/>
    <w:rPr>
      <w:rFonts w:cs="Arial"/>
      <w:b/>
      <w:sz w:val="22"/>
      <w:szCs w:val="22"/>
      <w:shd w:val="clear" w:color="auto" w:fill="770027" w:themeFill="accent3" w:themeFillShade="BF"/>
    </w:rPr>
  </w:style>
  <w:style w:type="paragraph" w:customStyle="1" w:styleId="Numpara2">
    <w:name w:val="Numpara2"/>
    <w:basedOn w:val="Normal"/>
    <w:qFormat/>
    <w:rsid w:val="000C52BD"/>
    <w:pPr>
      <w:spacing w:before="240"/>
      <w:ind w:left="851" w:hanging="851"/>
    </w:pPr>
    <w:rPr>
      <w:rFonts w:cs="Arial"/>
      <w:szCs w:val="22"/>
      <w:lang w:eastAsia="en-US"/>
    </w:rPr>
  </w:style>
  <w:style w:type="paragraph" w:customStyle="1" w:styleId="Numpara3">
    <w:name w:val="Numpara3"/>
    <w:basedOn w:val="Normal"/>
    <w:qFormat/>
    <w:rsid w:val="003610F8"/>
    <w:pPr>
      <w:numPr>
        <w:ilvl w:val="2"/>
        <w:numId w:val="14"/>
      </w:numPr>
      <w:spacing w:before="240"/>
    </w:pPr>
    <w:rPr>
      <w:rFonts w:cs="Arial"/>
      <w:szCs w:val="22"/>
      <w:lang w:eastAsia="en-US"/>
    </w:rPr>
  </w:style>
  <w:style w:type="paragraph" w:customStyle="1" w:styleId="Numpara4">
    <w:name w:val="Numpara4"/>
    <w:basedOn w:val="Normal"/>
    <w:qFormat/>
    <w:rsid w:val="003610F8"/>
    <w:pPr>
      <w:spacing w:before="240"/>
      <w:ind w:left="2268" w:hanging="567"/>
    </w:pPr>
    <w:rPr>
      <w:rFonts w:cs="Arial"/>
      <w:szCs w:val="22"/>
      <w:lang w:eastAsia="en-US"/>
    </w:rPr>
  </w:style>
  <w:style w:type="paragraph" w:customStyle="1" w:styleId="pageNumber">
    <w:name w:val="pageNumber"/>
    <w:basedOn w:val="Normal"/>
    <w:qFormat/>
    <w:rsid w:val="003610F8"/>
    <w:pPr>
      <w:tabs>
        <w:tab w:val="right" w:pos="9072"/>
      </w:tabs>
    </w:pPr>
    <w:rPr>
      <w:rFonts w:cstheme="minorBidi"/>
      <w:sz w:val="14"/>
      <w:szCs w:val="14"/>
      <w:lang w:eastAsia="en-US"/>
    </w:rPr>
  </w:style>
  <w:style w:type="paragraph" w:styleId="TOC1">
    <w:name w:val="toc 1"/>
    <w:next w:val="Normal"/>
    <w:autoRedefine/>
    <w:uiPriority w:val="39"/>
    <w:rsid w:val="0037381E"/>
    <w:pPr>
      <w:tabs>
        <w:tab w:val="left" w:pos="851"/>
        <w:tab w:val="right" w:leader="dot" w:pos="9072"/>
      </w:tabs>
      <w:spacing w:before="240" w:after="240"/>
      <w:ind w:left="851" w:hanging="851"/>
    </w:pPr>
    <w:rPr>
      <w:rFonts w:cs="Times New Roman"/>
      <w:b/>
    </w:rPr>
  </w:style>
  <w:style w:type="paragraph" w:styleId="TOC2">
    <w:name w:val="toc 2"/>
    <w:next w:val="Normal"/>
    <w:autoRedefine/>
    <w:uiPriority w:val="39"/>
    <w:rsid w:val="00A6358A"/>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rPr>
      <w:rFonts w:cstheme="minorBidi"/>
      <w:lang w:eastAsia="en-US"/>
    </w:r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aliases w:val="opcalrc,fr,4_G,Appel note de bas de page,Footnotes refss,Fago Fu?notenzeichen,Fago Fußnotenzeichen,Footnote number,Fago Fuﬂnotenzeichen,Ref,de nota al pie,ftref,ftref1,ftref2,ftref11,Texto de nota al pie,referencia nota al pie,BVI fnr"/>
    <w:basedOn w:val="DefaultParagraphFont"/>
    <w:link w:val="BVIfnr"/>
    <w:uiPriority w:val="99"/>
    <w:qFormat/>
    <w:rsid w:val="00651889"/>
    <w:rPr>
      <w:vertAlign w:val="superscript"/>
    </w:rPr>
  </w:style>
  <w:style w:type="paragraph" w:styleId="FootnoteText">
    <w:name w:val="footnote text"/>
    <w:aliases w:val="Char,(NECG) Footnote Text,ff,ft"/>
    <w:basedOn w:val="Normal"/>
    <w:link w:val="FootnoteTextChar"/>
    <w:uiPriority w:val="99"/>
    <w:qFormat/>
    <w:rsid w:val="00651889"/>
    <w:rPr>
      <w:rFonts w:cstheme="minorBidi"/>
      <w:sz w:val="18"/>
      <w:lang w:eastAsia="en-US"/>
    </w:rPr>
  </w:style>
  <w:style w:type="character" w:customStyle="1" w:styleId="FootnoteTextChar">
    <w:name w:val="Footnote Text Char"/>
    <w:aliases w:val="Char Char,(NECG) Footnote Text Char,ff Char,ft Char"/>
    <w:basedOn w:val="DefaultParagraphFont"/>
    <w:link w:val="FootnoteText"/>
    <w:uiPriority w:val="99"/>
    <w:rsid w:val="00651889"/>
    <w:rPr>
      <w:rFonts w:ascii="Arial" w:hAnsi="Arial" w:cs="Times New Roman"/>
      <w:sz w:val="18"/>
      <w:szCs w:val="20"/>
      <w:lang w:eastAsia="en-AU"/>
    </w:rPr>
  </w:style>
  <w:style w:type="paragraph" w:customStyle="1" w:styleId="legalAttachment">
    <w:name w:val="legalAttachment"/>
    <w:basedOn w:val="Normal"/>
    <w:next w:val="Normal"/>
    <w:qFormat/>
    <w:rsid w:val="00C768F8"/>
    <w:pPr>
      <w:pageBreakBefore/>
      <w:numPr>
        <w:numId w:val="5"/>
      </w:numPr>
      <w:pBdr>
        <w:bottom w:val="single" w:sz="4" w:space="1" w:color="auto"/>
      </w:pBdr>
    </w:pPr>
    <w:rPr>
      <w:b/>
      <w:sz w:val="34"/>
      <w:lang w:eastAsia="en-US"/>
    </w:rPr>
  </w:style>
  <w:style w:type="paragraph" w:customStyle="1" w:styleId="legalPart">
    <w:name w:val="legalPart"/>
    <w:basedOn w:val="Normal"/>
    <w:next w:val="Normal"/>
    <w:qFormat/>
    <w:rsid w:val="00590A06"/>
    <w:pPr>
      <w:keepNext/>
      <w:numPr>
        <w:numId w:val="8"/>
      </w:numPr>
      <w:pBdr>
        <w:bottom w:val="single" w:sz="4" w:space="1" w:color="82002A"/>
      </w:pBdr>
      <w:spacing w:before="480" w:after="480"/>
    </w:pPr>
    <w:rPr>
      <w:b/>
      <w:color w:val="82002A"/>
      <w:sz w:val="36"/>
      <w:lang w:eastAsia="en-US"/>
    </w:rPr>
  </w:style>
  <w:style w:type="paragraph" w:styleId="TOC3">
    <w:name w:val="toc 3"/>
    <w:next w:val="Normal"/>
    <w:autoRedefine/>
    <w:uiPriority w:val="39"/>
    <w:unhideWhenUsed/>
    <w:rsid w:val="001A2A43"/>
    <w:pPr>
      <w:tabs>
        <w:tab w:val="left" w:pos="851"/>
        <w:tab w:val="left" w:pos="1702"/>
        <w:tab w:val="right" w:leader="dot" w:pos="9060"/>
      </w:tabs>
      <w:spacing w:before="240"/>
      <w:ind w:left="1701" w:hanging="1134"/>
    </w:pPr>
    <w:rPr>
      <w:rFonts w:cs="Times New Roman"/>
      <w:b/>
      <w:color w:val="82002A"/>
    </w:rPr>
  </w:style>
  <w:style w:type="paragraph" w:styleId="Header">
    <w:name w:val="header"/>
    <w:basedOn w:val="Normal"/>
    <w:link w:val="HeaderChar"/>
    <w:uiPriority w:val="99"/>
    <w:unhideWhenUsed/>
    <w:rsid w:val="00BB0099"/>
    <w:pPr>
      <w:tabs>
        <w:tab w:val="center" w:pos="4513"/>
        <w:tab w:val="right" w:pos="9026"/>
      </w:tabs>
    </w:pPr>
  </w:style>
  <w:style w:type="character" w:customStyle="1" w:styleId="HeaderChar">
    <w:name w:val="Header Char"/>
    <w:basedOn w:val="DefaultParagraphFont"/>
    <w:link w:val="Header"/>
    <w:uiPriority w:val="99"/>
    <w:rsid w:val="00BB0099"/>
    <w:rPr>
      <w:rFonts w:cs="Times New Roman"/>
      <w:lang w:eastAsia="en-AU"/>
    </w:rPr>
  </w:style>
  <w:style w:type="paragraph" w:customStyle="1" w:styleId="paragraph">
    <w:name w:val="paragraph"/>
    <w:basedOn w:val="Normal"/>
    <w:rsid w:val="00F43375"/>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F43375"/>
    <w:pPr>
      <w:spacing w:before="100" w:beforeAutospacing="1" w:after="100" w:afterAutospacing="1"/>
    </w:pPr>
    <w:rPr>
      <w:rFonts w:ascii="Times New Roman" w:hAnsi="Times New Roman"/>
      <w:sz w:val="24"/>
      <w:szCs w:val="24"/>
    </w:rPr>
  </w:style>
  <w:style w:type="paragraph" w:customStyle="1" w:styleId="definition">
    <w:name w:val="definition"/>
    <w:basedOn w:val="Normal"/>
    <w:rsid w:val="00106E23"/>
    <w:pPr>
      <w:spacing w:before="100" w:beforeAutospacing="1" w:after="100" w:afterAutospacing="1"/>
    </w:pPr>
    <w:rPr>
      <w:rFonts w:ascii="Times New Roman" w:hAnsi="Times New Roman"/>
      <w:sz w:val="24"/>
      <w:szCs w:val="24"/>
    </w:rPr>
  </w:style>
  <w:style w:type="paragraph" w:customStyle="1" w:styleId="notetext">
    <w:name w:val="notetext"/>
    <w:basedOn w:val="Normal"/>
    <w:rsid w:val="00106E23"/>
    <w:pPr>
      <w:spacing w:before="100" w:beforeAutospacing="1" w:after="100" w:afterAutospacing="1"/>
    </w:pPr>
    <w:rPr>
      <w:rFonts w:ascii="Times New Roman" w:hAnsi="Times New Roman"/>
      <w:sz w:val="24"/>
      <w:szCs w:val="24"/>
    </w:rPr>
  </w:style>
  <w:style w:type="table" w:styleId="TableGridLight">
    <w:name w:val="Grid Table Light"/>
    <w:basedOn w:val="TableNormal"/>
    <w:uiPriority w:val="40"/>
    <w:rsid w:val="00171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71C89"/>
    <w:rPr>
      <w:color w:val="CD5C3D" w:themeColor="hyperlink"/>
      <w:u w:val="single"/>
    </w:rPr>
  </w:style>
  <w:style w:type="paragraph" w:styleId="BalloonText">
    <w:name w:val="Balloon Text"/>
    <w:basedOn w:val="Normal"/>
    <w:link w:val="BalloonTextChar"/>
    <w:uiPriority w:val="99"/>
    <w:semiHidden/>
    <w:unhideWhenUsed/>
    <w:rsid w:val="00200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D4"/>
    <w:rPr>
      <w:rFonts w:ascii="Segoe UI" w:hAnsi="Segoe UI" w:cs="Segoe UI"/>
      <w:sz w:val="18"/>
      <w:szCs w:val="18"/>
      <w:lang w:eastAsia="en-AU"/>
    </w:rPr>
  </w:style>
  <w:style w:type="table" w:styleId="GridTable3-Accent5">
    <w:name w:val="Grid Table 3 Accent 5"/>
    <w:basedOn w:val="TableNormal"/>
    <w:uiPriority w:val="48"/>
    <w:rsid w:val="00A67554"/>
    <w:tblPr>
      <w:tblStyleRowBandSize w:val="1"/>
      <w:tblStyleColBandSize w:val="1"/>
      <w:tblBorders>
        <w:top w:val="single" w:sz="4" w:space="0" w:color="9C8787" w:themeColor="accent5" w:themeTint="99"/>
        <w:left w:val="single" w:sz="4" w:space="0" w:color="9C8787" w:themeColor="accent5" w:themeTint="99"/>
        <w:bottom w:val="single" w:sz="4" w:space="0" w:color="9C8787" w:themeColor="accent5" w:themeTint="99"/>
        <w:right w:val="single" w:sz="4" w:space="0" w:color="9C8787" w:themeColor="accent5" w:themeTint="99"/>
        <w:insideH w:val="single" w:sz="4" w:space="0" w:color="9C8787" w:themeColor="accent5" w:themeTint="99"/>
        <w:insideV w:val="single" w:sz="4" w:space="0" w:color="9C87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7D7" w:themeFill="accent5" w:themeFillTint="33"/>
      </w:tcPr>
    </w:tblStylePr>
    <w:tblStylePr w:type="band1Horz">
      <w:tblPr/>
      <w:tcPr>
        <w:shd w:val="clear" w:color="auto" w:fill="DED7D7" w:themeFill="accent5" w:themeFillTint="33"/>
      </w:tcPr>
    </w:tblStylePr>
    <w:tblStylePr w:type="neCell">
      <w:tblPr/>
      <w:tcPr>
        <w:tcBorders>
          <w:bottom w:val="single" w:sz="4" w:space="0" w:color="9C8787" w:themeColor="accent5" w:themeTint="99"/>
        </w:tcBorders>
      </w:tcPr>
    </w:tblStylePr>
    <w:tblStylePr w:type="nwCell">
      <w:tblPr/>
      <w:tcPr>
        <w:tcBorders>
          <w:bottom w:val="single" w:sz="4" w:space="0" w:color="9C8787" w:themeColor="accent5" w:themeTint="99"/>
        </w:tcBorders>
      </w:tcPr>
    </w:tblStylePr>
    <w:tblStylePr w:type="seCell">
      <w:tblPr/>
      <w:tcPr>
        <w:tcBorders>
          <w:top w:val="single" w:sz="4" w:space="0" w:color="9C8787" w:themeColor="accent5" w:themeTint="99"/>
        </w:tcBorders>
      </w:tcPr>
    </w:tblStylePr>
    <w:tblStylePr w:type="swCell">
      <w:tblPr/>
      <w:tcPr>
        <w:tcBorders>
          <w:top w:val="single" w:sz="4" w:space="0" w:color="9C8787" w:themeColor="accent5" w:themeTint="99"/>
        </w:tcBorders>
      </w:tcPr>
    </w:tblStylePr>
  </w:style>
  <w:style w:type="table" w:styleId="GridTable2">
    <w:name w:val="Grid Table 2"/>
    <w:basedOn w:val="TableNormal"/>
    <w:uiPriority w:val="47"/>
    <w:rsid w:val="003605D5"/>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3-Accent6">
    <w:name w:val="Grid Table 3 Accent 6"/>
    <w:basedOn w:val="TableNormal"/>
    <w:uiPriority w:val="48"/>
    <w:rsid w:val="003605D5"/>
    <w:tblPr>
      <w:tblStyleRowBandSize w:val="1"/>
      <w:tblStyleColBandSize w:val="1"/>
      <w:tblBorders>
        <w:top w:val="single" w:sz="4" w:space="0" w:color="A09797" w:themeColor="accent6" w:themeTint="99"/>
        <w:left w:val="single" w:sz="4" w:space="0" w:color="A09797" w:themeColor="accent6" w:themeTint="99"/>
        <w:bottom w:val="single" w:sz="4" w:space="0" w:color="A09797" w:themeColor="accent6" w:themeTint="99"/>
        <w:right w:val="single" w:sz="4" w:space="0" w:color="A09797" w:themeColor="accent6" w:themeTint="99"/>
        <w:insideH w:val="single" w:sz="4" w:space="0" w:color="A09797" w:themeColor="accent6" w:themeTint="99"/>
        <w:insideV w:val="single" w:sz="4" w:space="0" w:color="A097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CDC" w:themeFill="accent6" w:themeFillTint="33"/>
      </w:tcPr>
    </w:tblStylePr>
    <w:tblStylePr w:type="band1Horz">
      <w:tblPr/>
      <w:tcPr>
        <w:shd w:val="clear" w:color="auto" w:fill="DFDCDC" w:themeFill="accent6" w:themeFillTint="33"/>
      </w:tcPr>
    </w:tblStylePr>
    <w:tblStylePr w:type="neCell">
      <w:tblPr/>
      <w:tcPr>
        <w:tcBorders>
          <w:bottom w:val="single" w:sz="4" w:space="0" w:color="A09797" w:themeColor="accent6" w:themeTint="99"/>
        </w:tcBorders>
      </w:tcPr>
    </w:tblStylePr>
    <w:tblStylePr w:type="nwCell">
      <w:tblPr/>
      <w:tcPr>
        <w:tcBorders>
          <w:bottom w:val="single" w:sz="4" w:space="0" w:color="A09797" w:themeColor="accent6" w:themeTint="99"/>
        </w:tcBorders>
      </w:tcPr>
    </w:tblStylePr>
    <w:tblStylePr w:type="seCell">
      <w:tblPr/>
      <w:tcPr>
        <w:tcBorders>
          <w:top w:val="single" w:sz="4" w:space="0" w:color="A09797" w:themeColor="accent6" w:themeTint="99"/>
        </w:tcBorders>
      </w:tcPr>
    </w:tblStylePr>
    <w:tblStylePr w:type="swCell">
      <w:tblPr/>
      <w:tcPr>
        <w:tcBorders>
          <w:top w:val="single" w:sz="4" w:space="0" w:color="A09797" w:themeColor="accent6" w:themeTint="99"/>
        </w:tcBorders>
      </w:tcPr>
    </w:tblStylePr>
  </w:style>
  <w:style w:type="table" w:styleId="PlainTable1">
    <w:name w:val="Plain Table 1"/>
    <w:basedOn w:val="TableNormal"/>
    <w:uiPriority w:val="41"/>
    <w:rsid w:val="003605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E8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79E3"/>
    <w:rPr>
      <w:color w:val="808080"/>
      <w:shd w:val="clear" w:color="auto" w:fill="E6E6E6"/>
    </w:rPr>
  </w:style>
  <w:style w:type="character" w:styleId="CommentReference">
    <w:name w:val="annotation reference"/>
    <w:basedOn w:val="DefaultParagraphFont"/>
    <w:uiPriority w:val="99"/>
    <w:unhideWhenUsed/>
    <w:rsid w:val="00E314D2"/>
    <w:rPr>
      <w:sz w:val="16"/>
      <w:szCs w:val="16"/>
    </w:rPr>
  </w:style>
  <w:style w:type="paragraph" w:styleId="CommentText">
    <w:name w:val="annotation text"/>
    <w:basedOn w:val="Normal"/>
    <w:link w:val="CommentTextChar"/>
    <w:uiPriority w:val="99"/>
    <w:unhideWhenUsed/>
    <w:rsid w:val="00E314D2"/>
  </w:style>
  <w:style w:type="character" w:customStyle="1" w:styleId="CommentTextChar">
    <w:name w:val="Comment Text Char"/>
    <w:basedOn w:val="DefaultParagraphFont"/>
    <w:link w:val="CommentText"/>
    <w:uiPriority w:val="99"/>
    <w:rsid w:val="00E314D2"/>
    <w:rPr>
      <w:rFonts w:cs="Times New Roman"/>
      <w:lang w:eastAsia="en-AU"/>
    </w:rPr>
  </w:style>
  <w:style w:type="paragraph" w:styleId="CommentSubject">
    <w:name w:val="annotation subject"/>
    <w:basedOn w:val="CommentText"/>
    <w:next w:val="CommentText"/>
    <w:link w:val="CommentSubjectChar"/>
    <w:uiPriority w:val="99"/>
    <w:semiHidden/>
    <w:unhideWhenUsed/>
    <w:rsid w:val="00E314D2"/>
    <w:rPr>
      <w:b/>
      <w:bCs/>
    </w:rPr>
  </w:style>
  <w:style w:type="character" w:customStyle="1" w:styleId="CommentSubjectChar">
    <w:name w:val="Comment Subject Char"/>
    <w:basedOn w:val="CommentTextChar"/>
    <w:link w:val="CommentSubject"/>
    <w:uiPriority w:val="99"/>
    <w:semiHidden/>
    <w:rsid w:val="00E314D2"/>
    <w:rPr>
      <w:rFonts w:cs="Times New Roman"/>
      <w:b/>
      <w:bCs/>
      <w:lang w:eastAsia="en-AU"/>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DB0F03"/>
    <w:pPr>
      <w:ind w:left="720"/>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C768F8"/>
    <w:rPr>
      <w:rFonts w:cs="Times New Roman"/>
      <w:lang w:eastAsia="en-AU"/>
    </w:rPr>
  </w:style>
  <w:style w:type="paragraph" w:customStyle="1" w:styleId="acthead5">
    <w:name w:val="acthead5"/>
    <w:basedOn w:val="Normal"/>
    <w:rsid w:val="00077FC9"/>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077FC9"/>
  </w:style>
  <w:style w:type="paragraph" w:customStyle="1" w:styleId="subsection">
    <w:name w:val="subsection"/>
    <w:basedOn w:val="Normal"/>
    <w:rsid w:val="00077FC9"/>
    <w:pPr>
      <w:spacing w:before="100" w:beforeAutospacing="1" w:after="100" w:afterAutospacing="1"/>
    </w:pPr>
    <w:rPr>
      <w:rFonts w:ascii="Times New Roman" w:hAnsi="Times New Roman"/>
      <w:sz w:val="24"/>
      <w:szCs w:val="24"/>
    </w:rPr>
  </w:style>
  <w:style w:type="paragraph" w:customStyle="1" w:styleId="subsectionhead">
    <w:name w:val="subsectionhead"/>
    <w:basedOn w:val="Normal"/>
    <w:rsid w:val="00077FC9"/>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E60516"/>
    <w:pPr>
      <w:spacing w:before="100" w:beforeAutospacing="1" w:after="100" w:afterAutospacing="1"/>
    </w:pPr>
    <w:rPr>
      <w:rFonts w:ascii="Times New Roman" w:hAnsi="Times New Roman"/>
      <w:sz w:val="24"/>
      <w:szCs w:val="24"/>
    </w:rPr>
  </w:style>
  <w:style w:type="paragraph" w:customStyle="1" w:styleId="BodyIndent0">
    <w:name w:val="Body Indent 0"/>
    <w:basedOn w:val="BodyIndent1"/>
    <w:qFormat/>
    <w:rsid w:val="00F23514"/>
    <w:pPr>
      <w:spacing w:after="240"/>
      <w:ind w:left="0"/>
    </w:pPr>
    <w:rPr>
      <w:i/>
      <w:u w:val="single"/>
    </w:rPr>
  </w:style>
  <w:style w:type="paragraph" w:styleId="EndnoteText">
    <w:name w:val="endnote text"/>
    <w:basedOn w:val="Normal"/>
    <w:link w:val="EndnoteTextChar"/>
    <w:uiPriority w:val="99"/>
    <w:semiHidden/>
    <w:unhideWhenUsed/>
    <w:rsid w:val="008F6BDB"/>
  </w:style>
  <w:style w:type="character" w:customStyle="1" w:styleId="EndnoteTextChar">
    <w:name w:val="Endnote Text Char"/>
    <w:basedOn w:val="DefaultParagraphFont"/>
    <w:link w:val="EndnoteText"/>
    <w:uiPriority w:val="99"/>
    <w:semiHidden/>
    <w:rsid w:val="008F6BDB"/>
    <w:rPr>
      <w:rFonts w:cs="Times New Roman"/>
      <w:lang w:eastAsia="en-AU"/>
    </w:rPr>
  </w:style>
  <w:style w:type="character" w:styleId="EndnoteReference">
    <w:name w:val="endnote reference"/>
    <w:basedOn w:val="DefaultParagraphFont"/>
    <w:uiPriority w:val="99"/>
    <w:semiHidden/>
    <w:unhideWhenUsed/>
    <w:rsid w:val="008F6BDB"/>
    <w:rPr>
      <w:vertAlign w:val="superscript"/>
    </w:rPr>
  </w:style>
  <w:style w:type="character" w:customStyle="1" w:styleId="UnresolvedMention2">
    <w:name w:val="Unresolved Mention2"/>
    <w:basedOn w:val="DefaultParagraphFont"/>
    <w:uiPriority w:val="99"/>
    <w:semiHidden/>
    <w:unhideWhenUsed/>
    <w:rsid w:val="00D612B4"/>
    <w:rPr>
      <w:color w:val="605E5C"/>
      <w:shd w:val="clear" w:color="auto" w:fill="E1DFDD"/>
    </w:rPr>
  </w:style>
  <w:style w:type="paragraph" w:customStyle="1" w:styleId="LetterBody">
    <w:name w:val="Letter Body"/>
    <w:basedOn w:val="Normal"/>
    <w:qFormat/>
    <w:rsid w:val="00C768F8"/>
    <w:pPr>
      <w:spacing w:after="120"/>
    </w:pPr>
    <w:rPr>
      <w:rFonts w:asciiTheme="minorHAnsi" w:eastAsiaTheme="minorHAnsi" w:hAnsiTheme="minorHAnsi" w:cstheme="minorBidi"/>
      <w:sz w:val="22"/>
      <w:szCs w:val="22"/>
      <w:lang w:eastAsia="en-US"/>
    </w:rPr>
  </w:style>
  <w:style w:type="table" w:customStyle="1" w:styleId="PlainTable11">
    <w:name w:val="Plain Table 11"/>
    <w:basedOn w:val="TableNormal"/>
    <w:uiPriority w:val="41"/>
    <w:rsid w:val="00C768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45D29"/>
    <w:rPr>
      <w:rFonts w:cs="Times New Roman"/>
      <w:lang w:eastAsia="en-AU"/>
    </w:rPr>
  </w:style>
  <w:style w:type="character" w:customStyle="1" w:styleId="UnresolvedMention3">
    <w:name w:val="Unresolved Mention3"/>
    <w:basedOn w:val="DefaultParagraphFont"/>
    <w:uiPriority w:val="99"/>
    <w:semiHidden/>
    <w:unhideWhenUsed/>
    <w:rsid w:val="00E54A6E"/>
    <w:rPr>
      <w:color w:val="605E5C"/>
      <w:shd w:val="clear" w:color="auto" w:fill="E1DFDD"/>
    </w:rPr>
  </w:style>
  <w:style w:type="character" w:styleId="FollowedHyperlink">
    <w:name w:val="FollowedHyperlink"/>
    <w:basedOn w:val="DefaultParagraphFont"/>
    <w:uiPriority w:val="99"/>
    <w:semiHidden/>
    <w:unhideWhenUsed/>
    <w:rsid w:val="00E54A6E"/>
    <w:rPr>
      <w:color w:val="C40040" w:themeColor="followedHyperlink"/>
      <w:u w:val="single"/>
    </w:rPr>
  </w:style>
  <w:style w:type="paragraph" w:customStyle="1" w:styleId="BodyIndent">
    <w:name w:val="Body Indent"/>
    <w:basedOn w:val="BodyIndent1"/>
    <w:rsid w:val="00E92A30"/>
  </w:style>
  <w:style w:type="paragraph" w:customStyle="1" w:styleId="Boldheading">
    <w:name w:val="Bold heading"/>
    <w:basedOn w:val="Normal"/>
    <w:qFormat/>
    <w:rsid w:val="00475983"/>
    <w:pPr>
      <w:spacing w:before="240"/>
      <w:ind w:left="851"/>
    </w:pPr>
    <w:rPr>
      <w:rFonts w:cs="Arial"/>
      <w:b/>
      <w:lang w:eastAsia="en-US"/>
    </w:rPr>
  </w:style>
  <w:style w:type="paragraph" w:customStyle="1" w:styleId="Italicsheading">
    <w:name w:val="Italics heading"/>
    <w:basedOn w:val="Boldheading"/>
    <w:qFormat/>
    <w:rsid w:val="00475983"/>
    <w:rPr>
      <w:b w:val="0"/>
      <w:i/>
    </w:rPr>
  </w:style>
  <w:style w:type="paragraph" w:customStyle="1" w:styleId="ClauseLevel1">
    <w:name w:val="Clause Level 1"/>
    <w:next w:val="ClauseLevel2"/>
    <w:uiPriority w:val="99"/>
    <w:rsid w:val="00641975"/>
    <w:pPr>
      <w:keepNext/>
      <w:numPr>
        <w:numId w:val="11"/>
      </w:numPr>
      <w:tabs>
        <w:tab w:val="clear" w:pos="2976"/>
        <w:tab w:val="num" w:pos="2552"/>
      </w:tabs>
      <w:spacing w:before="200" w:after="200" w:line="280" w:lineRule="atLeast"/>
      <w:ind w:left="2268" w:hanging="2268"/>
      <w:outlineLvl w:val="0"/>
    </w:pPr>
    <w:rPr>
      <w:rFonts w:ascii="Arial Bold" w:hAnsi="Arial Bold" w:cs="Arial"/>
      <w:sz w:val="22"/>
      <w:szCs w:val="22"/>
      <w:lang w:eastAsia="en-AU"/>
    </w:rPr>
  </w:style>
  <w:style w:type="paragraph" w:customStyle="1" w:styleId="ClauseLevel2">
    <w:name w:val="Clause Level 2"/>
    <w:aliases w:val="C2"/>
    <w:next w:val="ClauseLevel3"/>
    <w:link w:val="ClauseLevel2Char"/>
    <w:uiPriority w:val="19"/>
    <w:qFormat/>
    <w:rsid w:val="00B75007"/>
    <w:pPr>
      <w:keepNext/>
      <w:tabs>
        <w:tab w:val="num" w:pos="6521"/>
      </w:tabs>
      <w:spacing w:before="200" w:line="280" w:lineRule="atLeast"/>
      <w:ind w:left="6521" w:hanging="1134"/>
      <w:outlineLvl w:val="1"/>
    </w:pPr>
    <w:rPr>
      <w:rFonts w:cs="Arial"/>
      <w:b/>
      <w:sz w:val="22"/>
      <w:szCs w:val="22"/>
      <w:lang w:eastAsia="en-AU"/>
    </w:rPr>
  </w:style>
  <w:style w:type="paragraph" w:customStyle="1" w:styleId="ClauseLevel3">
    <w:name w:val="Clause Level 3"/>
    <w:aliases w:val="C3"/>
    <w:link w:val="ClauseLevel3Char"/>
    <w:uiPriority w:val="19"/>
    <w:qFormat/>
    <w:rsid w:val="00B75007"/>
    <w:pPr>
      <w:tabs>
        <w:tab w:val="num" w:pos="1559"/>
      </w:tabs>
      <w:spacing w:before="140" w:after="140" w:line="280" w:lineRule="atLeast"/>
      <w:ind w:left="1559" w:hanging="1134"/>
    </w:pPr>
    <w:rPr>
      <w:rFonts w:cs="Arial"/>
      <w:sz w:val="22"/>
      <w:szCs w:val="22"/>
      <w:lang w:eastAsia="en-AU"/>
    </w:rPr>
  </w:style>
  <w:style w:type="character" w:customStyle="1" w:styleId="ClauseLevel3Char">
    <w:name w:val="Clause Level 3 Char"/>
    <w:link w:val="ClauseLevel3"/>
    <w:uiPriority w:val="19"/>
    <w:locked/>
    <w:rsid w:val="00337EAF"/>
    <w:rPr>
      <w:rFonts w:cs="Arial"/>
      <w:sz w:val="22"/>
      <w:szCs w:val="22"/>
      <w:lang w:eastAsia="en-AU"/>
    </w:rPr>
  </w:style>
  <w:style w:type="character" w:customStyle="1" w:styleId="ClauseLevel2Char">
    <w:name w:val="Clause Level 2 Char"/>
    <w:basedOn w:val="DefaultParagraphFont"/>
    <w:link w:val="ClauseLevel2"/>
    <w:uiPriority w:val="19"/>
    <w:rsid w:val="00B75007"/>
    <w:rPr>
      <w:rFonts w:cs="Arial"/>
      <w:b/>
      <w:sz w:val="22"/>
      <w:szCs w:val="22"/>
      <w:lang w:eastAsia="en-AU"/>
    </w:rPr>
  </w:style>
  <w:style w:type="paragraph" w:customStyle="1" w:styleId="ClauseLevel5">
    <w:name w:val="Clause Level 5"/>
    <w:basedOn w:val="Normal"/>
    <w:uiPriority w:val="99"/>
    <w:rsid w:val="00B75007"/>
    <w:pPr>
      <w:spacing w:after="140" w:line="280" w:lineRule="atLeast"/>
    </w:pPr>
    <w:rPr>
      <w:rFonts w:cs="Arial"/>
      <w:sz w:val="22"/>
      <w:szCs w:val="22"/>
    </w:rPr>
  </w:style>
  <w:style w:type="character" w:customStyle="1" w:styleId="UnresolvedMention4">
    <w:name w:val="Unresolved Mention4"/>
    <w:basedOn w:val="DefaultParagraphFont"/>
    <w:uiPriority w:val="99"/>
    <w:semiHidden/>
    <w:unhideWhenUsed/>
    <w:rsid w:val="008D4E35"/>
    <w:rPr>
      <w:color w:val="605E5C"/>
      <w:shd w:val="clear" w:color="auto" w:fill="E1DFDD"/>
    </w:rPr>
  </w:style>
  <w:style w:type="character" w:styleId="Emphasis">
    <w:name w:val="Emphasis"/>
    <w:basedOn w:val="DefaultParagraphFont"/>
    <w:uiPriority w:val="20"/>
    <w:qFormat/>
    <w:rsid w:val="002838C0"/>
    <w:rPr>
      <w:i/>
      <w:iCs/>
    </w:rPr>
  </w:style>
  <w:style w:type="paragraph" w:customStyle="1" w:styleId="DashEm">
    <w:name w:val="Dash: Em"/>
    <w:basedOn w:val="Normal"/>
    <w:semiHidden/>
    <w:rsid w:val="00337EAF"/>
    <w:pPr>
      <w:numPr>
        <w:numId w:val="12"/>
      </w:numPr>
      <w:spacing w:after="140" w:line="280" w:lineRule="atLeast"/>
    </w:pPr>
    <w:rPr>
      <w:rFonts w:cs="Arial"/>
      <w:sz w:val="22"/>
      <w:szCs w:val="22"/>
    </w:rPr>
  </w:style>
  <w:style w:type="paragraph" w:customStyle="1" w:styleId="DashEm1">
    <w:name w:val="Dash: Em 1"/>
    <w:basedOn w:val="Normal"/>
    <w:semiHidden/>
    <w:rsid w:val="00337EAF"/>
    <w:pPr>
      <w:numPr>
        <w:ilvl w:val="1"/>
        <w:numId w:val="12"/>
      </w:numPr>
      <w:spacing w:after="140" w:line="280" w:lineRule="atLeast"/>
    </w:pPr>
    <w:rPr>
      <w:rFonts w:cs="Arial"/>
      <w:sz w:val="22"/>
      <w:szCs w:val="22"/>
    </w:rPr>
  </w:style>
  <w:style w:type="paragraph" w:customStyle="1" w:styleId="DashEn1">
    <w:name w:val="Dash: En 1"/>
    <w:basedOn w:val="DashEm"/>
    <w:semiHidden/>
    <w:rsid w:val="00337EAF"/>
    <w:pPr>
      <w:numPr>
        <w:ilvl w:val="2"/>
      </w:numPr>
    </w:pPr>
  </w:style>
  <w:style w:type="paragraph" w:customStyle="1" w:styleId="DashEn2">
    <w:name w:val="Dash: En 2"/>
    <w:basedOn w:val="DashEn1"/>
    <w:semiHidden/>
    <w:rsid w:val="00337EAF"/>
    <w:pPr>
      <w:numPr>
        <w:ilvl w:val="0"/>
        <w:numId w:val="0"/>
      </w:numPr>
      <w:tabs>
        <w:tab w:val="num" w:pos="1276"/>
      </w:tabs>
      <w:ind w:left="1276" w:hanging="426"/>
    </w:pPr>
  </w:style>
  <w:style w:type="paragraph" w:customStyle="1" w:styleId="DashEn3">
    <w:name w:val="Dash: En 3"/>
    <w:basedOn w:val="DashEn2"/>
    <w:semiHidden/>
    <w:rsid w:val="00337EAF"/>
    <w:pPr>
      <w:numPr>
        <w:ilvl w:val="4"/>
      </w:numPr>
      <w:tabs>
        <w:tab w:val="num" w:pos="1276"/>
      </w:tabs>
      <w:ind w:left="1276" w:hanging="426"/>
    </w:pPr>
  </w:style>
  <w:style w:type="paragraph" w:customStyle="1" w:styleId="DashEn4">
    <w:name w:val="Dash: En 4"/>
    <w:basedOn w:val="DashEn3"/>
    <w:semiHidden/>
    <w:rsid w:val="00337EAF"/>
    <w:pPr>
      <w:numPr>
        <w:ilvl w:val="5"/>
      </w:numPr>
      <w:tabs>
        <w:tab w:val="num" w:pos="1276"/>
      </w:tabs>
      <w:ind w:left="1276" w:hanging="426"/>
    </w:pPr>
  </w:style>
  <w:style w:type="paragraph" w:customStyle="1" w:styleId="DashEn5">
    <w:name w:val="Dash: En 5"/>
    <w:basedOn w:val="DashEn4"/>
    <w:semiHidden/>
    <w:rsid w:val="00337EAF"/>
    <w:pPr>
      <w:numPr>
        <w:ilvl w:val="6"/>
      </w:numPr>
      <w:tabs>
        <w:tab w:val="num" w:pos="1276"/>
      </w:tabs>
      <w:ind w:left="1276" w:hanging="426"/>
    </w:pPr>
  </w:style>
  <w:style w:type="paragraph" w:customStyle="1" w:styleId="DashEn6">
    <w:name w:val="Dash: En 6"/>
    <w:basedOn w:val="DashEn5"/>
    <w:semiHidden/>
    <w:rsid w:val="00337EAF"/>
    <w:pPr>
      <w:numPr>
        <w:ilvl w:val="7"/>
      </w:numPr>
      <w:tabs>
        <w:tab w:val="num" w:pos="1276"/>
      </w:tabs>
      <w:ind w:left="1276" w:hanging="426"/>
    </w:pPr>
  </w:style>
  <w:style w:type="paragraph" w:customStyle="1" w:styleId="DashEn7">
    <w:name w:val="Dash: En 7"/>
    <w:basedOn w:val="DashEn6"/>
    <w:semiHidden/>
    <w:rsid w:val="00337EAF"/>
    <w:pPr>
      <w:numPr>
        <w:ilvl w:val="8"/>
      </w:numPr>
      <w:tabs>
        <w:tab w:val="num" w:pos="1276"/>
      </w:tabs>
      <w:ind w:left="1276" w:hanging="426"/>
    </w:pPr>
  </w:style>
  <w:style w:type="paragraph" w:customStyle="1" w:styleId="ClauseLevel4">
    <w:name w:val="Clause Level 4"/>
    <w:aliases w:val="C4"/>
    <w:basedOn w:val="ClauseLevel3"/>
    <w:link w:val="ClauseLevel4Char"/>
    <w:uiPriority w:val="19"/>
    <w:qFormat/>
    <w:rsid w:val="00337EAF"/>
    <w:pPr>
      <w:spacing w:before="0"/>
      <w:ind w:hanging="425"/>
    </w:pPr>
  </w:style>
  <w:style w:type="character" w:customStyle="1" w:styleId="ClauseLevel4Char">
    <w:name w:val="Clause Level 4 Char"/>
    <w:basedOn w:val="DefaultParagraphFont"/>
    <w:link w:val="ClauseLevel4"/>
    <w:uiPriority w:val="19"/>
    <w:locked/>
    <w:rsid w:val="00337EAF"/>
    <w:rPr>
      <w:rFonts w:cs="Arial"/>
      <w:sz w:val="22"/>
      <w:szCs w:val="22"/>
      <w:lang w:eastAsia="en-AU"/>
    </w:rPr>
  </w:style>
  <w:style w:type="paragraph" w:customStyle="1" w:styleId="ClauseLevel6">
    <w:name w:val="Clause Level 6"/>
    <w:basedOn w:val="ClauseLevel4"/>
    <w:next w:val="ClauseLevel5"/>
    <w:uiPriority w:val="99"/>
    <w:rsid w:val="00337EAF"/>
    <w:pPr>
      <w:tabs>
        <w:tab w:val="clear" w:pos="1559"/>
      </w:tabs>
      <w:ind w:left="1080" w:hanging="1080"/>
    </w:pPr>
  </w:style>
  <w:style w:type="paragraph" w:customStyle="1" w:styleId="ClauseLevel7">
    <w:name w:val="Clause Level 7"/>
    <w:basedOn w:val="ClauseLevel4"/>
    <w:next w:val="ClauseLevel5"/>
    <w:uiPriority w:val="99"/>
    <w:semiHidden/>
    <w:rsid w:val="00337EAF"/>
    <w:pPr>
      <w:tabs>
        <w:tab w:val="clear" w:pos="1559"/>
      </w:tabs>
      <w:ind w:left="1440" w:hanging="1440"/>
    </w:pPr>
  </w:style>
  <w:style w:type="paragraph" w:customStyle="1" w:styleId="ClauseLevel8">
    <w:name w:val="Clause Level 8"/>
    <w:basedOn w:val="ClauseLevel4"/>
    <w:next w:val="ClauseLevel5"/>
    <w:uiPriority w:val="99"/>
    <w:semiHidden/>
    <w:rsid w:val="00337EAF"/>
    <w:pPr>
      <w:tabs>
        <w:tab w:val="clear" w:pos="1559"/>
      </w:tabs>
      <w:ind w:left="1440" w:hanging="1440"/>
    </w:pPr>
  </w:style>
  <w:style w:type="paragraph" w:customStyle="1" w:styleId="ClauseLevel9">
    <w:name w:val="Clause Level 9"/>
    <w:basedOn w:val="ClauseLevel4"/>
    <w:next w:val="ClauseLevel5"/>
    <w:uiPriority w:val="99"/>
    <w:semiHidden/>
    <w:rsid w:val="00337EAF"/>
    <w:pPr>
      <w:tabs>
        <w:tab w:val="clear" w:pos="1559"/>
      </w:tabs>
      <w:ind w:left="1800" w:hanging="1800"/>
    </w:pPr>
  </w:style>
  <w:style w:type="character" w:customStyle="1" w:styleId="UnresolvedMention5">
    <w:name w:val="Unresolved Mention5"/>
    <w:basedOn w:val="DefaultParagraphFont"/>
    <w:uiPriority w:val="99"/>
    <w:semiHidden/>
    <w:unhideWhenUsed/>
    <w:rsid w:val="007051A7"/>
    <w:rPr>
      <w:color w:val="605E5C"/>
      <w:shd w:val="clear" w:color="auto" w:fill="E1DFDD"/>
    </w:rPr>
  </w:style>
  <w:style w:type="paragraph" w:customStyle="1" w:styleId="norrt">
    <w:name w:val="norrt"/>
    <w:basedOn w:val="legalPart"/>
    <w:rsid w:val="003A720C"/>
  </w:style>
  <w:style w:type="paragraph" w:customStyle="1" w:styleId="CoverDateWhite">
    <w:name w:val="Cover Date White"/>
    <w:basedOn w:val="Normal"/>
    <w:uiPriority w:val="37"/>
    <w:unhideWhenUsed/>
    <w:qFormat/>
    <w:rsid w:val="00A3792E"/>
    <w:pPr>
      <w:spacing w:before="120" w:after="120" w:line="259" w:lineRule="auto"/>
    </w:pPr>
    <w:rPr>
      <w:rFonts w:asciiTheme="minorHAnsi" w:eastAsiaTheme="minorHAnsi" w:hAnsiTheme="minorHAnsi" w:cstheme="minorBidi"/>
      <w:b/>
      <w:color w:val="FFFFFF" w:themeColor="background1"/>
      <w:sz w:val="24"/>
      <w:szCs w:val="24"/>
      <w:lang w:val="en-GB" w:eastAsia="en-US"/>
    </w:rPr>
  </w:style>
  <w:style w:type="paragraph" w:customStyle="1" w:styleId="Bolditalicsheading">
    <w:name w:val="Bold italics heading"/>
    <w:basedOn w:val="BodyIndent1"/>
    <w:qFormat/>
    <w:rsid w:val="00CB40E0"/>
    <w:rPr>
      <w:b/>
      <w:i/>
    </w:rPr>
  </w:style>
  <w:style w:type="paragraph" w:customStyle="1" w:styleId="Heading50">
    <w:name w:val="Heading5"/>
    <w:basedOn w:val="Numpara4"/>
    <w:rsid w:val="00CB40E0"/>
    <w:pPr>
      <w:tabs>
        <w:tab w:val="num" w:pos="2552"/>
      </w:tabs>
      <w:ind w:left="3119" w:hanging="851"/>
    </w:pPr>
  </w:style>
  <w:style w:type="paragraph" w:customStyle="1" w:styleId="Sectionheading">
    <w:name w:val="Section heading"/>
    <w:basedOn w:val="legalSchedule"/>
    <w:qFormat/>
    <w:rsid w:val="00CB40E0"/>
  </w:style>
  <w:style w:type="paragraph" w:customStyle="1" w:styleId="Bolit">
    <w:name w:val="Bol it"/>
    <w:basedOn w:val="Headingpara2"/>
    <w:rsid w:val="000725B1"/>
  </w:style>
  <w:style w:type="paragraph" w:customStyle="1" w:styleId="part">
    <w:name w:val="part"/>
    <w:basedOn w:val="Heading1"/>
    <w:rsid w:val="00EE6542"/>
    <w:pPr>
      <w:numPr>
        <w:numId w:val="0"/>
      </w:numPr>
      <w:ind w:left="851" w:hanging="851"/>
    </w:pPr>
  </w:style>
  <w:style w:type="character" w:customStyle="1" w:styleId="Mention1">
    <w:name w:val="Mention1"/>
    <w:basedOn w:val="DefaultParagraphFont"/>
    <w:uiPriority w:val="99"/>
    <w:unhideWhenUsed/>
    <w:rsid w:val="00F77A3A"/>
    <w:rPr>
      <w:color w:val="2B579A"/>
      <w:shd w:val="clear" w:color="auto" w:fill="E1DFDD"/>
    </w:rPr>
  </w:style>
  <w:style w:type="paragraph" w:styleId="TOC4">
    <w:name w:val="toc 4"/>
    <w:basedOn w:val="Normal"/>
    <w:next w:val="Normal"/>
    <w:autoRedefine/>
    <w:uiPriority w:val="39"/>
    <w:unhideWhenUsed/>
    <w:rsid w:val="006C592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592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592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592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592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592D"/>
    <w:pPr>
      <w:spacing w:after="100" w:line="259" w:lineRule="auto"/>
      <w:ind w:left="1760"/>
    </w:pPr>
    <w:rPr>
      <w:rFonts w:asciiTheme="minorHAnsi" w:eastAsiaTheme="minorEastAsia" w:hAnsiTheme="minorHAnsi" w:cstheme="minorBidi"/>
      <w:sz w:val="22"/>
      <w:szCs w:val="22"/>
    </w:rPr>
  </w:style>
  <w:style w:type="character" w:customStyle="1" w:styleId="UnresolvedMention6">
    <w:name w:val="Unresolved Mention6"/>
    <w:basedOn w:val="DefaultParagraphFont"/>
    <w:uiPriority w:val="99"/>
    <w:semiHidden/>
    <w:unhideWhenUsed/>
    <w:rsid w:val="00A35A2B"/>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88085C"/>
    <w:pPr>
      <w:spacing w:after="160" w:line="240" w:lineRule="exact"/>
      <w:jc w:val="both"/>
    </w:pPr>
    <w:rPr>
      <w:rFonts w:cstheme="minorBidi"/>
      <w:vertAlign w:val="superscript"/>
      <w:lang w:eastAsia="en-US"/>
    </w:rPr>
  </w:style>
  <w:style w:type="paragraph" w:customStyle="1" w:styleId="PlainParagraph">
    <w:name w:val="Plain Paragraph"/>
    <w:aliases w:val="PP"/>
    <w:basedOn w:val="Normal"/>
    <w:link w:val="PlainParagraphChar"/>
    <w:qFormat/>
    <w:rsid w:val="004C4FC3"/>
    <w:pPr>
      <w:spacing w:before="140" w:after="140" w:line="280" w:lineRule="atLeast"/>
    </w:pPr>
    <w:rPr>
      <w:rFonts w:cs="Arial"/>
      <w:sz w:val="22"/>
      <w:szCs w:val="22"/>
    </w:rPr>
  </w:style>
  <w:style w:type="character" w:customStyle="1" w:styleId="PlainParagraphChar">
    <w:name w:val="Plain Paragraph Char"/>
    <w:aliases w:val="PP Char"/>
    <w:basedOn w:val="DefaultParagraphFont"/>
    <w:link w:val="PlainParagraph"/>
    <w:rsid w:val="004C4FC3"/>
    <w:rPr>
      <w:rFonts w:cs="Arial"/>
      <w:sz w:val="22"/>
      <w:szCs w:val="22"/>
      <w:lang w:eastAsia="en-AU"/>
    </w:rPr>
  </w:style>
  <w:style w:type="paragraph" w:customStyle="1" w:styleId="voldit">
    <w:name w:val="vold it"/>
    <w:basedOn w:val="Bolditalicsheading"/>
    <w:rsid w:val="007A682F"/>
    <w:pPr>
      <w:keepNext/>
    </w:pPr>
  </w:style>
  <w:style w:type="paragraph" w:customStyle="1" w:styleId="Bulletlevel1">
    <w:name w:val="Bullet level 1"/>
    <w:basedOn w:val="Normal"/>
    <w:qFormat/>
    <w:rsid w:val="006641A2"/>
    <w:pPr>
      <w:numPr>
        <w:numId w:val="17"/>
      </w:numPr>
      <w:spacing w:after="160"/>
      <w:contextualSpacing/>
    </w:pPr>
    <w:rPr>
      <w:rFonts w:eastAsiaTheme="minorEastAsia" w:cs="Arial"/>
      <w:sz w:val="22"/>
      <w:szCs w:val="22"/>
      <w:lang w:eastAsia="en-US"/>
    </w:rPr>
  </w:style>
  <w:style w:type="paragraph" w:customStyle="1" w:styleId="form-sectionheadermandatory-field">
    <w:name w:val="form-section__header__mandatory-field"/>
    <w:basedOn w:val="Normal"/>
    <w:rsid w:val="00A1756D"/>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A1756D"/>
  </w:style>
  <w:style w:type="paragraph" w:styleId="NormalWeb">
    <w:name w:val="Normal (Web)"/>
    <w:basedOn w:val="Normal"/>
    <w:uiPriority w:val="99"/>
    <w:unhideWhenUsed/>
    <w:rsid w:val="00A1756D"/>
    <w:pPr>
      <w:spacing w:before="100" w:beforeAutospacing="1" w:after="100" w:afterAutospacing="1"/>
    </w:pPr>
    <w:rPr>
      <w:rFonts w:ascii="Times New Roman" w:hAnsi="Times New Roman"/>
      <w:sz w:val="24"/>
      <w:szCs w:val="24"/>
    </w:rPr>
  </w:style>
  <w:style w:type="paragraph" w:customStyle="1" w:styleId="MELegal1">
    <w:name w:val="ME Legal 1"/>
    <w:basedOn w:val="Normal"/>
    <w:next w:val="Normal"/>
    <w:qFormat/>
    <w:rsid w:val="00CD2A08"/>
    <w:pPr>
      <w:keepNext/>
      <w:numPr>
        <w:numId w:val="20"/>
      </w:numPr>
      <w:spacing w:before="480" w:after="60" w:line="240" w:lineRule="atLeast"/>
      <w:outlineLvl w:val="0"/>
    </w:pPr>
    <w:rPr>
      <w:rFonts w:cs="Angsana New"/>
      <w:spacing w:val="-6"/>
      <w:sz w:val="28"/>
      <w:szCs w:val="22"/>
      <w:lang w:eastAsia="zh-CN" w:bidi="th-TH"/>
    </w:rPr>
  </w:style>
  <w:style w:type="paragraph" w:customStyle="1" w:styleId="MELegal2">
    <w:name w:val="ME Legal 2"/>
    <w:basedOn w:val="Normal"/>
    <w:next w:val="Normal"/>
    <w:qFormat/>
    <w:rsid w:val="00CD2A08"/>
    <w:pPr>
      <w:keepNext/>
      <w:numPr>
        <w:ilvl w:val="1"/>
        <w:numId w:val="20"/>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CD2A08"/>
    <w:pPr>
      <w:numPr>
        <w:ilvl w:val="2"/>
        <w:numId w:val="20"/>
      </w:numPr>
      <w:spacing w:after="120" w:line="240" w:lineRule="atLeast"/>
      <w:outlineLvl w:val="2"/>
    </w:pPr>
    <w:rPr>
      <w:rFonts w:cs="Angsana New"/>
      <w:szCs w:val="22"/>
      <w:lang w:eastAsia="zh-CN" w:bidi="th-TH"/>
    </w:rPr>
  </w:style>
  <w:style w:type="character" w:customStyle="1" w:styleId="MELegal4Char">
    <w:name w:val="ME Legal 4 Char"/>
    <w:link w:val="MELegal4"/>
    <w:locked/>
    <w:rsid w:val="00CD2A08"/>
    <w:rPr>
      <w:rFonts w:cs="Angsana New"/>
      <w:szCs w:val="22"/>
      <w:lang w:eastAsia="zh-CN" w:bidi="th-TH"/>
    </w:rPr>
  </w:style>
  <w:style w:type="paragraph" w:customStyle="1" w:styleId="MELegal4">
    <w:name w:val="ME Legal 4"/>
    <w:basedOn w:val="Normal"/>
    <w:link w:val="MELegal4Char"/>
    <w:qFormat/>
    <w:rsid w:val="00CD2A08"/>
    <w:pPr>
      <w:numPr>
        <w:ilvl w:val="3"/>
        <w:numId w:val="20"/>
      </w:numPr>
      <w:spacing w:after="120" w:line="240" w:lineRule="atLeast"/>
      <w:outlineLvl w:val="3"/>
    </w:pPr>
    <w:rPr>
      <w:rFonts w:cs="Angsana New"/>
      <w:szCs w:val="22"/>
      <w:lang w:eastAsia="zh-CN" w:bidi="th-TH"/>
    </w:rPr>
  </w:style>
  <w:style w:type="paragraph" w:customStyle="1" w:styleId="MELegal5">
    <w:name w:val="ME Legal 5"/>
    <w:basedOn w:val="Normal"/>
    <w:qFormat/>
    <w:rsid w:val="00CD2A08"/>
    <w:pPr>
      <w:numPr>
        <w:ilvl w:val="4"/>
        <w:numId w:val="20"/>
      </w:numPr>
      <w:spacing w:after="120" w:line="240" w:lineRule="atLeast"/>
      <w:outlineLvl w:val="4"/>
    </w:pPr>
    <w:rPr>
      <w:rFonts w:cs="Angsana New"/>
      <w:szCs w:val="22"/>
      <w:lang w:eastAsia="zh-CN" w:bidi="th-TH"/>
    </w:rPr>
  </w:style>
  <w:style w:type="paragraph" w:customStyle="1" w:styleId="MELegal6">
    <w:name w:val="ME Legal 6"/>
    <w:basedOn w:val="Normal"/>
    <w:qFormat/>
    <w:rsid w:val="00CD2A08"/>
    <w:pPr>
      <w:numPr>
        <w:ilvl w:val="5"/>
        <w:numId w:val="20"/>
      </w:numPr>
      <w:spacing w:after="120" w:line="240" w:lineRule="atLeast"/>
      <w:outlineLvl w:val="5"/>
    </w:pPr>
    <w:rPr>
      <w:rFonts w:cs="Angsana New"/>
      <w:szCs w:val="22"/>
      <w:lang w:eastAsia="zh-CN" w:bidi="th-TH"/>
    </w:rPr>
  </w:style>
  <w:style w:type="paragraph" w:customStyle="1" w:styleId="MELegal7">
    <w:name w:val="ME Legal 7"/>
    <w:basedOn w:val="Normal"/>
    <w:qFormat/>
    <w:rsid w:val="00CD2A08"/>
    <w:pPr>
      <w:numPr>
        <w:ilvl w:val="6"/>
        <w:numId w:val="20"/>
      </w:numPr>
      <w:spacing w:after="120" w:line="240" w:lineRule="atLeast"/>
    </w:pPr>
    <w:rPr>
      <w:rFonts w:cs="Angsana New"/>
      <w:szCs w:val="22"/>
      <w:lang w:eastAsia="zh-CN" w:bidi="th-TH"/>
    </w:rPr>
  </w:style>
  <w:style w:type="paragraph" w:customStyle="1" w:styleId="MELegal8">
    <w:name w:val="ME Legal 8"/>
    <w:basedOn w:val="Normal"/>
    <w:qFormat/>
    <w:rsid w:val="00CD2A08"/>
    <w:pPr>
      <w:numPr>
        <w:ilvl w:val="7"/>
        <w:numId w:val="20"/>
      </w:numPr>
      <w:spacing w:after="120" w:line="240" w:lineRule="atLeast"/>
    </w:pPr>
    <w:rPr>
      <w:rFonts w:cs="Angsana New"/>
      <w:szCs w:val="22"/>
      <w:lang w:eastAsia="zh-CN" w:bidi="th-TH"/>
    </w:rPr>
  </w:style>
  <w:style w:type="paragraph" w:customStyle="1" w:styleId="MELegal9">
    <w:name w:val="ME Legal 9"/>
    <w:basedOn w:val="Normal"/>
    <w:qFormat/>
    <w:rsid w:val="00CD2A08"/>
    <w:pPr>
      <w:numPr>
        <w:ilvl w:val="8"/>
        <w:numId w:val="20"/>
      </w:numPr>
      <w:spacing w:after="120" w:line="240" w:lineRule="atLeast"/>
    </w:pPr>
    <w:rPr>
      <w:rFonts w:cs="Angsana New"/>
      <w:szCs w:val="22"/>
      <w:lang w:eastAsia="zh-CN" w:bidi="th-TH"/>
    </w:rPr>
  </w:style>
  <w:style w:type="numbering" w:customStyle="1" w:styleId="MELegal">
    <w:name w:val="ME Legal"/>
    <w:uiPriority w:val="99"/>
    <w:rsid w:val="00CD2A08"/>
    <w:pPr>
      <w:numPr>
        <w:numId w:val="20"/>
      </w:numPr>
    </w:pPr>
  </w:style>
  <w:style w:type="character" w:customStyle="1" w:styleId="UnresolvedMention7">
    <w:name w:val="Unresolved Mention7"/>
    <w:basedOn w:val="DefaultParagraphFont"/>
    <w:uiPriority w:val="99"/>
    <w:semiHidden/>
    <w:unhideWhenUsed/>
    <w:rsid w:val="009D5C5B"/>
    <w:rPr>
      <w:color w:val="605E5C"/>
      <w:shd w:val="clear" w:color="auto" w:fill="E1DFDD"/>
    </w:rPr>
  </w:style>
  <w:style w:type="paragraph" w:customStyle="1" w:styleId="Nod">
    <w:name w:val="Nod"/>
    <w:basedOn w:val="Headingpara2"/>
    <w:rsid w:val="005F71EE"/>
    <w:pPr>
      <w:numPr>
        <w:ilvl w:val="0"/>
        <w:numId w:val="0"/>
      </w:numPr>
    </w:pPr>
  </w:style>
  <w:style w:type="character" w:customStyle="1" w:styleId="UnresolvedMention8">
    <w:name w:val="Unresolved Mention8"/>
    <w:basedOn w:val="DefaultParagraphFont"/>
    <w:uiPriority w:val="99"/>
    <w:semiHidden/>
    <w:unhideWhenUsed/>
    <w:rsid w:val="007C7EBF"/>
    <w:rPr>
      <w:color w:val="605E5C"/>
      <w:shd w:val="clear" w:color="auto" w:fill="E1DFDD"/>
    </w:rPr>
  </w:style>
  <w:style w:type="character" w:styleId="UnresolvedMention">
    <w:name w:val="Unresolved Mention"/>
    <w:basedOn w:val="DefaultParagraphFont"/>
    <w:uiPriority w:val="99"/>
    <w:semiHidden/>
    <w:unhideWhenUsed/>
    <w:rsid w:val="00366F72"/>
    <w:rPr>
      <w:color w:val="605E5C"/>
      <w:shd w:val="clear" w:color="auto" w:fill="E1DFDD"/>
    </w:rPr>
  </w:style>
  <w:style w:type="paragraph" w:styleId="TOCHeading">
    <w:name w:val="TOC Heading"/>
    <w:basedOn w:val="Heading1"/>
    <w:next w:val="Normal"/>
    <w:uiPriority w:val="39"/>
    <w:unhideWhenUsed/>
    <w:qFormat/>
    <w:rsid w:val="005A6B4E"/>
    <w:pPr>
      <w:keepLines/>
      <w:numPr>
        <w:numId w:val="0"/>
      </w:numPr>
      <w:pBdr>
        <w:top w:val="none" w:sz="0" w:space="0" w:color="auto"/>
      </w:pBdr>
      <w:spacing w:before="240" w:line="259" w:lineRule="auto"/>
      <w:outlineLvl w:val="9"/>
    </w:pPr>
    <w:rPr>
      <w:rFonts w:asciiTheme="majorHAnsi" w:eastAsiaTheme="majorEastAsia" w:hAnsiTheme="majorHAnsi" w:cstheme="majorBidi"/>
      <w:b w:val="0"/>
      <w:color w:val="61001F" w:themeColor="accent1" w:themeShade="BF"/>
      <w:kern w:val="0"/>
      <w:sz w:val="32"/>
      <w:szCs w:val="32"/>
      <w:lang w:val="en-US"/>
    </w:rPr>
  </w:style>
  <w:style w:type="paragraph" w:customStyle="1" w:styleId="Boldit">
    <w:name w:val="Boldi t"/>
    <w:basedOn w:val="Headingpara2"/>
    <w:rsid w:val="00000D74"/>
  </w:style>
  <w:style w:type="character" w:styleId="Strong">
    <w:name w:val="Strong"/>
    <w:basedOn w:val="DefaultParagraphFont"/>
    <w:uiPriority w:val="22"/>
    <w:qFormat/>
    <w:rsid w:val="00E54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225">
      <w:bodyDiv w:val="1"/>
      <w:marLeft w:val="0"/>
      <w:marRight w:val="0"/>
      <w:marTop w:val="0"/>
      <w:marBottom w:val="0"/>
      <w:divBdr>
        <w:top w:val="none" w:sz="0" w:space="0" w:color="auto"/>
        <w:left w:val="none" w:sz="0" w:space="0" w:color="auto"/>
        <w:bottom w:val="none" w:sz="0" w:space="0" w:color="auto"/>
        <w:right w:val="none" w:sz="0" w:space="0" w:color="auto"/>
      </w:divBdr>
    </w:div>
    <w:div w:id="100103686">
      <w:bodyDiv w:val="1"/>
      <w:marLeft w:val="0"/>
      <w:marRight w:val="0"/>
      <w:marTop w:val="0"/>
      <w:marBottom w:val="0"/>
      <w:divBdr>
        <w:top w:val="none" w:sz="0" w:space="0" w:color="auto"/>
        <w:left w:val="none" w:sz="0" w:space="0" w:color="auto"/>
        <w:bottom w:val="none" w:sz="0" w:space="0" w:color="auto"/>
        <w:right w:val="none" w:sz="0" w:space="0" w:color="auto"/>
      </w:divBdr>
    </w:div>
    <w:div w:id="207765249">
      <w:bodyDiv w:val="1"/>
      <w:marLeft w:val="0"/>
      <w:marRight w:val="0"/>
      <w:marTop w:val="0"/>
      <w:marBottom w:val="0"/>
      <w:divBdr>
        <w:top w:val="none" w:sz="0" w:space="0" w:color="auto"/>
        <w:left w:val="none" w:sz="0" w:space="0" w:color="auto"/>
        <w:bottom w:val="none" w:sz="0" w:space="0" w:color="auto"/>
        <w:right w:val="none" w:sz="0" w:space="0" w:color="auto"/>
      </w:divBdr>
    </w:div>
    <w:div w:id="261643679">
      <w:bodyDiv w:val="1"/>
      <w:marLeft w:val="0"/>
      <w:marRight w:val="0"/>
      <w:marTop w:val="0"/>
      <w:marBottom w:val="0"/>
      <w:divBdr>
        <w:top w:val="none" w:sz="0" w:space="0" w:color="auto"/>
        <w:left w:val="none" w:sz="0" w:space="0" w:color="auto"/>
        <w:bottom w:val="none" w:sz="0" w:space="0" w:color="auto"/>
        <w:right w:val="none" w:sz="0" w:space="0" w:color="auto"/>
      </w:divBdr>
    </w:div>
    <w:div w:id="308440047">
      <w:bodyDiv w:val="1"/>
      <w:marLeft w:val="0"/>
      <w:marRight w:val="0"/>
      <w:marTop w:val="0"/>
      <w:marBottom w:val="0"/>
      <w:divBdr>
        <w:top w:val="none" w:sz="0" w:space="0" w:color="auto"/>
        <w:left w:val="none" w:sz="0" w:space="0" w:color="auto"/>
        <w:bottom w:val="none" w:sz="0" w:space="0" w:color="auto"/>
        <w:right w:val="none" w:sz="0" w:space="0" w:color="auto"/>
      </w:divBdr>
    </w:div>
    <w:div w:id="320428845">
      <w:bodyDiv w:val="1"/>
      <w:marLeft w:val="0"/>
      <w:marRight w:val="0"/>
      <w:marTop w:val="0"/>
      <w:marBottom w:val="0"/>
      <w:divBdr>
        <w:top w:val="none" w:sz="0" w:space="0" w:color="auto"/>
        <w:left w:val="none" w:sz="0" w:space="0" w:color="auto"/>
        <w:bottom w:val="none" w:sz="0" w:space="0" w:color="auto"/>
        <w:right w:val="none" w:sz="0" w:space="0" w:color="auto"/>
      </w:divBdr>
    </w:div>
    <w:div w:id="330959438">
      <w:bodyDiv w:val="1"/>
      <w:marLeft w:val="0"/>
      <w:marRight w:val="0"/>
      <w:marTop w:val="0"/>
      <w:marBottom w:val="0"/>
      <w:divBdr>
        <w:top w:val="none" w:sz="0" w:space="0" w:color="auto"/>
        <w:left w:val="none" w:sz="0" w:space="0" w:color="auto"/>
        <w:bottom w:val="none" w:sz="0" w:space="0" w:color="auto"/>
        <w:right w:val="none" w:sz="0" w:space="0" w:color="auto"/>
      </w:divBdr>
    </w:div>
    <w:div w:id="345668669">
      <w:bodyDiv w:val="1"/>
      <w:marLeft w:val="0"/>
      <w:marRight w:val="0"/>
      <w:marTop w:val="0"/>
      <w:marBottom w:val="0"/>
      <w:divBdr>
        <w:top w:val="none" w:sz="0" w:space="0" w:color="auto"/>
        <w:left w:val="none" w:sz="0" w:space="0" w:color="auto"/>
        <w:bottom w:val="none" w:sz="0" w:space="0" w:color="auto"/>
        <w:right w:val="none" w:sz="0" w:space="0" w:color="auto"/>
      </w:divBdr>
    </w:div>
    <w:div w:id="360937731">
      <w:bodyDiv w:val="1"/>
      <w:marLeft w:val="0"/>
      <w:marRight w:val="0"/>
      <w:marTop w:val="0"/>
      <w:marBottom w:val="0"/>
      <w:divBdr>
        <w:top w:val="none" w:sz="0" w:space="0" w:color="auto"/>
        <w:left w:val="none" w:sz="0" w:space="0" w:color="auto"/>
        <w:bottom w:val="none" w:sz="0" w:space="0" w:color="auto"/>
        <w:right w:val="none" w:sz="0" w:space="0" w:color="auto"/>
      </w:divBdr>
    </w:div>
    <w:div w:id="388577935">
      <w:bodyDiv w:val="1"/>
      <w:marLeft w:val="0"/>
      <w:marRight w:val="0"/>
      <w:marTop w:val="0"/>
      <w:marBottom w:val="0"/>
      <w:divBdr>
        <w:top w:val="none" w:sz="0" w:space="0" w:color="auto"/>
        <w:left w:val="none" w:sz="0" w:space="0" w:color="auto"/>
        <w:bottom w:val="none" w:sz="0" w:space="0" w:color="auto"/>
        <w:right w:val="none" w:sz="0" w:space="0" w:color="auto"/>
      </w:divBdr>
    </w:div>
    <w:div w:id="397049266">
      <w:bodyDiv w:val="1"/>
      <w:marLeft w:val="0"/>
      <w:marRight w:val="0"/>
      <w:marTop w:val="0"/>
      <w:marBottom w:val="0"/>
      <w:divBdr>
        <w:top w:val="none" w:sz="0" w:space="0" w:color="auto"/>
        <w:left w:val="none" w:sz="0" w:space="0" w:color="auto"/>
        <w:bottom w:val="none" w:sz="0" w:space="0" w:color="auto"/>
        <w:right w:val="none" w:sz="0" w:space="0" w:color="auto"/>
      </w:divBdr>
      <w:divsChild>
        <w:div w:id="2025279161">
          <w:marLeft w:val="0"/>
          <w:marRight w:val="0"/>
          <w:marTop w:val="0"/>
          <w:marBottom w:val="75"/>
          <w:divBdr>
            <w:top w:val="none" w:sz="0" w:space="0" w:color="auto"/>
            <w:left w:val="none" w:sz="0" w:space="0" w:color="auto"/>
            <w:bottom w:val="none" w:sz="0" w:space="0" w:color="auto"/>
            <w:right w:val="none" w:sz="0" w:space="0" w:color="auto"/>
          </w:divBdr>
        </w:div>
        <w:div w:id="1847398982">
          <w:marLeft w:val="0"/>
          <w:marRight w:val="0"/>
          <w:marTop w:val="0"/>
          <w:marBottom w:val="0"/>
          <w:divBdr>
            <w:top w:val="none" w:sz="0" w:space="0" w:color="auto"/>
            <w:left w:val="none" w:sz="0" w:space="0" w:color="auto"/>
            <w:bottom w:val="none" w:sz="0" w:space="0" w:color="auto"/>
            <w:right w:val="none" w:sz="0" w:space="0" w:color="auto"/>
          </w:divBdr>
          <w:divsChild>
            <w:div w:id="2139177877">
              <w:marLeft w:val="0"/>
              <w:marRight w:val="0"/>
              <w:marTop w:val="0"/>
              <w:marBottom w:val="0"/>
              <w:divBdr>
                <w:top w:val="none" w:sz="0" w:space="0" w:color="auto"/>
                <w:left w:val="none" w:sz="0" w:space="0" w:color="auto"/>
                <w:bottom w:val="none" w:sz="0" w:space="0" w:color="auto"/>
                <w:right w:val="none" w:sz="0" w:space="0" w:color="auto"/>
              </w:divBdr>
              <w:divsChild>
                <w:div w:id="1010522261">
                  <w:marLeft w:val="0"/>
                  <w:marRight w:val="0"/>
                  <w:marTop w:val="0"/>
                  <w:marBottom w:val="0"/>
                  <w:divBdr>
                    <w:top w:val="none" w:sz="0" w:space="0" w:color="auto"/>
                    <w:left w:val="none" w:sz="0" w:space="0" w:color="auto"/>
                    <w:bottom w:val="none" w:sz="0" w:space="0" w:color="auto"/>
                    <w:right w:val="none" w:sz="0" w:space="0" w:color="auto"/>
                  </w:divBdr>
                </w:div>
              </w:divsChild>
            </w:div>
            <w:div w:id="1181165184">
              <w:marLeft w:val="0"/>
              <w:marRight w:val="0"/>
              <w:marTop w:val="0"/>
              <w:marBottom w:val="0"/>
              <w:divBdr>
                <w:top w:val="none" w:sz="0" w:space="0" w:color="auto"/>
                <w:left w:val="none" w:sz="0" w:space="0" w:color="auto"/>
                <w:bottom w:val="none" w:sz="0" w:space="0" w:color="auto"/>
                <w:right w:val="none" w:sz="0" w:space="0" w:color="auto"/>
              </w:divBdr>
              <w:divsChild>
                <w:div w:id="1113288970">
                  <w:marLeft w:val="0"/>
                  <w:marRight w:val="0"/>
                  <w:marTop w:val="0"/>
                  <w:marBottom w:val="0"/>
                  <w:divBdr>
                    <w:top w:val="none" w:sz="0" w:space="0" w:color="auto"/>
                    <w:left w:val="none" w:sz="0" w:space="0" w:color="auto"/>
                    <w:bottom w:val="none" w:sz="0" w:space="0" w:color="auto"/>
                    <w:right w:val="none" w:sz="0" w:space="0" w:color="auto"/>
                  </w:divBdr>
                </w:div>
              </w:divsChild>
            </w:div>
            <w:div w:id="503395812">
              <w:marLeft w:val="0"/>
              <w:marRight w:val="0"/>
              <w:marTop w:val="0"/>
              <w:marBottom w:val="0"/>
              <w:divBdr>
                <w:top w:val="none" w:sz="0" w:space="0" w:color="auto"/>
                <w:left w:val="none" w:sz="0" w:space="0" w:color="auto"/>
                <w:bottom w:val="none" w:sz="0" w:space="0" w:color="auto"/>
                <w:right w:val="none" w:sz="0" w:space="0" w:color="auto"/>
              </w:divBdr>
              <w:divsChild>
                <w:div w:id="600183703">
                  <w:marLeft w:val="0"/>
                  <w:marRight w:val="0"/>
                  <w:marTop w:val="0"/>
                  <w:marBottom w:val="0"/>
                  <w:divBdr>
                    <w:top w:val="none" w:sz="0" w:space="0" w:color="auto"/>
                    <w:left w:val="none" w:sz="0" w:space="0" w:color="auto"/>
                    <w:bottom w:val="none" w:sz="0" w:space="0" w:color="auto"/>
                    <w:right w:val="none" w:sz="0" w:space="0" w:color="auto"/>
                  </w:divBdr>
                  <w:divsChild>
                    <w:div w:id="436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236">
              <w:marLeft w:val="0"/>
              <w:marRight w:val="0"/>
              <w:marTop w:val="0"/>
              <w:marBottom w:val="0"/>
              <w:divBdr>
                <w:top w:val="none" w:sz="0" w:space="0" w:color="auto"/>
                <w:left w:val="none" w:sz="0" w:space="0" w:color="auto"/>
                <w:bottom w:val="none" w:sz="0" w:space="0" w:color="auto"/>
                <w:right w:val="none" w:sz="0" w:space="0" w:color="auto"/>
              </w:divBdr>
              <w:divsChild>
                <w:div w:id="19157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256">
          <w:marLeft w:val="0"/>
          <w:marRight w:val="0"/>
          <w:marTop w:val="0"/>
          <w:marBottom w:val="75"/>
          <w:divBdr>
            <w:top w:val="none" w:sz="0" w:space="0" w:color="auto"/>
            <w:left w:val="none" w:sz="0" w:space="0" w:color="auto"/>
            <w:bottom w:val="none" w:sz="0" w:space="0" w:color="auto"/>
            <w:right w:val="none" w:sz="0" w:space="0" w:color="auto"/>
          </w:divBdr>
        </w:div>
        <w:div w:id="1822653530">
          <w:marLeft w:val="0"/>
          <w:marRight w:val="0"/>
          <w:marTop w:val="0"/>
          <w:marBottom w:val="0"/>
          <w:divBdr>
            <w:top w:val="none" w:sz="0" w:space="0" w:color="auto"/>
            <w:left w:val="none" w:sz="0" w:space="0" w:color="auto"/>
            <w:bottom w:val="none" w:sz="0" w:space="0" w:color="auto"/>
            <w:right w:val="none" w:sz="0" w:space="0" w:color="auto"/>
          </w:divBdr>
          <w:divsChild>
            <w:div w:id="1682078614">
              <w:marLeft w:val="0"/>
              <w:marRight w:val="0"/>
              <w:marTop w:val="0"/>
              <w:marBottom w:val="0"/>
              <w:divBdr>
                <w:top w:val="none" w:sz="0" w:space="0" w:color="auto"/>
                <w:left w:val="none" w:sz="0" w:space="0" w:color="auto"/>
                <w:bottom w:val="none" w:sz="0" w:space="0" w:color="auto"/>
                <w:right w:val="none" w:sz="0" w:space="0" w:color="auto"/>
              </w:divBdr>
              <w:divsChild>
                <w:div w:id="929653789">
                  <w:marLeft w:val="0"/>
                  <w:marRight w:val="0"/>
                  <w:marTop w:val="0"/>
                  <w:marBottom w:val="0"/>
                  <w:divBdr>
                    <w:top w:val="none" w:sz="0" w:space="0" w:color="auto"/>
                    <w:left w:val="none" w:sz="0" w:space="0" w:color="auto"/>
                    <w:bottom w:val="none" w:sz="0" w:space="0" w:color="auto"/>
                    <w:right w:val="none" w:sz="0" w:space="0" w:color="auto"/>
                  </w:divBdr>
                </w:div>
              </w:divsChild>
            </w:div>
            <w:div w:id="181553040">
              <w:marLeft w:val="0"/>
              <w:marRight w:val="0"/>
              <w:marTop w:val="0"/>
              <w:marBottom w:val="0"/>
              <w:divBdr>
                <w:top w:val="none" w:sz="0" w:space="0" w:color="auto"/>
                <w:left w:val="none" w:sz="0" w:space="0" w:color="auto"/>
                <w:bottom w:val="none" w:sz="0" w:space="0" w:color="auto"/>
                <w:right w:val="none" w:sz="0" w:space="0" w:color="auto"/>
              </w:divBdr>
              <w:divsChild>
                <w:div w:id="11386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8370">
          <w:marLeft w:val="0"/>
          <w:marRight w:val="0"/>
          <w:marTop w:val="0"/>
          <w:marBottom w:val="300"/>
          <w:divBdr>
            <w:top w:val="none" w:sz="0" w:space="0" w:color="auto"/>
            <w:left w:val="none" w:sz="0" w:space="0" w:color="auto"/>
            <w:bottom w:val="none" w:sz="0" w:space="0" w:color="auto"/>
            <w:right w:val="none" w:sz="0" w:space="0" w:color="auto"/>
          </w:divBdr>
        </w:div>
      </w:divsChild>
    </w:div>
    <w:div w:id="411201265">
      <w:bodyDiv w:val="1"/>
      <w:marLeft w:val="0"/>
      <w:marRight w:val="0"/>
      <w:marTop w:val="0"/>
      <w:marBottom w:val="0"/>
      <w:divBdr>
        <w:top w:val="none" w:sz="0" w:space="0" w:color="auto"/>
        <w:left w:val="none" w:sz="0" w:space="0" w:color="auto"/>
        <w:bottom w:val="none" w:sz="0" w:space="0" w:color="auto"/>
        <w:right w:val="none" w:sz="0" w:space="0" w:color="auto"/>
      </w:divBdr>
    </w:div>
    <w:div w:id="446463487">
      <w:bodyDiv w:val="1"/>
      <w:marLeft w:val="0"/>
      <w:marRight w:val="0"/>
      <w:marTop w:val="0"/>
      <w:marBottom w:val="0"/>
      <w:divBdr>
        <w:top w:val="none" w:sz="0" w:space="0" w:color="auto"/>
        <w:left w:val="none" w:sz="0" w:space="0" w:color="auto"/>
        <w:bottom w:val="none" w:sz="0" w:space="0" w:color="auto"/>
        <w:right w:val="none" w:sz="0" w:space="0" w:color="auto"/>
      </w:divBdr>
    </w:div>
    <w:div w:id="492532045">
      <w:bodyDiv w:val="1"/>
      <w:marLeft w:val="0"/>
      <w:marRight w:val="0"/>
      <w:marTop w:val="0"/>
      <w:marBottom w:val="0"/>
      <w:divBdr>
        <w:top w:val="none" w:sz="0" w:space="0" w:color="auto"/>
        <w:left w:val="none" w:sz="0" w:space="0" w:color="auto"/>
        <w:bottom w:val="none" w:sz="0" w:space="0" w:color="auto"/>
        <w:right w:val="none" w:sz="0" w:space="0" w:color="auto"/>
      </w:divBdr>
    </w:div>
    <w:div w:id="539443559">
      <w:bodyDiv w:val="1"/>
      <w:marLeft w:val="0"/>
      <w:marRight w:val="0"/>
      <w:marTop w:val="0"/>
      <w:marBottom w:val="0"/>
      <w:divBdr>
        <w:top w:val="none" w:sz="0" w:space="0" w:color="auto"/>
        <w:left w:val="none" w:sz="0" w:space="0" w:color="auto"/>
        <w:bottom w:val="none" w:sz="0" w:space="0" w:color="auto"/>
        <w:right w:val="none" w:sz="0" w:space="0" w:color="auto"/>
      </w:divBdr>
    </w:div>
    <w:div w:id="567963495">
      <w:bodyDiv w:val="1"/>
      <w:marLeft w:val="0"/>
      <w:marRight w:val="0"/>
      <w:marTop w:val="0"/>
      <w:marBottom w:val="0"/>
      <w:divBdr>
        <w:top w:val="none" w:sz="0" w:space="0" w:color="auto"/>
        <w:left w:val="none" w:sz="0" w:space="0" w:color="auto"/>
        <w:bottom w:val="none" w:sz="0" w:space="0" w:color="auto"/>
        <w:right w:val="none" w:sz="0" w:space="0" w:color="auto"/>
      </w:divBdr>
    </w:div>
    <w:div w:id="607153882">
      <w:bodyDiv w:val="1"/>
      <w:marLeft w:val="0"/>
      <w:marRight w:val="0"/>
      <w:marTop w:val="0"/>
      <w:marBottom w:val="0"/>
      <w:divBdr>
        <w:top w:val="none" w:sz="0" w:space="0" w:color="auto"/>
        <w:left w:val="none" w:sz="0" w:space="0" w:color="auto"/>
        <w:bottom w:val="none" w:sz="0" w:space="0" w:color="auto"/>
        <w:right w:val="none" w:sz="0" w:space="0" w:color="auto"/>
      </w:divBdr>
    </w:div>
    <w:div w:id="618149319">
      <w:bodyDiv w:val="1"/>
      <w:marLeft w:val="0"/>
      <w:marRight w:val="0"/>
      <w:marTop w:val="0"/>
      <w:marBottom w:val="0"/>
      <w:divBdr>
        <w:top w:val="none" w:sz="0" w:space="0" w:color="auto"/>
        <w:left w:val="none" w:sz="0" w:space="0" w:color="auto"/>
        <w:bottom w:val="none" w:sz="0" w:space="0" w:color="auto"/>
        <w:right w:val="none" w:sz="0" w:space="0" w:color="auto"/>
      </w:divBdr>
    </w:div>
    <w:div w:id="676083534">
      <w:bodyDiv w:val="1"/>
      <w:marLeft w:val="0"/>
      <w:marRight w:val="0"/>
      <w:marTop w:val="0"/>
      <w:marBottom w:val="0"/>
      <w:divBdr>
        <w:top w:val="none" w:sz="0" w:space="0" w:color="auto"/>
        <w:left w:val="none" w:sz="0" w:space="0" w:color="auto"/>
        <w:bottom w:val="none" w:sz="0" w:space="0" w:color="auto"/>
        <w:right w:val="none" w:sz="0" w:space="0" w:color="auto"/>
      </w:divBdr>
    </w:div>
    <w:div w:id="710618599">
      <w:bodyDiv w:val="1"/>
      <w:marLeft w:val="0"/>
      <w:marRight w:val="0"/>
      <w:marTop w:val="0"/>
      <w:marBottom w:val="0"/>
      <w:divBdr>
        <w:top w:val="none" w:sz="0" w:space="0" w:color="auto"/>
        <w:left w:val="none" w:sz="0" w:space="0" w:color="auto"/>
        <w:bottom w:val="none" w:sz="0" w:space="0" w:color="auto"/>
        <w:right w:val="none" w:sz="0" w:space="0" w:color="auto"/>
      </w:divBdr>
    </w:div>
    <w:div w:id="741030705">
      <w:bodyDiv w:val="1"/>
      <w:marLeft w:val="0"/>
      <w:marRight w:val="0"/>
      <w:marTop w:val="0"/>
      <w:marBottom w:val="0"/>
      <w:divBdr>
        <w:top w:val="none" w:sz="0" w:space="0" w:color="auto"/>
        <w:left w:val="none" w:sz="0" w:space="0" w:color="auto"/>
        <w:bottom w:val="none" w:sz="0" w:space="0" w:color="auto"/>
        <w:right w:val="none" w:sz="0" w:space="0" w:color="auto"/>
      </w:divBdr>
    </w:div>
    <w:div w:id="760177632">
      <w:bodyDiv w:val="1"/>
      <w:marLeft w:val="0"/>
      <w:marRight w:val="0"/>
      <w:marTop w:val="0"/>
      <w:marBottom w:val="0"/>
      <w:divBdr>
        <w:top w:val="none" w:sz="0" w:space="0" w:color="auto"/>
        <w:left w:val="none" w:sz="0" w:space="0" w:color="auto"/>
        <w:bottom w:val="none" w:sz="0" w:space="0" w:color="auto"/>
        <w:right w:val="none" w:sz="0" w:space="0" w:color="auto"/>
      </w:divBdr>
    </w:div>
    <w:div w:id="812983700">
      <w:bodyDiv w:val="1"/>
      <w:marLeft w:val="0"/>
      <w:marRight w:val="0"/>
      <w:marTop w:val="0"/>
      <w:marBottom w:val="0"/>
      <w:divBdr>
        <w:top w:val="none" w:sz="0" w:space="0" w:color="auto"/>
        <w:left w:val="none" w:sz="0" w:space="0" w:color="auto"/>
        <w:bottom w:val="none" w:sz="0" w:space="0" w:color="auto"/>
        <w:right w:val="none" w:sz="0" w:space="0" w:color="auto"/>
      </w:divBdr>
    </w:div>
    <w:div w:id="1008753566">
      <w:bodyDiv w:val="1"/>
      <w:marLeft w:val="0"/>
      <w:marRight w:val="0"/>
      <w:marTop w:val="0"/>
      <w:marBottom w:val="0"/>
      <w:divBdr>
        <w:top w:val="none" w:sz="0" w:space="0" w:color="auto"/>
        <w:left w:val="none" w:sz="0" w:space="0" w:color="auto"/>
        <w:bottom w:val="none" w:sz="0" w:space="0" w:color="auto"/>
        <w:right w:val="none" w:sz="0" w:space="0" w:color="auto"/>
      </w:divBdr>
    </w:div>
    <w:div w:id="1012878666">
      <w:bodyDiv w:val="1"/>
      <w:marLeft w:val="0"/>
      <w:marRight w:val="0"/>
      <w:marTop w:val="0"/>
      <w:marBottom w:val="0"/>
      <w:divBdr>
        <w:top w:val="none" w:sz="0" w:space="0" w:color="auto"/>
        <w:left w:val="none" w:sz="0" w:space="0" w:color="auto"/>
        <w:bottom w:val="none" w:sz="0" w:space="0" w:color="auto"/>
        <w:right w:val="none" w:sz="0" w:space="0" w:color="auto"/>
      </w:divBdr>
    </w:div>
    <w:div w:id="1044602317">
      <w:bodyDiv w:val="1"/>
      <w:marLeft w:val="0"/>
      <w:marRight w:val="0"/>
      <w:marTop w:val="0"/>
      <w:marBottom w:val="0"/>
      <w:divBdr>
        <w:top w:val="none" w:sz="0" w:space="0" w:color="auto"/>
        <w:left w:val="none" w:sz="0" w:space="0" w:color="auto"/>
        <w:bottom w:val="none" w:sz="0" w:space="0" w:color="auto"/>
        <w:right w:val="none" w:sz="0" w:space="0" w:color="auto"/>
      </w:divBdr>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7582351">
      <w:bodyDiv w:val="1"/>
      <w:marLeft w:val="0"/>
      <w:marRight w:val="0"/>
      <w:marTop w:val="0"/>
      <w:marBottom w:val="0"/>
      <w:divBdr>
        <w:top w:val="none" w:sz="0" w:space="0" w:color="auto"/>
        <w:left w:val="none" w:sz="0" w:space="0" w:color="auto"/>
        <w:bottom w:val="none" w:sz="0" w:space="0" w:color="auto"/>
        <w:right w:val="none" w:sz="0" w:space="0" w:color="auto"/>
      </w:divBdr>
    </w:div>
    <w:div w:id="1150368247">
      <w:bodyDiv w:val="1"/>
      <w:marLeft w:val="0"/>
      <w:marRight w:val="0"/>
      <w:marTop w:val="0"/>
      <w:marBottom w:val="0"/>
      <w:divBdr>
        <w:top w:val="none" w:sz="0" w:space="0" w:color="auto"/>
        <w:left w:val="none" w:sz="0" w:space="0" w:color="auto"/>
        <w:bottom w:val="none" w:sz="0" w:space="0" w:color="auto"/>
        <w:right w:val="none" w:sz="0" w:space="0" w:color="auto"/>
      </w:divBdr>
    </w:div>
    <w:div w:id="1158614147">
      <w:bodyDiv w:val="1"/>
      <w:marLeft w:val="0"/>
      <w:marRight w:val="0"/>
      <w:marTop w:val="0"/>
      <w:marBottom w:val="0"/>
      <w:divBdr>
        <w:top w:val="none" w:sz="0" w:space="0" w:color="auto"/>
        <w:left w:val="none" w:sz="0" w:space="0" w:color="auto"/>
        <w:bottom w:val="none" w:sz="0" w:space="0" w:color="auto"/>
        <w:right w:val="none" w:sz="0" w:space="0" w:color="auto"/>
      </w:divBdr>
    </w:div>
    <w:div w:id="1174880056">
      <w:bodyDiv w:val="1"/>
      <w:marLeft w:val="0"/>
      <w:marRight w:val="0"/>
      <w:marTop w:val="0"/>
      <w:marBottom w:val="0"/>
      <w:divBdr>
        <w:top w:val="none" w:sz="0" w:space="0" w:color="auto"/>
        <w:left w:val="none" w:sz="0" w:space="0" w:color="auto"/>
        <w:bottom w:val="none" w:sz="0" w:space="0" w:color="auto"/>
        <w:right w:val="none" w:sz="0" w:space="0" w:color="auto"/>
      </w:divBdr>
    </w:div>
    <w:div w:id="1196457481">
      <w:bodyDiv w:val="1"/>
      <w:marLeft w:val="0"/>
      <w:marRight w:val="0"/>
      <w:marTop w:val="0"/>
      <w:marBottom w:val="0"/>
      <w:divBdr>
        <w:top w:val="none" w:sz="0" w:space="0" w:color="auto"/>
        <w:left w:val="none" w:sz="0" w:space="0" w:color="auto"/>
        <w:bottom w:val="none" w:sz="0" w:space="0" w:color="auto"/>
        <w:right w:val="none" w:sz="0" w:space="0" w:color="auto"/>
      </w:divBdr>
    </w:div>
    <w:div w:id="1202135420">
      <w:bodyDiv w:val="1"/>
      <w:marLeft w:val="0"/>
      <w:marRight w:val="0"/>
      <w:marTop w:val="0"/>
      <w:marBottom w:val="0"/>
      <w:divBdr>
        <w:top w:val="none" w:sz="0" w:space="0" w:color="auto"/>
        <w:left w:val="none" w:sz="0" w:space="0" w:color="auto"/>
        <w:bottom w:val="none" w:sz="0" w:space="0" w:color="auto"/>
        <w:right w:val="none" w:sz="0" w:space="0" w:color="auto"/>
      </w:divBdr>
    </w:div>
    <w:div w:id="1205672967">
      <w:bodyDiv w:val="1"/>
      <w:marLeft w:val="0"/>
      <w:marRight w:val="0"/>
      <w:marTop w:val="0"/>
      <w:marBottom w:val="0"/>
      <w:divBdr>
        <w:top w:val="none" w:sz="0" w:space="0" w:color="auto"/>
        <w:left w:val="none" w:sz="0" w:space="0" w:color="auto"/>
        <w:bottom w:val="none" w:sz="0" w:space="0" w:color="auto"/>
        <w:right w:val="none" w:sz="0" w:space="0" w:color="auto"/>
      </w:divBdr>
    </w:div>
    <w:div w:id="1219324654">
      <w:bodyDiv w:val="1"/>
      <w:marLeft w:val="0"/>
      <w:marRight w:val="0"/>
      <w:marTop w:val="0"/>
      <w:marBottom w:val="0"/>
      <w:divBdr>
        <w:top w:val="none" w:sz="0" w:space="0" w:color="auto"/>
        <w:left w:val="none" w:sz="0" w:space="0" w:color="auto"/>
        <w:bottom w:val="none" w:sz="0" w:space="0" w:color="auto"/>
        <w:right w:val="none" w:sz="0" w:space="0" w:color="auto"/>
      </w:divBdr>
    </w:div>
    <w:div w:id="1232696532">
      <w:bodyDiv w:val="1"/>
      <w:marLeft w:val="0"/>
      <w:marRight w:val="0"/>
      <w:marTop w:val="0"/>
      <w:marBottom w:val="0"/>
      <w:divBdr>
        <w:top w:val="none" w:sz="0" w:space="0" w:color="auto"/>
        <w:left w:val="none" w:sz="0" w:space="0" w:color="auto"/>
        <w:bottom w:val="none" w:sz="0" w:space="0" w:color="auto"/>
        <w:right w:val="none" w:sz="0" w:space="0" w:color="auto"/>
      </w:divBdr>
    </w:div>
    <w:div w:id="1236630159">
      <w:bodyDiv w:val="1"/>
      <w:marLeft w:val="0"/>
      <w:marRight w:val="0"/>
      <w:marTop w:val="0"/>
      <w:marBottom w:val="0"/>
      <w:divBdr>
        <w:top w:val="none" w:sz="0" w:space="0" w:color="auto"/>
        <w:left w:val="none" w:sz="0" w:space="0" w:color="auto"/>
        <w:bottom w:val="none" w:sz="0" w:space="0" w:color="auto"/>
        <w:right w:val="none" w:sz="0" w:space="0" w:color="auto"/>
      </w:divBdr>
    </w:div>
    <w:div w:id="1332682720">
      <w:bodyDiv w:val="1"/>
      <w:marLeft w:val="0"/>
      <w:marRight w:val="0"/>
      <w:marTop w:val="0"/>
      <w:marBottom w:val="0"/>
      <w:divBdr>
        <w:top w:val="none" w:sz="0" w:space="0" w:color="auto"/>
        <w:left w:val="none" w:sz="0" w:space="0" w:color="auto"/>
        <w:bottom w:val="none" w:sz="0" w:space="0" w:color="auto"/>
        <w:right w:val="none" w:sz="0" w:space="0" w:color="auto"/>
      </w:divBdr>
    </w:div>
    <w:div w:id="1393623718">
      <w:bodyDiv w:val="1"/>
      <w:marLeft w:val="0"/>
      <w:marRight w:val="0"/>
      <w:marTop w:val="0"/>
      <w:marBottom w:val="0"/>
      <w:divBdr>
        <w:top w:val="none" w:sz="0" w:space="0" w:color="auto"/>
        <w:left w:val="none" w:sz="0" w:space="0" w:color="auto"/>
        <w:bottom w:val="none" w:sz="0" w:space="0" w:color="auto"/>
        <w:right w:val="none" w:sz="0" w:space="0" w:color="auto"/>
      </w:divBdr>
    </w:div>
    <w:div w:id="1436973441">
      <w:bodyDiv w:val="1"/>
      <w:marLeft w:val="0"/>
      <w:marRight w:val="0"/>
      <w:marTop w:val="0"/>
      <w:marBottom w:val="0"/>
      <w:divBdr>
        <w:top w:val="none" w:sz="0" w:space="0" w:color="auto"/>
        <w:left w:val="none" w:sz="0" w:space="0" w:color="auto"/>
        <w:bottom w:val="none" w:sz="0" w:space="0" w:color="auto"/>
        <w:right w:val="none" w:sz="0" w:space="0" w:color="auto"/>
      </w:divBdr>
    </w:div>
    <w:div w:id="1444693526">
      <w:bodyDiv w:val="1"/>
      <w:marLeft w:val="0"/>
      <w:marRight w:val="0"/>
      <w:marTop w:val="0"/>
      <w:marBottom w:val="0"/>
      <w:divBdr>
        <w:top w:val="none" w:sz="0" w:space="0" w:color="auto"/>
        <w:left w:val="none" w:sz="0" w:space="0" w:color="auto"/>
        <w:bottom w:val="none" w:sz="0" w:space="0" w:color="auto"/>
        <w:right w:val="none" w:sz="0" w:space="0" w:color="auto"/>
      </w:divBdr>
    </w:div>
    <w:div w:id="1465930909">
      <w:bodyDiv w:val="1"/>
      <w:marLeft w:val="0"/>
      <w:marRight w:val="0"/>
      <w:marTop w:val="0"/>
      <w:marBottom w:val="0"/>
      <w:divBdr>
        <w:top w:val="none" w:sz="0" w:space="0" w:color="auto"/>
        <w:left w:val="none" w:sz="0" w:space="0" w:color="auto"/>
        <w:bottom w:val="none" w:sz="0" w:space="0" w:color="auto"/>
        <w:right w:val="none" w:sz="0" w:space="0" w:color="auto"/>
      </w:divBdr>
    </w:div>
    <w:div w:id="1473016778">
      <w:bodyDiv w:val="1"/>
      <w:marLeft w:val="0"/>
      <w:marRight w:val="0"/>
      <w:marTop w:val="0"/>
      <w:marBottom w:val="0"/>
      <w:divBdr>
        <w:top w:val="none" w:sz="0" w:space="0" w:color="auto"/>
        <w:left w:val="none" w:sz="0" w:space="0" w:color="auto"/>
        <w:bottom w:val="none" w:sz="0" w:space="0" w:color="auto"/>
        <w:right w:val="none" w:sz="0" w:space="0" w:color="auto"/>
      </w:divBdr>
    </w:div>
    <w:div w:id="1638875571">
      <w:bodyDiv w:val="1"/>
      <w:marLeft w:val="0"/>
      <w:marRight w:val="0"/>
      <w:marTop w:val="0"/>
      <w:marBottom w:val="0"/>
      <w:divBdr>
        <w:top w:val="none" w:sz="0" w:space="0" w:color="auto"/>
        <w:left w:val="none" w:sz="0" w:space="0" w:color="auto"/>
        <w:bottom w:val="none" w:sz="0" w:space="0" w:color="auto"/>
        <w:right w:val="none" w:sz="0" w:space="0" w:color="auto"/>
      </w:divBdr>
    </w:div>
    <w:div w:id="1660309555">
      <w:bodyDiv w:val="1"/>
      <w:marLeft w:val="0"/>
      <w:marRight w:val="0"/>
      <w:marTop w:val="0"/>
      <w:marBottom w:val="0"/>
      <w:divBdr>
        <w:top w:val="none" w:sz="0" w:space="0" w:color="auto"/>
        <w:left w:val="none" w:sz="0" w:space="0" w:color="auto"/>
        <w:bottom w:val="none" w:sz="0" w:space="0" w:color="auto"/>
        <w:right w:val="none" w:sz="0" w:space="0" w:color="auto"/>
      </w:divBdr>
    </w:div>
    <w:div w:id="1679768384">
      <w:bodyDiv w:val="1"/>
      <w:marLeft w:val="0"/>
      <w:marRight w:val="0"/>
      <w:marTop w:val="0"/>
      <w:marBottom w:val="0"/>
      <w:divBdr>
        <w:top w:val="none" w:sz="0" w:space="0" w:color="auto"/>
        <w:left w:val="none" w:sz="0" w:space="0" w:color="auto"/>
        <w:bottom w:val="none" w:sz="0" w:space="0" w:color="auto"/>
        <w:right w:val="none" w:sz="0" w:space="0" w:color="auto"/>
      </w:divBdr>
    </w:div>
    <w:div w:id="1719741470">
      <w:bodyDiv w:val="1"/>
      <w:marLeft w:val="0"/>
      <w:marRight w:val="0"/>
      <w:marTop w:val="0"/>
      <w:marBottom w:val="0"/>
      <w:divBdr>
        <w:top w:val="none" w:sz="0" w:space="0" w:color="auto"/>
        <w:left w:val="none" w:sz="0" w:space="0" w:color="auto"/>
        <w:bottom w:val="none" w:sz="0" w:space="0" w:color="auto"/>
        <w:right w:val="none" w:sz="0" w:space="0" w:color="auto"/>
      </w:divBdr>
    </w:div>
    <w:div w:id="1743675581">
      <w:bodyDiv w:val="1"/>
      <w:marLeft w:val="0"/>
      <w:marRight w:val="0"/>
      <w:marTop w:val="0"/>
      <w:marBottom w:val="0"/>
      <w:divBdr>
        <w:top w:val="none" w:sz="0" w:space="0" w:color="auto"/>
        <w:left w:val="none" w:sz="0" w:space="0" w:color="auto"/>
        <w:bottom w:val="none" w:sz="0" w:space="0" w:color="auto"/>
        <w:right w:val="none" w:sz="0" w:space="0" w:color="auto"/>
      </w:divBdr>
    </w:div>
    <w:div w:id="1790122521">
      <w:bodyDiv w:val="1"/>
      <w:marLeft w:val="0"/>
      <w:marRight w:val="0"/>
      <w:marTop w:val="0"/>
      <w:marBottom w:val="0"/>
      <w:divBdr>
        <w:top w:val="none" w:sz="0" w:space="0" w:color="auto"/>
        <w:left w:val="none" w:sz="0" w:space="0" w:color="auto"/>
        <w:bottom w:val="none" w:sz="0" w:space="0" w:color="auto"/>
        <w:right w:val="none" w:sz="0" w:space="0" w:color="auto"/>
      </w:divBdr>
    </w:div>
    <w:div w:id="1845706536">
      <w:bodyDiv w:val="1"/>
      <w:marLeft w:val="0"/>
      <w:marRight w:val="0"/>
      <w:marTop w:val="0"/>
      <w:marBottom w:val="0"/>
      <w:divBdr>
        <w:top w:val="none" w:sz="0" w:space="0" w:color="auto"/>
        <w:left w:val="none" w:sz="0" w:space="0" w:color="auto"/>
        <w:bottom w:val="none" w:sz="0" w:space="0" w:color="auto"/>
        <w:right w:val="none" w:sz="0" w:space="0" w:color="auto"/>
      </w:divBdr>
    </w:div>
    <w:div w:id="1854606302">
      <w:bodyDiv w:val="1"/>
      <w:marLeft w:val="0"/>
      <w:marRight w:val="0"/>
      <w:marTop w:val="0"/>
      <w:marBottom w:val="0"/>
      <w:divBdr>
        <w:top w:val="none" w:sz="0" w:space="0" w:color="auto"/>
        <w:left w:val="none" w:sz="0" w:space="0" w:color="auto"/>
        <w:bottom w:val="none" w:sz="0" w:space="0" w:color="auto"/>
        <w:right w:val="none" w:sz="0" w:space="0" w:color="auto"/>
      </w:divBdr>
    </w:div>
    <w:div w:id="1893231733">
      <w:bodyDiv w:val="1"/>
      <w:marLeft w:val="0"/>
      <w:marRight w:val="0"/>
      <w:marTop w:val="0"/>
      <w:marBottom w:val="0"/>
      <w:divBdr>
        <w:top w:val="none" w:sz="0" w:space="0" w:color="auto"/>
        <w:left w:val="none" w:sz="0" w:space="0" w:color="auto"/>
        <w:bottom w:val="none" w:sz="0" w:space="0" w:color="auto"/>
        <w:right w:val="none" w:sz="0" w:space="0" w:color="auto"/>
      </w:divBdr>
    </w:div>
    <w:div w:id="1910842545">
      <w:bodyDiv w:val="1"/>
      <w:marLeft w:val="0"/>
      <w:marRight w:val="0"/>
      <w:marTop w:val="0"/>
      <w:marBottom w:val="0"/>
      <w:divBdr>
        <w:top w:val="none" w:sz="0" w:space="0" w:color="auto"/>
        <w:left w:val="none" w:sz="0" w:space="0" w:color="auto"/>
        <w:bottom w:val="none" w:sz="0" w:space="0" w:color="auto"/>
        <w:right w:val="none" w:sz="0" w:space="0" w:color="auto"/>
      </w:divBdr>
    </w:div>
    <w:div w:id="1916429231">
      <w:bodyDiv w:val="1"/>
      <w:marLeft w:val="0"/>
      <w:marRight w:val="0"/>
      <w:marTop w:val="0"/>
      <w:marBottom w:val="0"/>
      <w:divBdr>
        <w:top w:val="none" w:sz="0" w:space="0" w:color="auto"/>
        <w:left w:val="none" w:sz="0" w:space="0" w:color="auto"/>
        <w:bottom w:val="none" w:sz="0" w:space="0" w:color="auto"/>
        <w:right w:val="none" w:sz="0" w:space="0" w:color="auto"/>
      </w:divBdr>
    </w:div>
    <w:div w:id="2083597361">
      <w:bodyDiv w:val="1"/>
      <w:marLeft w:val="0"/>
      <w:marRight w:val="0"/>
      <w:marTop w:val="0"/>
      <w:marBottom w:val="0"/>
      <w:divBdr>
        <w:top w:val="none" w:sz="0" w:space="0" w:color="auto"/>
        <w:left w:val="none" w:sz="0" w:space="0" w:color="auto"/>
        <w:bottom w:val="none" w:sz="0" w:space="0" w:color="auto"/>
        <w:right w:val="none" w:sz="0" w:space="0" w:color="auto"/>
      </w:divBdr>
    </w:div>
    <w:div w:id="2106686597">
      <w:bodyDiv w:val="1"/>
      <w:marLeft w:val="0"/>
      <w:marRight w:val="0"/>
      <w:marTop w:val="0"/>
      <w:marBottom w:val="0"/>
      <w:divBdr>
        <w:top w:val="none" w:sz="0" w:space="0" w:color="auto"/>
        <w:left w:val="none" w:sz="0" w:space="0" w:color="auto"/>
        <w:bottom w:val="none" w:sz="0" w:space="0" w:color="auto"/>
        <w:right w:val="none" w:sz="0" w:space="0" w:color="auto"/>
      </w:divBdr>
    </w:div>
    <w:div w:id="2109277775">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aonline.com.au/privacy-poli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21C001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ppaonline.com.au/privacy-policy" TargetMode="External"/><Relationship Id="rId13" Type="http://schemas.openxmlformats.org/officeDocument/2006/relationships/hyperlink" Target="https://www.health.gov.au/using-our-websites/privacy/collection-notice-for-the-clinician-vaccine-integrated-platform-cvip" TargetMode="External"/><Relationship Id="rId3" Type="http://schemas.openxmlformats.org/officeDocument/2006/relationships/hyperlink" Target="https://www.health.gov.au/resources/publications/covid-19-vaccination-phase-1a-of-covid-19-vaccine-strategy-privacy-impact-assessment-report-and-agency-response" TargetMode="External"/><Relationship Id="rId7" Type="http://schemas.openxmlformats.org/officeDocument/2006/relationships/hyperlink" Target="https://www.ppaonline.com.au/about" TargetMode="External"/><Relationship Id="rId12" Type="http://schemas.openxmlformats.org/officeDocument/2006/relationships/hyperlink" Target="https://www.health.gov.au/using-our-websites/privacy/collection-notice-for-the-clinician-vaccine-integrated-platform-cvipb" TargetMode="External"/><Relationship Id="rId2" Type="http://schemas.openxmlformats.org/officeDocument/2006/relationships/hyperlink" Target="https://www.health.gov.au/sites/default/files/documents/2021/01/australia-s-covid-19-vaccine-national-roll-out-strategy.pdf" TargetMode="External"/><Relationship Id="rId1" Type="http://schemas.openxmlformats.org/officeDocument/2006/relationships/hyperlink" Target="https://www.health.gov.au/sites/default/files/documents/2020/08/australia-s-covid-19-vaccine-and-treatment-strategy.pdf" TargetMode="External"/><Relationship Id="rId6" Type="http://schemas.openxmlformats.org/officeDocument/2006/relationships/hyperlink" Target="https://www.health.gov.au/sites/default/files/documents/2021/01/community-pharmacy-covid-19-vaccine-rollout-from-phase-2a-community-pharmacy-covid-19-vaccine-rollout-from-phase-2a-may-2021-onwards.pdf" TargetMode="External"/><Relationship Id="rId11" Type="http://schemas.openxmlformats.org/officeDocument/2006/relationships/hyperlink" Target="https://healthengine.com.au/legal/commonwealth/collection.php?cid=par:hea:cbp::cbp::::mar21" TargetMode="External"/><Relationship Id="rId5" Type="http://schemas.openxmlformats.org/officeDocument/2006/relationships/hyperlink" Target="https://www.health.gov.au/sites/default/files/documents/2021/01/covid-19-vaccination-australia-s-covid-19-vaccine-national-roll-out-strategy.pdf" TargetMode="External"/><Relationship Id="rId10" Type="http://schemas.openxmlformats.org/officeDocument/2006/relationships/hyperlink" Target="https://healthengine.com.au/privacy.php" TargetMode="External"/><Relationship Id="rId4" Type="http://schemas.openxmlformats.org/officeDocument/2006/relationships/hyperlink" Target="https://www.health.gov.au/resources/publications/covid-19-vaccination-phase-1b-of-covid-19-vaccine-strategy-privacy-impact-assessment-update-report-and-agency-response" TargetMode="External"/><Relationship Id="rId9" Type="http://schemas.openxmlformats.org/officeDocument/2006/relationships/hyperlink" Target="https://www.health.gov.au/using-our-websites/privacy/privacy-notice-for-covid-19-vacc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9" ma:contentTypeDescription="Create a new document." ma:contentTypeScope="" ma:versionID="6506add3e705d46aa90213f578cc3fba">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c3ed3d31f0c1dc1a9ddc5e3eec6890d5"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CherwellTicket" minOccurs="0"/>
                <xsd:element ref="ns2:MSSPParentID" minOccurs="0"/>
                <xsd:element ref="ns2:Teammembe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CherwellTicket" ma:index="19" nillable="true" ma:displayName="Cherwell Ticket" ma:description="The Ticket Number from Cherwell" ma:format="Dropdown" ma:internalName="CherwellTicket">
      <xsd:simpleType>
        <xsd:restriction base="dms:Text">
          <xsd:maxLength value="255"/>
        </xsd:restriction>
      </xsd:simpleType>
    </xsd:element>
    <xsd:element name="MSSPParentID" ma:index="20" nillable="true" ma:displayName="MSSP Parent ID" ma:description="The MSSP Request ID that holds the request information and attachments" ma:format="Dropdown" ma:internalName="MSSPParentID">
      <xsd:simpleType>
        <xsd:restriction base="dms:Text">
          <xsd:maxLength value="255"/>
        </xsd:restriction>
      </xsd:simpleType>
    </xsd:element>
    <xsd:element name="Teammember" ma:index="22" nillable="true" ma:displayName="Team member" ma:format="Dropdown" ma:internalName="Teammember">
      <xsd:simpleType>
        <xsd:restriction base="dms:Choice">
          <xsd:enumeration value="James"/>
          <xsd:enumeration value="Bruce"/>
          <xsd:enumeration value="Yahya"/>
          <xsd:enumeration value="Kathleen"/>
          <xsd:enumeration value="Tasman"/>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0d0282-0622-4288-908b-bcaa6e880af9}"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erwellTicket xmlns="5e7f40d8-cffe-4c78-aa89-cf3a75383874" xsi:nil="true"/>
    <MSSPParentID xmlns="5e7f40d8-cffe-4c78-aa89-cf3a75383874" xsi:nil="true"/>
    <TaxCatchAll xmlns="1968325b-ff37-4c12-8874-b019e0ec7e46"/>
    <lcf76f155ced4ddcb4097134ff3c332f xmlns="5e7f40d8-cffe-4c78-aa89-cf3a75383874">
      <Terms xmlns="http://schemas.microsoft.com/office/infopath/2007/PartnerControls"/>
    </lcf76f155ced4ddcb4097134ff3c332f>
    <Teammember xmlns="5e7f40d8-cffe-4c78-aa89-cf3a75383874" xsi:nil="true"/>
  </documentManagement>
</p:properties>
</file>

<file path=customXml/itemProps1.xml><?xml version="1.0" encoding="utf-8"?>
<ds:datastoreItem xmlns:ds="http://schemas.openxmlformats.org/officeDocument/2006/customXml" ds:itemID="{68FC31A0-17E5-429B-83EA-B37E02807663}">
  <ds:schemaRefs>
    <ds:schemaRef ds:uri="http://schemas.openxmlformats.org/officeDocument/2006/bibliography"/>
  </ds:schemaRefs>
</ds:datastoreItem>
</file>

<file path=customXml/itemProps2.xml><?xml version="1.0" encoding="utf-8"?>
<ds:datastoreItem xmlns:ds="http://schemas.openxmlformats.org/officeDocument/2006/customXml" ds:itemID="{33869D5E-DDAD-4E86-92E2-E4AB6C76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9399-8611-4B29-8DB4-0C9A23475990}">
  <ds:schemaRefs>
    <ds:schemaRef ds:uri="http://schemas.microsoft.com/sharepoint/v3/contenttype/forms"/>
  </ds:schemaRefs>
</ds:datastoreItem>
</file>

<file path=customXml/itemProps4.xml><?xml version="1.0" encoding="utf-8"?>
<ds:datastoreItem xmlns:ds="http://schemas.openxmlformats.org/officeDocument/2006/customXml" ds:itemID="{0EFD1D32-0D54-40B2-9392-BF28F344EC2E}">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1968325b-ff37-4c12-8874-b019e0ec7e46"/>
    <ds:schemaRef ds:uri="http://schemas.openxmlformats.org/package/2006/metadata/core-properties"/>
    <ds:schemaRef ds:uri="5e7f40d8-cffe-4c78-aa89-cf3a753838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18860</Words>
  <Characters>107505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126113</CharactersWithSpaces>
  <SharedDoc>false</SharedDoc>
  <HLinks>
    <vt:vector size="594" baseType="variant">
      <vt:variant>
        <vt:i4>2031702</vt:i4>
      </vt:variant>
      <vt:variant>
        <vt:i4>708</vt:i4>
      </vt:variant>
      <vt:variant>
        <vt:i4>0</vt:i4>
      </vt:variant>
      <vt:variant>
        <vt:i4>5</vt:i4>
      </vt:variant>
      <vt:variant>
        <vt:lpwstr>https://www.health.gov.au/resources/publications/covidsafe-application-privacy-impact-assessment</vt:lpwstr>
      </vt:variant>
      <vt:variant>
        <vt:lpwstr/>
      </vt:variant>
      <vt:variant>
        <vt:i4>2</vt:i4>
      </vt:variant>
      <vt:variant>
        <vt:i4>705</vt:i4>
      </vt:variant>
      <vt:variant>
        <vt:i4>0</vt:i4>
      </vt:variant>
      <vt:variant>
        <vt:i4>5</vt:i4>
      </vt:variant>
      <vt:variant>
        <vt:lpwstr>https://docs.employment.gov.au/documents/guide-accessing-and-correcting-your-personal-information</vt:lpwstr>
      </vt:variant>
      <vt:variant>
        <vt:lpwstr/>
      </vt:variant>
      <vt:variant>
        <vt:i4>1966134</vt:i4>
      </vt:variant>
      <vt:variant>
        <vt:i4>356</vt:i4>
      </vt:variant>
      <vt:variant>
        <vt:i4>0</vt:i4>
      </vt:variant>
      <vt:variant>
        <vt:i4>5</vt:i4>
      </vt:variant>
      <vt:variant>
        <vt:lpwstr/>
      </vt:variant>
      <vt:variant>
        <vt:lpwstr>_Toc58001322</vt:lpwstr>
      </vt:variant>
      <vt:variant>
        <vt:i4>1900598</vt:i4>
      </vt:variant>
      <vt:variant>
        <vt:i4>350</vt:i4>
      </vt:variant>
      <vt:variant>
        <vt:i4>0</vt:i4>
      </vt:variant>
      <vt:variant>
        <vt:i4>5</vt:i4>
      </vt:variant>
      <vt:variant>
        <vt:lpwstr/>
      </vt:variant>
      <vt:variant>
        <vt:lpwstr>_Toc58001321</vt:lpwstr>
      </vt:variant>
      <vt:variant>
        <vt:i4>1835062</vt:i4>
      </vt:variant>
      <vt:variant>
        <vt:i4>344</vt:i4>
      </vt:variant>
      <vt:variant>
        <vt:i4>0</vt:i4>
      </vt:variant>
      <vt:variant>
        <vt:i4>5</vt:i4>
      </vt:variant>
      <vt:variant>
        <vt:lpwstr/>
      </vt:variant>
      <vt:variant>
        <vt:lpwstr>_Toc58001320</vt:lpwstr>
      </vt:variant>
      <vt:variant>
        <vt:i4>1376309</vt:i4>
      </vt:variant>
      <vt:variant>
        <vt:i4>338</vt:i4>
      </vt:variant>
      <vt:variant>
        <vt:i4>0</vt:i4>
      </vt:variant>
      <vt:variant>
        <vt:i4>5</vt:i4>
      </vt:variant>
      <vt:variant>
        <vt:lpwstr/>
      </vt:variant>
      <vt:variant>
        <vt:lpwstr>_Toc58001319</vt:lpwstr>
      </vt:variant>
      <vt:variant>
        <vt:i4>1310773</vt:i4>
      </vt:variant>
      <vt:variant>
        <vt:i4>332</vt:i4>
      </vt:variant>
      <vt:variant>
        <vt:i4>0</vt:i4>
      </vt:variant>
      <vt:variant>
        <vt:i4>5</vt:i4>
      </vt:variant>
      <vt:variant>
        <vt:lpwstr/>
      </vt:variant>
      <vt:variant>
        <vt:lpwstr>_Toc58001318</vt:lpwstr>
      </vt:variant>
      <vt:variant>
        <vt:i4>1769525</vt:i4>
      </vt:variant>
      <vt:variant>
        <vt:i4>326</vt:i4>
      </vt:variant>
      <vt:variant>
        <vt:i4>0</vt:i4>
      </vt:variant>
      <vt:variant>
        <vt:i4>5</vt:i4>
      </vt:variant>
      <vt:variant>
        <vt:lpwstr/>
      </vt:variant>
      <vt:variant>
        <vt:lpwstr>_Toc58001317</vt:lpwstr>
      </vt:variant>
      <vt:variant>
        <vt:i4>1703989</vt:i4>
      </vt:variant>
      <vt:variant>
        <vt:i4>320</vt:i4>
      </vt:variant>
      <vt:variant>
        <vt:i4>0</vt:i4>
      </vt:variant>
      <vt:variant>
        <vt:i4>5</vt:i4>
      </vt:variant>
      <vt:variant>
        <vt:lpwstr/>
      </vt:variant>
      <vt:variant>
        <vt:lpwstr>_Toc58001316</vt:lpwstr>
      </vt:variant>
      <vt:variant>
        <vt:i4>1638453</vt:i4>
      </vt:variant>
      <vt:variant>
        <vt:i4>314</vt:i4>
      </vt:variant>
      <vt:variant>
        <vt:i4>0</vt:i4>
      </vt:variant>
      <vt:variant>
        <vt:i4>5</vt:i4>
      </vt:variant>
      <vt:variant>
        <vt:lpwstr/>
      </vt:variant>
      <vt:variant>
        <vt:lpwstr>_Toc58001315</vt:lpwstr>
      </vt:variant>
      <vt:variant>
        <vt:i4>1572917</vt:i4>
      </vt:variant>
      <vt:variant>
        <vt:i4>308</vt:i4>
      </vt:variant>
      <vt:variant>
        <vt:i4>0</vt:i4>
      </vt:variant>
      <vt:variant>
        <vt:i4>5</vt:i4>
      </vt:variant>
      <vt:variant>
        <vt:lpwstr/>
      </vt:variant>
      <vt:variant>
        <vt:lpwstr>_Toc58001314</vt:lpwstr>
      </vt:variant>
      <vt:variant>
        <vt:i4>2031669</vt:i4>
      </vt:variant>
      <vt:variant>
        <vt:i4>302</vt:i4>
      </vt:variant>
      <vt:variant>
        <vt:i4>0</vt:i4>
      </vt:variant>
      <vt:variant>
        <vt:i4>5</vt:i4>
      </vt:variant>
      <vt:variant>
        <vt:lpwstr/>
      </vt:variant>
      <vt:variant>
        <vt:lpwstr>_Toc58001313</vt:lpwstr>
      </vt:variant>
      <vt:variant>
        <vt:i4>1966133</vt:i4>
      </vt:variant>
      <vt:variant>
        <vt:i4>296</vt:i4>
      </vt:variant>
      <vt:variant>
        <vt:i4>0</vt:i4>
      </vt:variant>
      <vt:variant>
        <vt:i4>5</vt:i4>
      </vt:variant>
      <vt:variant>
        <vt:lpwstr/>
      </vt:variant>
      <vt:variant>
        <vt:lpwstr>_Toc58001312</vt:lpwstr>
      </vt:variant>
      <vt:variant>
        <vt:i4>1900597</vt:i4>
      </vt:variant>
      <vt:variant>
        <vt:i4>290</vt:i4>
      </vt:variant>
      <vt:variant>
        <vt:i4>0</vt:i4>
      </vt:variant>
      <vt:variant>
        <vt:i4>5</vt:i4>
      </vt:variant>
      <vt:variant>
        <vt:lpwstr/>
      </vt:variant>
      <vt:variant>
        <vt:lpwstr>_Toc58001311</vt:lpwstr>
      </vt:variant>
      <vt:variant>
        <vt:i4>1835061</vt:i4>
      </vt:variant>
      <vt:variant>
        <vt:i4>284</vt:i4>
      </vt:variant>
      <vt:variant>
        <vt:i4>0</vt:i4>
      </vt:variant>
      <vt:variant>
        <vt:i4>5</vt:i4>
      </vt:variant>
      <vt:variant>
        <vt:lpwstr/>
      </vt:variant>
      <vt:variant>
        <vt:lpwstr>_Toc58001310</vt:lpwstr>
      </vt:variant>
      <vt:variant>
        <vt:i4>1376308</vt:i4>
      </vt:variant>
      <vt:variant>
        <vt:i4>278</vt:i4>
      </vt:variant>
      <vt:variant>
        <vt:i4>0</vt:i4>
      </vt:variant>
      <vt:variant>
        <vt:i4>5</vt:i4>
      </vt:variant>
      <vt:variant>
        <vt:lpwstr/>
      </vt:variant>
      <vt:variant>
        <vt:lpwstr>_Toc58001309</vt:lpwstr>
      </vt:variant>
      <vt:variant>
        <vt:i4>1310772</vt:i4>
      </vt:variant>
      <vt:variant>
        <vt:i4>272</vt:i4>
      </vt:variant>
      <vt:variant>
        <vt:i4>0</vt:i4>
      </vt:variant>
      <vt:variant>
        <vt:i4>5</vt:i4>
      </vt:variant>
      <vt:variant>
        <vt:lpwstr/>
      </vt:variant>
      <vt:variant>
        <vt:lpwstr>_Toc58001308</vt:lpwstr>
      </vt:variant>
      <vt:variant>
        <vt:i4>1769524</vt:i4>
      </vt:variant>
      <vt:variant>
        <vt:i4>266</vt:i4>
      </vt:variant>
      <vt:variant>
        <vt:i4>0</vt:i4>
      </vt:variant>
      <vt:variant>
        <vt:i4>5</vt:i4>
      </vt:variant>
      <vt:variant>
        <vt:lpwstr/>
      </vt:variant>
      <vt:variant>
        <vt:lpwstr>_Toc58001307</vt:lpwstr>
      </vt:variant>
      <vt:variant>
        <vt:i4>1703988</vt:i4>
      </vt:variant>
      <vt:variant>
        <vt:i4>260</vt:i4>
      </vt:variant>
      <vt:variant>
        <vt:i4>0</vt:i4>
      </vt:variant>
      <vt:variant>
        <vt:i4>5</vt:i4>
      </vt:variant>
      <vt:variant>
        <vt:lpwstr/>
      </vt:variant>
      <vt:variant>
        <vt:lpwstr>_Toc58001306</vt:lpwstr>
      </vt:variant>
      <vt:variant>
        <vt:i4>1638452</vt:i4>
      </vt:variant>
      <vt:variant>
        <vt:i4>254</vt:i4>
      </vt:variant>
      <vt:variant>
        <vt:i4>0</vt:i4>
      </vt:variant>
      <vt:variant>
        <vt:i4>5</vt:i4>
      </vt:variant>
      <vt:variant>
        <vt:lpwstr/>
      </vt:variant>
      <vt:variant>
        <vt:lpwstr>_Toc58001305</vt:lpwstr>
      </vt:variant>
      <vt:variant>
        <vt:i4>1572916</vt:i4>
      </vt:variant>
      <vt:variant>
        <vt:i4>248</vt:i4>
      </vt:variant>
      <vt:variant>
        <vt:i4>0</vt:i4>
      </vt:variant>
      <vt:variant>
        <vt:i4>5</vt:i4>
      </vt:variant>
      <vt:variant>
        <vt:lpwstr/>
      </vt:variant>
      <vt:variant>
        <vt:lpwstr>_Toc58001304</vt:lpwstr>
      </vt:variant>
      <vt:variant>
        <vt:i4>2031668</vt:i4>
      </vt:variant>
      <vt:variant>
        <vt:i4>242</vt:i4>
      </vt:variant>
      <vt:variant>
        <vt:i4>0</vt:i4>
      </vt:variant>
      <vt:variant>
        <vt:i4>5</vt:i4>
      </vt:variant>
      <vt:variant>
        <vt:lpwstr/>
      </vt:variant>
      <vt:variant>
        <vt:lpwstr>_Toc58001303</vt:lpwstr>
      </vt:variant>
      <vt:variant>
        <vt:i4>1966132</vt:i4>
      </vt:variant>
      <vt:variant>
        <vt:i4>236</vt:i4>
      </vt:variant>
      <vt:variant>
        <vt:i4>0</vt:i4>
      </vt:variant>
      <vt:variant>
        <vt:i4>5</vt:i4>
      </vt:variant>
      <vt:variant>
        <vt:lpwstr/>
      </vt:variant>
      <vt:variant>
        <vt:lpwstr>_Toc58001302</vt:lpwstr>
      </vt:variant>
      <vt:variant>
        <vt:i4>1900596</vt:i4>
      </vt:variant>
      <vt:variant>
        <vt:i4>230</vt:i4>
      </vt:variant>
      <vt:variant>
        <vt:i4>0</vt:i4>
      </vt:variant>
      <vt:variant>
        <vt:i4>5</vt:i4>
      </vt:variant>
      <vt:variant>
        <vt:lpwstr/>
      </vt:variant>
      <vt:variant>
        <vt:lpwstr>_Toc58001301</vt:lpwstr>
      </vt:variant>
      <vt:variant>
        <vt:i4>1835060</vt:i4>
      </vt:variant>
      <vt:variant>
        <vt:i4>224</vt:i4>
      </vt:variant>
      <vt:variant>
        <vt:i4>0</vt:i4>
      </vt:variant>
      <vt:variant>
        <vt:i4>5</vt:i4>
      </vt:variant>
      <vt:variant>
        <vt:lpwstr/>
      </vt:variant>
      <vt:variant>
        <vt:lpwstr>_Toc58001300</vt:lpwstr>
      </vt:variant>
      <vt:variant>
        <vt:i4>1310781</vt:i4>
      </vt:variant>
      <vt:variant>
        <vt:i4>218</vt:i4>
      </vt:variant>
      <vt:variant>
        <vt:i4>0</vt:i4>
      </vt:variant>
      <vt:variant>
        <vt:i4>5</vt:i4>
      </vt:variant>
      <vt:variant>
        <vt:lpwstr/>
      </vt:variant>
      <vt:variant>
        <vt:lpwstr>_Toc58001299</vt:lpwstr>
      </vt:variant>
      <vt:variant>
        <vt:i4>1376317</vt:i4>
      </vt:variant>
      <vt:variant>
        <vt:i4>212</vt:i4>
      </vt:variant>
      <vt:variant>
        <vt:i4>0</vt:i4>
      </vt:variant>
      <vt:variant>
        <vt:i4>5</vt:i4>
      </vt:variant>
      <vt:variant>
        <vt:lpwstr/>
      </vt:variant>
      <vt:variant>
        <vt:lpwstr>_Toc58001298</vt:lpwstr>
      </vt:variant>
      <vt:variant>
        <vt:i4>1703997</vt:i4>
      </vt:variant>
      <vt:variant>
        <vt:i4>206</vt:i4>
      </vt:variant>
      <vt:variant>
        <vt:i4>0</vt:i4>
      </vt:variant>
      <vt:variant>
        <vt:i4>5</vt:i4>
      </vt:variant>
      <vt:variant>
        <vt:lpwstr/>
      </vt:variant>
      <vt:variant>
        <vt:lpwstr>_Toc58001297</vt:lpwstr>
      </vt:variant>
      <vt:variant>
        <vt:i4>1769533</vt:i4>
      </vt:variant>
      <vt:variant>
        <vt:i4>200</vt:i4>
      </vt:variant>
      <vt:variant>
        <vt:i4>0</vt:i4>
      </vt:variant>
      <vt:variant>
        <vt:i4>5</vt:i4>
      </vt:variant>
      <vt:variant>
        <vt:lpwstr/>
      </vt:variant>
      <vt:variant>
        <vt:lpwstr>_Toc58001296</vt:lpwstr>
      </vt:variant>
      <vt:variant>
        <vt:i4>1572925</vt:i4>
      </vt:variant>
      <vt:variant>
        <vt:i4>194</vt:i4>
      </vt:variant>
      <vt:variant>
        <vt:i4>0</vt:i4>
      </vt:variant>
      <vt:variant>
        <vt:i4>5</vt:i4>
      </vt:variant>
      <vt:variant>
        <vt:lpwstr/>
      </vt:variant>
      <vt:variant>
        <vt:lpwstr>_Toc58001295</vt:lpwstr>
      </vt:variant>
      <vt:variant>
        <vt:i4>1638461</vt:i4>
      </vt:variant>
      <vt:variant>
        <vt:i4>188</vt:i4>
      </vt:variant>
      <vt:variant>
        <vt:i4>0</vt:i4>
      </vt:variant>
      <vt:variant>
        <vt:i4>5</vt:i4>
      </vt:variant>
      <vt:variant>
        <vt:lpwstr/>
      </vt:variant>
      <vt:variant>
        <vt:lpwstr>_Toc58001294</vt:lpwstr>
      </vt:variant>
      <vt:variant>
        <vt:i4>1966141</vt:i4>
      </vt:variant>
      <vt:variant>
        <vt:i4>182</vt:i4>
      </vt:variant>
      <vt:variant>
        <vt:i4>0</vt:i4>
      </vt:variant>
      <vt:variant>
        <vt:i4>5</vt:i4>
      </vt:variant>
      <vt:variant>
        <vt:lpwstr/>
      </vt:variant>
      <vt:variant>
        <vt:lpwstr>_Toc58001293</vt:lpwstr>
      </vt:variant>
      <vt:variant>
        <vt:i4>2031677</vt:i4>
      </vt:variant>
      <vt:variant>
        <vt:i4>176</vt:i4>
      </vt:variant>
      <vt:variant>
        <vt:i4>0</vt:i4>
      </vt:variant>
      <vt:variant>
        <vt:i4>5</vt:i4>
      </vt:variant>
      <vt:variant>
        <vt:lpwstr/>
      </vt:variant>
      <vt:variant>
        <vt:lpwstr>_Toc58001292</vt:lpwstr>
      </vt:variant>
      <vt:variant>
        <vt:i4>1835069</vt:i4>
      </vt:variant>
      <vt:variant>
        <vt:i4>170</vt:i4>
      </vt:variant>
      <vt:variant>
        <vt:i4>0</vt:i4>
      </vt:variant>
      <vt:variant>
        <vt:i4>5</vt:i4>
      </vt:variant>
      <vt:variant>
        <vt:lpwstr/>
      </vt:variant>
      <vt:variant>
        <vt:lpwstr>_Toc58001291</vt:lpwstr>
      </vt:variant>
      <vt:variant>
        <vt:i4>1900605</vt:i4>
      </vt:variant>
      <vt:variant>
        <vt:i4>164</vt:i4>
      </vt:variant>
      <vt:variant>
        <vt:i4>0</vt:i4>
      </vt:variant>
      <vt:variant>
        <vt:i4>5</vt:i4>
      </vt:variant>
      <vt:variant>
        <vt:lpwstr/>
      </vt:variant>
      <vt:variant>
        <vt:lpwstr>_Toc58001290</vt:lpwstr>
      </vt:variant>
      <vt:variant>
        <vt:i4>1310780</vt:i4>
      </vt:variant>
      <vt:variant>
        <vt:i4>158</vt:i4>
      </vt:variant>
      <vt:variant>
        <vt:i4>0</vt:i4>
      </vt:variant>
      <vt:variant>
        <vt:i4>5</vt:i4>
      </vt:variant>
      <vt:variant>
        <vt:lpwstr/>
      </vt:variant>
      <vt:variant>
        <vt:lpwstr>_Toc58001289</vt:lpwstr>
      </vt:variant>
      <vt:variant>
        <vt:i4>1376316</vt:i4>
      </vt:variant>
      <vt:variant>
        <vt:i4>152</vt:i4>
      </vt:variant>
      <vt:variant>
        <vt:i4>0</vt:i4>
      </vt:variant>
      <vt:variant>
        <vt:i4>5</vt:i4>
      </vt:variant>
      <vt:variant>
        <vt:lpwstr/>
      </vt:variant>
      <vt:variant>
        <vt:lpwstr>_Toc58001288</vt:lpwstr>
      </vt:variant>
      <vt:variant>
        <vt:i4>1703996</vt:i4>
      </vt:variant>
      <vt:variant>
        <vt:i4>146</vt:i4>
      </vt:variant>
      <vt:variant>
        <vt:i4>0</vt:i4>
      </vt:variant>
      <vt:variant>
        <vt:i4>5</vt:i4>
      </vt:variant>
      <vt:variant>
        <vt:lpwstr/>
      </vt:variant>
      <vt:variant>
        <vt:lpwstr>_Toc58001287</vt:lpwstr>
      </vt:variant>
      <vt:variant>
        <vt:i4>1769532</vt:i4>
      </vt:variant>
      <vt:variant>
        <vt:i4>140</vt:i4>
      </vt:variant>
      <vt:variant>
        <vt:i4>0</vt:i4>
      </vt:variant>
      <vt:variant>
        <vt:i4>5</vt:i4>
      </vt:variant>
      <vt:variant>
        <vt:lpwstr/>
      </vt:variant>
      <vt:variant>
        <vt:lpwstr>_Toc58001286</vt:lpwstr>
      </vt:variant>
      <vt:variant>
        <vt:i4>1572924</vt:i4>
      </vt:variant>
      <vt:variant>
        <vt:i4>134</vt:i4>
      </vt:variant>
      <vt:variant>
        <vt:i4>0</vt:i4>
      </vt:variant>
      <vt:variant>
        <vt:i4>5</vt:i4>
      </vt:variant>
      <vt:variant>
        <vt:lpwstr/>
      </vt:variant>
      <vt:variant>
        <vt:lpwstr>_Toc58001285</vt:lpwstr>
      </vt:variant>
      <vt:variant>
        <vt:i4>1638460</vt:i4>
      </vt:variant>
      <vt:variant>
        <vt:i4>128</vt:i4>
      </vt:variant>
      <vt:variant>
        <vt:i4>0</vt:i4>
      </vt:variant>
      <vt:variant>
        <vt:i4>5</vt:i4>
      </vt:variant>
      <vt:variant>
        <vt:lpwstr/>
      </vt:variant>
      <vt:variant>
        <vt:lpwstr>_Toc58001284</vt:lpwstr>
      </vt:variant>
      <vt:variant>
        <vt:i4>1966140</vt:i4>
      </vt:variant>
      <vt:variant>
        <vt:i4>122</vt:i4>
      </vt:variant>
      <vt:variant>
        <vt:i4>0</vt:i4>
      </vt:variant>
      <vt:variant>
        <vt:i4>5</vt:i4>
      </vt:variant>
      <vt:variant>
        <vt:lpwstr/>
      </vt:variant>
      <vt:variant>
        <vt:lpwstr>_Toc58001283</vt:lpwstr>
      </vt:variant>
      <vt:variant>
        <vt:i4>2031676</vt:i4>
      </vt:variant>
      <vt:variant>
        <vt:i4>116</vt:i4>
      </vt:variant>
      <vt:variant>
        <vt:i4>0</vt:i4>
      </vt:variant>
      <vt:variant>
        <vt:i4>5</vt:i4>
      </vt:variant>
      <vt:variant>
        <vt:lpwstr/>
      </vt:variant>
      <vt:variant>
        <vt:lpwstr>_Toc58001282</vt:lpwstr>
      </vt:variant>
      <vt:variant>
        <vt:i4>1835068</vt:i4>
      </vt:variant>
      <vt:variant>
        <vt:i4>110</vt:i4>
      </vt:variant>
      <vt:variant>
        <vt:i4>0</vt:i4>
      </vt:variant>
      <vt:variant>
        <vt:i4>5</vt:i4>
      </vt:variant>
      <vt:variant>
        <vt:lpwstr/>
      </vt:variant>
      <vt:variant>
        <vt:lpwstr>_Toc58001281</vt:lpwstr>
      </vt:variant>
      <vt:variant>
        <vt:i4>1900604</vt:i4>
      </vt:variant>
      <vt:variant>
        <vt:i4>104</vt:i4>
      </vt:variant>
      <vt:variant>
        <vt:i4>0</vt:i4>
      </vt:variant>
      <vt:variant>
        <vt:i4>5</vt:i4>
      </vt:variant>
      <vt:variant>
        <vt:lpwstr/>
      </vt:variant>
      <vt:variant>
        <vt:lpwstr>_Toc58001280</vt:lpwstr>
      </vt:variant>
      <vt:variant>
        <vt:i4>1310771</vt:i4>
      </vt:variant>
      <vt:variant>
        <vt:i4>98</vt:i4>
      </vt:variant>
      <vt:variant>
        <vt:i4>0</vt:i4>
      </vt:variant>
      <vt:variant>
        <vt:i4>5</vt:i4>
      </vt:variant>
      <vt:variant>
        <vt:lpwstr/>
      </vt:variant>
      <vt:variant>
        <vt:lpwstr>_Toc58001279</vt:lpwstr>
      </vt:variant>
      <vt:variant>
        <vt:i4>1376307</vt:i4>
      </vt:variant>
      <vt:variant>
        <vt:i4>92</vt:i4>
      </vt:variant>
      <vt:variant>
        <vt:i4>0</vt:i4>
      </vt:variant>
      <vt:variant>
        <vt:i4>5</vt:i4>
      </vt:variant>
      <vt:variant>
        <vt:lpwstr/>
      </vt:variant>
      <vt:variant>
        <vt:lpwstr>_Toc58001278</vt:lpwstr>
      </vt:variant>
      <vt:variant>
        <vt:i4>1703987</vt:i4>
      </vt:variant>
      <vt:variant>
        <vt:i4>86</vt:i4>
      </vt:variant>
      <vt:variant>
        <vt:i4>0</vt:i4>
      </vt:variant>
      <vt:variant>
        <vt:i4>5</vt:i4>
      </vt:variant>
      <vt:variant>
        <vt:lpwstr/>
      </vt:variant>
      <vt:variant>
        <vt:lpwstr>_Toc58001277</vt:lpwstr>
      </vt:variant>
      <vt:variant>
        <vt:i4>1769523</vt:i4>
      </vt:variant>
      <vt:variant>
        <vt:i4>80</vt:i4>
      </vt:variant>
      <vt:variant>
        <vt:i4>0</vt:i4>
      </vt:variant>
      <vt:variant>
        <vt:i4>5</vt:i4>
      </vt:variant>
      <vt:variant>
        <vt:lpwstr/>
      </vt:variant>
      <vt:variant>
        <vt:lpwstr>_Toc58001276</vt:lpwstr>
      </vt:variant>
      <vt:variant>
        <vt:i4>1572915</vt:i4>
      </vt:variant>
      <vt:variant>
        <vt:i4>74</vt:i4>
      </vt:variant>
      <vt:variant>
        <vt:i4>0</vt:i4>
      </vt:variant>
      <vt:variant>
        <vt:i4>5</vt:i4>
      </vt:variant>
      <vt:variant>
        <vt:lpwstr/>
      </vt:variant>
      <vt:variant>
        <vt:lpwstr>_Toc58001275</vt:lpwstr>
      </vt:variant>
      <vt:variant>
        <vt:i4>1638451</vt:i4>
      </vt:variant>
      <vt:variant>
        <vt:i4>68</vt:i4>
      </vt:variant>
      <vt:variant>
        <vt:i4>0</vt:i4>
      </vt:variant>
      <vt:variant>
        <vt:i4>5</vt:i4>
      </vt:variant>
      <vt:variant>
        <vt:lpwstr/>
      </vt:variant>
      <vt:variant>
        <vt:lpwstr>_Toc58001274</vt:lpwstr>
      </vt:variant>
      <vt:variant>
        <vt:i4>1966131</vt:i4>
      </vt:variant>
      <vt:variant>
        <vt:i4>62</vt:i4>
      </vt:variant>
      <vt:variant>
        <vt:i4>0</vt:i4>
      </vt:variant>
      <vt:variant>
        <vt:i4>5</vt:i4>
      </vt:variant>
      <vt:variant>
        <vt:lpwstr/>
      </vt:variant>
      <vt:variant>
        <vt:lpwstr>_Toc58001273</vt:lpwstr>
      </vt:variant>
      <vt:variant>
        <vt:i4>2031667</vt:i4>
      </vt:variant>
      <vt:variant>
        <vt:i4>56</vt:i4>
      </vt:variant>
      <vt:variant>
        <vt:i4>0</vt:i4>
      </vt:variant>
      <vt:variant>
        <vt:i4>5</vt:i4>
      </vt:variant>
      <vt:variant>
        <vt:lpwstr/>
      </vt:variant>
      <vt:variant>
        <vt:lpwstr>_Toc58001272</vt:lpwstr>
      </vt:variant>
      <vt:variant>
        <vt:i4>1835059</vt:i4>
      </vt:variant>
      <vt:variant>
        <vt:i4>50</vt:i4>
      </vt:variant>
      <vt:variant>
        <vt:i4>0</vt:i4>
      </vt:variant>
      <vt:variant>
        <vt:i4>5</vt:i4>
      </vt:variant>
      <vt:variant>
        <vt:lpwstr/>
      </vt:variant>
      <vt:variant>
        <vt:lpwstr>_Toc58001271</vt:lpwstr>
      </vt:variant>
      <vt:variant>
        <vt:i4>1900595</vt:i4>
      </vt:variant>
      <vt:variant>
        <vt:i4>44</vt:i4>
      </vt:variant>
      <vt:variant>
        <vt:i4>0</vt:i4>
      </vt:variant>
      <vt:variant>
        <vt:i4>5</vt:i4>
      </vt:variant>
      <vt:variant>
        <vt:lpwstr/>
      </vt:variant>
      <vt:variant>
        <vt:lpwstr>_Toc58001270</vt:lpwstr>
      </vt:variant>
      <vt:variant>
        <vt:i4>1310770</vt:i4>
      </vt:variant>
      <vt:variant>
        <vt:i4>38</vt:i4>
      </vt:variant>
      <vt:variant>
        <vt:i4>0</vt:i4>
      </vt:variant>
      <vt:variant>
        <vt:i4>5</vt:i4>
      </vt:variant>
      <vt:variant>
        <vt:lpwstr/>
      </vt:variant>
      <vt:variant>
        <vt:lpwstr>_Toc58001269</vt:lpwstr>
      </vt:variant>
      <vt:variant>
        <vt:i4>1376306</vt:i4>
      </vt:variant>
      <vt:variant>
        <vt:i4>32</vt:i4>
      </vt:variant>
      <vt:variant>
        <vt:i4>0</vt:i4>
      </vt:variant>
      <vt:variant>
        <vt:i4>5</vt:i4>
      </vt:variant>
      <vt:variant>
        <vt:lpwstr/>
      </vt:variant>
      <vt:variant>
        <vt:lpwstr>_Toc58001268</vt:lpwstr>
      </vt:variant>
      <vt:variant>
        <vt:i4>1703986</vt:i4>
      </vt:variant>
      <vt:variant>
        <vt:i4>26</vt:i4>
      </vt:variant>
      <vt:variant>
        <vt:i4>0</vt:i4>
      </vt:variant>
      <vt:variant>
        <vt:i4>5</vt:i4>
      </vt:variant>
      <vt:variant>
        <vt:lpwstr/>
      </vt:variant>
      <vt:variant>
        <vt:lpwstr>_Toc58001267</vt:lpwstr>
      </vt:variant>
      <vt:variant>
        <vt:i4>1769522</vt:i4>
      </vt:variant>
      <vt:variant>
        <vt:i4>20</vt:i4>
      </vt:variant>
      <vt:variant>
        <vt:i4>0</vt:i4>
      </vt:variant>
      <vt:variant>
        <vt:i4>5</vt:i4>
      </vt:variant>
      <vt:variant>
        <vt:lpwstr/>
      </vt:variant>
      <vt:variant>
        <vt:lpwstr>_Toc58001266</vt:lpwstr>
      </vt:variant>
      <vt:variant>
        <vt:i4>1572914</vt:i4>
      </vt:variant>
      <vt:variant>
        <vt:i4>14</vt:i4>
      </vt:variant>
      <vt:variant>
        <vt:i4>0</vt:i4>
      </vt:variant>
      <vt:variant>
        <vt:i4>5</vt:i4>
      </vt:variant>
      <vt:variant>
        <vt:lpwstr/>
      </vt:variant>
      <vt:variant>
        <vt:lpwstr>_Toc58001265</vt:lpwstr>
      </vt:variant>
      <vt:variant>
        <vt:i4>1638450</vt:i4>
      </vt:variant>
      <vt:variant>
        <vt:i4>8</vt:i4>
      </vt:variant>
      <vt:variant>
        <vt:i4>0</vt:i4>
      </vt:variant>
      <vt:variant>
        <vt:i4>5</vt:i4>
      </vt:variant>
      <vt:variant>
        <vt:lpwstr/>
      </vt:variant>
      <vt:variant>
        <vt:lpwstr>_Toc58001264</vt:lpwstr>
      </vt:variant>
      <vt:variant>
        <vt:i4>1966130</vt:i4>
      </vt:variant>
      <vt:variant>
        <vt:i4>2</vt:i4>
      </vt:variant>
      <vt:variant>
        <vt:i4>0</vt:i4>
      </vt:variant>
      <vt:variant>
        <vt:i4>5</vt:i4>
      </vt:variant>
      <vt:variant>
        <vt:lpwstr/>
      </vt:variant>
      <vt:variant>
        <vt:lpwstr>_Toc58001263</vt:lpwstr>
      </vt:variant>
      <vt:variant>
        <vt:i4>7667836</vt:i4>
      </vt:variant>
      <vt:variant>
        <vt:i4>57</vt:i4>
      </vt:variant>
      <vt:variant>
        <vt:i4>0</vt:i4>
      </vt:variant>
      <vt:variant>
        <vt:i4>5</vt:i4>
      </vt:variant>
      <vt:variant>
        <vt:lpwstr>https://www.dta.gov.au/news/covidsafe-uses-herald-protocol-improve-app-performance</vt:lpwstr>
      </vt:variant>
      <vt:variant>
        <vt:lpwstr/>
      </vt:variant>
      <vt:variant>
        <vt:i4>327695</vt:i4>
      </vt:variant>
      <vt:variant>
        <vt:i4>54</vt:i4>
      </vt:variant>
      <vt:variant>
        <vt:i4>0</vt:i4>
      </vt:variant>
      <vt:variant>
        <vt:i4>5</vt:i4>
      </vt:variant>
      <vt:variant>
        <vt:lpwstr>https://www.dta.gov.au/news/covidsafe-update-improves-registration-issue</vt:lpwstr>
      </vt:variant>
      <vt:variant>
        <vt:lpwstr/>
      </vt:variant>
      <vt:variant>
        <vt:i4>8192058</vt:i4>
      </vt:variant>
      <vt:variant>
        <vt:i4>51</vt:i4>
      </vt:variant>
      <vt:variant>
        <vt:i4>0</vt:i4>
      </vt:variant>
      <vt:variant>
        <vt:i4>5</vt:i4>
      </vt:variant>
      <vt:variant>
        <vt:lpwstr>https://www.dta.gov.au/news/assistance-notifications-make-covidsafe-easier-use</vt:lpwstr>
      </vt:variant>
      <vt:variant>
        <vt:lpwstr/>
      </vt:variant>
      <vt:variant>
        <vt:i4>3539057</vt:i4>
      </vt:variant>
      <vt:variant>
        <vt:i4>48</vt:i4>
      </vt:variant>
      <vt:variant>
        <vt:i4>0</vt:i4>
      </vt:variant>
      <vt:variant>
        <vt:i4>5</vt:i4>
      </vt:variant>
      <vt:variant>
        <vt:lpwstr>https://www.dta.gov.au/news/covidsafe-update-delivers-improved-registration-process</vt:lpwstr>
      </vt:variant>
      <vt:variant>
        <vt:lpwstr/>
      </vt:variant>
      <vt:variant>
        <vt:i4>4456492</vt:i4>
      </vt:variant>
      <vt:variant>
        <vt:i4>45</vt:i4>
      </vt:variant>
      <vt:variant>
        <vt:i4>0</vt:i4>
      </vt:variant>
      <vt:variant>
        <vt:i4>5</vt:i4>
      </vt:variant>
      <vt:variant>
        <vt:lpwstr>https://dta-www-drupal-20180130215411153400000001.s3.ap-southeast-2.amazonaws.com/s3fs-public/files/COVIDSafe cryptography specification (with protocol version numbering)_v3.pdf</vt:lpwstr>
      </vt:variant>
      <vt:variant>
        <vt:lpwstr/>
      </vt:variant>
      <vt:variant>
        <vt:i4>6094940</vt:i4>
      </vt:variant>
      <vt:variant>
        <vt:i4>42</vt:i4>
      </vt:variant>
      <vt:variant>
        <vt:i4>0</vt:i4>
      </vt:variant>
      <vt:variant>
        <vt:i4>5</vt:i4>
      </vt:variant>
      <vt:variant>
        <vt:lpwstr>https://www.dta.gov.au/news/covidsafe-provides-valuable-covid-19-statistics-australia</vt:lpwstr>
      </vt:variant>
      <vt:variant>
        <vt:lpwstr/>
      </vt:variant>
      <vt:variant>
        <vt:i4>851997</vt:i4>
      </vt:variant>
      <vt:variant>
        <vt:i4>36</vt:i4>
      </vt:variant>
      <vt:variant>
        <vt:i4>0</vt:i4>
      </vt:variant>
      <vt:variant>
        <vt:i4>5</vt:i4>
      </vt:variant>
      <vt:variant>
        <vt:lpwstr>https://www.dta.gov.au/news/covidsafe-now-has-improved-notifications-and-supports-2-new-languages</vt:lpwstr>
      </vt:variant>
      <vt:variant>
        <vt:lpwstr/>
      </vt:variant>
      <vt:variant>
        <vt:i4>8257586</vt:i4>
      </vt:variant>
      <vt:variant>
        <vt:i4>33</vt:i4>
      </vt:variant>
      <vt:variant>
        <vt:i4>0</vt:i4>
      </vt:variant>
      <vt:variant>
        <vt:i4>5</vt:i4>
      </vt:variant>
      <vt:variant>
        <vt:lpwstr>https://www.dta.gov.au/news/better-notifications-privacy-and-performance-covidsafe</vt:lpwstr>
      </vt:variant>
      <vt:variant>
        <vt:lpwstr/>
      </vt:variant>
      <vt:variant>
        <vt:i4>3145826</vt:i4>
      </vt:variant>
      <vt:variant>
        <vt:i4>30</vt:i4>
      </vt:variant>
      <vt:variant>
        <vt:i4>0</vt:i4>
      </vt:variant>
      <vt:variant>
        <vt:i4>5</vt:i4>
      </vt:variant>
      <vt:variant>
        <vt:lpwstr>https://www.dta.gov.au/news/covidsafe-improvements-continue-additional-multilingual-support</vt:lpwstr>
      </vt:variant>
      <vt:variant>
        <vt:lpwstr/>
      </vt:variant>
      <vt:variant>
        <vt:i4>1769481</vt:i4>
      </vt:variant>
      <vt:variant>
        <vt:i4>27</vt:i4>
      </vt:variant>
      <vt:variant>
        <vt:i4>0</vt:i4>
      </vt:variant>
      <vt:variant>
        <vt:i4>5</vt:i4>
      </vt:variant>
      <vt:variant>
        <vt:lpwstr>https://www.health.gov.au/resources/translated/coronavirus-covid-19-user-guide-to-download-the-covidsafe-app-other-languages</vt:lpwstr>
      </vt:variant>
      <vt:variant>
        <vt:lpwstr/>
      </vt:variant>
      <vt:variant>
        <vt:i4>7602224</vt:i4>
      </vt:variant>
      <vt:variant>
        <vt:i4>24</vt:i4>
      </vt:variant>
      <vt:variant>
        <vt:i4>0</vt:i4>
      </vt:variant>
      <vt:variant>
        <vt:i4>5</vt:i4>
      </vt:variant>
      <vt:variant>
        <vt:lpwstr>https://www.dta.gov.au/news/covidsafe-continues-reach-more-people-community</vt:lpwstr>
      </vt:variant>
      <vt:variant>
        <vt:lpwstr/>
      </vt:variant>
      <vt:variant>
        <vt:i4>262154</vt:i4>
      </vt:variant>
      <vt:variant>
        <vt:i4>21</vt:i4>
      </vt:variant>
      <vt:variant>
        <vt:i4>0</vt:i4>
      </vt:variant>
      <vt:variant>
        <vt:i4>5</vt:i4>
      </vt:variant>
      <vt:variant>
        <vt:lpwstr>https://www.dta.gov.au/news/more-people-australia-can-now-download-and-use-covidsafe</vt:lpwstr>
      </vt:variant>
      <vt:variant>
        <vt:lpwstr/>
      </vt:variant>
      <vt:variant>
        <vt:i4>5570639</vt:i4>
      </vt:variant>
      <vt:variant>
        <vt:i4>18</vt:i4>
      </vt:variant>
      <vt:variant>
        <vt:i4>0</vt:i4>
      </vt:variant>
      <vt:variant>
        <vt:i4>5</vt:i4>
      </vt:variant>
      <vt:variant>
        <vt:lpwstr>https://www.dta.gov.au/news/increased-adoption-and-accessibility-covidsafe-app-users</vt:lpwstr>
      </vt:variant>
      <vt:variant>
        <vt:lpwstr/>
      </vt:variant>
      <vt:variant>
        <vt:i4>3407979</vt:i4>
      </vt:variant>
      <vt:variant>
        <vt:i4>15</vt:i4>
      </vt:variant>
      <vt:variant>
        <vt:i4>0</vt:i4>
      </vt:variant>
      <vt:variant>
        <vt:i4>5</vt:i4>
      </vt:variant>
      <vt:variant>
        <vt:lpwstr>https://www.dta.gov.au/news/key-covidsafe-improvements-enhance-and-protect-your-privacy</vt:lpwstr>
      </vt:variant>
      <vt:variant>
        <vt:lpwstr/>
      </vt:variant>
      <vt:variant>
        <vt:i4>4259906</vt:i4>
      </vt:variant>
      <vt:variant>
        <vt:i4>12</vt:i4>
      </vt:variant>
      <vt:variant>
        <vt:i4>0</vt:i4>
      </vt:variant>
      <vt:variant>
        <vt:i4>5</vt:i4>
      </vt:variant>
      <vt:variant>
        <vt:lpwstr>https://covidsafe.gov.au/help-topics.html</vt:lpwstr>
      </vt:variant>
      <vt:variant>
        <vt:lpwstr/>
      </vt:variant>
      <vt:variant>
        <vt:i4>4456475</vt:i4>
      </vt:variant>
      <vt:variant>
        <vt:i4>9</vt:i4>
      </vt:variant>
      <vt:variant>
        <vt:i4>0</vt:i4>
      </vt:variant>
      <vt:variant>
        <vt:i4>5</vt:i4>
      </vt:variant>
      <vt:variant>
        <vt:lpwstr>https://www.dta.gov.au/news/strengthening-privacy-protections-covidsafe-app-users</vt:lpwstr>
      </vt:variant>
      <vt:variant>
        <vt:lpwstr/>
      </vt:variant>
      <vt:variant>
        <vt:i4>7602238</vt:i4>
      </vt:variant>
      <vt:variant>
        <vt:i4>6</vt:i4>
      </vt:variant>
      <vt:variant>
        <vt:i4>0</vt:i4>
      </vt:variant>
      <vt:variant>
        <vt:i4>5</vt:i4>
      </vt:variant>
      <vt:variant>
        <vt:lpwstr>https://www.dta.gov.au/news/next-release-covidsafe-live</vt:lpwstr>
      </vt:variant>
      <vt:variant>
        <vt:lpwstr/>
      </vt:variant>
      <vt:variant>
        <vt:i4>7602211</vt:i4>
      </vt:variant>
      <vt:variant>
        <vt:i4>3</vt:i4>
      </vt:variant>
      <vt:variant>
        <vt:i4>0</vt:i4>
      </vt:variant>
      <vt:variant>
        <vt:i4>5</vt:i4>
      </vt:variant>
      <vt:variant>
        <vt:lpwstr>https://www.legislation.gov.au/Details/C2020A00044</vt:lpwstr>
      </vt:variant>
      <vt:variant>
        <vt:lpwstr/>
      </vt:variant>
      <vt:variant>
        <vt:i4>2031702</vt:i4>
      </vt:variant>
      <vt:variant>
        <vt:i4>0</vt:i4>
      </vt:variant>
      <vt:variant>
        <vt:i4>0</vt:i4>
      </vt:variant>
      <vt:variant>
        <vt:i4>5</vt:i4>
      </vt:variant>
      <vt:variant>
        <vt:lpwstr>https://www.health.gov.au/resources/publications/covidsafe-application-privacy-impact-assessment</vt:lpwstr>
      </vt:variant>
      <vt:variant>
        <vt:lpwstr/>
      </vt:variant>
      <vt:variant>
        <vt:i4>524330</vt:i4>
      </vt:variant>
      <vt:variant>
        <vt:i4>51</vt:i4>
      </vt:variant>
      <vt:variant>
        <vt:i4>0</vt:i4>
      </vt:variant>
      <vt:variant>
        <vt:i4>5</vt:i4>
      </vt:variant>
      <vt:variant>
        <vt:lpwstr>mailto:Craig.Cowan@dta.gov.au</vt:lpwstr>
      </vt:variant>
      <vt:variant>
        <vt:lpwstr/>
      </vt:variant>
      <vt:variant>
        <vt:i4>524330</vt:i4>
      </vt:variant>
      <vt:variant>
        <vt:i4>48</vt:i4>
      </vt:variant>
      <vt:variant>
        <vt:i4>0</vt:i4>
      </vt:variant>
      <vt:variant>
        <vt:i4>5</vt:i4>
      </vt:variant>
      <vt:variant>
        <vt:lpwstr>mailto:Craig.Cowan@dta.gov.au</vt:lpwstr>
      </vt:variant>
      <vt:variant>
        <vt:lpwstr/>
      </vt:variant>
      <vt:variant>
        <vt:i4>524330</vt:i4>
      </vt:variant>
      <vt:variant>
        <vt:i4>45</vt:i4>
      </vt:variant>
      <vt:variant>
        <vt:i4>0</vt:i4>
      </vt:variant>
      <vt:variant>
        <vt:i4>5</vt:i4>
      </vt:variant>
      <vt:variant>
        <vt:lpwstr>mailto:Craig.Cowan@dta.gov.au</vt:lpwstr>
      </vt:variant>
      <vt:variant>
        <vt:lpwstr/>
      </vt:variant>
      <vt:variant>
        <vt:i4>524330</vt:i4>
      </vt:variant>
      <vt:variant>
        <vt:i4>42</vt:i4>
      </vt:variant>
      <vt:variant>
        <vt:i4>0</vt:i4>
      </vt:variant>
      <vt:variant>
        <vt:i4>5</vt:i4>
      </vt:variant>
      <vt:variant>
        <vt:lpwstr>mailto:Craig.Cowan@dta.gov.au</vt:lpwstr>
      </vt:variant>
      <vt:variant>
        <vt:lpwstr/>
      </vt:variant>
      <vt:variant>
        <vt:i4>524330</vt:i4>
      </vt:variant>
      <vt:variant>
        <vt:i4>39</vt:i4>
      </vt:variant>
      <vt:variant>
        <vt:i4>0</vt:i4>
      </vt:variant>
      <vt:variant>
        <vt:i4>5</vt:i4>
      </vt:variant>
      <vt:variant>
        <vt:lpwstr>mailto:Craig.Cowan@dta.gov.au</vt:lpwstr>
      </vt:variant>
      <vt:variant>
        <vt:lpwstr/>
      </vt:variant>
      <vt:variant>
        <vt:i4>524330</vt:i4>
      </vt:variant>
      <vt:variant>
        <vt:i4>36</vt:i4>
      </vt:variant>
      <vt:variant>
        <vt:i4>0</vt:i4>
      </vt:variant>
      <vt:variant>
        <vt:i4>5</vt:i4>
      </vt:variant>
      <vt:variant>
        <vt:lpwstr>mailto:Craig.Cowan@dta.gov.au</vt:lpwstr>
      </vt:variant>
      <vt:variant>
        <vt:lpwstr/>
      </vt:variant>
      <vt:variant>
        <vt:i4>524330</vt:i4>
      </vt:variant>
      <vt:variant>
        <vt:i4>33</vt:i4>
      </vt:variant>
      <vt:variant>
        <vt:i4>0</vt:i4>
      </vt:variant>
      <vt:variant>
        <vt:i4>5</vt:i4>
      </vt:variant>
      <vt:variant>
        <vt:lpwstr>mailto:Craig.Cowan@dta.gov.au</vt:lpwstr>
      </vt:variant>
      <vt:variant>
        <vt:lpwstr/>
      </vt:variant>
      <vt:variant>
        <vt:i4>524330</vt:i4>
      </vt:variant>
      <vt:variant>
        <vt:i4>30</vt:i4>
      </vt:variant>
      <vt:variant>
        <vt:i4>0</vt:i4>
      </vt:variant>
      <vt:variant>
        <vt:i4>5</vt:i4>
      </vt:variant>
      <vt:variant>
        <vt:lpwstr>mailto:Craig.Cowan@dta.gov.au</vt:lpwstr>
      </vt:variant>
      <vt:variant>
        <vt:lpwstr/>
      </vt:variant>
      <vt:variant>
        <vt:i4>524330</vt:i4>
      </vt:variant>
      <vt:variant>
        <vt:i4>27</vt:i4>
      </vt:variant>
      <vt:variant>
        <vt:i4>0</vt:i4>
      </vt:variant>
      <vt:variant>
        <vt:i4>5</vt:i4>
      </vt:variant>
      <vt:variant>
        <vt:lpwstr>mailto:Craig.Cowan@dta.gov.au</vt:lpwstr>
      </vt:variant>
      <vt:variant>
        <vt:lpwstr/>
      </vt:variant>
      <vt:variant>
        <vt:i4>524330</vt:i4>
      </vt:variant>
      <vt:variant>
        <vt:i4>24</vt:i4>
      </vt:variant>
      <vt:variant>
        <vt:i4>0</vt:i4>
      </vt:variant>
      <vt:variant>
        <vt:i4>5</vt:i4>
      </vt:variant>
      <vt:variant>
        <vt:lpwstr>mailto:Craig.Cowan@dta.gov.au</vt:lpwstr>
      </vt:variant>
      <vt:variant>
        <vt:lpwstr/>
      </vt:variant>
      <vt:variant>
        <vt:i4>524330</vt:i4>
      </vt:variant>
      <vt:variant>
        <vt:i4>21</vt:i4>
      </vt:variant>
      <vt:variant>
        <vt:i4>0</vt:i4>
      </vt:variant>
      <vt:variant>
        <vt:i4>5</vt:i4>
      </vt:variant>
      <vt:variant>
        <vt:lpwstr>mailto:Craig.Cowan@dta.gov.au</vt:lpwstr>
      </vt:variant>
      <vt:variant>
        <vt:lpwstr/>
      </vt:variant>
      <vt:variant>
        <vt:i4>3407979</vt:i4>
      </vt:variant>
      <vt:variant>
        <vt:i4>18</vt:i4>
      </vt:variant>
      <vt:variant>
        <vt:i4>0</vt:i4>
      </vt:variant>
      <vt:variant>
        <vt:i4>5</vt:i4>
      </vt:variant>
      <vt:variant>
        <vt:lpwstr>https://www.dta.gov.au/news/key-covidsafe-improvements-enhance-and-protect-your-privacy</vt:lpwstr>
      </vt:variant>
      <vt:variant>
        <vt:lpwstr/>
      </vt:variant>
      <vt:variant>
        <vt:i4>524330</vt:i4>
      </vt:variant>
      <vt:variant>
        <vt:i4>15</vt:i4>
      </vt:variant>
      <vt:variant>
        <vt:i4>0</vt:i4>
      </vt:variant>
      <vt:variant>
        <vt:i4>5</vt:i4>
      </vt:variant>
      <vt:variant>
        <vt:lpwstr>mailto:Craig.Cowan@dta.gov.au</vt:lpwstr>
      </vt:variant>
      <vt:variant>
        <vt:lpwstr/>
      </vt:variant>
      <vt:variant>
        <vt:i4>524330</vt:i4>
      </vt:variant>
      <vt:variant>
        <vt:i4>12</vt:i4>
      </vt:variant>
      <vt:variant>
        <vt:i4>0</vt:i4>
      </vt:variant>
      <vt:variant>
        <vt:i4>5</vt:i4>
      </vt:variant>
      <vt:variant>
        <vt:lpwstr>mailto:Craig.Cowan@dta.gov.au</vt:lpwstr>
      </vt:variant>
      <vt:variant>
        <vt:lpwstr/>
      </vt:variant>
      <vt:variant>
        <vt:i4>524330</vt:i4>
      </vt:variant>
      <vt:variant>
        <vt:i4>9</vt:i4>
      </vt:variant>
      <vt:variant>
        <vt:i4>0</vt:i4>
      </vt:variant>
      <vt:variant>
        <vt:i4>5</vt:i4>
      </vt:variant>
      <vt:variant>
        <vt:lpwstr>mailto:Craig.Cowan@dta.gov.au</vt:lpwstr>
      </vt:variant>
      <vt:variant>
        <vt:lpwstr/>
      </vt:variant>
      <vt:variant>
        <vt:i4>524330</vt:i4>
      </vt:variant>
      <vt:variant>
        <vt:i4>6</vt:i4>
      </vt:variant>
      <vt:variant>
        <vt:i4>0</vt:i4>
      </vt:variant>
      <vt:variant>
        <vt:i4>5</vt:i4>
      </vt:variant>
      <vt:variant>
        <vt:lpwstr>mailto:Craig.Cowan@dta.gov.au</vt:lpwstr>
      </vt:variant>
      <vt:variant>
        <vt:lpwstr/>
      </vt:variant>
      <vt:variant>
        <vt:i4>524330</vt:i4>
      </vt:variant>
      <vt:variant>
        <vt:i4>3</vt:i4>
      </vt:variant>
      <vt:variant>
        <vt:i4>0</vt:i4>
      </vt:variant>
      <vt:variant>
        <vt:i4>5</vt:i4>
      </vt:variant>
      <vt:variant>
        <vt:lpwstr>mailto:Craig.Cowan@dta.gov.au</vt:lpwstr>
      </vt:variant>
      <vt:variant>
        <vt:lpwstr/>
      </vt:variant>
      <vt:variant>
        <vt:i4>524330</vt:i4>
      </vt:variant>
      <vt:variant>
        <vt:i4>0</vt:i4>
      </vt:variant>
      <vt:variant>
        <vt:i4>0</vt:i4>
      </vt:variant>
      <vt:variant>
        <vt:i4>5</vt:i4>
      </vt:variant>
      <vt:variant>
        <vt:lpwstr>mailto:Craig.Cowan@dta.gov.au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Phase 2A of COVID-19 Vaccine Strategy – Privacy Impact Assessment Update: Report</dc:title>
  <dc:subject/>
  <dc:creator>Australian Government Deaprtment of Health and Aged Care</dc:creator>
  <cp:keywords>Communicable diseases; immunisation; COVID-19</cp:keywords>
  <dc:description/>
  <cp:lastModifiedBy>JACOB, Reuben</cp:lastModifiedBy>
  <cp:revision>5</cp:revision>
  <cp:lastPrinted>2021-01-07T01:31:00Z</cp:lastPrinted>
  <dcterms:created xsi:type="dcterms:W3CDTF">2022-09-06T05:05:00Z</dcterms:created>
  <dcterms:modified xsi:type="dcterms:W3CDTF">2022-09-26T02:42:00Z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40867917</vt:lpwstr>
  </property>
  <property fmtid="{D5CDD505-2E9C-101B-9397-08002B2CF9AE}" pid="6" name="checkforsharepointfields">
    <vt:lpwstr>True</vt:lpwstr>
  </property>
  <property fmtid="{D5CDD505-2E9C-101B-9397-08002B2CF9AE}" pid="7" name="Template Filename">
    <vt:lpwstr/>
  </property>
</Properties>
</file>