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21A2" w14:textId="77777777" w:rsidR="000069AE" w:rsidRPr="005B5D93" w:rsidRDefault="000069AE" w:rsidP="001E4310">
      <w:pPr>
        <w:pStyle w:val="Heading1"/>
        <w:spacing w:before="1680"/>
      </w:pPr>
      <w:r w:rsidRPr="005B5D93">
        <w:t xml:space="preserve">Phase 2A of </w:t>
      </w:r>
      <w:r w:rsidRPr="00D958D0">
        <w:t>the</w:t>
      </w:r>
      <w:r w:rsidRPr="005B5D93">
        <w:t xml:space="preserve"> COVID-19 Vaccine Strategy</w:t>
      </w:r>
    </w:p>
    <w:p w14:paraId="6A2E1ED0" w14:textId="77777777" w:rsidR="000069AE" w:rsidRPr="003919AF" w:rsidRDefault="000069AE" w:rsidP="000069AE">
      <w:pPr>
        <w:pStyle w:val="Heading2"/>
      </w:pPr>
      <w:r>
        <w:t xml:space="preserve">Update 2 </w:t>
      </w:r>
      <w:r w:rsidRPr="00D75972">
        <w:t>to the implementation of the COVID-19 Vaccine Strategy Privacy Impact Assessment</w:t>
      </w:r>
    </w:p>
    <w:p w14:paraId="0660FF09" w14:textId="77777777" w:rsidR="000069AE" w:rsidRDefault="000069AE" w:rsidP="000069AE">
      <w:r>
        <w:t>Agency Consolidated Response</w:t>
      </w:r>
    </w:p>
    <w:p w14:paraId="67F961BC" w14:textId="034C23CB" w:rsidR="000069AE" w:rsidRPr="001E4310" w:rsidRDefault="000069AE" w:rsidP="001E4310">
      <w:r>
        <w:t>Department of Health and Aged Care</w:t>
      </w:r>
    </w:p>
    <w:p w14:paraId="65275976" w14:textId="77777777" w:rsidR="000069AE" w:rsidRDefault="000069AE" w:rsidP="000069AE">
      <w:pPr>
        <w:rPr>
          <w:rFonts w:cs="Arial"/>
          <w:szCs w:val="22"/>
        </w:rPr>
      </w:pPr>
      <w:r>
        <w:rPr>
          <w:rFonts w:cs="Arial"/>
          <w:szCs w:val="22"/>
        </w:rPr>
        <w:br w:type="page"/>
      </w:r>
    </w:p>
    <w:p w14:paraId="3AFF3AE8" w14:textId="77777777" w:rsidR="000069AE" w:rsidRDefault="000069AE" w:rsidP="000069AE">
      <w:pPr>
        <w:rPr>
          <w:rFonts w:cs="Arial"/>
          <w:szCs w:val="22"/>
        </w:rPr>
      </w:pPr>
      <w:r w:rsidRPr="000069AE">
        <w:rPr>
          <w:rFonts w:cs="Arial"/>
          <w:szCs w:val="22"/>
        </w:rPr>
        <w:lastRenderedPageBreak/>
        <w:t>© Commonwealth of Australia 202</w:t>
      </w:r>
      <w:r>
        <w:rPr>
          <w:rFonts w:cs="Arial"/>
          <w:szCs w:val="22"/>
        </w:rPr>
        <w:t>2</w:t>
      </w:r>
      <w:r w:rsidRPr="000069AE">
        <w:rPr>
          <w:rFonts w:cs="Arial"/>
          <w:szCs w:val="22"/>
        </w:rPr>
        <w:t xml:space="preserve"> </w:t>
      </w:r>
    </w:p>
    <w:p w14:paraId="7D85D137" w14:textId="77777777" w:rsidR="000069AE" w:rsidRPr="005B5D93" w:rsidRDefault="000069AE" w:rsidP="000069AE">
      <w:r w:rsidRPr="000069AE">
        <w:rPr>
          <w:rFonts w:cs="Arial"/>
          <w:szCs w:val="22"/>
        </w:rPr>
        <w:t xml:space="preserve">Title: </w:t>
      </w:r>
      <w:r w:rsidRPr="005B5D93">
        <w:t xml:space="preserve">Phase 2A of </w:t>
      </w:r>
      <w:r w:rsidRPr="00D958D0">
        <w:t>the</w:t>
      </w:r>
      <w:r w:rsidRPr="005B5D93">
        <w:t xml:space="preserve"> COVID-19 Vaccine Strategy</w:t>
      </w:r>
    </w:p>
    <w:p w14:paraId="1EE333BE" w14:textId="77777777" w:rsidR="000069AE" w:rsidRPr="000069AE" w:rsidRDefault="000069AE" w:rsidP="000069AE">
      <w:pPr>
        <w:rPr>
          <w:rFonts w:cs="Arial"/>
          <w:b/>
          <w:bCs/>
          <w:szCs w:val="22"/>
        </w:rPr>
      </w:pPr>
      <w:r w:rsidRPr="000069AE">
        <w:rPr>
          <w:rFonts w:cs="Arial"/>
          <w:b/>
          <w:bCs/>
          <w:szCs w:val="22"/>
        </w:rPr>
        <w:t xml:space="preserve">Creative Commons Licence </w:t>
      </w:r>
    </w:p>
    <w:p w14:paraId="2318C786" w14:textId="77777777" w:rsidR="000069AE" w:rsidRDefault="000069AE" w:rsidP="000069AE">
      <w:pPr>
        <w:rPr>
          <w:rFonts w:cs="Arial"/>
          <w:szCs w:val="22"/>
        </w:rPr>
      </w:pPr>
      <w:r w:rsidRPr="000069AE">
        <w:rPr>
          <w:rFonts w:cs="Arial"/>
          <w:szCs w:val="22"/>
        </w:rPr>
        <w:t xml:space="preserve">This publication is licensed under the Creative Commons Attribution 4.0 International Public License available from Creative Commons website (Licence). You must read and understand the Licence before using any material from this publication. </w:t>
      </w:r>
    </w:p>
    <w:p w14:paraId="268371C6" w14:textId="77777777" w:rsidR="000069AE" w:rsidRPr="000069AE" w:rsidRDefault="000069AE" w:rsidP="000069AE">
      <w:pPr>
        <w:rPr>
          <w:rFonts w:cs="Arial"/>
          <w:b/>
          <w:bCs/>
          <w:szCs w:val="22"/>
        </w:rPr>
      </w:pPr>
      <w:r w:rsidRPr="000069AE">
        <w:rPr>
          <w:rFonts w:cs="Arial"/>
          <w:b/>
          <w:bCs/>
          <w:szCs w:val="22"/>
        </w:rPr>
        <w:t xml:space="preserve">Restrictions </w:t>
      </w:r>
    </w:p>
    <w:p w14:paraId="58175FDA" w14:textId="77777777" w:rsidR="000069AE" w:rsidRDefault="000069AE" w:rsidP="000069AE">
      <w:pPr>
        <w:rPr>
          <w:rFonts w:cs="Arial"/>
          <w:szCs w:val="22"/>
        </w:rPr>
      </w:pPr>
      <w:r w:rsidRPr="000069AE">
        <w:rPr>
          <w:rFonts w:cs="Arial"/>
          <w:szCs w:val="22"/>
        </w:rPr>
        <w:t>The Licence may not give you all the permissions necessary for your intended use. For example, other rights (such as publicity, privacy and moral rights) may limit how you use the material found in this publication. The Licence does not cover, and there is no permission given for, use of any of the following material found in this publication:</w:t>
      </w:r>
    </w:p>
    <w:p w14:paraId="39F14417" w14:textId="77777777" w:rsidR="000069AE" w:rsidRPr="000069AE" w:rsidRDefault="000069AE" w:rsidP="000069AE">
      <w:pPr>
        <w:pStyle w:val="ListParagraph"/>
        <w:numPr>
          <w:ilvl w:val="0"/>
          <w:numId w:val="28"/>
        </w:numPr>
        <w:rPr>
          <w:rFonts w:cs="Arial"/>
          <w:szCs w:val="22"/>
        </w:rPr>
      </w:pPr>
      <w:r w:rsidRPr="000069AE">
        <w:rPr>
          <w:rFonts w:cs="Arial"/>
          <w:szCs w:val="22"/>
        </w:rPr>
        <w:t xml:space="preserve">the Commonwealth Coat of Arms (by way of information, the terms under which the Coat of Arms may be used can be found on the Department of Prime Minister and Cabinet website) </w:t>
      </w:r>
    </w:p>
    <w:p w14:paraId="3F97E788" w14:textId="77777777" w:rsidR="000069AE" w:rsidRPr="000069AE" w:rsidRDefault="000069AE" w:rsidP="000069AE">
      <w:pPr>
        <w:pStyle w:val="ListParagraph"/>
        <w:numPr>
          <w:ilvl w:val="0"/>
          <w:numId w:val="28"/>
        </w:numPr>
        <w:rPr>
          <w:rFonts w:cs="Arial"/>
          <w:szCs w:val="22"/>
        </w:rPr>
      </w:pPr>
      <w:r w:rsidRPr="000069AE">
        <w:rPr>
          <w:rFonts w:cs="Arial"/>
          <w:szCs w:val="22"/>
        </w:rPr>
        <w:t>any logos and trademarks</w:t>
      </w:r>
    </w:p>
    <w:p w14:paraId="73BBA8C3" w14:textId="77777777" w:rsidR="000069AE" w:rsidRPr="000069AE" w:rsidRDefault="000069AE" w:rsidP="000069AE">
      <w:pPr>
        <w:pStyle w:val="ListParagraph"/>
        <w:numPr>
          <w:ilvl w:val="0"/>
          <w:numId w:val="28"/>
        </w:numPr>
        <w:rPr>
          <w:rFonts w:cs="Arial"/>
          <w:szCs w:val="22"/>
        </w:rPr>
      </w:pPr>
      <w:r w:rsidRPr="000069AE">
        <w:rPr>
          <w:rFonts w:cs="Arial"/>
          <w:szCs w:val="22"/>
        </w:rPr>
        <w:t>any photographs and images</w:t>
      </w:r>
    </w:p>
    <w:p w14:paraId="50EC8F71" w14:textId="77777777" w:rsidR="000069AE" w:rsidRPr="000069AE" w:rsidRDefault="000069AE" w:rsidP="000069AE">
      <w:pPr>
        <w:pStyle w:val="ListParagraph"/>
        <w:numPr>
          <w:ilvl w:val="0"/>
          <w:numId w:val="28"/>
        </w:numPr>
        <w:rPr>
          <w:rFonts w:cs="Arial"/>
          <w:szCs w:val="22"/>
        </w:rPr>
      </w:pPr>
      <w:r w:rsidRPr="000069AE">
        <w:rPr>
          <w:rFonts w:cs="Arial"/>
          <w:szCs w:val="22"/>
        </w:rPr>
        <w:t>any signatures</w:t>
      </w:r>
    </w:p>
    <w:p w14:paraId="40F46C04" w14:textId="77777777" w:rsidR="000069AE" w:rsidRPr="000069AE" w:rsidRDefault="000069AE" w:rsidP="000069AE">
      <w:pPr>
        <w:pStyle w:val="ListParagraph"/>
        <w:numPr>
          <w:ilvl w:val="0"/>
          <w:numId w:val="28"/>
        </w:numPr>
        <w:rPr>
          <w:rFonts w:cs="Arial"/>
          <w:szCs w:val="22"/>
        </w:rPr>
      </w:pPr>
      <w:r w:rsidRPr="000069AE">
        <w:rPr>
          <w:rFonts w:cs="Arial"/>
          <w:szCs w:val="22"/>
        </w:rPr>
        <w:t xml:space="preserve">any material belonging to third parties. </w:t>
      </w:r>
    </w:p>
    <w:p w14:paraId="56D20E4B" w14:textId="77777777" w:rsidR="000069AE" w:rsidRPr="000069AE" w:rsidRDefault="000069AE" w:rsidP="000069AE">
      <w:pPr>
        <w:rPr>
          <w:rFonts w:cs="Arial"/>
          <w:b/>
          <w:bCs/>
          <w:szCs w:val="22"/>
        </w:rPr>
      </w:pPr>
      <w:r w:rsidRPr="000069AE">
        <w:rPr>
          <w:rFonts w:cs="Arial"/>
          <w:b/>
          <w:bCs/>
          <w:szCs w:val="22"/>
        </w:rPr>
        <w:t xml:space="preserve">Attribution </w:t>
      </w:r>
    </w:p>
    <w:p w14:paraId="281FF4E0" w14:textId="77777777" w:rsidR="000069AE" w:rsidRDefault="000069AE" w:rsidP="000069AE">
      <w:pPr>
        <w:rPr>
          <w:rFonts w:cs="Arial"/>
          <w:szCs w:val="22"/>
        </w:rPr>
      </w:pPr>
      <w:r w:rsidRPr="000069AE">
        <w:rPr>
          <w:rFonts w:cs="Arial"/>
          <w:szCs w:val="22"/>
        </w:rPr>
        <w:t>Without limiting your obligations under the Licence, the Department of Health</w:t>
      </w:r>
      <w:r>
        <w:rPr>
          <w:rFonts w:cs="Arial"/>
          <w:szCs w:val="22"/>
        </w:rPr>
        <w:t xml:space="preserve"> and Aged Care</w:t>
      </w:r>
      <w:r w:rsidRPr="000069AE">
        <w:rPr>
          <w:rFonts w:cs="Arial"/>
          <w:szCs w:val="22"/>
        </w:rPr>
        <w:t xml:space="preserve"> requests that you attribute this publication in your work. You may use any reasonable form of words </w:t>
      </w:r>
      <w:proofErr w:type="gramStart"/>
      <w:r w:rsidRPr="000069AE">
        <w:rPr>
          <w:rFonts w:cs="Arial"/>
          <w:szCs w:val="22"/>
        </w:rPr>
        <w:t>provided that</w:t>
      </w:r>
      <w:proofErr w:type="gramEnd"/>
      <w:r w:rsidRPr="000069AE">
        <w:rPr>
          <w:rFonts w:cs="Arial"/>
          <w:szCs w:val="22"/>
        </w:rPr>
        <w:t xml:space="preserve"> you: </w:t>
      </w:r>
    </w:p>
    <w:p w14:paraId="7FE6C6FD" w14:textId="707CC6AC" w:rsidR="000069AE" w:rsidRPr="002A114E" w:rsidRDefault="000069AE" w:rsidP="002A114E">
      <w:pPr>
        <w:pStyle w:val="ListParagraph"/>
        <w:numPr>
          <w:ilvl w:val="0"/>
          <w:numId w:val="30"/>
        </w:numPr>
        <w:rPr>
          <w:rFonts w:cs="Arial"/>
          <w:szCs w:val="22"/>
        </w:rPr>
      </w:pPr>
      <w:r w:rsidRPr="002A114E">
        <w:rPr>
          <w:rFonts w:cs="Arial"/>
          <w:szCs w:val="22"/>
        </w:rPr>
        <w:t xml:space="preserve">include a reference to this publication and, where practicable, the relevant page numbers </w:t>
      </w:r>
    </w:p>
    <w:p w14:paraId="12AE56A5" w14:textId="7403BADF" w:rsidR="000069AE" w:rsidRPr="002A114E" w:rsidRDefault="000069AE" w:rsidP="002A114E">
      <w:pPr>
        <w:pStyle w:val="ListParagraph"/>
        <w:numPr>
          <w:ilvl w:val="0"/>
          <w:numId w:val="30"/>
        </w:numPr>
        <w:rPr>
          <w:rFonts w:cs="Arial"/>
          <w:szCs w:val="22"/>
        </w:rPr>
      </w:pPr>
      <w:r w:rsidRPr="002A114E">
        <w:rPr>
          <w:rFonts w:cs="Arial"/>
          <w:szCs w:val="22"/>
        </w:rPr>
        <w:t xml:space="preserve">make it clear that you have permission to use the material under the Creative Commons Attribution 4.0 International Public License </w:t>
      </w:r>
    </w:p>
    <w:p w14:paraId="1325B84F" w14:textId="5F025C31" w:rsidR="000069AE" w:rsidRPr="002A114E" w:rsidRDefault="000069AE" w:rsidP="002A114E">
      <w:pPr>
        <w:pStyle w:val="ListParagraph"/>
        <w:numPr>
          <w:ilvl w:val="0"/>
          <w:numId w:val="30"/>
        </w:numPr>
        <w:rPr>
          <w:rFonts w:cs="Arial"/>
          <w:szCs w:val="22"/>
        </w:rPr>
      </w:pPr>
      <w:r w:rsidRPr="002A114E">
        <w:rPr>
          <w:rFonts w:cs="Arial"/>
          <w:szCs w:val="22"/>
        </w:rPr>
        <w:t xml:space="preserve">make it clear </w:t>
      </w:r>
      <w:proofErr w:type="gramStart"/>
      <w:r w:rsidRPr="002A114E">
        <w:rPr>
          <w:rFonts w:cs="Arial"/>
          <w:szCs w:val="22"/>
        </w:rPr>
        <w:t>whether or not</w:t>
      </w:r>
      <w:proofErr w:type="gramEnd"/>
      <w:r w:rsidRPr="002A114E">
        <w:rPr>
          <w:rFonts w:cs="Arial"/>
          <w:szCs w:val="22"/>
        </w:rPr>
        <w:t xml:space="preserve"> you have changed the material used from this publication </w:t>
      </w:r>
    </w:p>
    <w:p w14:paraId="2C3A5EC5" w14:textId="64CA4681" w:rsidR="000069AE" w:rsidRPr="002A114E" w:rsidRDefault="000069AE" w:rsidP="002A114E">
      <w:pPr>
        <w:pStyle w:val="ListParagraph"/>
        <w:numPr>
          <w:ilvl w:val="0"/>
          <w:numId w:val="30"/>
        </w:numPr>
        <w:rPr>
          <w:rFonts w:cs="Arial"/>
          <w:szCs w:val="22"/>
        </w:rPr>
      </w:pPr>
      <w:r w:rsidRPr="002A114E">
        <w:rPr>
          <w:rFonts w:cs="Arial"/>
          <w:szCs w:val="22"/>
        </w:rPr>
        <w:t xml:space="preserve">include a copyright notice in relation to the material used. In the case of no change to the material, the words ‘© Commonwealth of Australia (Department of Health and Aged Care) 2022’ may be used. In the case where the material has been changed or adapted, the words: ‘Based on Commonwealth of Australia (Department of Health) material’ may be used </w:t>
      </w:r>
    </w:p>
    <w:p w14:paraId="4D133FB5" w14:textId="6EF315DC" w:rsidR="000069AE" w:rsidRPr="002A114E" w:rsidRDefault="000069AE" w:rsidP="002A114E">
      <w:pPr>
        <w:pStyle w:val="ListParagraph"/>
        <w:numPr>
          <w:ilvl w:val="0"/>
          <w:numId w:val="30"/>
        </w:numPr>
        <w:rPr>
          <w:rFonts w:cs="Arial"/>
          <w:szCs w:val="22"/>
        </w:rPr>
      </w:pPr>
      <w:r w:rsidRPr="002A114E">
        <w:rPr>
          <w:rFonts w:cs="Arial"/>
          <w:szCs w:val="22"/>
        </w:rPr>
        <w:t>do not suggest that the Department of Health endorses you or your use of the material.</w:t>
      </w:r>
      <w:r w:rsidRPr="002A114E">
        <w:rPr>
          <w:rFonts w:cs="Arial"/>
          <w:szCs w:val="22"/>
        </w:rPr>
        <w:br w:type="page"/>
      </w:r>
    </w:p>
    <w:p w14:paraId="767FE73B" w14:textId="77777777" w:rsidR="000069AE" w:rsidRPr="000069AE" w:rsidRDefault="000069AE" w:rsidP="000069AE">
      <w:pPr>
        <w:pStyle w:val="Heading1"/>
      </w:pPr>
      <w:r w:rsidRPr="000069AE">
        <w:lastRenderedPageBreak/>
        <w:t>Context</w:t>
      </w:r>
    </w:p>
    <w:p w14:paraId="23D6B287" w14:textId="77777777" w:rsidR="000069AE" w:rsidRDefault="000069AE" w:rsidP="000069AE">
      <w:r w:rsidRPr="009E2628">
        <w:t>This document has been prepared by the Department of Health</w:t>
      </w:r>
      <w:r>
        <w:t xml:space="preserve"> and Aged Care</w:t>
      </w:r>
      <w:r w:rsidRPr="009E2628">
        <w:t xml:space="preserve"> (</w:t>
      </w:r>
      <w:r w:rsidRPr="009E2628">
        <w:rPr>
          <w:b/>
          <w:bCs/>
        </w:rPr>
        <w:t>Health</w:t>
      </w:r>
      <w:r w:rsidRPr="009E2628">
        <w:t xml:space="preserve">). It is intended to respond to the recommendations provided by Maddocks in their Phase </w:t>
      </w:r>
      <w:r>
        <w:t>2A</w:t>
      </w:r>
      <w:r w:rsidRPr="009E2628">
        <w:t xml:space="preserve"> Update </w:t>
      </w:r>
      <w:r>
        <w:t xml:space="preserve">2 </w:t>
      </w:r>
      <w:r w:rsidRPr="009E2628">
        <w:t xml:space="preserve">to the COVID-19 Vaccine Strategy </w:t>
      </w:r>
      <w:r>
        <w:t>I</w:t>
      </w:r>
      <w:r w:rsidRPr="009E2628">
        <w:t xml:space="preserve">mplementation Privacy Impact Assessment (PIA) Report </w:t>
      </w:r>
      <w:r w:rsidRPr="008A7422">
        <w:t xml:space="preserve">dated </w:t>
      </w:r>
      <w:r>
        <w:t>31 August</w:t>
      </w:r>
      <w:r w:rsidRPr="008A7422">
        <w:t xml:space="preserve"> 2022.</w:t>
      </w:r>
    </w:p>
    <w:p w14:paraId="7E8BB4B0" w14:textId="77777777" w:rsidR="000069AE" w:rsidRDefault="000069AE" w:rsidP="000069AE">
      <w:pPr>
        <w:rPr>
          <w:rFonts w:cs="Arial"/>
          <w:szCs w:val="22"/>
        </w:rPr>
      </w:pPr>
      <w:r>
        <w:rPr>
          <w:rFonts w:cs="Arial"/>
          <w:szCs w:val="22"/>
        </w:rPr>
        <w:br w:type="page"/>
      </w:r>
    </w:p>
    <w:tbl>
      <w:tblPr>
        <w:tblStyle w:val="GridTable21"/>
        <w:tblW w:w="9185" w:type="dxa"/>
        <w:tblInd w:w="-113"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232"/>
        <w:gridCol w:w="5953"/>
      </w:tblGrid>
      <w:tr w:rsidR="000069AE" w:rsidRPr="00A65CD7" w14:paraId="27C9AA2E" w14:textId="77777777" w:rsidTr="003B6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shd w:val="clear" w:color="auto" w:fill="3F4A75"/>
          </w:tcPr>
          <w:p w14:paraId="509FC75C" w14:textId="77777777" w:rsidR="000069AE" w:rsidRPr="00941511" w:rsidRDefault="000069AE" w:rsidP="003B6269">
            <w:pPr>
              <w:keepNext/>
              <w:spacing w:before="200" w:after="200" w:line="280" w:lineRule="atLeast"/>
              <w:outlineLvl w:val="0"/>
              <w:rPr>
                <w:rFonts w:cs="Arial"/>
                <w:b w:val="0"/>
                <w:bCs w:val="0"/>
                <w:color w:val="FFFFFF" w:themeColor="background1"/>
                <w:sz w:val="20"/>
                <w:szCs w:val="20"/>
              </w:rPr>
            </w:pPr>
            <w:r>
              <w:rPr>
                <w:rFonts w:cs="Arial"/>
                <w:color w:val="FFFFFF" w:themeColor="background1"/>
                <w:sz w:val="20"/>
                <w:szCs w:val="20"/>
              </w:rPr>
              <w:lastRenderedPageBreak/>
              <w:t>Maddocks Recommendation 1</w:t>
            </w:r>
          </w:p>
        </w:tc>
        <w:tc>
          <w:tcPr>
            <w:tcW w:w="5953" w:type="dxa"/>
            <w:shd w:val="clear" w:color="auto" w:fill="3F4A75"/>
          </w:tcPr>
          <w:p w14:paraId="1CB00557" w14:textId="77777777" w:rsidR="000069AE" w:rsidRPr="00941511" w:rsidRDefault="000069AE" w:rsidP="003B6269">
            <w:pPr>
              <w:keepNext/>
              <w:spacing w:before="200" w:after="200" w:line="280" w:lineRule="atLeast"/>
              <w:outlineLvl w:val="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41511">
              <w:rPr>
                <w:rFonts w:cs="Arial"/>
                <w:color w:val="FFFFFF" w:themeColor="background1"/>
                <w:sz w:val="20"/>
                <w:szCs w:val="20"/>
              </w:rPr>
              <w:t>Documentation of responses to the recommendations</w:t>
            </w:r>
          </w:p>
        </w:tc>
      </w:tr>
      <w:tr w:rsidR="000069AE" w:rsidRPr="00586C08" w14:paraId="2C5DEC5D" w14:textId="77777777" w:rsidTr="003B6269">
        <w:trPr>
          <w:cnfStyle w:val="000000100000" w:firstRow="0" w:lastRow="0" w:firstColumn="0" w:lastColumn="0" w:oddVBand="0" w:evenVBand="0" w:oddHBand="1" w:evenHBand="0" w:firstRowFirstColumn="0" w:firstRowLastColumn="0" w:lastRowFirstColumn="0" w:lastRowLastColumn="0"/>
          <w:trHeight w:val="2767"/>
        </w:trPr>
        <w:tc>
          <w:tcPr>
            <w:cnfStyle w:val="001000000000" w:firstRow="0" w:lastRow="0" w:firstColumn="1" w:lastColumn="0" w:oddVBand="0" w:evenVBand="0" w:oddHBand="0" w:evenHBand="0" w:firstRowFirstColumn="0" w:firstRowLastColumn="0" w:lastRowFirstColumn="0" w:lastRowLastColumn="0"/>
            <w:tcW w:w="9185" w:type="dxa"/>
            <w:gridSpan w:val="2"/>
            <w:tcBorders>
              <w:bottom w:val="single" w:sz="4" w:space="0" w:color="auto"/>
            </w:tcBorders>
            <w:shd w:val="clear" w:color="auto" w:fill="auto"/>
          </w:tcPr>
          <w:p w14:paraId="7E927CCD" w14:textId="77777777" w:rsidR="000069AE" w:rsidRPr="000876ED" w:rsidRDefault="000069AE" w:rsidP="003B6269">
            <w:pPr>
              <w:spacing w:before="240" w:after="240"/>
              <w:rPr>
                <w:rFonts w:cs="Arial"/>
                <w:b w:val="0"/>
                <w:bCs w:val="0"/>
                <w:sz w:val="20"/>
                <w:szCs w:val="20"/>
              </w:rPr>
            </w:pPr>
            <w:r w:rsidRPr="000876ED">
              <w:rPr>
                <w:rFonts w:cs="Arial"/>
                <w:b w:val="0"/>
                <w:bCs w:val="0"/>
                <w:sz w:val="20"/>
                <w:szCs w:val="20"/>
              </w:rPr>
              <w:t xml:space="preserve">We </w:t>
            </w:r>
            <w:r w:rsidRPr="000876ED">
              <w:rPr>
                <w:rFonts w:cs="Arial"/>
                <w:sz w:val="20"/>
                <w:szCs w:val="20"/>
              </w:rPr>
              <w:t>recommend</w:t>
            </w:r>
            <w:r w:rsidRPr="000876ED">
              <w:rPr>
                <w:rFonts w:cs="Arial"/>
                <w:b w:val="0"/>
                <w:bCs w:val="0"/>
                <w:sz w:val="20"/>
                <w:szCs w:val="20"/>
              </w:rPr>
              <w:t xml:space="preserve"> that Health ensure that it has properly documented its consideration of each of the recommendations made in </w:t>
            </w:r>
            <w:r w:rsidRPr="000876ED">
              <w:rPr>
                <w:rFonts w:cs="Arial"/>
                <w:sz w:val="20"/>
                <w:szCs w:val="20"/>
              </w:rPr>
              <w:t>Sections A</w:t>
            </w:r>
            <w:r w:rsidRPr="000876ED">
              <w:rPr>
                <w:rFonts w:cs="Arial"/>
                <w:b w:val="0"/>
                <w:bCs w:val="0"/>
                <w:sz w:val="20"/>
                <w:szCs w:val="20"/>
              </w:rPr>
              <w:t xml:space="preserve"> to </w:t>
            </w:r>
            <w:r w:rsidRPr="000876ED">
              <w:rPr>
                <w:rFonts w:cs="Arial"/>
                <w:sz w:val="20"/>
                <w:szCs w:val="20"/>
              </w:rPr>
              <w:t>E</w:t>
            </w:r>
            <w:r w:rsidRPr="000876ED">
              <w:rPr>
                <w:rFonts w:cs="Arial"/>
                <w:b w:val="0"/>
                <w:bCs w:val="0"/>
                <w:sz w:val="20"/>
                <w:szCs w:val="20"/>
              </w:rPr>
              <w:t xml:space="preserve"> of </w:t>
            </w:r>
            <w:r w:rsidRPr="000876ED">
              <w:rPr>
                <w:rFonts w:cs="Arial"/>
                <w:sz w:val="20"/>
                <w:szCs w:val="20"/>
              </w:rPr>
              <w:fldChar w:fldCharType="begin"/>
            </w:r>
            <w:r w:rsidRPr="000876ED">
              <w:rPr>
                <w:rFonts w:cs="Arial"/>
                <w:sz w:val="20"/>
                <w:szCs w:val="20"/>
              </w:rPr>
              <w:instrText xml:space="preserve"> REF _Ref55839547 \w \h  \* MERGEFORMAT </w:instrText>
            </w:r>
            <w:r w:rsidRPr="000876ED">
              <w:rPr>
                <w:rFonts w:cs="Arial"/>
                <w:sz w:val="20"/>
                <w:szCs w:val="20"/>
              </w:rPr>
            </w:r>
            <w:r w:rsidRPr="000876ED">
              <w:rPr>
                <w:rFonts w:cs="Arial"/>
                <w:sz w:val="20"/>
                <w:szCs w:val="20"/>
              </w:rPr>
              <w:fldChar w:fldCharType="separate"/>
            </w:r>
            <w:r w:rsidRPr="000876ED">
              <w:rPr>
                <w:rFonts w:cs="Arial"/>
                <w:sz w:val="20"/>
                <w:szCs w:val="20"/>
              </w:rPr>
              <w:t>Part E</w:t>
            </w:r>
            <w:r w:rsidRPr="000876ED">
              <w:rPr>
                <w:rFonts w:cs="Arial"/>
                <w:sz w:val="20"/>
                <w:szCs w:val="20"/>
              </w:rPr>
              <w:fldChar w:fldCharType="end"/>
            </w:r>
            <w:r w:rsidRPr="000876ED">
              <w:rPr>
                <w:rFonts w:cs="Arial"/>
                <w:sz w:val="20"/>
                <w:szCs w:val="20"/>
              </w:rPr>
              <w:t xml:space="preserve"> – Project Description and Privacy Analysis for Each Change</w:t>
            </w:r>
            <w:r w:rsidRPr="000876ED">
              <w:rPr>
                <w:rFonts w:cs="Arial"/>
                <w:b w:val="0"/>
                <w:bCs w:val="0"/>
                <w:sz w:val="20"/>
                <w:szCs w:val="20"/>
              </w:rPr>
              <w:t xml:space="preserve">, including to ensure that it has recorded: </w:t>
            </w:r>
          </w:p>
          <w:p w14:paraId="54CAB95C" w14:textId="77777777" w:rsidR="000069AE" w:rsidRPr="00575BCD" w:rsidRDefault="000069AE" w:rsidP="000069AE">
            <w:pPr>
              <w:numPr>
                <w:ilvl w:val="0"/>
                <w:numId w:val="27"/>
              </w:numPr>
              <w:spacing w:before="240" w:after="240" w:line="240" w:lineRule="auto"/>
              <w:contextualSpacing/>
              <w:rPr>
                <w:rFonts w:cs="Arial"/>
                <w:b w:val="0"/>
                <w:bCs w:val="0"/>
                <w:sz w:val="20"/>
                <w:szCs w:val="20"/>
              </w:rPr>
            </w:pPr>
            <w:r w:rsidRPr="000876ED">
              <w:rPr>
                <w:rFonts w:cs="Arial"/>
                <w:b w:val="0"/>
                <w:bCs w:val="0"/>
                <w:sz w:val="20"/>
                <w:szCs w:val="20"/>
              </w:rPr>
              <w:t>where Health decided to implement a recommendation, when and how that recommendation was implemented; and</w:t>
            </w:r>
          </w:p>
          <w:p w14:paraId="0035E60D" w14:textId="77777777" w:rsidR="000069AE" w:rsidRPr="000876ED" w:rsidRDefault="000069AE" w:rsidP="003B6269">
            <w:pPr>
              <w:spacing w:before="240" w:after="240"/>
              <w:ind w:left="720"/>
              <w:contextualSpacing/>
              <w:rPr>
                <w:rFonts w:cs="Arial"/>
                <w:b w:val="0"/>
                <w:bCs w:val="0"/>
                <w:sz w:val="20"/>
                <w:szCs w:val="20"/>
              </w:rPr>
            </w:pPr>
          </w:p>
          <w:p w14:paraId="2EC73C38" w14:textId="77777777" w:rsidR="000069AE" w:rsidRPr="00586C08" w:rsidRDefault="000069AE" w:rsidP="000069AE">
            <w:pPr>
              <w:numPr>
                <w:ilvl w:val="0"/>
                <w:numId w:val="27"/>
              </w:numPr>
              <w:spacing w:before="240" w:after="240" w:line="240" w:lineRule="auto"/>
              <w:contextualSpacing/>
              <w:rPr>
                <w:rFonts w:cs="Arial"/>
                <w:b w:val="0"/>
                <w:bCs w:val="0"/>
                <w:sz w:val="20"/>
                <w:szCs w:val="20"/>
              </w:rPr>
            </w:pPr>
            <w:r w:rsidRPr="000876ED">
              <w:rPr>
                <w:rFonts w:cs="Arial"/>
                <w:b w:val="0"/>
                <w:bCs w:val="0"/>
                <w:sz w:val="20"/>
                <w:szCs w:val="20"/>
              </w:rPr>
              <w:t>if Health decided not to implement a recommendation, the reasons why it was not considered practical or otherwise feasible to do so, and noting any alternative strategies that were implemented to address the identified risk.</w:t>
            </w:r>
          </w:p>
        </w:tc>
      </w:tr>
      <w:tr w:rsidR="000069AE" w:rsidRPr="00054F09" w14:paraId="58DFE0D3" w14:textId="77777777" w:rsidTr="003B6269">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4" w:space="0" w:color="auto"/>
            </w:tcBorders>
          </w:tcPr>
          <w:p w14:paraId="2A41809B" w14:textId="77777777" w:rsidR="000069AE" w:rsidRPr="00B37DF9" w:rsidRDefault="000069AE" w:rsidP="003B6269">
            <w:pPr>
              <w:spacing w:before="240" w:after="240"/>
              <w:rPr>
                <w:rFonts w:cs="Arial"/>
                <w:sz w:val="20"/>
                <w:szCs w:val="20"/>
              </w:rPr>
            </w:pPr>
            <w:r w:rsidRPr="00B37DF9">
              <w:rPr>
                <w:rFonts w:cs="Arial"/>
                <w:sz w:val="20"/>
                <w:szCs w:val="20"/>
              </w:rPr>
              <w:t>Response:</w:t>
            </w:r>
          </w:p>
          <w:p w14:paraId="2DEF8577" w14:textId="77777777" w:rsidR="000069AE" w:rsidRPr="00941511" w:rsidRDefault="000069AE" w:rsidP="003B6269">
            <w:pPr>
              <w:spacing w:before="240" w:after="240"/>
              <w:rPr>
                <w:rFonts w:cs="Arial"/>
                <w:b w:val="0"/>
                <w:bCs w:val="0"/>
                <w:sz w:val="20"/>
                <w:szCs w:val="20"/>
              </w:rPr>
            </w:pPr>
            <w:r>
              <w:rPr>
                <w:rFonts w:cs="Arial"/>
                <w:b w:val="0"/>
                <w:bCs w:val="0"/>
                <w:sz w:val="20"/>
                <w:szCs w:val="20"/>
              </w:rPr>
              <w:t xml:space="preserve">Health </w:t>
            </w:r>
            <w:r w:rsidRPr="00E90C90">
              <w:rPr>
                <w:rFonts w:cs="Arial"/>
                <w:b w:val="0"/>
                <w:bCs w:val="0"/>
                <w:sz w:val="20"/>
                <w:szCs w:val="20"/>
              </w:rPr>
              <w:t>considered each of the recommendations made in th</w:t>
            </w:r>
            <w:r>
              <w:rPr>
                <w:rFonts w:cs="Arial"/>
                <w:b w:val="0"/>
                <w:bCs w:val="0"/>
                <w:sz w:val="20"/>
                <w:szCs w:val="20"/>
              </w:rPr>
              <w:t>e</w:t>
            </w:r>
            <w:r w:rsidRPr="00E90C90">
              <w:rPr>
                <w:rFonts w:cs="Arial"/>
                <w:b w:val="0"/>
                <w:bCs w:val="0"/>
                <w:sz w:val="20"/>
                <w:szCs w:val="20"/>
              </w:rPr>
              <w:t xml:space="preserve"> </w:t>
            </w:r>
            <w:r>
              <w:rPr>
                <w:rFonts w:cs="Arial"/>
                <w:b w:val="0"/>
                <w:bCs w:val="0"/>
                <w:sz w:val="20"/>
                <w:szCs w:val="20"/>
              </w:rPr>
              <w:t xml:space="preserve">COVID-19 Vaccination Strategy Phase 2 </w:t>
            </w:r>
            <w:r w:rsidRPr="00E90C90">
              <w:rPr>
                <w:rFonts w:cs="Arial"/>
                <w:b w:val="0"/>
                <w:bCs w:val="0"/>
                <w:sz w:val="20"/>
                <w:szCs w:val="20"/>
              </w:rPr>
              <w:t xml:space="preserve">PIA report at the time that each </w:t>
            </w:r>
            <w:r>
              <w:rPr>
                <w:rFonts w:cs="Arial"/>
                <w:b w:val="0"/>
                <w:bCs w:val="0"/>
                <w:sz w:val="20"/>
                <w:szCs w:val="20"/>
              </w:rPr>
              <w:t>s</w:t>
            </w:r>
            <w:r w:rsidRPr="00E90C90">
              <w:rPr>
                <w:rFonts w:cs="Arial"/>
                <w:b w:val="0"/>
                <w:bCs w:val="0"/>
                <w:sz w:val="20"/>
                <w:szCs w:val="20"/>
              </w:rPr>
              <w:t xml:space="preserve">ection was prepared and then finalised. </w:t>
            </w:r>
            <w:r>
              <w:rPr>
                <w:rFonts w:cs="Arial"/>
                <w:b w:val="0"/>
                <w:bCs w:val="0"/>
                <w:sz w:val="20"/>
                <w:szCs w:val="20"/>
              </w:rPr>
              <w:t xml:space="preserve">Health </w:t>
            </w:r>
            <w:r w:rsidRPr="00E90C90">
              <w:rPr>
                <w:rFonts w:cs="Arial"/>
                <w:b w:val="0"/>
                <w:bCs w:val="0"/>
                <w:sz w:val="20"/>
                <w:szCs w:val="20"/>
              </w:rPr>
              <w:t>intends to comply with this recommendation and, subject to resourcing and competing priorities, may either do so in a consolidated form or ensure that appropriate records have been kept across various documents.</w:t>
            </w:r>
          </w:p>
        </w:tc>
      </w:tr>
      <w:tr w:rsidR="000069AE" w:rsidRPr="00A65CD7" w14:paraId="547241AF" w14:textId="77777777" w:rsidTr="003B6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shd w:val="clear" w:color="auto" w:fill="3F4A75"/>
          </w:tcPr>
          <w:p w14:paraId="1A22A767" w14:textId="77777777" w:rsidR="000069AE" w:rsidRPr="00941511" w:rsidRDefault="000069AE" w:rsidP="003B6269">
            <w:pPr>
              <w:keepNext/>
              <w:spacing w:before="200" w:after="200" w:line="280" w:lineRule="atLeast"/>
              <w:outlineLvl w:val="0"/>
              <w:rPr>
                <w:rFonts w:cs="Arial"/>
                <w:b w:val="0"/>
                <w:bCs w:val="0"/>
                <w:color w:val="FFFFFF" w:themeColor="background1"/>
                <w:sz w:val="20"/>
                <w:szCs w:val="20"/>
              </w:rPr>
            </w:pPr>
            <w:r>
              <w:rPr>
                <w:rFonts w:cs="Arial"/>
                <w:color w:val="FFFFFF" w:themeColor="background1"/>
                <w:sz w:val="20"/>
                <w:szCs w:val="20"/>
              </w:rPr>
              <w:t>Maddocks Recommendation 2</w:t>
            </w:r>
          </w:p>
        </w:tc>
        <w:tc>
          <w:tcPr>
            <w:tcW w:w="5953" w:type="dxa"/>
            <w:shd w:val="clear" w:color="auto" w:fill="3F4A75"/>
          </w:tcPr>
          <w:p w14:paraId="3E7CCA86" w14:textId="77777777" w:rsidR="000069AE" w:rsidRPr="00941511" w:rsidRDefault="000069AE" w:rsidP="003B6269">
            <w:pPr>
              <w:keepNext/>
              <w:spacing w:before="200" w:after="200" w:line="280" w:lineRule="atLeast"/>
              <w:outlineLvl w:val="0"/>
              <w:cnfStyle w:val="000000100000" w:firstRow="0" w:lastRow="0" w:firstColumn="0" w:lastColumn="0" w:oddVBand="0" w:evenVBand="0" w:oddHBand="1" w:evenHBand="0" w:firstRowFirstColumn="0" w:firstRowLastColumn="0" w:lastRowFirstColumn="0" w:lastRowLastColumn="0"/>
              <w:rPr>
                <w:rFonts w:cs="Arial"/>
                <w:color w:val="FFFFFF" w:themeColor="background1"/>
                <w:sz w:val="20"/>
                <w:szCs w:val="20"/>
              </w:rPr>
            </w:pPr>
            <w:bookmarkStart w:id="0" w:name="_Ref67119630"/>
            <w:r w:rsidRPr="00941511">
              <w:rPr>
                <w:rFonts w:cs="Arial"/>
                <w:color w:val="FFFFFF" w:themeColor="background1"/>
                <w:sz w:val="20"/>
                <w:szCs w:val="20"/>
              </w:rPr>
              <w:t xml:space="preserve">Continued implementation of the </w:t>
            </w:r>
            <w:bookmarkEnd w:id="0"/>
            <w:r w:rsidRPr="00941511">
              <w:rPr>
                <w:rFonts w:cs="Arial"/>
                <w:color w:val="FFFFFF" w:themeColor="background1"/>
                <w:sz w:val="20"/>
                <w:szCs w:val="20"/>
              </w:rPr>
              <w:t>recommendations in the Original PIA report and Phase 1b Update report</w:t>
            </w:r>
          </w:p>
        </w:tc>
      </w:tr>
      <w:tr w:rsidR="000069AE" w:rsidRPr="00586C08" w14:paraId="1622B506" w14:textId="77777777" w:rsidTr="003B6269">
        <w:trPr>
          <w:trHeight w:val="3645"/>
        </w:trPr>
        <w:tc>
          <w:tcPr>
            <w:cnfStyle w:val="001000000000" w:firstRow="0" w:lastRow="0" w:firstColumn="1" w:lastColumn="0" w:oddVBand="0" w:evenVBand="0" w:oddHBand="0" w:evenHBand="0" w:firstRowFirstColumn="0" w:firstRowLastColumn="0" w:lastRowFirstColumn="0" w:lastRowLastColumn="0"/>
            <w:tcW w:w="9185" w:type="dxa"/>
            <w:gridSpan w:val="2"/>
            <w:tcBorders>
              <w:bottom w:val="single" w:sz="4" w:space="0" w:color="auto"/>
            </w:tcBorders>
            <w:shd w:val="clear" w:color="auto" w:fill="auto"/>
          </w:tcPr>
          <w:p w14:paraId="3E4EA998" w14:textId="77777777" w:rsidR="000069AE" w:rsidRPr="00586C08" w:rsidRDefault="000069AE" w:rsidP="003B6269">
            <w:pPr>
              <w:spacing w:before="240" w:after="240"/>
              <w:rPr>
                <w:rFonts w:cs="Arial"/>
                <w:b w:val="0"/>
                <w:bCs w:val="0"/>
                <w:sz w:val="20"/>
                <w:szCs w:val="20"/>
              </w:rPr>
            </w:pPr>
            <w:r w:rsidRPr="00586C08">
              <w:rPr>
                <w:rFonts w:cs="Arial"/>
                <w:b w:val="0"/>
                <w:bCs w:val="0"/>
                <w:sz w:val="20"/>
                <w:szCs w:val="20"/>
              </w:rPr>
              <w:t xml:space="preserve">As many of the privacy impacts and risks identified in this Phase 2a Update PIA report will be mitigated by the strategies recommended in the Original PIA report and the Phase 1b Update PIA report, we </w:t>
            </w:r>
            <w:r w:rsidRPr="00586C08">
              <w:rPr>
                <w:rFonts w:cs="Arial"/>
                <w:sz w:val="20"/>
                <w:szCs w:val="20"/>
              </w:rPr>
              <w:t>recommend</w:t>
            </w:r>
            <w:r w:rsidRPr="00586C08">
              <w:rPr>
                <w:rFonts w:cs="Arial"/>
                <w:b w:val="0"/>
                <w:bCs w:val="0"/>
                <w:sz w:val="20"/>
                <w:szCs w:val="20"/>
              </w:rPr>
              <w:t xml:space="preserve"> that Health continue to implement those recommendations, particularly by continuing to ensure that:</w:t>
            </w:r>
          </w:p>
          <w:p w14:paraId="6ACD0FF2" w14:textId="77777777" w:rsidR="000069AE" w:rsidRPr="00586C08" w:rsidRDefault="000069AE" w:rsidP="000069AE">
            <w:pPr>
              <w:numPr>
                <w:ilvl w:val="0"/>
                <w:numId w:val="27"/>
              </w:numPr>
              <w:spacing w:before="240" w:after="240" w:line="240" w:lineRule="auto"/>
              <w:contextualSpacing/>
              <w:rPr>
                <w:rFonts w:cs="Arial"/>
                <w:b w:val="0"/>
                <w:bCs w:val="0"/>
                <w:sz w:val="20"/>
                <w:szCs w:val="20"/>
              </w:rPr>
            </w:pPr>
            <w:r w:rsidRPr="00586C08">
              <w:rPr>
                <w:rFonts w:cs="Arial"/>
                <w:b w:val="0"/>
                <w:bCs w:val="0"/>
                <w:sz w:val="20"/>
                <w:szCs w:val="20"/>
              </w:rPr>
              <w:t>there is open and transparent communication about how personal information will be handled in connection with the Vaccine Strategy (</w:t>
            </w:r>
            <w:r w:rsidRPr="00586C08">
              <w:rPr>
                <w:rFonts w:cs="Arial"/>
                <w:sz w:val="20"/>
                <w:szCs w:val="20"/>
              </w:rPr>
              <w:t>Recommendation 2</w:t>
            </w:r>
            <w:r w:rsidRPr="00586C08">
              <w:rPr>
                <w:rFonts w:cs="Arial"/>
                <w:b w:val="0"/>
                <w:bCs w:val="0"/>
                <w:sz w:val="20"/>
                <w:szCs w:val="20"/>
              </w:rPr>
              <w:t xml:space="preserve"> of the Original PIA report</w:t>
            </w:r>
            <w:proofErr w:type="gramStart"/>
            <w:r w:rsidRPr="00586C08">
              <w:rPr>
                <w:rFonts w:cs="Arial"/>
                <w:b w:val="0"/>
                <w:bCs w:val="0"/>
                <w:sz w:val="20"/>
                <w:szCs w:val="20"/>
              </w:rPr>
              <w:t>);</w:t>
            </w:r>
            <w:proofErr w:type="gramEnd"/>
          </w:p>
          <w:p w14:paraId="57E9AE0D" w14:textId="77777777" w:rsidR="000069AE" w:rsidRPr="00586C08" w:rsidRDefault="000069AE" w:rsidP="003B6269">
            <w:pPr>
              <w:spacing w:before="240" w:after="240"/>
              <w:ind w:left="720"/>
              <w:contextualSpacing/>
              <w:rPr>
                <w:rFonts w:cs="Arial"/>
                <w:b w:val="0"/>
                <w:bCs w:val="0"/>
                <w:sz w:val="20"/>
                <w:szCs w:val="20"/>
              </w:rPr>
            </w:pPr>
          </w:p>
          <w:p w14:paraId="3AC6FB5F" w14:textId="77777777" w:rsidR="000069AE" w:rsidRPr="00586C08" w:rsidRDefault="000069AE" w:rsidP="000069AE">
            <w:pPr>
              <w:numPr>
                <w:ilvl w:val="0"/>
                <w:numId w:val="27"/>
              </w:numPr>
              <w:spacing w:before="240" w:after="240" w:line="240" w:lineRule="auto"/>
              <w:contextualSpacing/>
              <w:rPr>
                <w:rFonts w:cs="Arial"/>
                <w:b w:val="0"/>
                <w:bCs w:val="0"/>
                <w:sz w:val="20"/>
                <w:szCs w:val="20"/>
              </w:rPr>
            </w:pPr>
            <w:r w:rsidRPr="00586C08">
              <w:rPr>
                <w:rFonts w:cs="Arial"/>
                <w:b w:val="0"/>
                <w:bCs w:val="0"/>
                <w:sz w:val="20"/>
                <w:szCs w:val="20"/>
              </w:rPr>
              <w:t>the contractual or other administrative arrangements with Health’s Partners and other third parties impose suitable privacy obligations, including in relation to the protection and security of personal information (</w:t>
            </w:r>
            <w:r w:rsidRPr="00586C08">
              <w:rPr>
                <w:rFonts w:cs="Arial"/>
                <w:sz w:val="20"/>
                <w:szCs w:val="20"/>
              </w:rPr>
              <w:t xml:space="preserve">Recommendations 4 </w:t>
            </w:r>
            <w:r w:rsidRPr="00586C08">
              <w:rPr>
                <w:rFonts w:cs="Arial"/>
                <w:b w:val="0"/>
                <w:bCs w:val="0"/>
                <w:sz w:val="20"/>
                <w:szCs w:val="20"/>
              </w:rPr>
              <w:t xml:space="preserve">and </w:t>
            </w:r>
            <w:r w:rsidRPr="00586C08">
              <w:rPr>
                <w:rFonts w:cs="Arial"/>
                <w:sz w:val="20"/>
                <w:szCs w:val="20"/>
              </w:rPr>
              <w:t>5</w:t>
            </w:r>
            <w:r w:rsidRPr="00586C08">
              <w:rPr>
                <w:rFonts w:cs="Arial"/>
                <w:b w:val="0"/>
                <w:bCs w:val="0"/>
                <w:sz w:val="20"/>
                <w:szCs w:val="20"/>
              </w:rPr>
              <w:t xml:space="preserve"> of the Original PIA report); and</w:t>
            </w:r>
          </w:p>
          <w:p w14:paraId="7EA62C65" w14:textId="77777777" w:rsidR="000069AE" w:rsidRPr="00586C08" w:rsidRDefault="000069AE" w:rsidP="003B6269">
            <w:pPr>
              <w:spacing w:before="240" w:after="240"/>
              <w:ind w:left="720"/>
              <w:contextualSpacing/>
              <w:rPr>
                <w:rFonts w:cs="Arial"/>
                <w:b w:val="0"/>
                <w:bCs w:val="0"/>
                <w:sz w:val="20"/>
                <w:szCs w:val="20"/>
              </w:rPr>
            </w:pPr>
          </w:p>
          <w:p w14:paraId="48022A6F" w14:textId="77777777" w:rsidR="000069AE" w:rsidRPr="00586C08" w:rsidRDefault="000069AE" w:rsidP="000069AE">
            <w:pPr>
              <w:numPr>
                <w:ilvl w:val="0"/>
                <w:numId w:val="27"/>
              </w:numPr>
              <w:spacing w:before="240" w:after="240" w:line="240" w:lineRule="auto"/>
              <w:contextualSpacing/>
              <w:rPr>
                <w:rFonts w:cs="Arial"/>
                <w:b w:val="0"/>
                <w:bCs w:val="0"/>
                <w:sz w:val="20"/>
                <w:szCs w:val="20"/>
              </w:rPr>
            </w:pPr>
            <w:r w:rsidRPr="00586C08">
              <w:rPr>
                <w:rFonts w:cs="Arial"/>
                <w:b w:val="0"/>
                <w:bCs w:val="0"/>
                <w:sz w:val="20"/>
                <w:szCs w:val="20"/>
              </w:rPr>
              <w:t>Vaccine Providers are appropriately trained, and provided with suitable guidance, about their privacy obligations (</w:t>
            </w:r>
            <w:r w:rsidRPr="00586C08">
              <w:rPr>
                <w:rFonts w:cs="Arial"/>
                <w:sz w:val="20"/>
                <w:szCs w:val="20"/>
              </w:rPr>
              <w:t>Recommendations 2</w:t>
            </w:r>
            <w:r w:rsidRPr="00586C08">
              <w:rPr>
                <w:rFonts w:cs="Arial"/>
                <w:b w:val="0"/>
                <w:bCs w:val="0"/>
                <w:sz w:val="20"/>
                <w:szCs w:val="20"/>
              </w:rPr>
              <w:t xml:space="preserve"> and </w:t>
            </w:r>
            <w:r w:rsidRPr="00586C08">
              <w:rPr>
                <w:rFonts w:cs="Arial"/>
                <w:sz w:val="20"/>
                <w:szCs w:val="20"/>
              </w:rPr>
              <w:t xml:space="preserve">3 </w:t>
            </w:r>
            <w:r w:rsidRPr="00586C08">
              <w:rPr>
                <w:rFonts w:cs="Arial"/>
                <w:b w:val="0"/>
                <w:bCs w:val="0"/>
                <w:sz w:val="20"/>
                <w:szCs w:val="20"/>
              </w:rPr>
              <w:t>of the Original PIA report).</w:t>
            </w:r>
          </w:p>
        </w:tc>
      </w:tr>
      <w:tr w:rsidR="000069AE" w:rsidRPr="00054F09" w14:paraId="0BAB89B0" w14:textId="77777777" w:rsidTr="003B6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4" w:space="0" w:color="auto"/>
            </w:tcBorders>
          </w:tcPr>
          <w:p w14:paraId="4C8772B5" w14:textId="77777777" w:rsidR="000069AE" w:rsidRPr="00B37DF9" w:rsidRDefault="000069AE" w:rsidP="003B6269">
            <w:pPr>
              <w:spacing w:before="240" w:after="240"/>
              <w:rPr>
                <w:rFonts w:cs="Arial"/>
                <w:sz w:val="20"/>
                <w:szCs w:val="20"/>
              </w:rPr>
            </w:pPr>
            <w:r w:rsidRPr="00B37DF9">
              <w:rPr>
                <w:rFonts w:cs="Arial"/>
                <w:sz w:val="20"/>
                <w:szCs w:val="20"/>
              </w:rPr>
              <w:t>Response:</w:t>
            </w:r>
          </w:p>
          <w:p w14:paraId="03486732" w14:textId="77777777" w:rsidR="000069AE" w:rsidRPr="00941511" w:rsidRDefault="000069AE" w:rsidP="003B6269">
            <w:pPr>
              <w:spacing w:before="240" w:after="240"/>
              <w:rPr>
                <w:rFonts w:cs="Arial"/>
                <w:b w:val="0"/>
                <w:bCs w:val="0"/>
                <w:sz w:val="20"/>
                <w:szCs w:val="20"/>
              </w:rPr>
            </w:pPr>
            <w:r w:rsidRPr="00054F09">
              <w:rPr>
                <w:rFonts w:cs="Arial"/>
                <w:b w:val="0"/>
                <w:bCs w:val="0"/>
                <w:sz w:val="20"/>
                <w:szCs w:val="20"/>
              </w:rPr>
              <w:t xml:space="preserve">Health agrees with this recommendation, which it believes has been implemented in relation to </w:t>
            </w:r>
            <w:r>
              <w:rPr>
                <w:rFonts w:cs="Arial"/>
                <w:b w:val="0"/>
                <w:bCs w:val="0"/>
                <w:sz w:val="20"/>
                <w:szCs w:val="20"/>
              </w:rPr>
              <w:t>this</w:t>
            </w:r>
            <w:r w:rsidRPr="00054F09">
              <w:rPr>
                <w:rFonts w:cs="Arial"/>
                <w:b w:val="0"/>
                <w:bCs w:val="0"/>
                <w:sz w:val="20"/>
                <w:szCs w:val="20"/>
              </w:rPr>
              <w:t xml:space="preserve"> roll-out of the COVID-19 Vaccine Strategy.</w:t>
            </w:r>
          </w:p>
        </w:tc>
      </w:tr>
    </w:tbl>
    <w:p w14:paraId="4ECDD1F9" w14:textId="77777777" w:rsidR="000069AE" w:rsidRDefault="000069AE" w:rsidP="000069AE">
      <w:pPr>
        <w:rPr>
          <w:rFonts w:cs="Arial"/>
          <w:sz w:val="20"/>
          <w:szCs w:val="20"/>
        </w:rPr>
      </w:pPr>
    </w:p>
    <w:p w14:paraId="48FD0E4C" w14:textId="77777777" w:rsidR="000069AE" w:rsidRDefault="000069AE" w:rsidP="000069AE">
      <w:pPr>
        <w:rPr>
          <w:rFonts w:cs="Arial"/>
          <w:sz w:val="20"/>
          <w:szCs w:val="20"/>
        </w:rPr>
      </w:pPr>
      <w:r>
        <w:rPr>
          <w:rFonts w:cs="Arial"/>
          <w:sz w:val="20"/>
          <w:szCs w:val="20"/>
        </w:rPr>
        <w:br w:type="page"/>
      </w:r>
    </w:p>
    <w:tbl>
      <w:tblPr>
        <w:tblStyle w:val="GridTable21"/>
        <w:tblW w:w="9185" w:type="dxa"/>
        <w:tblInd w:w="-11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5953"/>
      </w:tblGrid>
      <w:tr w:rsidR="000069AE" w:rsidRPr="00A65CD7" w14:paraId="3B6C8605" w14:textId="77777777" w:rsidTr="003B6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shd w:val="clear" w:color="auto" w:fill="3F4A75"/>
          </w:tcPr>
          <w:p w14:paraId="2F1A43CA" w14:textId="77777777" w:rsidR="000069AE" w:rsidRPr="00941511" w:rsidRDefault="000069AE" w:rsidP="003B6269">
            <w:pPr>
              <w:keepNext/>
              <w:spacing w:before="200" w:after="200" w:line="280" w:lineRule="atLeast"/>
              <w:ind w:left="2268" w:hanging="2268"/>
              <w:outlineLvl w:val="0"/>
              <w:rPr>
                <w:rFonts w:cs="Arial"/>
                <w:b w:val="0"/>
                <w:bCs w:val="0"/>
                <w:color w:val="FFFFFF" w:themeColor="background1"/>
                <w:sz w:val="20"/>
                <w:szCs w:val="20"/>
              </w:rPr>
            </w:pPr>
            <w:r w:rsidRPr="00941511">
              <w:rPr>
                <w:rFonts w:cs="Arial"/>
                <w:color w:val="FFFFFF" w:themeColor="background1"/>
                <w:sz w:val="20"/>
                <w:szCs w:val="20"/>
              </w:rPr>
              <w:lastRenderedPageBreak/>
              <w:br w:type="page"/>
            </w:r>
            <w:r>
              <w:rPr>
                <w:rFonts w:cs="Arial"/>
                <w:color w:val="FFFFFF" w:themeColor="background1"/>
                <w:sz w:val="20"/>
                <w:szCs w:val="20"/>
              </w:rPr>
              <w:t>Maddocks Recommendation 3</w:t>
            </w:r>
          </w:p>
        </w:tc>
        <w:tc>
          <w:tcPr>
            <w:tcW w:w="5953" w:type="dxa"/>
            <w:shd w:val="clear" w:color="auto" w:fill="3F4A75"/>
          </w:tcPr>
          <w:p w14:paraId="1DA76F7B" w14:textId="77777777" w:rsidR="000069AE" w:rsidRPr="00941511" w:rsidRDefault="000069AE" w:rsidP="003B6269">
            <w:pPr>
              <w:keepNext/>
              <w:spacing w:before="200" w:after="200" w:line="280" w:lineRule="atLeast"/>
              <w:ind w:left="2268" w:hanging="2268"/>
              <w:outlineLvl w:val="0"/>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41511">
              <w:rPr>
                <w:rFonts w:cs="Arial"/>
                <w:color w:val="FFFFFF" w:themeColor="background1"/>
                <w:sz w:val="20"/>
                <w:szCs w:val="20"/>
              </w:rPr>
              <w:t>Ongoing data governance</w:t>
            </w:r>
          </w:p>
        </w:tc>
      </w:tr>
      <w:tr w:rsidR="000069AE" w:rsidRPr="00E87B5A" w14:paraId="32F5E077" w14:textId="77777777" w:rsidTr="003B6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gridSpan w:val="2"/>
            <w:tcBorders>
              <w:bottom w:val="single" w:sz="4" w:space="0" w:color="auto"/>
            </w:tcBorders>
            <w:shd w:val="clear" w:color="auto" w:fill="auto"/>
          </w:tcPr>
          <w:p w14:paraId="4D5E3A78" w14:textId="77777777" w:rsidR="000069AE" w:rsidRPr="00E87B5A" w:rsidRDefault="000069AE" w:rsidP="003B6269">
            <w:pPr>
              <w:keepNext/>
              <w:spacing w:before="240" w:after="240"/>
              <w:rPr>
                <w:rFonts w:cs="Arial"/>
                <w:b w:val="0"/>
                <w:bCs w:val="0"/>
                <w:sz w:val="20"/>
                <w:szCs w:val="20"/>
              </w:rPr>
            </w:pPr>
            <w:r w:rsidRPr="00E87B5A">
              <w:rPr>
                <w:rFonts w:cs="Arial"/>
                <w:b w:val="0"/>
                <w:bCs w:val="0"/>
                <w:sz w:val="20"/>
                <w:szCs w:val="20"/>
              </w:rPr>
              <w:t xml:space="preserve">We </w:t>
            </w:r>
            <w:r w:rsidRPr="00E87B5A">
              <w:rPr>
                <w:rFonts w:cs="Arial"/>
                <w:sz w:val="20"/>
                <w:szCs w:val="20"/>
              </w:rPr>
              <w:t>recommend</w:t>
            </w:r>
            <w:r w:rsidRPr="00E87B5A">
              <w:rPr>
                <w:rFonts w:cs="Arial"/>
                <w:b w:val="0"/>
                <w:bCs w:val="0"/>
                <w:sz w:val="20"/>
                <w:szCs w:val="20"/>
              </w:rPr>
              <w:t xml:space="preserve"> that Health continue to ensure its governance arrangements include processes to appropriately consider the privacy impacts of any proposed new or changed use or disclosures of personal information collected as part of Phase 2a (such as through requirements for the undertaking of a privacy threshold assessment as part of system change proposals, or before any new use or disclosure of data collected). This will ensure that any privacy impacts or risks are considered before any new handling of personal information occurs.</w:t>
            </w:r>
          </w:p>
        </w:tc>
      </w:tr>
      <w:tr w:rsidR="000069AE" w:rsidRPr="00941511" w14:paraId="338D55E9" w14:textId="77777777" w:rsidTr="003B6269">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4" w:space="0" w:color="auto"/>
            </w:tcBorders>
            <w:shd w:val="clear" w:color="auto" w:fill="auto"/>
          </w:tcPr>
          <w:p w14:paraId="1DB10B07" w14:textId="77777777" w:rsidR="000069AE" w:rsidRPr="00941511" w:rsidRDefault="000069AE" w:rsidP="003B6269">
            <w:pPr>
              <w:pStyle w:val="Tabletextleft"/>
            </w:pPr>
            <w:r w:rsidRPr="00941511">
              <w:t>Response:</w:t>
            </w:r>
          </w:p>
          <w:p w14:paraId="2C00BE32" w14:textId="77777777" w:rsidR="000069AE" w:rsidRPr="009371DB" w:rsidRDefault="000069AE" w:rsidP="003B6269">
            <w:pPr>
              <w:spacing w:before="240" w:after="240"/>
              <w:rPr>
                <w:rFonts w:cs="Arial"/>
                <w:sz w:val="20"/>
                <w:szCs w:val="20"/>
              </w:rPr>
            </w:pPr>
            <w:r w:rsidRPr="009371DB">
              <w:rPr>
                <w:rFonts w:cs="Arial"/>
                <w:b w:val="0"/>
                <w:bCs w:val="0"/>
                <w:sz w:val="20"/>
                <w:szCs w:val="20"/>
              </w:rPr>
              <w:t xml:space="preserve">Health agrees with this recommendation, which it believes has been implemented in relation to </w:t>
            </w:r>
            <w:r>
              <w:rPr>
                <w:rFonts w:cs="Arial"/>
                <w:b w:val="0"/>
                <w:bCs w:val="0"/>
                <w:sz w:val="20"/>
                <w:szCs w:val="20"/>
              </w:rPr>
              <w:t>this</w:t>
            </w:r>
            <w:r w:rsidRPr="009371DB">
              <w:rPr>
                <w:rFonts w:cs="Arial"/>
                <w:b w:val="0"/>
                <w:bCs w:val="0"/>
                <w:sz w:val="20"/>
                <w:szCs w:val="20"/>
              </w:rPr>
              <w:t xml:space="preserve"> roll-out of the COVID-19 Vaccine Strategy.</w:t>
            </w:r>
          </w:p>
        </w:tc>
      </w:tr>
    </w:tbl>
    <w:p w14:paraId="2EC3E619" w14:textId="77777777" w:rsidR="009040E9" w:rsidRPr="000069AE" w:rsidRDefault="009040E9" w:rsidP="008E45DD"/>
    <w:sectPr w:rsidR="009040E9" w:rsidRPr="000069AE"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A1DB" w14:textId="77777777" w:rsidR="00D65099" w:rsidRDefault="00D65099" w:rsidP="006B56BB">
      <w:r>
        <w:separator/>
      </w:r>
    </w:p>
    <w:p w14:paraId="1795FF57" w14:textId="77777777" w:rsidR="00D65099" w:rsidRDefault="00D65099"/>
  </w:endnote>
  <w:endnote w:type="continuationSeparator" w:id="0">
    <w:p w14:paraId="49ECE6E0" w14:textId="77777777" w:rsidR="00D65099" w:rsidRDefault="00D65099" w:rsidP="006B56BB">
      <w:r>
        <w:continuationSeparator/>
      </w:r>
    </w:p>
    <w:p w14:paraId="2062068E" w14:textId="77777777" w:rsidR="00D65099" w:rsidRDefault="00D65099"/>
  </w:endnote>
  <w:endnote w:type="continuationNotice" w:id="1">
    <w:p w14:paraId="47BD7498" w14:textId="77777777" w:rsidR="00D65099" w:rsidRDefault="00D6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672D2E9E" w:rsidR="00B53987" w:rsidRPr="000069AE" w:rsidRDefault="000069AE" w:rsidP="000069AE">
    <w:pPr>
      <w:pStyle w:val="Footer"/>
      <w:jc w:val="left"/>
      <w:rPr>
        <w:rFonts w:cs="Arial"/>
        <w:sz w:val="8"/>
        <w:szCs w:val="8"/>
      </w:rPr>
    </w:pPr>
    <w:r>
      <w:rPr>
        <w:rFonts w:cs="Arial"/>
        <w:sz w:val="16"/>
        <w:szCs w:val="16"/>
      </w:rPr>
      <w:t>Phase 2A u</w:t>
    </w:r>
    <w:r w:rsidRPr="005B5D93">
      <w:rPr>
        <w:rFonts w:cs="Arial"/>
        <w:sz w:val="16"/>
        <w:szCs w:val="16"/>
      </w:rPr>
      <w:t>pdate 2 to the implementation of the COVID-19 Vaccine Strategy Privacy Impact Assessment</w:t>
    </w:r>
    <w:r>
      <w:rPr>
        <w:rFonts w:cs="Arial"/>
        <w:sz w:val="16"/>
        <w:szCs w:val="16"/>
      </w:rPr>
      <w:br/>
    </w:r>
    <w:r w:rsidRPr="005B5D93">
      <w:rPr>
        <w:rFonts w:cs="Arial"/>
        <w:sz w:val="16"/>
        <w:szCs w:val="16"/>
      </w:rPr>
      <w:t xml:space="preserve"> – Agency </w:t>
    </w:r>
    <w:r>
      <w:rPr>
        <w:rFonts w:cs="Arial"/>
        <w:sz w:val="16"/>
        <w:szCs w:val="16"/>
      </w:rPr>
      <w:t xml:space="preserve">Consolidated </w:t>
    </w:r>
    <w:r w:rsidRPr="005B5D93">
      <w:rPr>
        <w:rFonts w:cs="Arial"/>
        <w:sz w:val="16"/>
        <w:szCs w:val="16"/>
      </w:rPr>
      <w:t>Response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0100FBA7" w:rsidR="00B53987" w:rsidRPr="000069AE" w:rsidRDefault="000069AE" w:rsidP="000069AE">
    <w:pPr>
      <w:pStyle w:val="Footer"/>
      <w:jc w:val="left"/>
      <w:rPr>
        <w:rFonts w:cs="Arial"/>
        <w:sz w:val="8"/>
        <w:szCs w:val="8"/>
      </w:rPr>
    </w:pPr>
    <w:r>
      <w:rPr>
        <w:rFonts w:cs="Arial"/>
        <w:sz w:val="16"/>
        <w:szCs w:val="16"/>
      </w:rPr>
      <w:t>Phase 2A u</w:t>
    </w:r>
    <w:r w:rsidRPr="005B5D93">
      <w:rPr>
        <w:rFonts w:cs="Arial"/>
        <w:sz w:val="16"/>
        <w:szCs w:val="16"/>
      </w:rPr>
      <w:t>pdate 2 to the implementation of the COVID-19 Vaccine Strategy Privacy Impact Assessment</w:t>
    </w:r>
    <w:r>
      <w:rPr>
        <w:rFonts w:cs="Arial"/>
        <w:sz w:val="16"/>
        <w:szCs w:val="16"/>
      </w:rPr>
      <w:br/>
    </w:r>
    <w:r w:rsidRPr="005B5D93">
      <w:rPr>
        <w:rFonts w:cs="Arial"/>
        <w:sz w:val="16"/>
        <w:szCs w:val="16"/>
      </w:rPr>
      <w:t xml:space="preserve"> – Agency </w:t>
    </w:r>
    <w:r>
      <w:rPr>
        <w:rFonts w:cs="Arial"/>
        <w:sz w:val="16"/>
        <w:szCs w:val="16"/>
      </w:rPr>
      <w:t xml:space="preserve">Consolidated </w:t>
    </w:r>
    <w:r w:rsidRPr="005B5D93">
      <w:rPr>
        <w:rFonts w:cs="Arial"/>
        <w:sz w:val="16"/>
        <w:szCs w:val="16"/>
      </w:rPr>
      <w:t>Response</w:t>
    </w:r>
    <w:sdt>
      <w:sdtPr>
        <w:id w:val="-1089530558"/>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8DB" w14:textId="77777777" w:rsidR="00D65099" w:rsidRDefault="00D65099" w:rsidP="006B56BB">
      <w:r>
        <w:separator/>
      </w:r>
    </w:p>
    <w:p w14:paraId="5AAB4738" w14:textId="77777777" w:rsidR="00D65099" w:rsidRDefault="00D65099"/>
  </w:footnote>
  <w:footnote w:type="continuationSeparator" w:id="0">
    <w:p w14:paraId="362FDE62" w14:textId="77777777" w:rsidR="00D65099" w:rsidRDefault="00D65099" w:rsidP="006B56BB">
      <w:r>
        <w:continuationSeparator/>
      </w:r>
    </w:p>
    <w:p w14:paraId="657336EE" w14:textId="77777777" w:rsidR="00D65099" w:rsidRDefault="00D65099"/>
  </w:footnote>
  <w:footnote w:type="continuationNotice" w:id="1">
    <w:p w14:paraId="351B96AA" w14:textId="77777777" w:rsidR="00D65099" w:rsidRDefault="00D6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30F40"/>
    <w:multiLevelType w:val="hybridMultilevel"/>
    <w:tmpl w:val="7C74D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83C46"/>
    <w:multiLevelType w:val="hybridMultilevel"/>
    <w:tmpl w:val="FADC8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DF7817"/>
    <w:multiLevelType w:val="hybridMultilevel"/>
    <w:tmpl w:val="83166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DD626C"/>
    <w:multiLevelType w:val="hybridMultilevel"/>
    <w:tmpl w:val="4C3C0632"/>
    <w:lvl w:ilvl="0" w:tplc="840A15B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3"/>
  </w:num>
  <w:num w:numId="19">
    <w:abstractNumId w:val="14"/>
  </w:num>
  <w:num w:numId="20">
    <w:abstractNumId w:val="10"/>
  </w:num>
  <w:num w:numId="21">
    <w:abstractNumId w:val="14"/>
  </w:num>
  <w:num w:numId="22">
    <w:abstractNumId w:val="22"/>
  </w:num>
  <w:num w:numId="23">
    <w:abstractNumId w:val="17"/>
  </w:num>
  <w:num w:numId="24">
    <w:abstractNumId w:val="19"/>
  </w:num>
  <w:num w:numId="25">
    <w:abstractNumId w:val="8"/>
  </w:num>
  <w:num w:numId="26">
    <w:abstractNumId w:val="16"/>
  </w:num>
  <w:num w:numId="27">
    <w:abstractNumId w:val="12"/>
  </w:num>
  <w:num w:numId="28">
    <w:abstractNumId w:val="20"/>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69AE"/>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4310"/>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114E"/>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45DD"/>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5333"/>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3265"/>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CCFC3DE-E04D-4989-AA0E-FFA03CB5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uiPriority w:val="99"/>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qFormat/>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GridTable21">
    <w:name w:val="Grid Table 21"/>
    <w:basedOn w:val="TableNormal"/>
    <w:next w:val="GridTable2"/>
    <w:uiPriority w:val="47"/>
    <w:rsid w:val="000069AE"/>
    <w:rPr>
      <w:rFonts w:ascii="Arial" w:hAnsi="Arial"/>
      <w:lang w:eastAsia="en-US"/>
    </w:rPr>
    <w:tblPr>
      <w:tblStyleRowBandSize w:val="1"/>
      <w:tblStyleColBandSize w:val="1"/>
      <w:tblBorders>
        <w:top w:val="single" w:sz="2" w:space="0" w:color="848484"/>
        <w:bottom w:val="single" w:sz="2" w:space="0" w:color="848484"/>
        <w:insideH w:val="single" w:sz="2" w:space="0" w:color="848484"/>
        <w:insideV w:val="single" w:sz="2" w:space="0" w:color="848484"/>
      </w:tblBorders>
    </w:tblPr>
    <w:tblStylePr w:type="firstRow">
      <w:rPr>
        <w:b/>
        <w:bCs/>
      </w:rPr>
      <w:tblPr/>
      <w:tcPr>
        <w:tcBorders>
          <w:top w:val="nil"/>
          <w:bottom w:val="single" w:sz="12" w:space="0" w:color="848484"/>
          <w:insideH w:val="nil"/>
          <w:insideV w:val="nil"/>
        </w:tcBorders>
        <w:shd w:val="clear" w:color="auto" w:fill="FFFFFF"/>
      </w:tcPr>
    </w:tblStylePr>
    <w:tblStylePr w:type="lastRow">
      <w:rPr>
        <w:b/>
        <w:bCs/>
      </w:rPr>
      <w:tblPr/>
      <w:tcPr>
        <w:tcBorders>
          <w:top w:val="double" w:sz="2" w:space="0" w:color="84848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table" w:styleId="GridTable2">
    <w:name w:val="Grid Table 2"/>
    <w:basedOn w:val="TableNormal"/>
    <w:uiPriority w:val="47"/>
    <w:rsid w:val="000069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SharedWithUsers xmlns="1968325b-ff37-4c12-8874-b019e0ec7e46">
      <UserInfo>
        <DisplayName>WHITTY, Cam</DisplayName>
        <AccountId>756</AccountId>
        <AccountType/>
      </UserInfo>
    </SharedWithUsers>
    <CherwellTicket xmlns="5e7f40d8-cffe-4c78-aa89-cf3a75383874" xsi:nil="true"/>
    <MSSPParentID xmlns="5e7f40d8-cffe-4c78-aa89-cf3a75383874" xsi:nil="true"/>
    <lcf76f155ced4ddcb4097134ff3c332f xmlns="5e7f40d8-cffe-4c78-aa89-cf3a75383874">
      <Terms xmlns="http://schemas.microsoft.com/office/infopath/2007/PartnerControls"/>
    </lcf76f155ced4ddcb4097134ff3c332f>
    <Teammember xmlns="5e7f40d8-cffe-4c78-aa89-cf3a753838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9" ma:contentTypeDescription="Create a new document." ma:contentTypeScope="" ma:versionID="6506add3e705d46aa90213f578cc3fba">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c3ed3d31f0c1dc1a9ddc5e3eec6890d5"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CherwellTicket" minOccurs="0"/>
                <xsd:element ref="ns2:MSSPParentID" minOccurs="0"/>
                <xsd:element ref="ns2:Teammembe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CherwellTicket" ma:index="19" nillable="true" ma:displayName="Cherwell Ticket" ma:description="The Ticket Number from Cherwell" ma:format="Dropdown" ma:internalName="CherwellTicket">
      <xsd:simpleType>
        <xsd:restriction base="dms:Text">
          <xsd:maxLength value="255"/>
        </xsd:restriction>
      </xsd:simpleType>
    </xsd:element>
    <xsd:element name="MSSPParentID" ma:index="20" nillable="true" ma:displayName="MSSP Parent ID" ma:description="The MSSP Request ID that holds the request information and attachments" ma:format="Dropdown" ma:internalName="MSSPParentID">
      <xsd:simpleType>
        <xsd:restriction base="dms:Text">
          <xsd:maxLength value="255"/>
        </xsd:restriction>
      </xsd:simpleType>
    </xsd:element>
    <xsd:element name="Teammember" ma:index="22" nillable="true" ma:displayName="Team member" ma:format="Dropdown" ma:internalName="Teammember">
      <xsd:simpleType>
        <xsd:restriction base="dms:Choice">
          <xsd:enumeration value="James"/>
          <xsd:enumeration value="Bruce"/>
          <xsd:enumeration value="Yahya"/>
          <xsd:enumeration value="Kathleen"/>
          <xsd:enumeration value="Tasman"/>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0d0282-0622-4288-908b-bcaa6e880af9}"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5e7f40d8-cffe-4c78-aa89-cf3a75383874"/>
    <ds:schemaRef ds:uri="http://www.w3.org/XML/1998/namespace"/>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2D96965D-7E9E-4D3C-B99D-AE13536E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841</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FINAL_Maddocks COVID-19 Vaccination Strategy Phase 2A PIA update 2 - Agency consolidated response to Maddocks 20220831 report</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Phase 2A of COVID-19 Vaccine Strategy – Privacy Impact Assessment: Department of Health consolidated response</dc:title>
  <dc:creator>Australian Government Department of Health and Aged Care</dc:creator>
  <cp:lastModifiedBy>JACOB, Reuben</cp:lastModifiedBy>
  <cp:revision>3</cp:revision>
  <dcterms:created xsi:type="dcterms:W3CDTF">2022-09-26T02:50:00Z</dcterms:created>
  <dcterms:modified xsi:type="dcterms:W3CDTF">2022-09-26T02:53:00Z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0x010100842F0FB1CC0F414982314A47DEC76821</vt:lpwstr>
  </property>
  <property fmtid="{D5CDD505-2E9C-101B-9397-08002B2CF9AE}" pid="5" name="Section">
    <vt:lpwstr>5;#PCPD CC Corporate Communication SN|73cff0d0-7b20-43e0-ad96-75a3b55de641</vt:lpwstr>
  </property>
  <property fmtid="{D5CDD505-2E9C-101B-9397-08002B2CF9AE}" pid="6" name="_dlc_DocIdItemGuid">
    <vt:lpwstr>6948a2bf-7243-4e38-85fa-a6627a028903</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ies>
</file>