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2094A6A5" w:rsidR="001A6DD1" w:rsidRDefault="001A6DD1" w:rsidP="00950D6F">
      <w:pPr>
        <w:pStyle w:val="Heading1"/>
      </w:pPr>
      <w:r w:rsidRPr="005C0FEE">
        <w:t>Pharmaceutical Benefits Scheme</w:t>
      </w:r>
      <w:r w:rsidR="00950D6F">
        <w:t xml:space="preserve"> – </w:t>
      </w:r>
      <w:r>
        <w:t xml:space="preserve">Biosimilar </w:t>
      </w:r>
      <w:proofErr w:type="spellStart"/>
      <w:r w:rsidR="00FD7822">
        <w:t>Follitropin</w:t>
      </w:r>
      <w:proofErr w:type="spellEnd"/>
      <w:r w:rsidR="00FD7822">
        <w:t xml:space="preserve"> alfa</w:t>
      </w:r>
    </w:p>
    <w:p w14:paraId="38F98D4B" w14:textId="50D2A25E" w:rsidR="00AC3BD2" w:rsidRDefault="00AC3BD2" w:rsidP="00950D6F">
      <w:pPr>
        <w:rPr>
          <w:lang w:eastAsia="ko-KR"/>
        </w:rPr>
      </w:pPr>
      <w:bookmarkStart w:id="0" w:name="_Hlk85118198"/>
      <w:proofErr w:type="spellStart"/>
      <w:r>
        <w:rPr>
          <w:lang w:eastAsia="ko-KR"/>
        </w:rPr>
        <w:t>Bemfola</w:t>
      </w:r>
      <w:proofErr w:type="spellEnd"/>
      <w:r>
        <w:rPr>
          <w:vertAlign w:val="superscript"/>
        </w:rPr>
        <w:t>®</w:t>
      </w:r>
      <w:r>
        <w:rPr>
          <w:lang w:eastAsia="ko-KR"/>
        </w:rPr>
        <w:t xml:space="preserve"> and </w:t>
      </w:r>
      <w:proofErr w:type="spellStart"/>
      <w:r>
        <w:rPr>
          <w:lang w:eastAsia="ko-KR"/>
        </w:rPr>
        <w:t>Ovaleap</w:t>
      </w:r>
      <w:proofErr w:type="spellEnd"/>
      <w:r>
        <w:rPr>
          <w:vertAlign w:val="superscript"/>
        </w:rPr>
        <w:t>®</w:t>
      </w:r>
      <w:r>
        <w:rPr>
          <w:lang w:eastAsia="ko-KR"/>
        </w:rPr>
        <w:t xml:space="preserve"> are biosimilar brands of </w:t>
      </w:r>
      <w:proofErr w:type="spellStart"/>
      <w:r>
        <w:rPr>
          <w:lang w:eastAsia="ko-KR"/>
        </w:rPr>
        <w:t>follitropin</w:t>
      </w:r>
      <w:proofErr w:type="spellEnd"/>
      <w:r w:rsidR="00DB6B2A">
        <w:rPr>
          <w:lang w:eastAsia="ko-KR"/>
        </w:rPr>
        <w:t> </w:t>
      </w:r>
      <w:r>
        <w:rPr>
          <w:lang w:eastAsia="ko-KR"/>
        </w:rPr>
        <w:t>alfa which were</w:t>
      </w:r>
      <w:r w:rsidRPr="00FC47CD">
        <w:rPr>
          <w:lang w:eastAsia="ko-KR"/>
        </w:rPr>
        <w:t xml:space="preserve"> listed on the Pharmaceutical Ben</w:t>
      </w:r>
      <w:r>
        <w:rPr>
          <w:lang w:eastAsia="ko-KR"/>
        </w:rPr>
        <w:t xml:space="preserve">efits Scheme (PBS) on 1 August 2016 and 1 December 2021 respectively. These brands are listed under the </w:t>
      </w:r>
      <w:hyperlink r:id="rId8" w:history="1">
        <w:r w:rsidRPr="009333D1">
          <w:rPr>
            <w:rStyle w:val="Hyperlink"/>
            <w:lang w:eastAsia="ko-KR"/>
          </w:rPr>
          <w:t>Section 100 IVF Highly Specialised Drugs Program</w:t>
        </w:r>
      </w:hyperlink>
      <w:r>
        <w:rPr>
          <w:lang w:eastAsia="ko-KR"/>
        </w:rPr>
        <w:t xml:space="preserve"> (HSD IVF Program).and the PBS General Schedule.</w:t>
      </w:r>
    </w:p>
    <w:p w14:paraId="18574C1E" w14:textId="77777777" w:rsidR="00AC3BD2" w:rsidRDefault="00AC3BD2" w:rsidP="00AC3BD2">
      <w:pPr>
        <w:pStyle w:val="Heading2"/>
      </w:pPr>
      <w:r>
        <w:t>What are biological and biosimilar medicines?</w:t>
      </w:r>
    </w:p>
    <w:p w14:paraId="680FD1AB" w14:textId="77777777" w:rsidR="00AC3BD2" w:rsidRDefault="00AC3BD2" w:rsidP="00950D6F">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41EB84DB" w14:textId="5AE46417" w:rsidR="00AC3BD2" w:rsidRDefault="00AC3BD2" w:rsidP="00950D6F">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0354A971" w14:textId="77777777" w:rsidR="00AC3BD2" w:rsidRDefault="00AC3BD2" w:rsidP="00950D6F">
      <w:r>
        <w:t xml:space="preserve">Biosimilar medicines </w:t>
      </w:r>
      <w:r w:rsidRPr="00D673BE">
        <w:t>have been tested and shown to</w:t>
      </w:r>
      <w:r>
        <w:t xml:space="preserve"> </w:t>
      </w:r>
      <w:r w:rsidRPr="00D673BE">
        <w:t>be as safe and effective as the reference biological medicines</w:t>
      </w:r>
      <w:r>
        <w:t>.</w:t>
      </w:r>
    </w:p>
    <w:p w14:paraId="61F50C65" w14:textId="15A04B7B" w:rsidR="00AC3BD2" w:rsidRDefault="00AC3BD2" w:rsidP="00AC3BD2">
      <w:pPr>
        <w:pStyle w:val="Heading2"/>
      </w:pPr>
      <w:r>
        <w:t xml:space="preserve">How is </w:t>
      </w:r>
      <w:proofErr w:type="spellStart"/>
      <w:r>
        <w:t>biosimilarity</w:t>
      </w:r>
      <w:proofErr w:type="spellEnd"/>
      <w:r>
        <w:t xml:space="preserve"> determined?</w:t>
      </w:r>
    </w:p>
    <w:p w14:paraId="10E96F50" w14:textId="77777777" w:rsidR="00AC3BD2" w:rsidRPr="00396AEA" w:rsidRDefault="00AC3BD2" w:rsidP="00950D6F">
      <w:r w:rsidRPr="00396AEA">
        <w:t xml:space="preserve">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w:t>
      </w:r>
      <w:proofErr w:type="gramStart"/>
      <w:r w:rsidRPr="00396AEA">
        <w:t>quality</w:t>
      </w:r>
      <w:proofErr w:type="gramEnd"/>
      <w:r w:rsidRPr="00396AEA">
        <w:t xml:space="preserve"> or effectiveness of the biosimilar medicine</w:t>
      </w:r>
      <w:r>
        <w:t>.</w:t>
      </w:r>
    </w:p>
    <w:p w14:paraId="66601AC4" w14:textId="77777777" w:rsidR="00AC3BD2" w:rsidRPr="00F8050B" w:rsidRDefault="00AC3BD2" w:rsidP="00950D6F">
      <w:pPr>
        <w:rPr>
          <w:lang w:eastAsia="ko-KR"/>
        </w:rPr>
      </w:pPr>
      <w:r w:rsidRPr="00CC54CB">
        <w:t>For a biosimilar medicine to be approved</w:t>
      </w:r>
      <w:r>
        <w:t xml:space="preserve"> by the Therapeutic Goods Administration (TGA)</w:t>
      </w:r>
      <w:r w:rsidRPr="00CC54CB">
        <w:t>, the structural variability of the biosimilar medicine and the reference biological medicine, and all critical quality attributes (</w:t>
      </w:r>
      <w:proofErr w:type="gramStart"/>
      <w:r w:rsidRPr="00CC54CB">
        <w:t>i.e.</w:t>
      </w:r>
      <w:proofErr w:type="gramEnd"/>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0FEFAEB8" w14:textId="58A2069C" w:rsidR="00AC3BD2" w:rsidRPr="00950D6F" w:rsidRDefault="00AC3BD2" w:rsidP="00950D6F">
      <w:proofErr w:type="spellStart"/>
      <w:r w:rsidRPr="00950D6F">
        <w:t>Bemfola</w:t>
      </w:r>
      <w:proofErr w:type="spellEnd"/>
      <w:r w:rsidRPr="00950D6F">
        <w:t xml:space="preserve"> and </w:t>
      </w:r>
      <w:proofErr w:type="spellStart"/>
      <w:r w:rsidRPr="00950D6F">
        <w:t>Ovaleap</w:t>
      </w:r>
      <w:proofErr w:type="spellEnd"/>
      <w:r w:rsidRPr="00950D6F">
        <w:t xml:space="preserve"> have been assessed by the TGA </w:t>
      </w:r>
      <w:proofErr w:type="gramStart"/>
      <w:r w:rsidRPr="00950D6F">
        <w:t>on the basis of</w:t>
      </w:r>
      <w:proofErr w:type="gramEnd"/>
      <w:r w:rsidRPr="00950D6F">
        <w:rPr>
          <w:rFonts w:hint="eastAsia"/>
        </w:rPr>
        <w:t xml:space="preserve"> comparability and clinical studies </w:t>
      </w:r>
      <w:r w:rsidRPr="00950D6F">
        <w:t>to be highly similar</w:t>
      </w:r>
      <w:r w:rsidRPr="00950D6F">
        <w:rPr>
          <w:rFonts w:hint="eastAsia"/>
        </w:rPr>
        <w:t xml:space="preserve"> to</w:t>
      </w:r>
      <w:r w:rsidRPr="00950D6F">
        <w:t xml:space="preserve"> the reference brand,</w:t>
      </w:r>
      <w:r w:rsidRPr="00950D6F">
        <w:rPr>
          <w:rFonts w:hint="eastAsia"/>
        </w:rPr>
        <w:t xml:space="preserve"> </w:t>
      </w:r>
      <w:proofErr w:type="spellStart"/>
      <w:r w:rsidRPr="00950D6F">
        <w:t>Gonal</w:t>
      </w:r>
      <w:proofErr w:type="spellEnd"/>
      <w:r w:rsidRPr="00950D6F">
        <w:noBreakHyphen/>
        <w:t>f</w:t>
      </w:r>
      <w:r w:rsidR="00DB6B2A">
        <w:rPr>
          <w:vertAlign w:val="superscript"/>
        </w:rPr>
        <w:t>®</w:t>
      </w:r>
      <w:r w:rsidRPr="00950D6F">
        <w:t xml:space="preserve">. </w:t>
      </w:r>
      <w:r w:rsidRPr="00950D6F">
        <w:rPr>
          <w:rFonts w:hint="eastAsia"/>
        </w:rPr>
        <w:t xml:space="preserve">This means </w:t>
      </w:r>
      <w:r w:rsidRPr="00950D6F">
        <w:t xml:space="preserve">that </w:t>
      </w:r>
      <w:proofErr w:type="spellStart"/>
      <w:r w:rsidRPr="00950D6F">
        <w:t>Bemfola</w:t>
      </w:r>
      <w:proofErr w:type="spellEnd"/>
      <w:r w:rsidRPr="00950D6F">
        <w:t xml:space="preserve"> and </w:t>
      </w:r>
      <w:proofErr w:type="spellStart"/>
      <w:r w:rsidRPr="00950D6F">
        <w:t>Ovaleap</w:t>
      </w:r>
      <w:proofErr w:type="spellEnd"/>
      <w:r w:rsidRPr="00950D6F">
        <w:t xml:space="preserve"> provide the same health outcomes and are</w:t>
      </w:r>
      <w:r w:rsidRPr="00950D6F">
        <w:rPr>
          <w:rFonts w:hint="eastAsia"/>
        </w:rPr>
        <w:t xml:space="preserve"> </w:t>
      </w:r>
      <w:r w:rsidRPr="00950D6F">
        <w:t xml:space="preserve">as safe and effective as </w:t>
      </w:r>
      <w:proofErr w:type="spellStart"/>
      <w:r w:rsidRPr="00950D6F">
        <w:t>Gonal</w:t>
      </w:r>
      <w:proofErr w:type="spellEnd"/>
      <w:r w:rsidRPr="00950D6F">
        <w:t>-f.</w:t>
      </w:r>
    </w:p>
    <w:p w14:paraId="790E7054" w14:textId="03A2BFAF" w:rsidR="00AC3BD2" w:rsidRDefault="00AC3BD2" w:rsidP="00AC3BD2">
      <w:pPr>
        <w:pStyle w:val="Heading2"/>
      </w:pPr>
      <w:r>
        <w:t xml:space="preserve">What is </w:t>
      </w:r>
      <w:proofErr w:type="spellStart"/>
      <w:r>
        <w:t>follitropin</w:t>
      </w:r>
      <w:proofErr w:type="spellEnd"/>
      <w:r>
        <w:t xml:space="preserve"> alfa?</w:t>
      </w:r>
    </w:p>
    <w:p w14:paraId="39F83C27" w14:textId="77777777" w:rsidR="00AC3BD2" w:rsidRDefault="00AC3BD2" w:rsidP="00AC3BD2">
      <w:proofErr w:type="spellStart"/>
      <w:r>
        <w:t>Follitropin</w:t>
      </w:r>
      <w:proofErr w:type="spellEnd"/>
      <w:r>
        <w:t xml:space="preserve"> alfa</w:t>
      </w:r>
      <w:r w:rsidRPr="004276A8">
        <w:t xml:space="preserve"> is a biological medicine that is used </w:t>
      </w:r>
      <w:r>
        <w:t>for the following treatments:</w:t>
      </w:r>
    </w:p>
    <w:p w14:paraId="032884E8" w14:textId="77777777" w:rsidR="00AC3BD2" w:rsidRPr="005B0741" w:rsidRDefault="00AC3BD2" w:rsidP="00950D6F">
      <w:pPr>
        <w:pStyle w:val="ListBullet"/>
      </w:pPr>
      <w:r w:rsidRPr="005B0741">
        <w:t>women undergoing Assisted Reproductive Technology (ART</w:t>
      </w:r>
      <w:proofErr w:type="gramStart"/>
      <w:r w:rsidRPr="005B0741">
        <w:t>)</w:t>
      </w:r>
      <w:r>
        <w:t>;</w:t>
      </w:r>
      <w:proofErr w:type="gramEnd"/>
    </w:p>
    <w:p w14:paraId="447F5880" w14:textId="77777777" w:rsidR="00AC3BD2" w:rsidRPr="005B0741" w:rsidRDefault="00AC3BD2" w:rsidP="00950D6F">
      <w:pPr>
        <w:pStyle w:val="ListBullet"/>
      </w:pPr>
      <w:r w:rsidRPr="005B0741">
        <w:t>anovulatory infertility</w:t>
      </w:r>
      <w:r>
        <w:t>; and</w:t>
      </w:r>
    </w:p>
    <w:p w14:paraId="64730463" w14:textId="77777777" w:rsidR="00AC3BD2" w:rsidRPr="005B0741" w:rsidRDefault="00AC3BD2" w:rsidP="00950D6F">
      <w:pPr>
        <w:pStyle w:val="ListBullet"/>
      </w:pPr>
      <w:r w:rsidRPr="005B0741">
        <w:t xml:space="preserve">infertility due to </w:t>
      </w:r>
      <w:proofErr w:type="spellStart"/>
      <w:r w:rsidRPr="005B0741">
        <w:t>hypogonadotrophic</w:t>
      </w:r>
      <w:proofErr w:type="spellEnd"/>
      <w:r w:rsidRPr="005B0741">
        <w:t xml:space="preserve"> hypogonadism.</w:t>
      </w:r>
    </w:p>
    <w:p w14:paraId="2B7C2B4C" w14:textId="4DBFF836" w:rsidR="00AC3BD2" w:rsidRPr="003C3E8E" w:rsidRDefault="00AC3BD2" w:rsidP="00AC3BD2">
      <w:r>
        <w:lastRenderedPageBreak/>
        <w:t>More information about this medicine is available by entering ‘</w:t>
      </w:r>
      <w:proofErr w:type="spellStart"/>
      <w:r>
        <w:t>follitropin</w:t>
      </w:r>
      <w:proofErr w:type="spellEnd"/>
      <w:r>
        <w:t xml:space="preserve"> alfa’ at </w:t>
      </w:r>
      <w:r>
        <w:rPr>
          <w:rFonts w:hint="eastAsia"/>
          <w:lang w:eastAsia="ko-KR"/>
        </w:rPr>
        <w:t xml:space="preserve">the </w:t>
      </w:r>
      <w:hyperlink r:id="rId9"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5595DA93" w14:textId="4DB3BE92" w:rsidR="00AC3BD2" w:rsidRDefault="00AC3BD2" w:rsidP="00AC3BD2">
      <w:pPr>
        <w:pStyle w:val="Heading2"/>
      </w:pPr>
      <w:r>
        <w:t xml:space="preserve">Can PBS brands of </w:t>
      </w:r>
      <w:proofErr w:type="spellStart"/>
      <w:r>
        <w:t>follitropin</w:t>
      </w:r>
      <w:proofErr w:type="spellEnd"/>
      <w:r>
        <w:t xml:space="preserve"> alfa be substituted?</w:t>
      </w:r>
    </w:p>
    <w:p w14:paraId="70EF1CAE" w14:textId="77777777" w:rsidR="00AC3BD2" w:rsidRDefault="00AC3BD2" w:rsidP="00AC3BD2">
      <w:pPr>
        <w:autoSpaceDE w:val="0"/>
        <w:autoSpaceDN w:val="0"/>
        <w:adjustRightInd w:val="0"/>
        <w:rPr>
          <w:rFonts w:cs="Arial"/>
        </w:rPr>
      </w:pPr>
      <w:r w:rsidRPr="003D52F4">
        <w:rPr>
          <w:rFonts w:cs="Arial"/>
        </w:rPr>
        <w:t xml:space="preserve">The Pharmaceutical Benefits Advisory Committee (PBAC), an independent, expert advisory body, recommended that </w:t>
      </w:r>
      <w:proofErr w:type="spellStart"/>
      <w:r>
        <w:rPr>
          <w:rFonts w:cs="Arial"/>
        </w:rPr>
        <w:t>Ovaleap</w:t>
      </w:r>
      <w:proofErr w:type="spellEnd"/>
      <w:r>
        <w:rPr>
          <w:rFonts w:cs="Arial"/>
        </w:rPr>
        <w:t xml:space="preserve"> and </w:t>
      </w:r>
      <w:proofErr w:type="spellStart"/>
      <w:r>
        <w:rPr>
          <w:rFonts w:cs="Arial"/>
        </w:rPr>
        <w:t>Bemfola</w:t>
      </w:r>
      <w:proofErr w:type="spellEnd"/>
      <w:r w:rsidRPr="003D52F4">
        <w:rPr>
          <w:rFonts w:cs="Arial"/>
        </w:rPr>
        <w:t xml:space="preserve"> be listed on the PBS as substitutable biosimilar</w:t>
      </w:r>
      <w:r>
        <w:rPr>
          <w:rFonts w:cs="Arial"/>
        </w:rPr>
        <w:t>s</w:t>
      </w:r>
      <w:r w:rsidRPr="003D52F4">
        <w:rPr>
          <w:rFonts w:cs="Arial"/>
        </w:rPr>
        <w:t xml:space="preserve"> of </w:t>
      </w:r>
      <w:proofErr w:type="spellStart"/>
      <w:r>
        <w:rPr>
          <w:rFonts w:cs="Arial"/>
        </w:rPr>
        <w:t>Gonal</w:t>
      </w:r>
      <w:proofErr w:type="spellEnd"/>
      <w:r>
        <w:rPr>
          <w:rFonts w:cs="Arial"/>
        </w:rPr>
        <w:noBreakHyphen/>
        <w:t>f</w:t>
      </w:r>
      <w:r w:rsidRPr="003D52F4">
        <w:rPr>
          <w:rFonts w:cs="Arial"/>
        </w:rPr>
        <w:t xml:space="preserve"> for all approved indications. </w:t>
      </w:r>
      <w:bookmarkStart w:id="1" w:name="_Hlk85111781"/>
      <w:proofErr w:type="spellStart"/>
      <w:r>
        <w:rPr>
          <w:rFonts w:cs="Arial"/>
        </w:rPr>
        <w:t>Ovaleap</w:t>
      </w:r>
      <w:proofErr w:type="spellEnd"/>
      <w:r>
        <w:rPr>
          <w:rFonts w:cs="Arial"/>
        </w:rPr>
        <w:t xml:space="preserve"> is marked in the Schedule with an ‘a’</w:t>
      </w:r>
      <w:r>
        <w:rPr>
          <w:rFonts w:cs="Arial"/>
        </w:rPr>
        <w:noBreakHyphen/>
        <w:t>flag.</w:t>
      </w:r>
      <w:bookmarkEnd w:id="1"/>
    </w:p>
    <w:p w14:paraId="202C32E7" w14:textId="77777777" w:rsidR="00AC3BD2" w:rsidRDefault="00AC3BD2" w:rsidP="00AC3BD2">
      <w:pPr>
        <w:autoSpaceDE w:val="0"/>
        <w:autoSpaceDN w:val="0"/>
        <w:adjustRightInd w:val="0"/>
        <w:rPr>
          <w:rFonts w:cs="Arial"/>
        </w:rPr>
      </w:pPr>
      <w:r w:rsidRPr="00861C85">
        <w:rPr>
          <w:rFonts w:cs="Arial"/>
        </w:rPr>
        <w:t xml:space="preserve">While the PBAC noted the differences in administration techniques of </w:t>
      </w:r>
      <w:proofErr w:type="spellStart"/>
      <w:r w:rsidRPr="00861C85">
        <w:rPr>
          <w:rFonts w:cs="Arial"/>
        </w:rPr>
        <w:t>Ovaleap</w:t>
      </w:r>
      <w:proofErr w:type="spellEnd"/>
      <w:r w:rsidRPr="00861C85">
        <w:rPr>
          <w:rFonts w:cs="Arial"/>
        </w:rPr>
        <w:t xml:space="preserve"> and </w:t>
      </w:r>
      <w:proofErr w:type="spellStart"/>
      <w:r w:rsidRPr="00861C85">
        <w:rPr>
          <w:rFonts w:cs="Arial"/>
        </w:rPr>
        <w:t>Gonal</w:t>
      </w:r>
      <w:proofErr w:type="spellEnd"/>
      <w:r w:rsidRPr="00861C85">
        <w:rPr>
          <w:rFonts w:cs="Arial"/>
        </w:rPr>
        <w:t>-f, it considered that patients with sufficient education and training resources would be able to administer different devices appropriately.</w:t>
      </w:r>
    </w:p>
    <w:p w14:paraId="5AA98CC7" w14:textId="5F04DF4D" w:rsidR="00AC3BD2" w:rsidRPr="003D52F4" w:rsidRDefault="00AC3BD2" w:rsidP="00AC3BD2">
      <w:pPr>
        <w:autoSpaceDE w:val="0"/>
        <w:autoSpaceDN w:val="0"/>
        <w:adjustRightInd w:val="0"/>
        <w:rPr>
          <w:rFonts w:cs="Arial"/>
        </w:rPr>
      </w:pPr>
      <w:r w:rsidRPr="003D52F4">
        <w:rPr>
          <w:rFonts w:cs="Arial"/>
        </w:rPr>
        <w:t>When PBS brands are listed as substitutable with each other, the pharmacist may dispense any brand, provided the prescriber has not indicated ‘brand substitution not permitted’ on the prescription, and they have permission from the patient.</w:t>
      </w:r>
    </w:p>
    <w:p w14:paraId="358A855C" w14:textId="77777777" w:rsidR="00AC3BD2" w:rsidRPr="003D52F4" w:rsidRDefault="00AC3BD2" w:rsidP="00AC3BD2">
      <w:pPr>
        <w:autoSpaceDE w:val="0"/>
        <w:autoSpaceDN w:val="0"/>
        <w:adjustRightInd w:val="0"/>
        <w:rPr>
          <w:rFonts w:cs="Arial"/>
        </w:rPr>
      </w:pPr>
      <w:r>
        <w:rPr>
          <w:rFonts w:cs="Arial"/>
        </w:rPr>
        <w:t xml:space="preserve">The biosimilar brand </w:t>
      </w:r>
      <w:proofErr w:type="spellStart"/>
      <w:r>
        <w:rPr>
          <w:rFonts w:cs="Arial"/>
        </w:rPr>
        <w:t>Bemfola</w:t>
      </w:r>
      <w:proofErr w:type="spellEnd"/>
      <w:r>
        <w:rPr>
          <w:rFonts w:cs="Arial"/>
        </w:rPr>
        <w:t xml:space="preserve"> is not ‘a’</w:t>
      </w:r>
      <w:r>
        <w:rPr>
          <w:rFonts w:cs="Arial"/>
        </w:rPr>
        <w:noBreakHyphen/>
        <w:t xml:space="preserve">flagged with either </w:t>
      </w:r>
      <w:proofErr w:type="spellStart"/>
      <w:r>
        <w:rPr>
          <w:rFonts w:cs="Arial"/>
        </w:rPr>
        <w:t>Gonal</w:t>
      </w:r>
      <w:proofErr w:type="spellEnd"/>
      <w:r>
        <w:rPr>
          <w:rFonts w:cs="Arial"/>
        </w:rPr>
        <w:noBreakHyphen/>
        <w:t xml:space="preserve">f or </w:t>
      </w:r>
      <w:proofErr w:type="spellStart"/>
      <w:r>
        <w:rPr>
          <w:rFonts w:cs="Arial"/>
        </w:rPr>
        <w:t>Ovaleap</w:t>
      </w:r>
      <w:proofErr w:type="spellEnd"/>
      <w:r>
        <w:rPr>
          <w:rFonts w:cs="Arial"/>
        </w:rPr>
        <w:t xml:space="preserve">. In 2016, the PBAC did not recommend that </w:t>
      </w:r>
      <w:proofErr w:type="spellStart"/>
      <w:r>
        <w:rPr>
          <w:rFonts w:cs="Arial"/>
        </w:rPr>
        <w:t>Bemfola</w:t>
      </w:r>
      <w:proofErr w:type="spellEnd"/>
      <w:r>
        <w:rPr>
          <w:rFonts w:cs="Arial"/>
        </w:rPr>
        <w:t xml:space="preserve"> could be ‘a’</w:t>
      </w:r>
      <w:r>
        <w:rPr>
          <w:rFonts w:cs="Arial"/>
        </w:rPr>
        <w:noBreakHyphen/>
        <w:t xml:space="preserve">flagged with </w:t>
      </w:r>
      <w:proofErr w:type="spellStart"/>
      <w:r>
        <w:rPr>
          <w:rFonts w:cs="Arial"/>
        </w:rPr>
        <w:t>Gonal</w:t>
      </w:r>
      <w:proofErr w:type="spellEnd"/>
      <w:r>
        <w:rPr>
          <w:rFonts w:cs="Arial"/>
        </w:rPr>
        <w:noBreakHyphen/>
        <w:t>f. This was due mainly to</w:t>
      </w:r>
      <w:r w:rsidRPr="00491F2D">
        <w:rPr>
          <w:rFonts w:cs="Arial"/>
        </w:rPr>
        <w:t xml:space="preserve"> differences in the strengths, number of pens per pack and maximum quantities between the brands, which make substitution at the pharmacy level difficult from a practical perspective</w:t>
      </w:r>
      <w:r>
        <w:rPr>
          <w:rFonts w:cs="Arial"/>
        </w:rPr>
        <w:t>.</w:t>
      </w:r>
    </w:p>
    <w:p w14:paraId="1E2AF6D0" w14:textId="77777777" w:rsidR="00AC3BD2" w:rsidRPr="001F3984" w:rsidRDefault="00AC3BD2" w:rsidP="00AC3BD2">
      <w:pPr>
        <w:pStyle w:val="Heading2"/>
      </w:pPr>
      <w:r w:rsidRPr="001F3984">
        <w:t xml:space="preserve">What are the PBS restrictions for </w:t>
      </w:r>
      <w:proofErr w:type="spellStart"/>
      <w:r>
        <w:t>follitropin</w:t>
      </w:r>
      <w:proofErr w:type="spellEnd"/>
      <w:r>
        <w:t xml:space="preserve"> alfa</w:t>
      </w:r>
      <w:r w:rsidRPr="001F3984">
        <w:t>?</w:t>
      </w:r>
    </w:p>
    <w:p w14:paraId="714B3B9D" w14:textId="4B4DBF9B" w:rsidR="00AC3BD2" w:rsidRDefault="00AC3BD2" w:rsidP="00AC3BD2">
      <w:pPr>
        <w:rPr>
          <w:rFonts w:cs="Arial"/>
        </w:rPr>
      </w:pPr>
      <w:r>
        <w:rPr>
          <w:rFonts w:cs="Arial"/>
        </w:rPr>
        <w:t>P</w:t>
      </w:r>
      <w:r w:rsidRPr="001A2964">
        <w:rPr>
          <w:rFonts w:cs="Arial"/>
        </w:rPr>
        <w:t xml:space="preserve">rescriptions for </w:t>
      </w:r>
      <w:proofErr w:type="spellStart"/>
      <w:r>
        <w:rPr>
          <w:rFonts w:cs="Arial"/>
        </w:rPr>
        <w:t>follitropin</w:t>
      </w:r>
      <w:proofErr w:type="spellEnd"/>
      <w:r w:rsidR="00DB6B2A">
        <w:rPr>
          <w:rFonts w:cs="Arial"/>
        </w:rPr>
        <w:t> </w:t>
      </w:r>
      <w:r>
        <w:rPr>
          <w:rFonts w:cs="Arial"/>
        </w:rPr>
        <w:t>alfa</w:t>
      </w:r>
      <w:r w:rsidRPr="001A2964">
        <w:rPr>
          <w:rFonts w:cs="Arial"/>
        </w:rPr>
        <w:t xml:space="preserve"> under the HSD </w:t>
      </w:r>
      <w:r>
        <w:rPr>
          <w:rFonts w:cs="Arial"/>
        </w:rPr>
        <w:t xml:space="preserve">IVF </w:t>
      </w:r>
      <w:r w:rsidRPr="001A2964">
        <w:rPr>
          <w:rFonts w:cs="Arial"/>
        </w:rPr>
        <w:t xml:space="preserve">Program </w:t>
      </w:r>
      <w:r>
        <w:rPr>
          <w:rFonts w:cs="Arial"/>
        </w:rPr>
        <w:t xml:space="preserve">for use as an Assisted Reproductive Technology </w:t>
      </w:r>
      <w:r w:rsidRPr="001A2964">
        <w:rPr>
          <w:rFonts w:cs="Arial"/>
        </w:rPr>
        <w:t xml:space="preserve">may use an </w:t>
      </w:r>
      <w:hyperlink r:id="rId10" w:history="1">
        <w:r w:rsidRPr="00F6421D">
          <w:rPr>
            <w:rStyle w:val="Hyperlink"/>
            <w:rFonts w:cs="Arial"/>
          </w:rPr>
          <w:t>Authority Required (STREAMLINED)</w:t>
        </w:r>
      </w:hyperlink>
      <w:r w:rsidRPr="00390BEC">
        <w:rPr>
          <w:rStyle w:val="Hyperlink"/>
          <w:rFonts w:cs="Arial"/>
        </w:rPr>
        <w:t xml:space="preserve"> </w:t>
      </w:r>
      <w:r w:rsidRPr="001A2964">
        <w:rPr>
          <w:rFonts w:cs="Arial"/>
        </w:rPr>
        <w:t>code</w:t>
      </w:r>
      <w:r>
        <w:rPr>
          <w:rFonts w:cs="Arial"/>
        </w:rPr>
        <w:t>.</w:t>
      </w:r>
    </w:p>
    <w:p w14:paraId="6E3ADCC2" w14:textId="77777777" w:rsidR="00AC3BD2" w:rsidRDefault="00AC3BD2" w:rsidP="00AC3BD2">
      <w:pPr>
        <w:rPr>
          <w:rFonts w:cs="Arial"/>
        </w:rPr>
      </w:pPr>
      <w:r>
        <w:rPr>
          <w:rFonts w:cs="Arial"/>
        </w:rPr>
        <w:t xml:space="preserve">Prescriptions under the PBS General Schedule for anovulatory infertility and </w:t>
      </w:r>
      <w:r w:rsidRPr="005B0741">
        <w:t xml:space="preserve">infertility </w:t>
      </w:r>
      <w:r>
        <w:t>resulting from</w:t>
      </w:r>
      <w:r w:rsidRPr="005B0741">
        <w:t xml:space="preserve"> </w:t>
      </w:r>
      <w:proofErr w:type="spellStart"/>
      <w:r w:rsidRPr="005B0741">
        <w:t>hypogonadotrophic</w:t>
      </w:r>
      <w:proofErr w:type="spellEnd"/>
      <w:r w:rsidRPr="005B0741">
        <w:t xml:space="preserve"> hypogonadism</w:t>
      </w:r>
      <w:r>
        <w:rPr>
          <w:rFonts w:cs="Arial"/>
        </w:rPr>
        <w:t xml:space="preserve"> are available as a Restricted Benefit.</w:t>
      </w:r>
    </w:p>
    <w:p w14:paraId="6333FFE0" w14:textId="771BE922" w:rsidR="00AC3BD2" w:rsidRDefault="00AC3BD2" w:rsidP="00AC3BD2">
      <w:pPr>
        <w:rPr>
          <w:rFonts w:cs="Arial"/>
        </w:rPr>
      </w:pPr>
      <w:r>
        <w:rPr>
          <w:rFonts w:cs="Arial"/>
        </w:rPr>
        <w:t xml:space="preserve">The Schedule of Pharmaceutical Benefits, </w:t>
      </w:r>
      <w:r w:rsidRPr="00A94669">
        <w:rPr>
          <w:rFonts w:cs="Arial"/>
        </w:rPr>
        <w:t xml:space="preserve">available </w:t>
      </w:r>
      <w:hyperlink r:id="rId11" w:history="1">
        <w:r w:rsidRPr="00451423">
          <w:rPr>
            <w:rStyle w:val="Hyperlink"/>
            <w:rFonts w:cs="Arial"/>
          </w:rPr>
          <w:t>online</w:t>
        </w:r>
      </w:hyperlink>
      <w:r w:rsidRPr="00A94669">
        <w:rPr>
          <w:rFonts w:cs="Arial"/>
        </w:rPr>
        <w:t xml:space="preserve">, in </w:t>
      </w:r>
      <w:hyperlink r:id="rId12" w:history="1">
        <w:r w:rsidRPr="000E6CCC">
          <w:rPr>
            <w:rStyle w:val="Hyperlink"/>
            <w:rFonts w:cs="Arial"/>
          </w:rPr>
          <w:t>PDF</w:t>
        </w:r>
      </w:hyperlink>
      <w:r w:rsidRPr="00A94669">
        <w:rPr>
          <w:rFonts w:cs="Arial"/>
        </w:rPr>
        <w:t xml:space="preserve"> and in</w:t>
      </w:r>
      <w:r>
        <w:t xml:space="preserve"> prescribing software,</w:t>
      </w:r>
      <w:r>
        <w:rPr>
          <w:rFonts w:cs="Arial"/>
        </w:rPr>
        <w:t xml:space="preserve"> contains the details of initial, first continuing and subsequent continuing treatment phase criteria and eligibility details. N</w:t>
      </w:r>
      <w:r w:rsidRPr="003D52F4">
        <w:rPr>
          <w:rFonts w:cs="Arial"/>
        </w:rPr>
        <w:t xml:space="preserve">ote that over time </w:t>
      </w:r>
      <w:r>
        <w:rPr>
          <w:rFonts w:cs="Arial"/>
        </w:rPr>
        <w:t xml:space="preserve">PBS </w:t>
      </w:r>
      <w:r w:rsidRPr="003D52F4">
        <w:rPr>
          <w:rFonts w:cs="Arial"/>
        </w:rPr>
        <w:t>listing details may change – please consult the Schedule for current information.</w:t>
      </w:r>
    </w:p>
    <w:p w14:paraId="04CBBEE8" w14:textId="4B6F970C" w:rsidR="00DB6B2A" w:rsidRDefault="00DB6B2A" w:rsidP="00AC3BD2">
      <w:pPr>
        <w:rPr>
          <w:rFonts w:cs="Arial"/>
        </w:rPr>
      </w:pPr>
      <w:r>
        <w:rPr>
          <w:rFonts w:cs="Arial"/>
        </w:rPr>
        <w:t xml:space="preserve">Read the Schedule of Pharmaceutical Benefits for the restrictions for </w:t>
      </w:r>
      <w:hyperlink r:id="rId13" w:history="1">
        <w:proofErr w:type="spellStart"/>
        <w:r w:rsidRPr="00DB6B2A">
          <w:rPr>
            <w:rStyle w:val="Hyperlink"/>
            <w:rFonts w:cs="Arial"/>
          </w:rPr>
          <w:t>follitropin</w:t>
        </w:r>
        <w:proofErr w:type="spellEnd"/>
        <w:r w:rsidRPr="00DB6B2A">
          <w:rPr>
            <w:rStyle w:val="Hyperlink"/>
            <w:rFonts w:cs="Arial"/>
          </w:rPr>
          <w:t> alfa</w:t>
        </w:r>
      </w:hyperlink>
      <w:r>
        <w:rPr>
          <w:rFonts w:cs="Arial"/>
        </w:rPr>
        <w:t>. The Schedule is also available via the</w:t>
      </w:r>
      <w:r w:rsidRPr="00A94669">
        <w:rPr>
          <w:rFonts w:cs="Arial"/>
        </w:rPr>
        <w:t xml:space="preserve"> </w:t>
      </w:r>
      <w:hyperlink r:id="rId14" w:history="1">
        <w:r>
          <w:rPr>
            <w:rStyle w:val="Hyperlink"/>
            <w:rFonts w:cs="Arial"/>
          </w:rPr>
          <w:t>PBS publications page</w:t>
        </w:r>
      </w:hyperlink>
      <w:r>
        <w:rPr>
          <w:rFonts w:cs="Arial"/>
        </w:rPr>
        <w:t xml:space="preserve">. The </w:t>
      </w:r>
      <w:r>
        <w:t>prescribing software</w:t>
      </w:r>
      <w:r>
        <w:rPr>
          <w:rFonts w:cs="Arial"/>
        </w:rPr>
        <w:t xml:space="preserve"> contains further eligibility details.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p>
    <w:p w14:paraId="5CEC28E3" w14:textId="12706455" w:rsidR="00AC3BD2" w:rsidRDefault="00AC3BD2" w:rsidP="00AC3BD2">
      <w:pPr>
        <w:pStyle w:val="Heading2"/>
      </w:pPr>
      <w:r>
        <w:t xml:space="preserve">Do biosimilar uptake drivers apply to </w:t>
      </w:r>
      <w:proofErr w:type="spellStart"/>
      <w:r>
        <w:t>follitropin</w:t>
      </w:r>
      <w:proofErr w:type="spellEnd"/>
      <w:r>
        <w:t xml:space="preserve"> alfa?</w:t>
      </w:r>
    </w:p>
    <w:p w14:paraId="6AE9779C" w14:textId="7CC5DCC7" w:rsidR="00AC3BD2" w:rsidRDefault="00AC3BD2" w:rsidP="00AC3BD2">
      <w:pPr>
        <w:autoSpaceDE w:val="0"/>
        <w:autoSpaceDN w:val="0"/>
        <w:adjustRightInd w:val="0"/>
        <w:rPr>
          <w:rFonts w:cs="Arial"/>
        </w:rPr>
      </w:pPr>
      <w:r w:rsidRPr="003D52F4">
        <w:rPr>
          <w:rFonts w:cs="Arial"/>
        </w:rPr>
        <w:t>The Government has implemented policies to encourage greater use of biosimilar brands</w:t>
      </w:r>
      <w:r>
        <w:rPr>
          <w:rFonts w:cs="Arial"/>
        </w:rPr>
        <w:t>.</w:t>
      </w:r>
    </w:p>
    <w:p w14:paraId="199E9223" w14:textId="730EE2E5" w:rsidR="00AC3BD2" w:rsidRPr="00CD4B9E" w:rsidRDefault="00AC3BD2" w:rsidP="00AC3BD2">
      <w:pPr>
        <w:autoSpaceDE w:val="0"/>
        <w:autoSpaceDN w:val="0"/>
        <w:adjustRightInd w:val="0"/>
        <w:rPr>
          <w:rFonts w:cs="Arial"/>
        </w:rPr>
      </w:pPr>
      <w:r w:rsidRPr="003D52F4">
        <w:rPr>
          <w:rFonts w:cs="Arial"/>
        </w:rPr>
        <w:t xml:space="preserve">To encourage </w:t>
      </w:r>
      <w:r>
        <w:rPr>
          <w:rFonts w:cs="Arial"/>
        </w:rPr>
        <w:t xml:space="preserve">biosimilar </w:t>
      </w:r>
      <w:r w:rsidRPr="003D52F4">
        <w:rPr>
          <w:rFonts w:cs="Arial"/>
        </w:rPr>
        <w:t xml:space="preserve">uptake an administrative Note, applicable to all indications, has been added for prescribers in the Schedule. The Note is applicable for initial treatment with </w:t>
      </w:r>
      <w:proofErr w:type="spellStart"/>
      <w:r>
        <w:rPr>
          <w:rFonts w:cs="Arial"/>
        </w:rPr>
        <w:t>follitropin</w:t>
      </w:r>
      <w:proofErr w:type="spellEnd"/>
      <w:r w:rsidR="00DB6B2A">
        <w:rPr>
          <w:rFonts w:cs="Arial"/>
        </w:rPr>
        <w:t> </w:t>
      </w:r>
      <w:r>
        <w:rPr>
          <w:rFonts w:cs="Arial"/>
        </w:rPr>
        <w:t>alfa</w:t>
      </w:r>
      <w:r w:rsidRPr="003D52F4">
        <w:rPr>
          <w:rFonts w:cs="Arial"/>
        </w:rPr>
        <w:t>:</w:t>
      </w:r>
    </w:p>
    <w:p w14:paraId="38D269D6" w14:textId="3669640A" w:rsidR="00AC3BD2" w:rsidRPr="00950D6F" w:rsidRDefault="00AC3BD2" w:rsidP="00950D6F">
      <w:pPr>
        <w:pStyle w:val="Style1"/>
        <w:pageBreakBefore/>
        <w:spacing w:line="259" w:lineRule="auto"/>
        <w:rPr>
          <w:rStyle w:val="Strong"/>
        </w:rPr>
      </w:pPr>
      <w:r w:rsidRPr="00950D6F">
        <w:rPr>
          <w:rStyle w:val="Strong"/>
        </w:rPr>
        <w:lastRenderedPageBreak/>
        <w:t>Note Biosimilar prescribing policy</w:t>
      </w:r>
    </w:p>
    <w:p w14:paraId="7B32F681" w14:textId="0D8722FD" w:rsidR="00AC3BD2" w:rsidRPr="00950D6F" w:rsidRDefault="00AC3BD2" w:rsidP="00950D6F">
      <w:pPr>
        <w:pStyle w:val="Style1"/>
      </w:pPr>
      <w:r w:rsidRPr="00950D6F">
        <w:t xml:space="preserve">Prescribing of the biosimilar brand </w:t>
      </w:r>
      <w:proofErr w:type="spellStart"/>
      <w:r w:rsidRPr="00950D6F">
        <w:t>Bemfola</w:t>
      </w:r>
      <w:proofErr w:type="spellEnd"/>
      <w:r w:rsidRPr="00950D6F">
        <w:t xml:space="preserve"> or </w:t>
      </w:r>
      <w:proofErr w:type="spellStart"/>
      <w:r w:rsidRPr="00950D6F">
        <w:t>Ovaleap</w:t>
      </w:r>
      <w:proofErr w:type="spellEnd"/>
      <w:r w:rsidRPr="00950D6F">
        <w:t xml:space="preserve"> is encouraged for treatment naïve patients. Encouraging biosimilar prescribing for treatment naïve patients is Government policy. A viable biosimilar market is expected to result in reduced costs for biological medicines, allowing the Government to reinvest in new treatments.</w:t>
      </w:r>
    </w:p>
    <w:p w14:paraId="6D27A2CE" w14:textId="77777777" w:rsidR="00AC3BD2" w:rsidRDefault="00AC3BD2" w:rsidP="00AC3BD2">
      <w:pPr>
        <w:autoSpaceDE w:val="0"/>
        <w:autoSpaceDN w:val="0"/>
        <w:adjustRightInd w:val="0"/>
        <w:rPr>
          <w:rFonts w:cs="Arial"/>
        </w:rPr>
      </w:pPr>
      <w:r>
        <w:rPr>
          <w:rFonts w:cs="Arial"/>
        </w:rPr>
        <w:t xml:space="preserve">Further information about the biosimilar uptake drivers is available on the </w:t>
      </w:r>
      <w:hyperlink r:id="rId15" w:history="1">
        <w:r w:rsidRPr="00145926">
          <w:rPr>
            <w:rStyle w:val="Hyperlink"/>
            <w:rFonts w:cs="Arial"/>
          </w:rPr>
          <w:t>PBS website</w:t>
        </w:r>
      </w:hyperlink>
      <w:r>
        <w:rPr>
          <w:rFonts w:cs="Arial"/>
        </w:rPr>
        <w:t>.</w:t>
      </w:r>
    </w:p>
    <w:p w14:paraId="249DA110" w14:textId="77777777" w:rsidR="00AC3BD2" w:rsidRPr="004B7B34" w:rsidRDefault="00AC3BD2" w:rsidP="00AC3BD2">
      <w:pPr>
        <w:pStyle w:val="Heading2"/>
      </w:pPr>
      <w:r w:rsidRPr="004B7B34">
        <w:rPr>
          <w:iCs w:val="0"/>
          <w:szCs w:val="24"/>
        </w:rPr>
        <w:t>Why are</w:t>
      </w:r>
      <w:r w:rsidRPr="004B7B34">
        <w:t xml:space="preserve"> biosimilar medicines important?</w:t>
      </w:r>
    </w:p>
    <w:p w14:paraId="4E38AFC3" w14:textId="77777777" w:rsidR="00AC3BD2" w:rsidRPr="004B7B34" w:rsidRDefault="00AC3BD2" w:rsidP="00AC3BD2">
      <w:r w:rsidRPr="004B7B34">
        <w:t xml:space="preserve">The growing cost of new and innovative medicines, including biological medicines, continues to put pressure on the financial sustainability of the PBS. </w:t>
      </w:r>
      <w:r>
        <w:t>Eight</w:t>
      </w:r>
      <w:r w:rsidRPr="004B7B34">
        <w:t xml:space="preserve"> of the ten most expensive medicines subsidised by the PBS in 20</w:t>
      </w:r>
      <w:r>
        <w:t>20</w:t>
      </w:r>
      <w:r w:rsidRPr="004B7B34">
        <w:t>-2</w:t>
      </w:r>
      <w:r>
        <w:t>1</w:t>
      </w:r>
      <w:r w:rsidRPr="004B7B34">
        <w:t xml:space="preserve"> were biological medicines with a combined cost of $2.</w:t>
      </w:r>
      <w:r>
        <w:t>4</w:t>
      </w:r>
      <w:r w:rsidRPr="004B7B34">
        <w:t>1 billion. The introduction of biosimilars on the PBS can help relieve this pressure.</w:t>
      </w:r>
    </w:p>
    <w:p w14:paraId="6FBBBA95" w14:textId="77777777" w:rsidR="00AC3BD2" w:rsidRPr="004B7B34" w:rsidRDefault="00AC3BD2" w:rsidP="00AC3BD2">
      <w:pPr>
        <w:pStyle w:val="Heading2"/>
      </w:pPr>
      <w:r w:rsidRPr="004B7B34">
        <w:t>How can greater use of biosimilars benefit the PBS?</w:t>
      </w:r>
    </w:p>
    <w:p w14:paraId="0FF1D1CE" w14:textId="34892CC4" w:rsidR="00AC3BD2" w:rsidRPr="00CF0739" w:rsidRDefault="00AC3BD2" w:rsidP="00AC3BD2">
      <w:r w:rsidRPr="00CF0739">
        <w:t>The introduction of brand competition into the market leads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4B0A8010" w14:textId="4F3EBA98" w:rsidR="00AC3BD2" w:rsidRPr="00CF0739" w:rsidRDefault="00AC3BD2" w:rsidP="00AC3BD2">
      <w:r>
        <w:t>Savings from</w:t>
      </w:r>
      <w:r w:rsidRPr="00CF0739">
        <w:t xml:space="preserve"> statutory price reductions to PBS medicines are </w:t>
      </w:r>
      <w:r>
        <w:t>being</w:t>
      </w:r>
      <w:r w:rsidRPr="00CF0739">
        <w:t xml:space="preserve"> re</w:t>
      </w:r>
      <w:r w:rsidRPr="00CF0739">
        <w:rPr>
          <w:rFonts w:ascii="Cambria Math" w:hAnsi="Cambria Math" w:cs="Cambria Math"/>
        </w:rPr>
        <w:t>‐</w:t>
      </w:r>
      <w:r w:rsidRPr="00CF0739">
        <w:t>invested in the PBS, ensuring all Australians continue to have the earliest possible access to new medicines. All Australian patients benefit from rapid, equitable and sustainable access to the most effective medicines through the PBS.</w:t>
      </w:r>
    </w:p>
    <w:p w14:paraId="6CDFB070" w14:textId="7126D706" w:rsidR="00AC3BD2" w:rsidRPr="004B7B34" w:rsidRDefault="00AC3BD2" w:rsidP="00AC3BD2">
      <w:pPr>
        <w:rPr>
          <w:rFonts w:cs="Arial"/>
        </w:rPr>
      </w:pPr>
      <w:r w:rsidRPr="004B7B34">
        <w:rPr>
          <w:rFonts w:cs="Arial"/>
        </w:rPr>
        <w:t xml:space="preserve">Detailed information about PBS pricing, including Price Disclosure, is available on the </w:t>
      </w:r>
      <w:hyperlink r:id="rId16" w:history="1">
        <w:r w:rsidRPr="00DB6B2A">
          <w:rPr>
            <w:rStyle w:val="Hyperlink"/>
            <w:rFonts w:cs="Arial"/>
          </w:rPr>
          <w:t>PBS</w:t>
        </w:r>
        <w:r w:rsidR="00DB6B2A" w:rsidRPr="00DB6B2A">
          <w:rPr>
            <w:rStyle w:val="Hyperlink"/>
            <w:rFonts w:cs="Arial"/>
          </w:rPr>
          <w:t> </w:t>
        </w:r>
        <w:r w:rsidRPr="00DB6B2A">
          <w:rPr>
            <w:rStyle w:val="Hyperlink"/>
            <w:rFonts w:cs="Arial"/>
          </w:rPr>
          <w:t>website</w:t>
        </w:r>
      </w:hyperlink>
      <w:r w:rsidRPr="004B7B34">
        <w:rPr>
          <w:rFonts w:cs="Arial"/>
        </w:rPr>
        <w:t>.</w:t>
      </w:r>
    </w:p>
    <w:p w14:paraId="5C80B597" w14:textId="77777777" w:rsidR="00AC3BD2" w:rsidRPr="00D673BE" w:rsidRDefault="00AC3BD2" w:rsidP="00AC3BD2">
      <w:pPr>
        <w:pStyle w:val="Heading2"/>
      </w:pPr>
      <w:r>
        <w:rPr>
          <w:rFonts w:hint="eastAsia"/>
        </w:rPr>
        <w:t>M</w:t>
      </w:r>
      <w:r w:rsidRPr="00D673BE">
        <w:t>ore Information</w:t>
      </w:r>
    </w:p>
    <w:p w14:paraId="3A044894" w14:textId="77777777" w:rsidR="00DB6B2A" w:rsidRPr="008C125D" w:rsidRDefault="00DB6B2A" w:rsidP="00DB6B2A">
      <w:r w:rsidRPr="008C125D">
        <w:t>For more information, read</w:t>
      </w:r>
      <w:r>
        <w:t>:</w:t>
      </w:r>
    </w:p>
    <w:p w14:paraId="51611CF2" w14:textId="77777777" w:rsidR="00DB6B2A" w:rsidRPr="0041243E" w:rsidRDefault="00DB6B2A" w:rsidP="00DB6B2A">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7" w:history="1">
        <w:r w:rsidRPr="008A247E">
          <w:rPr>
            <w:rStyle w:val="Hyperlink"/>
            <w:lang w:eastAsia="ko-KR"/>
          </w:rPr>
          <w:t>About medicines</w:t>
        </w:r>
      </w:hyperlink>
      <w:r>
        <w:rPr>
          <w:lang w:eastAsia="ko-KR"/>
        </w:rPr>
        <w:t xml:space="preserve"> page.</w:t>
      </w:r>
    </w:p>
    <w:p w14:paraId="15A05F2F" w14:textId="77777777" w:rsidR="00DB6B2A" w:rsidRPr="00D673BE" w:rsidRDefault="00DB6B2A" w:rsidP="00DB6B2A">
      <w:pPr>
        <w:pStyle w:val="ListBullet"/>
        <w:numPr>
          <w:ilvl w:val="0"/>
          <w:numId w:val="17"/>
        </w:numPr>
      </w:pPr>
      <w:r w:rsidRPr="008C125D">
        <w:rPr>
          <w:lang w:eastAsia="ko-KR"/>
        </w:rPr>
        <w:t>Therapeutic Goods Administration website</w:t>
      </w:r>
      <w:r>
        <w:rPr>
          <w:lang w:eastAsia="ko-KR"/>
        </w:rPr>
        <w:t xml:space="preserve"> </w:t>
      </w:r>
      <w:hyperlink r:id="rId18"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44705DCC" w14:textId="3FA264FF" w:rsidR="00DB6B2A" w:rsidRPr="00DB6B2A" w:rsidRDefault="00DB6B2A" w:rsidP="00DB6B2A">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hyperlink r:id="rId19" w:history="1">
        <w:r w:rsidRPr="00DB6B2A">
          <w:rPr>
            <w:rStyle w:val="Hyperlink"/>
            <w:rFonts w:cs="Arial"/>
          </w:rPr>
          <w:t xml:space="preserve">PBAC Public summary document for </w:t>
        </w:r>
        <w:proofErr w:type="spellStart"/>
        <w:r w:rsidRPr="00DB6B2A">
          <w:rPr>
            <w:rStyle w:val="Hyperlink"/>
            <w:lang w:eastAsia="ko-KR"/>
          </w:rPr>
          <w:t>Bemfola</w:t>
        </w:r>
        <w:proofErr w:type="spellEnd"/>
      </w:hyperlink>
      <w:r>
        <w:rPr>
          <w:lang w:eastAsia="ko-KR"/>
        </w:rPr>
        <w:t>.</w:t>
      </w:r>
    </w:p>
    <w:p w14:paraId="3DAD1FA2" w14:textId="09BC36EF" w:rsidR="00DB6B2A" w:rsidRPr="00DB6B2A" w:rsidRDefault="00DB6B2A" w:rsidP="00DB6B2A">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hyperlink r:id="rId20" w:history="1">
        <w:r w:rsidRPr="00DB6B2A">
          <w:rPr>
            <w:rStyle w:val="Hyperlink"/>
            <w:rFonts w:cs="Arial"/>
          </w:rPr>
          <w:t xml:space="preserve">PBAC Public summary document for </w:t>
        </w:r>
        <w:proofErr w:type="spellStart"/>
        <w:r w:rsidRPr="00DB6B2A">
          <w:rPr>
            <w:rStyle w:val="Hyperlink"/>
            <w:lang w:eastAsia="ko-KR"/>
          </w:rPr>
          <w:t>Ovaleap</w:t>
        </w:r>
        <w:proofErr w:type="spellEnd"/>
      </w:hyperlink>
      <w:r>
        <w:rPr>
          <w:lang w:eastAsia="ko-KR"/>
        </w:rPr>
        <w:t>.</w:t>
      </w:r>
    </w:p>
    <w:p w14:paraId="25CB3F24" w14:textId="2FF2D8B5" w:rsidR="00DB6B2A" w:rsidRPr="008C125D" w:rsidRDefault="00DB6B2A" w:rsidP="00DB6B2A">
      <w:pPr>
        <w:pStyle w:val="ListBullet"/>
        <w:numPr>
          <w:ilvl w:val="0"/>
          <w:numId w:val="17"/>
        </w:numPr>
        <w:rPr>
          <w:rFonts w:cs="Arial"/>
          <w:lang w:eastAsia="ko-KR"/>
        </w:rPr>
      </w:pPr>
      <w:r w:rsidRPr="009F7989">
        <w:rPr>
          <w:lang w:eastAsia="ko-KR"/>
        </w:rPr>
        <w:t>The</w:t>
      </w:r>
      <w:r w:rsidRPr="009F7989">
        <w:t xml:space="preserve"> </w:t>
      </w:r>
      <w:hyperlink r:id="rId21" w:history="1">
        <w:r w:rsidRPr="009F7989">
          <w:rPr>
            <w:rStyle w:val="Hyperlink"/>
          </w:rPr>
          <w:t>Biosimilar Education Hub</w:t>
        </w:r>
      </w:hyperlink>
      <w:r w:rsidRPr="009F7989">
        <w:t xml:space="preserve"> </w:t>
      </w:r>
      <w:r>
        <w:t xml:space="preserve">(Generic and Biosimilar Medicines Association Education website, originally funded by the </w:t>
      </w:r>
      <w:r w:rsidR="00042911">
        <w:t>Australian Government</w:t>
      </w:r>
      <w:r>
        <w:t>)</w:t>
      </w:r>
    </w:p>
    <w:p w14:paraId="4494AF8F" w14:textId="6E683C83" w:rsidR="009040E9" w:rsidRPr="009040E9" w:rsidRDefault="00DB6B2A" w:rsidP="009F4D38">
      <w:pPr>
        <w:spacing w:after="60"/>
      </w:pPr>
      <w:r>
        <w:rPr>
          <w:rFonts w:cs="Arial"/>
        </w:rPr>
        <w:t xml:space="preserve">Further information for healthcare professionals regarding the use of </w:t>
      </w:r>
      <w:hyperlink r:id="rId22" w:history="1">
        <w:r w:rsidRPr="007B397E">
          <w:rPr>
            <w:rStyle w:val="Hyperlink"/>
            <w:rFonts w:cs="Arial"/>
          </w:rPr>
          <w:t>PBS Authorities</w:t>
        </w:r>
      </w:hyperlink>
      <w:r>
        <w:rPr>
          <w:rFonts w:cs="Arial"/>
        </w:rPr>
        <w:t xml:space="preserve"> and </w:t>
      </w:r>
      <w:hyperlink r:id="rId23" w:history="1">
        <w:r w:rsidRPr="007B397E">
          <w:rPr>
            <w:rStyle w:val="Hyperlink"/>
            <w:rFonts w:cs="Arial"/>
          </w:rPr>
          <w:t>claiming of PBS benefits</w:t>
        </w:r>
      </w:hyperlink>
      <w:r>
        <w:rPr>
          <w:rFonts w:cs="Arial"/>
        </w:rPr>
        <w:t xml:space="preserve"> is available at the </w:t>
      </w:r>
      <w:hyperlink r:id="rId24" w:history="1">
        <w:r w:rsidRPr="007E3F33">
          <w:rPr>
            <w:rStyle w:val="Hyperlink"/>
            <w:rFonts w:cs="Arial"/>
          </w:rPr>
          <w:t>Services Australia</w:t>
        </w:r>
      </w:hyperlink>
      <w:r>
        <w:rPr>
          <w:rFonts w:cs="Arial"/>
        </w:rPr>
        <w:t xml:space="preserve"> website.</w:t>
      </w:r>
      <w:bookmarkEnd w:id="0"/>
    </w:p>
    <w:sectPr w:rsidR="009040E9" w:rsidRPr="009040E9" w:rsidSect="00B53987">
      <w:headerReference w:type="default" r:id="rId25"/>
      <w:footerReference w:type="default" r:id="rId26"/>
      <w:headerReference w:type="first" r:id="rId27"/>
      <w:footerReference w:type="first" r:id="rId2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FF37" w14:textId="77777777" w:rsidR="00930310" w:rsidRDefault="00930310" w:rsidP="006B56BB">
      <w:r>
        <w:separator/>
      </w:r>
    </w:p>
    <w:p w14:paraId="338B986E" w14:textId="77777777" w:rsidR="00930310" w:rsidRDefault="00930310"/>
  </w:endnote>
  <w:endnote w:type="continuationSeparator" w:id="0">
    <w:p w14:paraId="3BE569F1" w14:textId="77777777" w:rsidR="00930310" w:rsidRDefault="00930310" w:rsidP="006B56BB">
      <w:r>
        <w:continuationSeparator/>
      </w:r>
    </w:p>
    <w:p w14:paraId="6B1E24A1" w14:textId="77777777" w:rsidR="00930310" w:rsidRDefault="00930310"/>
  </w:endnote>
  <w:endnote w:type="continuationNotice" w:id="1">
    <w:p w14:paraId="304C2B5D" w14:textId="77777777" w:rsidR="00930310" w:rsidRDefault="00930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7E15B56F" w:rsidR="00B53987" w:rsidRDefault="00AA262B" w:rsidP="00B53987">
    <w:pPr>
      <w:pStyle w:val="Footer"/>
    </w:pPr>
    <w:r>
      <w:t xml:space="preserve">Department of Health and Aged Care </w:t>
    </w:r>
    <w:r w:rsidR="00B53987">
      <w:t xml:space="preserve">– </w:t>
    </w:r>
    <w:r w:rsidR="007B1FEE">
      <w:t xml:space="preserve">Pharmaceutical Benefits Scheme Biosimilar </w:t>
    </w:r>
    <w:proofErr w:type="spellStart"/>
    <w:r w:rsidR="00FD7822">
      <w:t>Follitropin</w:t>
    </w:r>
    <w:proofErr w:type="spellEnd"/>
    <w:r w:rsidR="00FD7822">
      <w:t xml:space="preserve"> alfa</w:t>
    </w:r>
    <w:r w:rsidR="007B1FEE">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7EDD9776" w:rsidR="00B53987" w:rsidRDefault="00AA262B" w:rsidP="00B53987">
    <w:pPr>
      <w:pStyle w:val="Footer"/>
    </w:pPr>
    <w:r>
      <w:t xml:space="preserve">Department of Health and Aged Care </w:t>
    </w:r>
    <w:r w:rsidR="00B53987">
      <w:t xml:space="preserve">– </w:t>
    </w:r>
    <w:r w:rsidR="007B1FEE">
      <w:t xml:space="preserve">Pharmaceutical Benefits Scheme Biosimilar </w:t>
    </w:r>
    <w:proofErr w:type="spellStart"/>
    <w:r w:rsidR="00FD7822">
      <w:t>Follitropin</w:t>
    </w:r>
    <w:proofErr w:type="spellEnd"/>
    <w:r w:rsidR="00FD7822">
      <w:t xml:space="preserve"> alfa</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1238" w14:textId="77777777" w:rsidR="00930310" w:rsidRDefault="00930310" w:rsidP="006B56BB">
      <w:r>
        <w:separator/>
      </w:r>
    </w:p>
    <w:p w14:paraId="4CEC966E" w14:textId="77777777" w:rsidR="00930310" w:rsidRDefault="00930310"/>
  </w:footnote>
  <w:footnote w:type="continuationSeparator" w:id="0">
    <w:p w14:paraId="4AF6C560" w14:textId="77777777" w:rsidR="00930310" w:rsidRDefault="00930310" w:rsidP="006B56BB">
      <w:r>
        <w:continuationSeparator/>
      </w:r>
    </w:p>
    <w:p w14:paraId="77FED5E1" w14:textId="77777777" w:rsidR="00930310" w:rsidRDefault="00930310"/>
  </w:footnote>
  <w:footnote w:type="continuationNotice" w:id="1">
    <w:p w14:paraId="2D4842B7" w14:textId="77777777" w:rsidR="00930310" w:rsidRDefault="00930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F045985"/>
    <w:multiLevelType w:val="hybridMultilevel"/>
    <w:tmpl w:val="2F4E0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8"/>
  </w:num>
  <w:num w:numId="4">
    <w:abstractNumId w:val="8"/>
  </w:num>
  <w:num w:numId="5">
    <w:abstractNumId w:val="8"/>
    <w:lvlOverride w:ilvl="0">
      <w:startOverride w:val="1"/>
    </w:lvlOverride>
  </w:num>
  <w:num w:numId="6">
    <w:abstractNumId w:val="9"/>
  </w:num>
  <w:num w:numId="7">
    <w:abstractNumId w:val="13"/>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2"/>
  </w:num>
  <w:num w:numId="20">
    <w:abstractNumId w:val="10"/>
  </w:num>
  <w:num w:numId="21">
    <w:abstractNumId w:val="12"/>
  </w:num>
  <w:num w:numId="22">
    <w:abstractNumId w:val="19"/>
  </w:num>
  <w:num w:numId="23">
    <w:abstractNumId w:val="15"/>
  </w:num>
  <w:num w:numId="24">
    <w:abstractNumId w:val="18"/>
  </w:num>
  <w:num w:numId="25">
    <w:abstractNumId w:val="8"/>
  </w:num>
  <w:num w:numId="26">
    <w:abstractNumId w:val="1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5C6C"/>
    <w:rsid w:val="00026139"/>
    <w:rsid w:val="00027601"/>
    <w:rsid w:val="00033321"/>
    <w:rsid w:val="000338E5"/>
    <w:rsid w:val="00033ECC"/>
    <w:rsid w:val="0003422F"/>
    <w:rsid w:val="00042911"/>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6DD1"/>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5E4"/>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450"/>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6917"/>
    <w:rsid w:val="00447E31"/>
    <w:rsid w:val="00453923"/>
    <w:rsid w:val="00454B9B"/>
    <w:rsid w:val="00457858"/>
    <w:rsid w:val="00460B0B"/>
    <w:rsid w:val="00460C47"/>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3E74"/>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FEE"/>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44AE"/>
    <w:rsid w:val="009344DE"/>
    <w:rsid w:val="00945E7F"/>
    <w:rsid w:val="009463B7"/>
    <w:rsid w:val="00950D6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D38"/>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4DA8"/>
    <w:rsid w:val="00AB5762"/>
    <w:rsid w:val="00AC2679"/>
    <w:rsid w:val="00AC3BD2"/>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6B2A"/>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2FF5"/>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7822"/>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DB6B2A"/>
    <w:rPr>
      <w:color w:val="800080" w:themeColor="followedHyperlink"/>
      <w:u w:val="single"/>
    </w:rPr>
  </w:style>
  <w:style w:type="character" w:styleId="UnresolvedMention">
    <w:name w:val="Unresolved Mention"/>
    <w:basedOn w:val="DefaultParagraphFont"/>
    <w:uiPriority w:val="99"/>
    <w:semiHidden/>
    <w:unhideWhenUsed/>
    <w:rsid w:val="00DB6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general/changes-to-certain-s100-programs/revised-faqs-ivf-medicines-25-june-2015.pdf" TargetMode="External"/><Relationship Id="rId13" Type="http://schemas.openxmlformats.org/officeDocument/2006/relationships/hyperlink" Target="https://www.pbs.gov.au/pbs/search?term=follitropin+alfa" TargetMode="External"/><Relationship Id="rId18" Type="http://schemas.openxmlformats.org/officeDocument/2006/relationships/hyperlink" Target="https://www.tga.gov.au/resources/resource/guidance/biosimilar-medicines-regul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iosimilarhub.com.au/" TargetMode="External"/><Relationship Id="rId7" Type="http://schemas.openxmlformats.org/officeDocument/2006/relationships/endnotes" Target="endnotes.xml"/><Relationship Id="rId12" Type="http://schemas.openxmlformats.org/officeDocument/2006/relationships/hyperlink" Target="http://www.pbs.gov.au/browse/publications" TargetMode="External"/><Relationship Id="rId17" Type="http://schemas.openxmlformats.org/officeDocument/2006/relationships/hyperlink" Target="http://www.health.gov.au/biosimilar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bs.gov.au/info/industry/pricing" TargetMode="External"/><Relationship Id="rId20" Type="http://schemas.openxmlformats.org/officeDocument/2006/relationships/hyperlink" Target="https://www.pbs.gov.au/industry/listing/elements/pbac-meetings/psd/2021-07/files/follitropin-alfa-psd-july-202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pbs/search?term=follitropin+alfa" TargetMode="External"/><Relationship Id="rId24" Type="http://schemas.openxmlformats.org/officeDocument/2006/relationships/hyperlink" Target="https://www.servicesaustralia.gov.au/" TargetMode="External"/><Relationship Id="rId5" Type="http://schemas.openxmlformats.org/officeDocument/2006/relationships/webSettings" Target="webSettings.xml"/><Relationship Id="rId15" Type="http://schemas.openxmlformats.org/officeDocument/2006/relationships/hyperlink" Target="https://www.pbs.gov.au/general/biosimilars/biosimilar-uptake-drivers-q-and-a.pdf" TargetMode="External"/><Relationship Id="rId23" Type="http://schemas.openxmlformats.org/officeDocument/2006/relationships/hyperlink" Target="https://www.servicesaustralia.gov.au/claim-benefit-medicare-benefits-for-health-professionals?context=34076" TargetMode="External"/><Relationship Id="rId28" Type="http://schemas.openxmlformats.org/officeDocument/2006/relationships/footer" Target="footer2.xml"/><Relationship Id="rId10" Type="http://schemas.openxmlformats.org/officeDocument/2006/relationships/hyperlink" Target="https://www.pbs.gov.au/info/publication/factsheets/shared/fact-sheet-streamlined-authorities" TargetMode="External"/><Relationship Id="rId19" Type="http://schemas.openxmlformats.org/officeDocument/2006/relationships/hyperlink" Target="https://www.pbs.gov.au/industry/listing/elements/pbac-meetings/psd/2016-03/files/follitropin-alfa-psd-march-2016.pdf" TargetMode="External"/><Relationship Id="rId4" Type="http://schemas.openxmlformats.org/officeDocument/2006/relationships/settings" Target="settings.xml"/><Relationship Id="rId9" Type="http://schemas.openxmlformats.org/officeDocument/2006/relationships/hyperlink" Target="https://www.nps.org.au/medical-info/medicine-finder" TargetMode="External"/><Relationship Id="rId14" Type="http://schemas.openxmlformats.org/officeDocument/2006/relationships/hyperlink" Target="http://www.pbs.gov.au/browse/publications" TargetMode="External"/><Relationship Id="rId22" Type="http://schemas.openxmlformats.org/officeDocument/2006/relationships/hyperlink" Target="https://www.servicesaustralia.gov.au/pharmaceutical-benefits-schem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7806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Pharmaceutical Benefits Scheme – Biosimilar Follitropin alfa</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Follitropin alfa</dc:title>
  <dc:subject>Pharmaceutical Benefits Scheme</dc:subject>
  <dc:creator>Australian Government Department of Health and Aged Care</dc:creator>
  <cp:keywords>Pharmaceutical Benefits Scheme; Biosimilar medicines; Follitropin alfa</cp:keywords>
  <cp:lastModifiedBy/>
  <cp:revision>1</cp:revision>
  <dcterms:created xsi:type="dcterms:W3CDTF">2022-09-19T05:02:00Z</dcterms:created>
  <dcterms:modified xsi:type="dcterms:W3CDTF">2022-09-21T00:57:00Z</dcterms:modified>
</cp:coreProperties>
</file>