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1CA5F" w14:textId="3BCB1B8E" w:rsidR="00BA2732" w:rsidRPr="00FB320B" w:rsidRDefault="00FB320B" w:rsidP="003D033A">
      <w:pPr>
        <w:pStyle w:val="Title"/>
        <w:rPr>
          <w:sz w:val="40"/>
          <w:szCs w:val="44"/>
        </w:rPr>
      </w:pPr>
      <w:r w:rsidRPr="00FB320B">
        <w:rPr>
          <w:sz w:val="40"/>
          <w:szCs w:val="44"/>
        </w:rPr>
        <w:t>Terms of Reference - Better Access Evaluation</w:t>
      </w:r>
    </w:p>
    <w:p w14:paraId="198D77AE" w14:textId="77777777" w:rsidR="008376E2" w:rsidRPr="008376E2" w:rsidRDefault="008376E2" w:rsidP="008376E2">
      <w:pPr>
        <w:pStyle w:val="Paragraphtext"/>
        <w:sectPr w:rsidR="008376E2" w:rsidRPr="008376E2" w:rsidSect="00022629">
          <w:footerReference w:type="default" r:id="rId11"/>
          <w:headerReference w:type="first" r:id="rId12"/>
          <w:footerReference w:type="first" r:id="rId13"/>
          <w:pgSz w:w="11906" w:h="16838"/>
          <w:pgMar w:top="1701" w:right="1418" w:bottom="1418" w:left="1418" w:header="851" w:footer="709" w:gutter="0"/>
          <w:cols w:space="708"/>
          <w:titlePg/>
          <w:docGrid w:linePitch="360"/>
        </w:sectPr>
      </w:pPr>
    </w:p>
    <w:p w14:paraId="634B3560" w14:textId="4090DB71" w:rsidR="00FB320B" w:rsidRPr="00FB320B" w:rsidRDefault="00FB320B" w:rsidP="00FB320B">
      <w:pPr>
        <w:pStyle w:val="Paragraphtext"/>
        <w:rPr>
          <w:sz w:val="24"/>
          <w:szCs w:val="32"/>
        </w:rPr>
      </w:pPr>
      <w:r w:rsidRPr="00FB320B">
        <w:rPr>
          <w:sz w:val="24"/>
          <w:szCs w:val="32"/>
        </w:rPr>
        <w:t>The key objective of the Better Access evaluation is to consider the effectiveness of Better Access in achieving its overall aims of improving patient outcomes and increasing access to mental health care. It will also consider the effectiveness of the current Better Access model and recommend potential changes to enhance its ability to achieve its aims.</w:t>
      </w:r>
    </w:p>
    <w:p w14:paraId="0B050EE6" w14:textId="5D7EE278" w:rsidR="00FB320B" w:rsidRPr="00FB320B" w:rsidRDefault="00FB320B" w:rsidP="00FB320B">
      <w:pPr>
        <w:pStyle w:val="Paragraphtext"/>
        <w:rPr>
          <w:sz w:val="24"/>
        </w:rPr>
      </w:pPr>
      <w:r w:rsidRPr="00FB320B">
        <w:rPr>
          <w:sz w:val="24"/>
        </w:rPr>
        <w:t xml:space="preserve">The evaluation findings will be used to inform future reforms to the Better Access initiative and/or other measures to improve access to mental health treatment and patient outcomes. The evaluation will be conducted between </w:t>
      </w:r>
      <w:r w:rsidR="00271F3F">
        <w:rPr>
          <w:sz w:val="24"/>
        </w:rPr>
        <w:t xml:space="preserve">approximately </w:t>
      </w:r>
      <w:r w:rsidR="00D1710A">
        <w:rPr>
          <w:sz w:val="24"/>
        </w:rPr>
        <w:t>August</w:t>
      </w:r>
      <w:r w:rsidRPr="00FB320B">
        <w:rPr>
          <w:sz w:val="24"/>
        </w:rPr>
        <w:t xml:space="preserve"> 2021 and </w:t>
      </w:r>
      <w:r w:rsidR="003E7CBE">
        <w:rPr>
          <w:sz w:val="24"/>
        </w:rPr>
        <w:t>December</w:t>
      </w:r>
      <w:r w:rsidR="004228E4">
        <w:rPr>
          <w:sz w:val="24"/>
        </w:rPr>
        <w:t xml:space="preserve"> 2022</w:t>
      </w:r>
      <w:r w:rsidRPr="00FB320B">
        <w:rPr>
          <w:sz w:val="24"/>
        </w:rPr>
        <w:t>, and will be undertaken in two stages:</w:t>
      </w:r>
    </w:p>
    <w:p w14:paraId="5C194AFF" w14:textId="517E89B4" w:rsidR="00FB320B" w:rsidRPr="00FB320B" w:rsidRDefault="00FB320B" w:rsidP="00FB320B">
      <w:pPr>
        <w:pStyle w:val="Paragraphtext"/>
        <w:numPr>
          <w:ilvl w:val="0"/>
          <w:numId w:val="22"/>
        </w:numPr>
        <w:rPr>
          <w:sz w:val="24"/>
        </w:rPr>
      </w:pPr>
      <w:r w:rsidRPr="00FB320B">
        <w:rPr>
          <w:sz w:val="24"/>
        </w:rPr>
        <w:t xml:space="preserve">Stage one of the </w:t>
      </w:r>
      <w:proofErr w:type="gramStart"/>
      <w:r w:rsidRPr="00FB320B">
        <w:rPr>
          <w:sz w:val="24"/>
        </w:rPr>
        <w:t>evaluation</w:t>
      </w:r>
      <w:proofErr w:type="gramEnd"/>
      <w:r w:rsidRPr="00FB320B">
        <w:rPr>
          <w:sz w:val="24"/>
        </w:rPr>
        <w:t xml:space="preserve"> (conducted between approximately </w:t>
      </w:r>
      <w:r w:rsidR="00D1710A">
        <w:rPr>
          <w:sz w:val="24"/>
        </w:rPr>
        <w:t>August</w:t>
      </w:r>
      <w:r w:rsidRPr="00FB320B">
        <w:rPr>
          <w:sz w:val="24"/>
        </w:rPr>
        <w:t xml:space="preserve"> 2021 and</w:t>
      </w:r>
      <w:r w:rsidR="00271F3F">
        <w:rPr>
          <w:sz w:val="24"/>
        </w:rPr>
        <w:t xml:space="preserve"> </w:t>
      </w:r>
      <w:r w:rsidR="00FC3757">
        <w:rPr>
          <w:sz w:val="24"/>
        </w:rPr>
        <w:t xml:space="preserve">September </w:t>
      </w:r>
      <w:r w:rsidR="00C06955">
        <w:rPr>
          <w:sz w:val="24"/>
        </w:rPr>
        <w:t>2022</w:t>
      </w:r>
      <w:r w:rsidRPr="00FB320B">
        <w:rPr>
          <w:sz w:val="24"/>
        </w:rPr>
        <w:t>) will consider the effectiveness of Better Access in improving patient outcomes and increasing access to mental health care, including:</w:t>
      </w:r>
    </w:p>
    <w:p w14:paraId="515EF061" w14:textId="77777777" w:rsidR="00FB320B" w:rsidRPr="00FB320B" w:rsidRDefault="00FB320B" w:rsidP="00FB320B">
      <w:pPr>
        <w:pStyle w:val="Paragraphtext"/>
        <w:numPr>
          <w:ilvl w:val="1"/>
          <w:numId w:val="22"/>
        </w:numPr>
        <w:rPr>
          <w:sz w:val="24"/>
        </w:rPr>
      </w:pPr>
      <w:r w:rsidRPr="00FB320B">
        <w:rPr>
          <w:sz w:val="24"/>
        </w:rPr>
        <w:t>the clinical efficacy of treatment provided including individual patient outcomes and population level outcomes;</w:t>
      </w:r>
    </w:p>
    <w:p w14:paraId="4238879D" w14:textId="77777777" w:rsidR="00FB320B" w:rsidRPr="00FB320B" w:rsidRDefault="00FB320B" w:rsidP="00FB320B">
      <w:pPr>
        <w:pStyle w:val="Paragraphtext"/>
        <w:numPr>
          <w:ilvl w:val="1"/>
          <w:numId w:val="22"/>
        </w:numPr>
        <w:rPr>
          <w:sz w:val="24"/>
        </w:rPr>
      </w:pPr>
      <w:r w:rsidRPr="00FB320B">
        <w:rPr>
          <w:sz w:val="24"/>
        </w:rPr>
        <w:t>the optimum number of sessions or course of treatment required, on average, to improve patient outcomes, and the relative benefit of the additional 10 sessions on patient outcomes;</w:t>
      </w:r>
    </w:p>
    <w:p w14:paraId="0DB76BBA" w14:textId="77777777" w:rsidR="00FB320B" w:rsidRPr="00FB320B" w:rsidRDefault="00FB320B" w:rsidP="00FB320B">
      <w:pPr>
        <w:pStyle w:val="Paragraphtext"/>
        <w:numPr>
          <w:ilvl w:val="1"/>
          <w:numId w:val="22"/>
        </w:numPr>
        <w:rPr>
          <w:sz w:val="24"/>
        </w:rPr>
      </w:pPr>
      <w:r w:rsidRPr="00FB320B">
        <w:rPr>
          <w:sz w:val="24"/>
        </w:rPr>
        <w:t>the appropriateness and effectiveness of current treatment planning mechanisms and referral pathways; and</w:t>
      </w:r>
    </w:p>
    <w:p w14:paraId="050FCBF9" w14:textId="45208AB0" w:rsidR="00FB320B" w:rsidRPr="00FB320B" w:rsidRDefault="00FB320B" w:rsidP="00FB320B">
      <w:pPr>
        <w:pStyle w:val="Paragraphtext"/>
        <w:numPr>
          <w:ilvl w:val="1"/>
          <w:numId w:val="22"/>
        </w:numPr>
        <w:rPr>
          <w:sz w:val="24"/>
        </w:rPr>
      </w:pPr>
      <w:r w:rsidRPr="00FB320B">
        <w:rPr>
          <w:sz w:val="24"/>
        </w:rPr>
        <w:t>factors impacting access to and uptake of services including appropriateness of treatment and population demographics.</w:t>
      </w:r>
    </w:p>
    <w:p w14:paraId="4A10B692" w14:textId="5E0FB9A7" w:rsidR="00FB320B" w:rsidRPr="00FB320B" w:rsidRDefault="00FB320B" w:rsidP="00FB320B">
      <w:pPr>
        <w:pStyle w:val="Paragraphtext"/>
        <w:numPr>
          <w:ilvl w:val="0"/>
          <w:numId w:val="22"/>
        </w:numPr>
        <w:rPr>
          <w:sz w:val="24"/>
        </w:rPr>
      </w:pPr>
      <w:r w:rsidRPr="00FB320B">
        <w:rPr>
          <w:sz w:val="24"/>
        </w:rPr>
        <w:t xml:space="preserve">Stage two </w:t>
      </w:r>
      <w:r w:rsidR="004C1185">
        <w:rPr>
          <w:sz w:val="24"/>
        </w:rPr>
        <w:t xml:space="preserve">(to be conducted between </w:t>
      </w:r>
      <w:r w:rsidR="00FC3757">
        <w:rPr>
          <w:sz w:val="24"/>
        </w:rPr>
        <w:t>July</w:t>
      </w:r>
      <w:r w:rsidR="00994C11">
        <w:rPr>
          <w:sz w:val="24"/>
        </w:rPr>
        <w:t xml:space="preserve"> 2022 and </w:t>
      </w:r>
      <w:r w:rsidR="00FC3757">
        <w:rPr>
          <w:sz w:val="24"/>
        </w:rPr>
        <w:t xml:space="preserve">December </w:t>
      </w:r>
      <w:r w:rsidR="00994C11">
        <w:rPr>
          <w:sz w:val="24"/>
        </w:rPr>
        <w:t>2022</w:t>
      </w:r>
      <w:r w:rsidR="00062B62">
        <w:rPr>
          <w:sz w:val="24"/>
        </w:rPr>
        <w:t xml:space="preserve"> </w:t>
      </w:r>
      <w:r w:rsidRPr="00FB320B">
        <w:rPr>
          <w:sz w:val="24"/>
        </w:rPr>
        <w:t>will consider the issues identified under stage one that impact access to services, clinical efficacy and effectiveness of referral pathways and identify potential solutions to address these. In assessing potential solutions, consideration may be given to:</w:t>
      </w:r>
    </w:p>
    <w:p w14:paraId="7E38D1D5" w14:textId="77777777" w:rsidR="00FB320B" w:rsidRPr="00FB320B" w:rsidRDefault="00FB320B" w:rsidP="00FB320B">
      <w:pPr>
        <w:pStyle w:val="Paragraphtext"/>
        <w:numPr>
          <w:ilvl w:val="1"/>
          <w:numId w:val="23"/>
        </w:numPr>
        <w:rPr>
          <w:sz w:val="24"/>
        </w:rPr>
      </w:pPr>
      <w:r w:rsidRPr="00FB320B">
        <w:rPr>
          <w:sz w:val="24"/>
        </w:rPr>
        <w:t>specific matters raised in the report from the MBS Review Taskforce, such as eligible providers and rebates under Better Access; and</w:t>
      </w:r>
    </w:p>
    <w:p w14:paraId="2392A79A" w14:textId="22E964CC" w:rsidR="008376E2" w:rsidRPr="00FB320B" w:rsidRDefault="00FB320B" w:rsidP="003F646F">
      <w:pPr>
        <w:pStyle w:val="Paragraphtext"/>
        <w:numPr>
          <w:ilvl w:val="1"/>
          <w:numId w:val="23"/>
        </w:numPr>
        <w:rPr>
          <w:sz w:val="24"/>
        </w:rPr>
      </w:pPr>
      <w:r w:rsidRPr="00FB320B">
        <w:rPr>
          <w:sz w:val="24"/>
        </w:rPr>
        <w:t>specific matters raised by the Productivity Commission in its inquiry into mental health, such as availability of the mental health workforce, waiting times, out of pocket costs and affordability.</w:t>
      </w:r>
    </w:p>
    <w:sectPr w:rsidR="008376E2" w:rsidRPr="00FB320B" w:rsidSect="00022629">
      <w:headerReference w:type="default" r:id="rId14"/>
      <w:type w:val="continuous"/>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BED95" w14:textId="77777777" w:rsidR="0022516C" w:rsidRDefault="0022516C" w:rsidP="006B56BB">
      <w:r>
        <w:separator/>
      </w:r>
    </w:p>
    <w:p w14:paraId="1D662DA5" w14:textId="77777777" w:rsidR="0022516C" w:rsidRDefault="0022516C"/>
  </w:endnote>
  <w:endnote w:type="continuationSeparator" w:id="0">
    <w:p w14:paraId="1F978E8D" w14:textId="77777777" w:rsidR="0022516C" w:rsidRDefault="0022516C" w:rsidP="006B56BB">
      <w:r>
        <w:continuationSeparator/>
      </w:r>
    </w:p>
    <w:p w14:paraId="144479FD" w14:textId="77777777" w:rsidR="0022516C" w:rsidRDefault="0022516C"/>
  </w:endnote>
  <w:endnote w:type="continuationNotice" w:id="1">
    <w:p w14:paraId="3CFBDC1D" w14:textId="77777777" w:rsidR="0022516C" w:rsidRDefault="002251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070AB" w14:textId="77777777" w:rsidR="008D48C9" w:rsidRPr="003D033A" w:rsidRDefault="00E850C3" w:rsidP="003D033A">
    <w:pPr>
      <w:pStyle w:val="Footer"/>
      <w:tabs>
        <w:tab w:val="clear" w:pos="4513"/>
      </w:tabs>
      <w:jc w:val="right"/>
      <w:rPr>
        <w:szCs w:val="20"/>
      </w:rPr>
    </w:pPr>
    <w:r>
      <w:t xml:space="preserve">Department of Health - </w:t>
    </w:r>
    <w:r w:rsidRPr="00DE3355">
      <w:t xml:space="preserve">Insert </w:t>
    </w:r>
    <w:r>
      <w:t>Factsheet</w:t>
    </w:r>
    <w:r w:rsidRPr="00DE3355">
      <w:t xml:space="preserve"> title</w:t>
    </w:r>
    <w:r w:rsidR="003D033A" w:rsidRPr="003D033A">
      <w:rPr>
        <w:szCs w:val="20"/>
      </w:rPr>
      <w:t xml:space="preserve"> </w:t>
    </w:r>
    <w:sdt>
      <w:sdtPr>
        <w:rPr>
          <w:szCs w:val="20"/>
        </w:rPr>
        <w:id w:val="601842316"/>
        <w:docPartObj>
          <w:docPartGallery w:val="Page Numbers (Bottom of Page)"/>
          <w:docPartUnique/>
        </w:docPartObj>
      </w:sdtPr>
      <w:sdtEndPr>
        <w:rPr>
          <w:noProof/>
        </w:rPr>
      </w:sdtEndPr>
      <w:sdtContent>
        <w:r w:rsidR="003D033A">
          <w:rPr>
            <w:szCs w:val="20"/>
          </w:rPr>
          <w:tab/>
        </w:r>
        <w:r w:rsidR="003D033A" w:rsidRPr="006043C7">
          <w:rPr>
            <w:szCs w:val="20"/>
          </w:rPr>
          <w:fldChar w:fldCharType="begin"/>
        </w:r>
        <w:r w:rsidR="003D033A" w:rsidRPr="006043C7">
          <w:rPr>
            <w:szCs w:val="20"/>
          </w:rPr>
          <w:instrText xml:space="preserve"> PAGE   \* MERGEFORMAT </w:instrText>
        </w:r>
        <w:r w:rsidR="003D033A" w:rsidRPr="006043C7">
          <w:rPr>
            <w:szCs w:val="20"/>
          </w:rPr>
          <w:fldChar w:fldCharType="separate"/>
        </w:r>
        <w:r w:rsidR="002831A3">
          <w:rPr>
            <w:noProof/>
            <w:szCs w:val="20"/>
          </w:rPr>
          <w:t>3</w:t>
        </w:r>
        <w:r w:rsidR="003D033A" w:rsidRPr="006043C7">
          <w:rPr>
            <w:noProof/>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DB0D7" w14:textId="79488EE7" w:rsidR="008D48C9" w:rsidRPr="00DE3355" w:rsidRDefault="00AC2679" w:rsidP="003D033A">
    <w:pPr>
      <w:pStyle w:val="Footer"/>
      <w:tabs>
        <w:tab w:val="clear" w:pos="4513"/>
      </w:tabs>
    </w:pPr>
    <w:r>
      <w:t>Department of Health</w:t>
    </w:r>
    <w:r w:rsidR="0070750E">
      <w:t xml:space="preserve"> and Aged Care</w:t>
    </w:r>
    <w:r>
      <w:t xml:space="preserve"> </w:t>
    </w:r>
    <w:r w:rsidR="00FB320B">
      <w:t>–</w:t>
    </w:r>
    <w:r>
      <w:t xml:space="preserve"> </w:t>
    </w:r>
    <w:r w:rsidR="00FB320B">
      <w:t>Terms of Reference for the Better Access Evaluation</w:t>
    </w:r>
    <w:r w:rsidR="003D033A" w:rsidRPr="003D033A">
      <w:t xml:space="preserve"> </w:t>
    </w:r>
    <w:sdt>
      <w:sdtPr>
        <w:id w:val="-183903453"/>
        <w:docPartObj>
          <w:docPartGallery w:val="Page Numbers (Bottom of Page)"/>
          <w:docPartUnique/>
        </w:docPartObj>
      </w:sdtPr>
      <w:sdtEndPr/>
      <w:sdtContent>
        <w:r w:rsidR="003D033A">
          <w:tab/>
        </w:r>
        <w:r w:rsidR="003D033A" w:rsidRPr="003D033A">
          <w:fldChar w:fldCharType="begin"/>
        </w:r>
        <w:r w:rsidR="003D033A" w:rsidRPr="003D033A">
          <w:instrText xml:space="preserve"> PAGE   \* MERGEFORMAT </w:instrText>
        </w:r>
        <w:r w:rsidR="003D033A" w:rsidRPr="003D033A">
          <w:fldChar w:fldCharType="separate"/>
        </w:r>
        <w:r w:rsidR="002831A3">
          <w:rPr>
            <w:noProof/>
          </w:rPr>
          <w:t>1</w:t>
        </w:r>
        <w:r w:rsidR="003D033A"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76A23" w14:textId="77777777" w:rsidR="0022516C" w:rsidRDefault="0022516C" w:rsidP="006B56BB">
      <w:r>
        <w:separator/>
      </w:r>
    </w:p>
    <w:p w14:paraId="0FDFA6EC" w14:textId="77777777" w:rsidR="0022516C" w:rsidRDefault="0022516C"/>
  </w:footnote>
  <w:footnote w:type="continuationSeparator" w:id="0">
    <w:p w14:paraId="0AD3FC54" w14:textId="77777777" w:rsidR="0022516C" w:rsidRDefault="0022516C" w:rsidP="006B56BB">
      <w:r>
        <w:continuationSeparator/>
      </w:r>
    </w:p>
    <w:p w14:paraId="0183E1D6" w14:textId="77777777" w:rsidR="0022516C" w:rsidRDefault="0022516C"/>
  </w:footnote>
  <w:footnote w:type="continuationNotice" w:id="1">
    <w:p w14:paraId="094B7208" w14:textId="77777777" w:rsidR="0022516C" w:rsidRDefault="002251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D15CC" w14:textId="63B68C3F" w:rsidR="008D48C9" w:rsidRDefault="00A6740A">
    <w:pPr>
      <w:pStyle w:val="Header"/>
    </w:pPr>
    <w:r>
      <w:rPr>
        <w:noProof/>
        <w:lang w:eastAsia="en-AU"/>
      </w:rPr>
      <w:drawing>
        <wp:inline distT="0" distB="0" distL="0" distR="0" wp14:anchorId="01AD97DF" wp14:editId="734BC49E">
          <wp:extent cx="5759450" cy="941705"/>
          <wp:effectExtent l="0" t="0" r="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0611C" w14:textId="77777777" w:rsidR="008E0C77" w:rsidRDefault="008E0C77"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8A2B9E"/>
    <w:multiLevelType w:val="hybridMultilevel"/>
    <w:tmpl w:val="30C685E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98052F"/>
    <w:multiLevelType w:val="multilevel"/>
    <w:tmpl w:val="51C4302E"/>
    <w:lvl w:ilvl="0">
      <w:start w:val="12"/>
      <w:numFmt w:val="decimal"/>
      <w:lvlText w:val="%1."/>
      <w:lvlJc w:val="left"/>
      <w:pPr>
        <w:ind w:left="277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C446FD6"/>
    <w:multiLevelType w:val="hybridMultilevel"/>
    <w:tmpl w:val="E8362342"/>
    <w:lvl w:ilvl="0" w:tplc="FB9049FC">
      <w:start w:val="1"/>
      <w:numFmt w:val="decimal"/>
      <w:lvlText w:val="%1."/>
      <w:lvlJc w:val="left"/>
      <w:pPr>
        <w:ind w:left="360" w:hanging="360"/>
      </w:pPr>
      <w:rPr>
        <w:rFonts w:asciiTheme="minorHAnsi" w:hAnsiTheme="minorHAnsi" w:cstheme="minorHAnsi" w:hint="default"/>
        <w:b w:val="0"/>
        <w:bCs/>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7963B6D"/>
    <w:multiLevelType w:val="hybridMultilevel"/>
    <w:tmpl w:val="18EA164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6"/>
  </w:num>
  <w:num w:numId="3">
    <w:abstractNumId w:val="20"/>
  </w:num>
  <w:num w:numId="4">
    <w:abstractNumId w:val="9"/>
  </w:num>
  <w:num w:numId="5">
    <w:abstractNumId w:val="9"/>
    <w:lvlOverride w:ilvl="0">
      <w:startOverride w:val="1"/>
    </w:lvlOverride>
  </w:num>
  <w:num w:numId="6">
    <w:abstractNumId w:val="10"/>
  </w:num>
  <w:num w:numId="7">
    <w:abstractNumId w:val="15"/>
  </w:num>
  <w:num w:numId="8">
    <w:abstractNumId w:val="19"/>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1"/>
  </w:num>
  <w:num w:numId="17">
    <w:abstractNumId w:val="11"/>
  </w:num>
  <w:num w:numId="18">
    <w:abstractNumId w:val="12"/>
  </w:num>
  <w:num w:numId="19">
    <w:abstractNumId w:val="14"/>
  </w:num>
  <w:num w:numId="20">
    <w:abstractNumId w:val="13"/>
  </w:num>
  <w:num w:numId="21">
    <w:abstractNumId w:val="17"/>
  </w:num>
  <w:num w:numId="22">
    <w:abstractNumId w:val="18"/>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trackRevisions/>
  <w:documentProtection w:formatting="1" w:enforcement="0"/>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20B"/>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2B62"/>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90079"/>
    <w:rsid w:val="00193FD0"/>
    <w:rsid w:val="0019622E"/>
    <w:rsid w:val="001966A7"/>
    <w:rsid w:val="001A4627"/>
    <w:rsid w:val="001A4979"/>
    <w:rsid w:val="001B15D3"/>
    <w:rsid w:val="001B3443"/>
    <w:rsid w:val="001C0326"/>
    <w:rsid w:val="001C192F"/>
    <w:rsid w:val="001C3C42"/>
    <w:rsid w:val="001D7869"/>
    <w:rsid w:val="001E4364"/>
    <w:rsid w:val="002026CD"/>
    <w:rsid w:val="002033FC"/>
    <w:rsid w:val="002044BB"/>
    <w:rsid w:val="00210B09"/>
    <w:rsid w:val="00210C9E"/>
    <w:rsid w:val="00211840"/>
    <w:rsid w:val="00220E5F"/>
    <w:rsid w:val="002212B5"/>
    <w:rsid w:val="0022516C"/>
    <w:rsid w:val="00226668"/>
    <w:rsid w:val="00233809"/>
    <w:rsid w:val="00240046"/>
    <w:rsid w:val="0024797F"/>
    <w:rsid w:val="0025119E"/>
    <w:rsid w:val="00251269"/>
    <w:rsid w:val="002535C0"/>
    <w:rsid w:val="002579FE"/>
    <w:rsid w:val="0026311C"/>
    <w:rsid w:val="0026668C"/>
    <w:rsid w:val="00266AC1"/>
    <w:rsid w:val="0027178C"/>
    <w:rsid w:val="002719FA"/>
    <w:rsid w:val="00271F3F"/>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851"/>
    <w:rsid w:val="003C2AC8"/>
    <w:rsid w:val="003D033A"/>
    <w:rsid w:val="003D17F9"/>
    <w:rsid w:val="003D2D88"/>
    <w:rsid w:val="003D41EA"/>
    <w:rsid w:val="003D4850"/>
    <w:rsid w:val="003D535A"/>
    <w:rsid w:val="003E5265"/>
    <w:rsid w:val="003E7CBE"/>
    <w:rsid w:val="003F0955"/>
    <w:rsid w:val="003F5F4D"/>
    <w:rsid w:val="003F646F"/>
    <w:rsid w:val="00400F00"/>
    <w:rsid w:val="00404F8B"/>
    <w:rsid w:val="00405256"/>
    <w:rsid w:val="00410031"/>
    <w:rsid w:val="00415C81"/>
    <w:rsid w:val="004228E4"/>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1185"/>
    <w:rsid w:val="004C6BCF"/>
    <w:rsid w:val="004D58BF"/>
    <w:rsid w:val="004E4335"/>
    <w:rsid w:val="004F13EE"/>
    <w:rsid w:val="004F2022"/>
    <w:rsid w:val="004F7C05"/>
    <w:rsid w:val="00501C94"/>
    <w:rsid w:val="00506432"/>
    <w:rsid w:val="0052051D"/>
    <w:rsid w:val="00535614"/>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A1B29"/>
    <w:rsid w:val="006B2286"/>
    <w:rsid w:val="006B56BB"/>
    <w:rsid w:val="006C77A8"/>
    <w:rsid w:val="006D4098"/>
    <w:rsid w:val="006D7681"/>
    <w:rsid w:val="006D7B2E"/>
    <w:rsid w:val="006E02EA"/>
    <w:rsid w:val="006E0968"/>
    <w:rsid w:val="006E2AF6"/>
    <w:rsid w:val="00701275"/>
    <w:rsid w:val="0070750E"/>
    <w:rsid w:val="00707F56"/>
    <w:rsid w:val="00713558"/>
    <w:rsid w:val="00720D08"/>
    <w:rsid w:val="007263B9"/>
    <w:rsid w:val="007334F8"/>
    <w:rsid w:val="007339CD"/>
    <w:rsid w:val="007359D8"/>
    <w:rsid w:val="007362D4"/>
    <w:rsid w:val="00744B3B"/>
    <w:rsid w:val="0076672A"/>
    <w:rsid w:val="00775E45"/>
    <w:rsid w:val="00776E74"/>
    <w:rsid w:val="00785169"/>
    <w:rsid w:val="00787AAC"/>
    <w:rsid w:val="007954AB"/>
    <w:rsid w:val="007A14C5"/>
    <w:rsid w:val="007A4A10"/>
    <w:rsid w:val="007B1760"/>
    <w:rsid w:val="007C1FDC"/>
    <w:rsid w:val="007C6D9C"/>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43049"/>
    <w:rsid w:val="0084544A"/>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04C"/>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3214"/>
    <w:rsid w:val="00974B59"/>
    <w:rsid w:val="0098340B"/>
    <w:rsid w:val="00986830"/>
    <w:rsid w:val="009924C3"/>
    <w:rsid w:val="00993102"/>
    <w:rsid w:val="00994C11"/>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6740A"/>
    <w:rsid w:val="00A705AF"/>
    <w:rsid w:val="00A72454"/>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E5DD0"/>
    <w:rsid w:val="00AF7386"/>
    <w:rsid w:val="00AF7934"/>
    <w:rsid w:val="00B00B81"/>
    <w:rsid w:val="00B04580"/>
    <w:rsid w:val="00B04B09"/>
    <w:rsid w:val="00B16A51"/>
    <w:rsid w:val="00B32222"/>
    <w:rsid w:val="00B3618D"/>
    <w:rsid w:val="00B36233"/>
    <w:rsid w:val="00B42851"/>
    <w:rsid w:val="00B45AC7"/>
    <w:rsid w:val="00B5372F"/>
    <w:rsid w:val="00B61129"/>
    <w:rsid w:val="00B67E7F"/>
    <w:rsid w:val="00B839B2"/>
    <w:rsid w:val="00B94252"/>
    <w:rsid w:val="00B9715A"/>
    <w:rsid w:val="00BA14BE"/>
    <w:rsid w:val="00BA2732"/>
    <w:rsid w:val="00BA293D"/>
    <w:rsid w:val="00BA49BC"/>
    <w:rsid w:val="00BA56B7"/>
    <w:rsid w:val="00BA7A1E"/>
    <w:rsid w:val="00BB0A49"/>
    <w:rsid w:val="00BB2F6C"/>
    <w:rsid w:val="00BB3875"/>
    <w:rsid w:val="00BB5860"/>
    <w:rsid w:val="00BB6AAD"/>
    <w:rsid w:val="00BC4A19"/>
    <w:rsid w:val="00BC4E6D"/>
    <w:rsid w:val="00BD0617"/>
    <w:rsid w:val="00BD2E9B"/>
    <w:rsid w:val="00BD7FB2"/>
    <w:rsid w:val="00C00930"/>
    <w:rsid w:val="00C060AD"/>
    <w:rsid w:val="00C06955"/>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1710A"/>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320B"/>
    <w:rsid w:val="00FB6F92"/>
    <w:rsid w:val="00FC026E"/>
    <w:rsid w:val="00FC3757"/>
    <w:rsid w:val="00FC5124"/>
    <w:rsid w:val="00FD4731"/>
    <w:rsid w:val="00FD6768"/>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D95DA55"/>
  <w15:docId w15:val="{2AAEDE40-EA4F-4CAE-BB4A-4A2BD7CB7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3F5F4D"/>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8376E2"/>
    <w:pPr>
      <w:spacing w:before="480" w:after="12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8376E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列"/>
    <w:basedOn w:val="Normal"/>
    <w:link w:val="ListParagraphChar"/>
    <w:uiPriority w:val="34"/>
    <w:qFormat/>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after="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FB320B"/>
    <w:rPr>
      <w:rFonts w:ascii="Arial" w:hAnsi="Arial"/>
      <w:sz w:val="22"/>
      <w:szCs w:val="24"/>
      <w:lang w:eastAsia="en-US"/>
    </w:rPr>
  </w:style>
  <w:style w:type="character" w:styleId="CommentReference">
    <w:name w:val="annotation reference"/>
    <w:basedOn w:val="DefaultParagraphFont"/>
    <w:semiHidden/>
    <w:unhideWhenUsed/>
    <w:rsid w:val="00AE5DD0"/>
    <w:rPr>
      <w:sz w:val="16"/>
      <w:szCs w:val="16"/>
    </w:rPr>
  </w:style>
  <w:style w:type="paragraph" w:styleId="CommentText">
    <w:name w:val="annotation text"/>
    <w:basedOn w:val="Normal"/>
    <w:link w:val="CommentTextChar"/>
    <w:semiHidden/>
    <w:unhideWhenUsed/>
    <w:rsid w:val="00AE5DD0"/>
    <w:rPr>
      <w:sz w:val="20"/>
      <w:szCs w:val="20"/>
    </w:rPr>
  </w:style>
  <w:style w:type="character" w:customStyle="1" w:styleId="CommentTextChar">
    <w:name w:val="Comment Text Char"/>
    <w:basedOn w:val="DefaultParagraphFont"/>
    <w:link w:val="CommentText"/>
    <w:semiHidden/>
    <w:rsid w:val="00AE5DD0"/>
    <w:rPr>
      <w:rFonts w:ascii="Arial" w:hAnsi="Arial"/>
      <w:lang w:eastAsia="en-US"/>
    </w:rPr>
  </w:style>
  <w:style w:type="paragraph" w:styleId="CommentSubject">
    <w:name w:val="annotation subject"/>
    <w:basedOn w:val="CommentText"/>
    <w:next w:val="CommentText"/>
    <w:link w:val="CommentSubjectChar"/>
    <w:semiHidden/>
    <w:unhideWhenUsed/>
    <w:rsid w:val="00AE5DD0"/>
    <w:rPr>
      <w:b/>
      <w:bCs/>
    </w:rPr>
  </w:style>
  <w:style w:type="character" w:customStyle="1" w:styleId="CommentSubjectChar">
    <w:name w:val="Comment Subject Char"/>
    <w:basedOn w:val="CommentTextChar"/>
    <w:link w:val="CommentSubject"/>
    <w:semiHidden/>
    <w:rsid w:val="00AE5DD0"/>
    <w:rPr>
      <w:rFonts w:ascii="Arial" w:hAnsi="Arial"/>
      <w:b/>
      <w:bCs/>
      <w:lang w:eastAsia="en-US"/>
    </w:rPr>
  </w:style>
  <w:style w:type="paragraph" w:styleId="Revision">
    <w:name w:val="Revision"/>
    <w:hidden/>
    <w:uiPriority w:val="99"/>
    <w:semiHidden/>
    <w:rsid w:val="0070750E"/>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AE5D55D2855249BDE6284DECF3A812" ma:contentTypeVersion="1" ma:contentTypeDescription="Create a new document." ma:contentTypeScope="" ma:versionID="9f8c2a13d8772c794cad9e180fc8884a">
  <xsd:schema xmlns:xsd="http://www.w3.org/2001/XMLSchema" xmlns:xs="http://www.w3.org/2001/XMLSchema" xmlns:p="http://schemas.microsoft.com/office/2006/metadata/properties" xmlns:ns1="http://schemas.microsoft.com/sharepoint/v3" targetNamespace="http://schemas.microsoft.com/office/2006/metadata/properties" ma:root="true" ma:fieldsID="7a905017a9aa3b0c875ea481d4b6b51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9F7EEC40-2461-4695-8FAE-E68076A48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0C6417-ADBB-487B-9091-DC3471F064B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317</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Better Access Evaluation - Terms of Reference</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Better Access Evaluation - Terms of Reference</dc:title>
  <dc:creator>Department of Health and Aged Care</dc:creator>
  <cp:lastModifiedBy>COSTIN, Siobhan</cp:lastModifiedBy>
  <cp:revision>3</cp:revision>
  <dcterms:created xsi:type="dcterms:W3CDTF">2022-09-12T01:57:00Z</dcterms:created>
  <dcterms:modified xsi:type="dcterms:W3CDTF">2022-09-12T02:00:00Z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0x010100A6AE5D55D2855249BDE6284DECF3A812</vt:lpwstr>
  </property>
</Properties>
</file>