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B931A" w14:textId="0E7326CC" w:rsidR="00BC3E2C" w:rsidRDefault="00802CEE" w:rsidP="00480BA1">
      <w:pPr>
        <w:pStyle w:val="Title"/>
        <w:spacing w:line="276" w:lineRule="auto"/>
        <w:jc w:val="center"/>
        <w:rPr>
          <w:rFonts w:asciiTheme="minorHAnsi" w:hAnsiTheme="minorHAnsi" w:cstheme="minorHAnsi"/>
          <w:b/>
          <w:snapToGrid/>
          <w:color w:val="3F4A75"/>
          <w:spacing w:val="0"/>
          <w:sz w:val="48"/>
          <w:szCs w:val="52"/>
          <w:lang w:val="en-AU"/>
        </w:rPr>
      </w:pPr>
      <w:r>
        <w:rPr>
          <w:rFonts w:asciiTheme="minorHAnsi" w:hAnsiTheme="minorHAnsi" w:cstheme="minorHAnsi"/>
          <w:b/>
          <w:snapToGrid/>
          <w:color w:val="3F4A75"/>
          <w:spacing w:val="0"/>
          <w:sz w:val="48"/>
          <w:szCs w:val="52"/>
          <w:lang w:val="en-AU"/>
        </w:rPr>
        <w:t>Transition</w:t>
      </w:r>
      <w:r w:rsidRPr="007E5046">
        <w:rPr>
          <w:rFonts w:asciiTheme="minorHAnsi" w:hAnsiTheme="minorHAnsi" w:cstheme="minorHAnsi"/>
          <w:b/>
          <w:snapToGrid/>
          <w:color w:val="3F4A75"/>
          <w:spacing w:val="0"/>
          <w:sz w:val="48"/>
          <w:szCs w:val="52"/>
          <w:lang w:val="en-AU"/>
        </w:rPr>
        <w:t xml:space="preserve"> </w:t>
      </w:r>
      <w:r w:rsidR="00BC3E2C" w:rsidRPr="007E5046">
        <w:rPr>
          <w:rFonts w:asciiTheme="minorHAnsi" w:hAnsiTheme="minorHAnsi" w:cstheme="minorHAnsi"/>
          <w:b/>
          <w:snapToGrid/>
          <w:color w:val="3F4A75"/>
          <w:spacing w:val="0"/>
          <w:sz w:val="48"/>
          <w:szCs w:val="52"/>
          <w:lang w:val="en-AU"/>
        </w:rPr>
        <w:t>Action Plan</w:t>
      </w:r>
    </w:p>
    <w:p w14:paraId="210C6274" w14:textId="4A280C37" w:rsidR="00063157" w:rsidRPr="00177B01" w:rsidRDefault="00063157" w:rsidP="00177B01">
      <w:pPr>
        <w:pStyle w:val="Subtitle"/>
        <w:contextualSpacing/>
        <w:jc w:val="center"/>
        <w:rPr>
          <w:rFonts w:asciiTheme="minorHAnsi" w:hAnsiTheme="minorHAnsi" w:cstheme="minorHAnsi"/>
        </w:rPr>
      </w:pPr>
      <w:r w:rsidRPr="00063157">
        <w:rPr>
          <w:rFonts w:asciiTheme="minorHAnsi" w:hAnsiTheme="minorHAnsi" w:cstheme="minorHAnsi"/>
        </w:rPr>
        <w:t>August 2022</w:t>
      </w:r>
    </w:p>
    <w:p w14:paraId="27D706BE" w14:textId="6E7BDE4F" w:rsidR="00BC3E2C" w:rsidRPr="007E5046" w:rsidRDefault="00BC3E2C" w:rsidP="00177B01">
      <w:pPr>
        <w:pStyle w:val="Heading2"/>
        <w:spacing w:before="120" w:after="120" w:line="276" w:lineRule="auto"/>
        <w:jc w:val="center"/>
        <w:rPr>
          <w:rFonts w:asciiTheme="minorHAnsi" w:eastAsia="Times New Roman" w:hAnsiTheme="minorHAnsi" w:cstheme="minorHAnsi"/>
          <w:bCs/>
          <w:color w:val="3F4A75"/>
          <w:kern w:val="28"/>
          <w:sz w:val="36"/>
          <w:szCs w:val="36"/>
        </w:rPr>
      </w:pPr>
      <w:r w:rsidRPr="007E5046">
        <w:rPr>
          <w:rFonts w:asciiTheme="minorHAnsi" w:eastAsia="Times New Roman" w:hAnsiTheme="minorHAnsi" w:cstheme="minorHAnsi"/>
          <w:bCs/>
          <w:color w:val="3F4A75"/>
          <w:kern w:val="28"/>
          <w:sz w:val="36"/>
          <w:szCs w:val="36"/>
        </w:rPr>
        <w:t>National Organ and Tissue Donation, Retrieval and Transplantation System</w:t>
      </w:r>
    </w:p>
    <w:p w14:paraId="18B05D39" w14:textId="07FC5826" w:rsidR="007A7BB2" w:rsidRPr="007E5046" w:rsidRDefault="00BC3E2C" w:rsidP="004E5110">
      <w:pPr>
        <w:spacing w:before="120" w:after="120"/>
        <w:rPr>
          <w:rFonts w:asciiTheme="minorHAnsi" w:hAnsiTheme="minorHAnsi" w:cstheme="minorHAnsi"/>
          <w:szCs w:val="24"/>
        </w:rPr>
      </w:pPr>
      <w:r w:rsidRPr="007E5046">
        <w:rPr>
          <w:rFonts w:asciiTheme="minorHAnsi" w:hAnsiTheme="minorHAnsi" w:cstheme="minorHAnsi"/>
          <w:szCs w:val="24"/>
        </w:rPr>
        <w:t xml:space="preserve">The last decade has seen significant growth in the donation and transplantation </w:t>
      </w:r>
      <w:r w:rsidR="00BD76F3" w:rsidRPr="007E5046">
        <w:rPr>
          <w:rFonts w:asciiTheme="minorHAnsi" w:hAnsiTheme="minorHAnsi" w:cstheme="minorHAnsi"/>
          <w:szCs w:val="24"/>
        </w:rPr>
        <w:t xml:space="preserve">outcomes </w:t>
      </w:r>
      <w:r w:rsidRPr="007E5046">
        <w:rPr>
          <w:rFonts w:asciiTheme="minorHAnsi" w:hAnsiTheme="minorHAnsi" w:cstheme="minorHAnsi"/>
          <w:szCs w:val="24"/>
        </w:rPr>
        <w:t xml:space="preserve">in Australia. Organ donation rates are increasing as are the number of Australians whose lives are transformed following transplantation. </w:t>
      </w:r>
    </w:p>
    <w:p w14:paraId="40F51DA9" w14:textId="77777777" w:rsidR="007A7BB2" w:rsidRPr="007E5046" w:rsidRDefault="007A7BB2" w:rsidP="004E5110">
      <w:pPr>
        <w:rPr>
          <w:rFonts w:asciiTheme="minorHAnsi" w:hAnsiTheme="minorHAnsi" w:cstheme="minorHAnsi"/>
          <w:szCs w:val="24"/>
        </w:rPr>
      </w:pPr>
      <w:r w:rsidRPr="007E5046">
        <w:rPr>
          <w:rFonts w:asciiTheme="minorHAnsi" w:hAnsiTheme="minorHAnsi" w:cstheme="minorHAnsi"/>
          <w:szCs w:val="24"/>
        </w:rPr>
        <w:t>In 2017, academic literature and media reports highlighted the disparities in access to transplantation.</w:t>
      </w:r>
      <w:r w:rsidRPr="00D04718">
        <w:rPr>
          <w:rFonts w:asciiTheme="minorHAnsi" w:hAnsiTheme="minorHAnsi" w:cstheme="minorHAnsi"/>
          <w:szCs w:val="24"/>
          <w:vertAlign w:val="superscript"/>
        </w:rPr>
        <w:footnoteReference w:id="2"/>
      </w:r>
      <w:r w:rsidRPr="00D04718">
        <w:rPr>
          <w:rFonts w:asciiTheme="minorHAnsi" w:hAnsiTheme="minorHAnsi" w:cstheme="minorHAnsi"/>
          <w:szCs w:val="24"/>
          <w:vertAlign w:val="superscript"/>
        </w:rPr>
        <w:t xml:space="preserve"> </w:t>
      </w:r>
      <w:r w:rsidRPr="007E5046">
        <w:rPr>
          <w:rFonts w:asciiTheme="minorHAnsi" w:hAnsiTheme="minorHAnsi" w:cstheme="minorHAnsi"/>
          <w:szCs w:val="24"/>
        </w:rPr>
        <w:t xml:space="preserve">These articles raised the issue of inequitable access to transplant waiting lists for Aboriginal and Torres Strait Islander people and the added challenges experienced by patients in rural and remote areas of Australia. There was also evidence that the growth in donation activity was placing pressure on retrieval and transplant services. Consequently, all governments agreed to a review to examine </w:t>
      </w:r>
      <w:proofErr w:type="gramStart"/>
      <w:r w:rsidRPr="007E5046">
        <w:rPr>
          <w:rFonts w:asciiTheme="minorHAnsi" w:hAnsiTheme="minorHAnsi" w:cstheme="minorHAnsi"/>
          <w:szCs w:val="24"/>
        </w:rPr>
        <w:t>pre</w:t>
      </w:r>
      <w:proofErr w:type="gramEnd"/>
      <w:r w:rsidRPr="007E5046">
        <w:rPr>
          <w:rFonts w:asciiTheme="minorHAnsi" w:hAnsiTheme="minorHAnsi" w:cstheme="minorHAnsi"/>
          <w:szCs w:val="24"/>
        </w:rPr>
        <w:t xml:space="preserve"> and post-transplantation services and identify barriers to equity of access to transplant wait lists and transplantation services. </w:t>
      </w:r>
    </w:p>
    <w:p w14:paraId="3E19FAFA" w14:textId="77777777" w:rsidR="00BC3E2C" w:rsidRPr="007E5046" w:rsidRDefault="00BC3E2C" w:rsidP="004E5110">
      <w:pPr>
        <w:spacing w:before="120" w:after="120"/>
        <w:rPr>
          <w:rFonts w:asciiTheme="minorHAnsi" w:hAnsiTheme="minorHAnsi" w:cstheme="minorHAnsi"/>
          <w:szCs w:val="24"/>
        </w:rPr>
      </w:pPr>
      <w:r w:rsidRPr="007E5046">
        <w:rPr>
          <w:rFonts w:asciiTheme="minorHAnsi" w:hAnsiTheme="minorHAnsi" w:cstheme="minorHAnsi"/>
          <w:szCs w:val="24"/>
          <w:lang w:eastAsia="en-AU"/>
        </w:rPr>
        <w:t xml:space="preserve">The Review of the Australian organ donation, </w:t>
      </w:r>
      <w:proofErr w:type="gramStart"/>
      <w:r w:rsidRPr="007E5046">
        <w:rPr>
          <w:rFonts w:asciiTheme="minorHAnsi" w:hAnsiTheme="minorHAnsi" w:cstheme="minorHAnsi"/>
          <w:szCs w:val="24"/>
          <w:lang w:eastAsia="en-AU"/>
        </w:rPr>
        <w:t>retrieval</w:t>
      </w:r>
      <w:proofErr w:type="gramEnd"/>
      <w:r w:rsidRPr="007E5046">
        <w:rPr>
          <w:rFonts w:asciiTheme="minorHAnsi" w:hAnsiTheme="minorHAnsi" w:cstheme="minorHAnsi"/>
          <w:szCs w:val="24"/>
          <w:lang w:eastAsia="en-AU"/>
        </w:rPr>
        <w:t xml:space="preserve"> and transplantation system Final Report</w:t>
      </w:r>
      <w:r w:rsidRPr="007E5046">
        <w:rPr>
          <w:rStyle w:val="FootnoteReference"/>
          <w:rFonts w:asciiTheme="minorHAnsi" w:hAnsiTheme="minorHAnsi" w:cstheme="minorHAnsi"/>
          <w:szCs w:val="24"/>
          <w:lang w:eastAsia="en-AU"/>
        </w:rPr>
        <w:footnoteReference w:id="3"/>
      </w:r>
      <w:r w:rsidRPr="007E5046">
        <w:rPr>
          <w:rFonts w:asciiTheme="minorHAnsi" w:hAnsiTheme="minorHAnsi" w:cstheme="minorHAnsi"/>
          <w:szCs w:val="24"/>
          <w:lang w:eastAsia="en-AU"/>
        </w:rPr>
        <w:t xml:space="preserve"> (Review Report), released on 21 February 2020, f</w:t>
      </w:r>
      <w:r w:rsidRPr="007E5046">
        <w:rPr>
          <w:rFonts w:asciiTheme="minorHAnsi" w:hAnsiTheme="minorHAnsi" w:cstheme="minorHAnsi"/>
          <w:szCs w:val="24"/>
        </w:rPr>
        <w:t xml:space="preserve">ound that the increased organ donation activity has placed downstream pressure on organ retrieval and transplantation services, </w:t>
      </w:r>
      <w:r w:rsidR="008C20B3" w:rsidRPr="007E5046">
        <w:rPr>
          <w:rFonts w:asciiTheme="minorHAnsi" w:hAnsiTheme="minorHAnsi" w:cstheme="minorHAnsi"/>
          <w:szCs w:val="24"/>
        </w:rPr>
        <w:t xml:space="preserve">putting strain on the capacity and capability of the system to maintain growth. </w:t>
      </w:r>
      <w:r w:rsidRPr="007E5046">
        <w:rPr>
          <w:rFonts w:asciiTheme="minorHAnsi" w:hAnsiTheme="minorHAnsi" w:cstheme="minorHAnsi"/>
          <w:szCs w:val="24"/>
        </w:rPr>
        <w:t xml:space="preserve">Further, inconsistent practices and variable performance nationally have contributed to inequity of access for Aboriginal and Torres Strait Islander Australians and Australians living in rural and remote locations. </w:t>
      </w:r>
    </w:p>
    <w:p w14:paraId="05BE145A" w14:textId="5C364CBB" w:rsidR="00BC3E2C" w:rsidRPr="00D04718" w:rsidRDefault="00BC3E2C" w:rsidP="004E5110">
      <w:pPr>
        <w:rPr>
          <w:rFonts w:asciiTheme="minorHAnsi" w:hAnsiTheme="minorHAnsi" w:cstheme="minorHAnsi"/>
          <w:szCs w:val="24"/>
        </w:rPr>
      </w:pPr>
      <w:r w:rsidRPr="007E5046">
        <w:rPr>
          <w:rFonts w:asciiTheme="minorHAnsi" w:hAnsiTheme="minorHAnsi" w:cstheme="minorHAnsi"/>
          <w:szCs w:val="24"/>
        </w:rPr>
        <w:t>In addition, following the</w:t>
      </w:r>
      <w:r w:rsidR="0031797C" w:rsidRPr="007E5046">
        <w:rPr>
          <w:rFonts w:asciiTheme="minorHAnsi" w:hAnsiTheme="minorHAnsi" w:cstheme="minorHAnsi"/>
          <w:szCs w:val="24"/>
        </w:rPr>
        <w:t xml:space="preserve"> 2016</w:t>
      </w:r>
      <w:r w:rsidRPr="007E5046">
        <w:rPr>
          <w:rFonts w:asciiTheme="minorHAnsi" w:hAnsiTheme="minorHAnsi" w:cstheme="minorHAnsi"/>
          <w:szCs w:val="24"/>
        </w:rPr>
        <w:t xml:space="preserve"> PricewaterhouseCoopers (PwC) Report: </w:t>
      </w:r>
      <w:r w:rsidRPr="007E5046">
        <w:rPr>
          <w:rFonts w:asciiTheme="minorHAnsi" w:hAnsiTheme="minorHAnsi" w:cstheme="minorHAnsi"/>
          <w:i/>
          <w:szCs w:val="24"/>
        </w:rPr>
        <w:t>Analysis of the Australian Tissue Sector</w:t>
      </w:r>
      <w:r w:rsidRPr="007E5046">
        <w:rPr>
          <w:rFonts w:asciiTheme="minorHAnsi" w:hAnsiTheme="minorHAnsi" w:cstheme="minorHAnsi"/>
          <w:szCs w:val="24"/>
          <w:vertAlign w:val="superscript"/>
        </w:rPr>
        <w:footnoteReference w:id="4"/>
      </w:r>
      <w:r w:rsidRPr="007E5046">
        <w:rPr>
          <w:rFonts w:asciiTheme="minorHAnsi" w:hAnsiTheme="minorHAnsi" w:cstheme="minorHAnsi"/>
          <w:szCs w:val="24"/>
        </w:rPr>
        <w:t xml:space="preserve">, all governments agreed to a National Eye and Tissue Sector Framework (the Framework). The Framework provides the overarching </w:t>
      </w:r>
      <w:r w:rsidR="0031797C" w:rsidRPr="007E5046">
        <w:rPr>
          <w:rFonts w:asciiTheme="minorHAnsi" w:hAnsiTheme="minorHAnsi" w:cstheme="minorHAnsi"/>
          <w:szCs w:val="24"/>
        </w:rPr>
        <w:t>principles</w:t>
      </w:r>
      <w:r w:rsidRPr="007E5046">
        <w:rPr>
          <w:rFonts w:asciiTheme="minorHAnsi" w:hAnsiTheme="minorHAnsi" w:cstheme="minorHAnsi"/>
          <w:szCs w:val="24"/>
        </w:rPr>
        <w:t xml:space="preserve"> for the Australian eye and tissue sector including national objectives to achieve the vision that Australians</w:t>
      </w:r>
      <w:r w:rsidRPr="007E5046">
        <w:rPr>
          <w:rStyle w:val="FootnoteReference"/>
          <w:rFonts w:asciiTheme="minorHAnsi" w:hAnsiTheme="minorHAnsi" w:cstheme="minorHAnsi"/>
          <w:szCs w:val="24"/>
        </w:rPr>
        <w:footnoteReference w:id="5"/>
      </w:r>
      <w:r w:rsidRPr="007E5046">
        <w:rPr>
          <w:rFonts w:asciiTheme="minorHAnsi" w:hAnsiTheme="minorHAnsi" w:cstheme="minorHAnsi"/>
          <w:szCs w:val="24"/>
        </w:rPr>
        <w:t xml:space="preserve"> have safe, equitable and ethical access to life</w:t>
      </w:r>
      <w:r w:rsidRPr="007E5046">
        <w:rPr>
          <w:rFonts w:asciiTheme="minorHAnsi" w:hAnsiTheme="minorHAnsi" w:cstheme="minorHAnsi"/>
          <w:szCs w:val="24"/>
        </w:rPr>
        <w:noBreakHyphen/>
        <w:t>altering and/or life</w:t>
      </w:r>
      <w:r w:rsidRPr="007E5046">
        <w:rPr>
          <w:rFonts w:asciiTheme="minorHAnsi" w:hAnsiTheme="minorHAnsi" w:cstheme="minorHAnsi"/>
          <w:szCs w:val="24"/>
        </w:rPr>
        <w:noBreakHyphen/>
        <w:t xml:space="preserve">saving tissue transplantation, through a strong and effective Australian eye and tissue </w:t>
      </w:r>
      <w:r w:rsidRPr="00D04718">
        <w:rPr>
          <w:rFonts w:asciiTheme="minorHAnsi" w:hAnsiTheme="minorHAnsi" w:cstheme="minorHAnsi"/>
          <w:szCs w:val="24"/>
        </w:rPr>
        <w:t>donation for transplantation sector.</w:t>
      </w:r>
    </w:p>
    <w:p w14:paraId="681F77C4" w14:textId="2218ACFF" w:rsidR="00BC3E2C" w:rsidRPr="007E5046" w:rsidRDefault="00BC3E2C" w:rsidP="004E5110">
      <w:pPr>
        <w:spacing w:before="120" w:after="120"/>
        <w:rPr>
          <w:rFonts w:asciiTheme="minorHAnsi" w:hAnsiTheme="minorHAnsi" w:cstheme="minorHAnsi"/>
          <w:szCs w:val="24"/>
          <w:lang w:val="en-AU"/>
        </w:rPr>
      </w:pPr>
      <w:r w:rsidRPr="00D04718">
        <w:rPr>
          <w:rFonts w:asciiTheme="minorHAnsi" w:hAnsiTheme="minorHAnsi" w:cstheme="minorHAnsi"/>
          <w:szCs w:val="24"/>
        </w:rPr>
        <w:t xml:space="preserve">A national strategy (the Strategy) for the Australian organ donation, </w:t>
      </w:r>
      <w:proofErr w:type="gramStart"/>
      <w:r w:rsidRPr="00D04718">
        <w:rPr>
          <w:rFonts w:asciiTheme="minorHAnsi" w:hAnsiTheme="minorHAnsi" w:cstheme="minorHAnsi"/>
          <w:szCs w:val="24"/>
        </w:rPr>
        <w:t>retrieval</w:t>
      </w:r>
      <w:proofErr w:type="gramEnd"/>
      <w:r w:rsidRPr="00D04718">
        <w:rPr>
          <w:rFonts w:asciiTheme="minorHAnsi" w:hAnsiTheme="minorHAnsi" w:cstheme="minorHAnsi"/>
          <w:szCs w:val="24"/>
        </w:rPr>
        <w:t xml:space="preserve"> and transplantation system, will provide national direction for a sustainable and equitable organ and tissue donation and</w:t>
      </w:r>
      <w:r w:rsidR="00610E26" w:rsidRPr="00D04718">
        <w:rPr>
          <w:rFonts w:asciiTheme="minorHAnsi" w:hAnsiTheme="minorHAnsi" w:cstheme="minorHAnsi"/>
          <w:szCs w:val="24"/>
        </w:rPr>
        <w:t xml:space="preserve"> organ</w:t>
      </w:r>
      <w:r w:rsidRPr="00D04718">
        <w:rPr>
          <w:rFonts w:asciiTheme="minorHAnsi" w:hAnsiTheme="minorHAnsi" w:cstheme="minorHAnsi"/>
          <w:szCs w:val="24"/>
        </w:rPr>
        <w:t xml:space="preserve"> transplantation system</w:t>
      </w:r>
      <w:r w:rsidR="00625D47" w:rsidRPr="00D04718">
        <w:rPr>
          <w:rFonts w:asciiTheme="minorHAnsi" w:hAnsiTheme="minorHAnsi" w:cstheme="minorHAnsi"/>
          <w:szCs w:val="24"/>
        </w:rPr>
        <w:t xml:space="preserve">, and will be </w:t>
      </w:r>
      <w:r w:rsidR="00863B95" w:rsidRPr="00D04718">
        <w:rPr>
          <w:rFonts w:asciiTheme="minorHAnsi" w:hAnsiTheme="minorHAnsi" w:cstheme="minorHAnsi"/>
          <w:szCs w:val="24"/>
        </w:rPr>
        <w:t>progressed</w:t>
      </w:r>
      <w:r w:rsidR="00625D47" w:rsidRPr="00D04718">
        <w:rPr>
          <w:rFonts w:asciiTheme="minorHAnsi" w:hAnsiTheme="minorHAnsi" w:cstheme="minorHAnsi"/>
          <w:szCs w:val="24"/>
        </w:rPr>
        <w:t xml:space="preserve"> in conjunction </w:t>
      </w:r>
      <w:r w:rsidR="00625D47" w:rsidRPr="00D04718">
        <w:rPr>
          <w:rFonts w:asciiTheme="minorHAnsi" w:hAnsiTheme="minorHAnsi" w:cstheme="minorHAnsi"/>
          <w:szCs w:val="24"/>
        </w:rPr>
        <w:lastRenderedPageBreak/>
        <w:t xml:space="preserve">with the </w:t>
      </w:r>
      <w:r w:rsidR="00AA2624" w:rsidRPr="00D04718">
        <w:rPr>
          <w:rFonts w:asciiTheme="minorHAnsi" w:hAnsiTheme="minorHAnsi" w:cstheme="minorHAnsi"/>
          <w:szCs w:val="24"/>
        </w:rPr>
        <w:t xml:space="preserve">Organ and Tissue Authority’s (OTA) </w:t>
      </w:r>
      <w:r w:rsidR="006D0228" w:rsidRPr="00D04718">
        <w:rPr>
          <w:rFonts w:asciiTheme="minorHAnsi" w:hAnsiTheme="minorHAnsi" w:cstheme="minorHAnsi"/>
          <w:i/>
          <w:iCs/>
          <w:szCs w:val="24"/>
        </w:rPr>
        <w:t xml:space="preserve">Progressing Australian organ and tissue donation </w:t>
      </w:r>
      <w:r w:rsidR="00CB3D3A">
        <w:rPr>
          <w:rFonts w:asciiTheme="minorHAnsi" w:hAnsiTheme="minorHAnsi" w:cstheme="minorHAnsi"/>
          <w:i/>
          <w:iCs/>
          <w:szCs w:val="24"/>
        </w:rPr>
        <w:t>and</w:t>
      </w:r>
      <w:r w:rsidR="00CB3D3A" w:rsidRPr="00D04718">
        <w:rPr>
          <w:rFonts w:asciiTheme="minorHAnsi" w:hAnsiTheme="minorHAnsi" w:cstheme="minorHAnsi"/>
          <w:i/>
          <w:iCs/>
          <w:szCs w:val="24"/>
        </w:rPr>
        <w:t xml:space="preserve"> </w:t>
      </w:r>
      <w:r w:rsidR="006D0228" w:rsidRPr="00D04718">
        <w:rPr>
          <w:rFonts w:asciiTheme="minorHAnsi" w:hAnsiTheme="minorHAnsi" w:cstheme="minorHAnsi"/>
          <w:i/>
          <w:iCs/>
          <w:szCs w:val="24"/>
        </w:rPr>
        <w:t xml:space="preserve">transplantation to </w:t>
      </w:r>
      <w:r w:rsidR="00CB3D3A">
        <w:rPr>
          <w:rFonts w:asciiTheme="minorHAnsi" w:hAnsiTheme="minorHAnsi" w:cstheme="minorHAnsi"/>
          <w:i/>
          <w:iCs/>
          <w:szCs w:val="24"/>
        </w:rPr>
        <w:t>2025</w:t>
      </w:r>
      <w:r w:rsidR="00CB3D3A" w:rsidRPr="00D04718">
        <w:rPr>
          <w:rFonts w:asciiTheme="minorHAnsi" w:hAnsiTheme="minorHAnsi" w:cstheme="minorHAnsi"/>
          <w:i/>
          <w:iCs/>
          <w:szCs w:val="24"/>
        </w:rPr>
        <w:t xml:space="preserve"> </w:t>
      </w:r>
      <w:r w:rsidR="006D0228" w:rsidRPr="00D04718">
        <w:rPr>
          <w:rFonts w:asciiTheme="minorHAnsi" w:hAnsiTheme="minorHAnsi" w:cstheme="minorHAnsi"/>
          <w:i/>
          <w:iCs/>
          <w:szCs w:val="24"/>
        </w:rPr>
        <w:t>Strategic Plan</w:t>
      </w:r>
      <w:r w:rsidRPr="00D04718">
        <w:rPr>
          <w:rFonts w:asciiTheme="minorHAnsi" w:hAnsiTheme="minorHAnsi" w:cstheme="minorHAnsi"/>
          <w:szCs w:val="24"/>
        </w:rPr>
        <w:t xml:space="preserve">. </w:t>
      </w:r>
      <w:r w:rsidRPr="00903F08">
        <w:rPr>
          <w:rFonts w:asciiTheme="minorHAnsi" w:hAnsiTheme="minorHAnsi" w:cstheme="minorHAnsi"/>
          <w:szCs w:val="24"/>
        </w:rPr>
        <w:t xml:space="preserve">Consultation with stakeholders will </w:t>
      </w:r>
      <w:r w:rsidR="0031797C" w:rsidRPr="00903F08">
        <w:rPr>
          <w:rFonts w:asciiTheme="minorHAnsi" w:hAnsiTheme="minorHAnsi" w:cstheme="minorHAnsi"/>
          <w:szCs w:val="24"/>
        </w:rPr>
        <w:t xml:space="preserve">help to </w:t>
      </w:r>
      <w:r w:rsidRPr="00903F08">
        <w:rPr>
          <w:rFonts w:asciiTheme="minorHAnsi" w:hAnsiTheme="minorHAnsi" w:cstheme="minorHAnsi"/>
          <w:szCs w:val="24"/>
        </w:rPr>
        <w:t>ensure implementation of the Strategy is feasible</w:t>
      </w:r>
      <w:r w:rsidR="003A342E" w:rsidRPr="00903F08">
        <w:rPr>
          <w:rFonts w:asciiTheme="minorHAnsi" w:hAnsiTheme="minorHAnsi" w:cstheme="minorHAnsi"/>
          <w:szCs w:val="24"/>
        </w:rPr>
        <w:t xml:space="preserve"> and reflects the needs of the sector</w:t>
      </w:r>
      <w:r w:rsidRPr="00903F08">
        <w:rPr>
          <w:rFonts w:asciiTheme="minorHAnsi" w:hAnsiTheme="minorHAnsi" w:cstheme="minorHAnsi"/>
          <w:szCs w:val="24"/>
        </w:rPr>
        <w:t>.</w:t>
      </w:r>
      <w:r w:rsidR="00610E26" w:rsidRPr="007E5046">
        <w:rPr>
          <w:rFonts w:asciiTheme="minorHAnsi" w:hAnsiTheme="minorHAnsi" w:cstheme="minorHAnsi"/>
          <w:szCs w:val="24"/>
        </w:rPr>
        <w:t xml:space="preserve"> </w:t>
      </w:r>
    </w:p>
    <w:p w14:paraId="1A428774" w14:textId="5E4D99AF" w:rsidR="00D326BF" w:rsidRPr="007E5046" w:rsidRDefault="00D326BF" w:rsidP="004E5110">
      <w:pPr>
        <w:spacing w:before="120" w:after="120"/>
        <w:rPr>
          <w:rFonts w:asciiTheme="minorHAnsi" w:hAnsiTheme="minorHAnsi" w:cstheme="minorHAnsi"/>
          <w:szCs w:val="24"/>
        </w:rPr>
      </w:pPr>
      <w:r w:rsidRPr="007E5046">
        <w:rPr>
          <w:rFonts w:asciiTheme="minorHAnsi" w:hAnsiTheme="minorHAnsi" w:cstheme="minorHAnsi"/>
          <w:szCs w:val="24"/>
        </w:rPr>
        <w:t xml:space="preserve">This </w:t>
      </w:r>
      <w:r w:rsidR="00802CEE">
        <w:rPr>
          <w:rFonts w:asciiTheme="minorHAnsi" w:hAnsiTheme="minorHAnsi" w:cstheme="minorHAnsi"/>
          <w:szCs w:val="24"/>
        </w:rPr>
        <w:t>Transition</w:t>
      </w:r>
      <w:r w:rsidR="00802CEE" w:rsidRPr="007E5046">
        <w:rPr>
          <w:rFonts w:asciiTheme="minorHAnsi" w:hAnsiTheme="minorHAnsi" w:cstheme="minorHAnsi"/>
          <w:szCs w:val="24"/>
        </w:rPr>
        <w:t xml:space="preserve"> </w:t>
      </w:r>
      <w:r w:rsidRPr="007E5046">
        <w:rPr>
          <w:rFonts w:asciiTheme="minorHAnsi" w:hAnsiTheme="minorHAnsi" w:cstheme="minorHAnsi"/>
          <w:szCs w:val="24"/>
        </w:rPr>
        <w:t>Action Plan (</w:t>
      </w:r>
      <w:r w:rsidR="00802CEE">
        <w:rPr>
          <w:rFonts w:asciiTheme="minorHAnsi" w:hAnsiTheme="minorHAnsi" w:cstheme="minorHAnsi"/>
          <w:szCs w:val="24"/>
        </w:rPr>
        <w:t>T</w:t>
      </w:r>
      <w:r w:rsidRPr="007E5046">
        <w:rPr>
          <w:rFonts w:asciiTheme="minorHAnsi" w:hAnsiTheme="minorHAnsi" w:cstheme="minorHAnsi"/>
          <w:szCs w:val="24"/>
        </w:rPr>
        <w:t>AP) aims to consolidate and progress</w:t>
      </w:r>
      <w:r w:rsidR="003A342E" w:rsidRPr="007E5046">
        <w:rPr>
          <w:rFonts w:asciiTheme="minorHAnsi" w:hAnsiTheme="minorHAnsi" w:cstheme="minorHAnsi"/>
          <w:szCs w:val="24"/>
        </w:rPr>
        <w:t xml:space="preserve">, under </w:t>
      </w:r>
      <w:r w:rsidR="00903F08">
        <w:rPr>
          <w:rFonts w:asciiTheme="minorHAnsi" w:hAnsiTheme="minorHAnsi" w:cstheme="minorHAnsi"/>
          <w:szCs w:val="24"/>
        </w:rPr>
        <w:t>four</w:t>
      </w:r>
      <w:r w:rsidR="003A342E" w:rsidRPr="007E5046">
        <w:rPr>
          <w:rFonts w:asciiTheme="minorHAnsi" w:hAnsiTheme="minorHAnsi" w:cstheme="minorHAnsi"/>
          <w:szCs w:val="24"/>
        </w:rPr>
        <w:t xml:space="preserve"> priority areas</w:t>
      </w:r>
      <w:r w:rsidRPr="007E5046">
        <w:rPr>
          <w:rFonts w:asciiTheme="minorHAnsi" w:hAnsiTheme="minorHAnsi" w:cstheme="minorHAnsi"/>
          <w:szCs w:val="24"/>
        </w:rPr>
        <w:t>, 12</w:t>
      </w:r>
      <w:r w:rsidR="00903F08">
        <w:rPr>
          <w:rFonts w:asciiTheme="minorHAnsi" w:hAnsiTheme="minorHAnsi" w:cstheme="minorHAnsi"/>
          <w:szCs w:val="24"/>
        </w:rPr>
        <w:t> </w:t>
      </w:r>
      <w:r w:rsidRPr="007E5046">
        <w:rPr>
          <w:rFonts w:asciiTheme="minorHAnsi" w:hAnsiTheme="minorHAnsi" w:cstheme="minorHAnsi"/>
          <w:szCs w:val="24"/>
        </w:rPr>
        <w:t xml:space="preserve">actions which </w:t>
      </w:r>
      <w:r w:rsidR="009E7EF0" w:rsidRPr="007E5046">
        <w:rPr>
          <w:rFonts w:asciiTheme="minorHAnsi" w:hAnsiTheme="minorHAnsi" w:cstheme="minorHAnsi"/>
          <w:szCs w:val="24"/>
        </w:rPr>
        <w:t xml:space="preserve">can be progressed over the next 12 months </w:t>
      </w:r>
      <w:r w:rsidR="003A342E" w:rsidRPr="007E5046">
        <w:rPr>
          <w:rFonts w:asciiTheme="minorHAnsi" w:hAnsiTheme="minorHAnsi" w:cstheme="minorHAnsi"/>
          <w:szCs w:val="24"/>
        </w:rPr>
        <w:t>with no additional resourcing, including actions that will inform the Strategy and implementation approach</w:t>
      </w:r>
      <w:r w:rsidRPr="007E5046">
        <w:rPr>
          <w:rFonts w:asciiTheme="minorHAnsi" w:hAnsiTheme="minorHAnsi" w:cstheme="minorHAnsi"/>
          <w:szCs w:val="24"/>
        </w:rPr>
        <w:t>.</w:t>
      </w:r>
    </w:p>
    <w:p w14:paraId="05531A2D" w14:textId="620DC0D7" w:rsidR="00BC3E2C" w:rsidRPr="007E5046" w:rsidRDefault="00BC3E2C" w:rsidP="004E5110">
      <w:pPr>
        <w:widowControl/>
        <w:spacing w:before="120" w:after="120"/>
        <w:rPr>
          <w:rFonts w:asciiTheme="minorHAnsi" w:hAnsiTheme="minorHAnsi" w:cstheme="minorHAnsi"/>
          <w:szCs w:val="24"/>
        </w:rPr>
      </w:pPr>
      <w:r w:rsidRPr="007E5046">
        <w:rPr>
          <w:rFonts w:asciiTheme="minorHAnsi" w:hAnsiTheme="minorHAnsi" w:cstheme="minorHAnsi"/>
          <w:iCs/>
          <w:szCs w:val="24"/>
        </w:rPr>
        <w:t xml:space="preserve">Agreement to the </w:t>
      </w:r>
      <w:r w:rsidR="00802CEE">
        <w:rPr>
          <w:rFonts w:asciiTheme="minorHAnsi" w:hAnsiTheme="minorHAnsi" w:cstheme="minorHAnsi"/>
          <w:iCs/>
          <w:szCs w:val="24"/>
        </w:rPr>
        <w:t>T</w:t>
      </w:r>
      <w:r w:rsidRPr="007E5046">
        <w:rPr>
          <w:rFonts w:asciiTheme="minorHAnsi" w:hAnsiTheme="minorHAnsi" w:cstheme="minorHAnsi"/>
          <w:iCs/>
          <w:szCs w:val="24"/>
        </w:rPr>
        <w:t xml:space="preserve">AP </w:t>
      </w:r>
      <w:r w:rsidRPr="007E5046">
        <w:rPr>
          <w:rFonts w:asciiTheme="minorHAnsi" w:hAnsiTheme="minorHAnsi" w:cstheme="minorHAnsi"/>
          <w:szCs w:val="24"/>
        </w:rPr>
        <w:t xml:space="preserve">demonstrates all Australian governments’ commitment to future action in the organ and tissue donation </w:t>
      </w:r>
      <w:r w:rsidR="00002177" w:rsidRPr="007E5046">
        <w:rPr>
          <w:rFonts w:asciiTheme="minorHAnsi" w:hAnsiTheme="minorHAnsi" w:cstheme="minorHAnsi"/>
          <w:szCs w:val="24"/>
        </w:rPr>
        <w:t xml:space="preserve">and the organ </w:t>
      </w:r>
      <w:r w:rsidRPr="007E5046">
        <w:rPr>
          <w:rFonts w:asciiTheme="minorHAnsi" w:hAnsiTheme="minorHAnsi" w:cstheme="minorHAnsi"/>
          <w:szCs w:val="24"/>
        </w:rPr>
        <w:t xml:space="preserve">retrieval and transplantation system. </w:t>
      </w:r>
    </w:p>
    <w:p w14:paraId="601FEA31" w14:textId="44ABD205" w:rsidR="00BC3E2C" w:rsidRPr="007E5046" w:rsidRDefault="00BC3E2C" w:rsidP="004E5110">
      <w:pPr>
        <w:keepNext/>
        <w:spacing w:before="120" w:after="120"/>
        <w:rPr>
          <w:rFonts w:asciiTheme="minorHAnsi" w:hAnsiTheme="minorHAnsi" w:cstheme="minorHAnsi"/>
          <w:szCs w:val="24"/>
        </w:rPr>
      </w:pPr>
      <w:r w:rsidRPr="007E5046">
        <w:rPr>
          <w:rFonts w:asciiTheme="minorHAnsi" w:hAnsiTheme="minorHAnsi" w:cstheme="minorHAnsi"/>
          <w:szCs w:val="24"/>
        </w:rPr>
        <w:t xml:space="preserve">Based on the </w:t>
      </w:r>
      <w:r w:rsidR="00903F08">
        <w:rPr>
          <w:rFonts w:asciiTheme="minorHAnsi" w:hAnsiTheme="minorHAnsi" w:cstheme="minorHAnsi"/>
          <w:szCs w:val="24"/>
        </w:rPr>
        <w:t>four</w:t>
      </w:r>
      <w:r w:rsidRPr="007E5046">
        <w:rPr>
          <w:rFonts w:asciiTheme="minorHAnsi" w:hAnsiTheme="minorHAnsi" w:cstheme="minorHAnsi"/>
          <w:szCs w:val="24"/>
        </w:rPr>
        <w:t xml:space="preserve"> priority areas of the </w:t>
      </w:r>
      <w:r w:rsidR="00E361FE">
        <w:rPr>
          <w:rFonts w:asciiTheme="minorHAnsi" w:hAnsiTheme="minorHAnsi" w:cstheme="minorHAnsi"/>
          <w:szCs w:val="24"/>
        </w:rPr>
        <w:t xml:space="preserve">draft </w:t>
      </w:r>
      <w:r w:rsidRPr="007E5046">
        <w:rPr>
          <w:rFonts w:asciiTheme="minorHAnsi" w:hAnsiTheme="minorHAnsi" w:cstheme="minorHAnsi"/>
          <w:szCs w:val="24"/>
        </w:rPr>
        <w:t>Strategy</w:t>
      </w:r>
      <w:r w:rsidR="003A342E" w:rsidRPr="007E5046">
        <w:rPr>
          <w:rFonts w:asciiTheme="minorHAnsi" w:hAnsiTheme="minorHAnsi" w:cstheme="minorHAnsi"/>
          <w:szCs w:val="24"/>
        </w:rPr>
        <w:t>,</w:t>
      </w:r>
      <w:r w:rsidRPr="007E5046">
        <w:rPr>
          <w:rFonts w:asciiTheme="minorHAnsi" w:hAnsiTheme="minorHAnsi" w:cstheme="minorHAnsi"/>
          <w:szCs w:val="24"/>
        </w:rPr>
        <w:t xml:space="preserve"> the identified actions in the </w:t>
      </w:r>
      <w:r w:rsidR="00802CEE">
        <w:rPr>
          <w:rFonts w:asciiTheme="minorHAnsi" w:hAnsiTheme="minorHAnsi" w:cstheme="minorHAnsi"/>
          <w:szCs w:val="24"/>
        </w:rPr>
        <w:t>T</w:t>
      </w:r>
      <w:r w:rsidR="00802CEE" w:rsidRPr="007E5046">
        <w:rPr>
          <w:rFonts w:asciiTheme="minorHAnsi" w:hAnsiTheme="minorHAnsi" w:cstheme="minorHAnsi"/>
          <w:szCs w:val="24"/>
        </w:rPr>
        <w:t xml:space="preserve">AP </w:t>
      </w:r>
      <w:r w:rsidRPr="007E5046">
        <w:rPr>
          <w:rFonts w:asciiTheme="minorHAnsi" w:hAnsiTheme="minorHAnsi" w:cstheme="minorHAnsi"/>
          <w:szCs w:val="24"/>
        </w:rPr>
        <w:t>are:</w:t>
      </w:r>
    </w:p>
    <w:p w14:paraId="43683C55" w14:textId="77777777" w:rsidR="00BC3E2C" w:rsidRPr="007E5046" w:rsidRDefault="00BC3E2C" w:rsidP="004E5110">
      <w:pPr>
        <w:pStyle w:val="Heading1"/>
        <w:numPr>
          <w:ilvl w:val="0"/>
          <w:numId w:val="38"/>
        </w:numPr>
        <w:rPr>
          <w:rFonts w:asciiTheme="minorHAnsi" w:eastAsia="Times New Roman" w:hAnsiTheme="minorHAnsi" w:cstheme="minorHAnsi"/>
          <w:bCs/>
          <w:iCs/>
          <w:snapToGrid/>
          <w:color w:val="358189"/>
          <w:sz w:val="28"/>
          <w:szCs w:val="28"/>
          <w:lang w:val="en-AU"/>
        </w:rPr>
      </w:pPr>
      <w:r w:rsidRPr="007E5046">
        <w:rPr>
          <w:rFonts w:asciiTheme="minorHAnsi" w:eastAsia="Times New Roman" w:hAnsiTheme="minorHAnsi" w:cstheme="minorHAnsi"/>
          <w:bCs/>
          <w:iCs/>
          <w:snapToGrid/>
          <w:color w:val="358189"/>
          <w:sz w:val="28"/>
          <w:szCs w:val="28"/>
          <w:lang w:val="en-AU"/>
        </w:rPr>
        <w:t xml:space="preserve">A national </w:t>
      </w:r>
      <w:r w:rsidR="00BD5B2F" w:rsidRPr="007E5046">
        <w:rPr>
          <w:rFonts w:asciiTheme="minorHAnsi" w:eastAsia="Times New Roman" w:hAnsiTheme="minorHAnsi" w:cstheme="minorHAnsi"/>
          <w:bCs/>
          <w:iCs/>
          <w:snapToGrid/>
          <w:color w:val="358189"/>
          <w:sz w:val="28"/>
          <w:szCs w:val="28"/>
          <w:lang w:val="en-AU"/>
        </w:rPr>
        <w:t xml:space="preserve">approach to </w:t>
      </w:r>
      <w:r w:rsidR="00A95BF7" w:rsidRPr="007E5046">
        <w:rPr>
          <w:rFonts w:asciiTheme="minorHAnsi" w:eastAsia="Times New Roman" w:hAnsiTheme="minorHAnsi" w:cstheme="minorHAnsi"/>
          <w:bCs/>
          <w:iCs/>
          <w:snapToGrid/>
          <w:color w:val="358189"/>
          <w:sz w:val="28"/>
          <w:szCs w:val="28"/>
          <w:lang w:val="en-AU"/>
        </w:rPr>
        <w:t xml:space="preserve">optimise </w:t>
      </w:r>
      <w:r w:rsidRPr="007E5046">
        <w:rPr>
          <w:rFonts w:asciiTheme="minorHAnsi" w:eastAsia="Times New Roman" w:hAnsiTheme="minorHAnsi" w:cstheme="minorHAnsi"/>
          <w:bCs/>
          <w:iCs/>
          <w:snapToGrid/>
          <w:color w:val="358189"/>
          <w:sz w:val="28"/>
          <w:szCs w:val="28"/>
          <w:lang w:val="en-AU"/>
        </w:rPr>
        <w:t xml:space="preserve">organ and tissue donation, </w:t>
      </w:r>
      <w:proofErr w:type="gramStart"/>
      <w:r w:rsidRPr="007E5046">
        <w:rPr>
          <w:rFonts w:asciiTheme="minorHAnsi" w:eastAsia="Times New Roman" w:hAnsiTheme="minorHAnsi" w:cstheme="minorHAnsi"/>
          <w:bCs/>
          <w:iCs/>
          <w:snapToGrid/>
          <w:color w:val="358189"/>
          <w:sz w:val="28"/>
          <w:szCs w:val="28"/>
          <w:lang w:val="en-AU"/>
        </w:rPr>
        <w:t>retrieval</w:t>
      </w:r>
      <w:proofErr w:type="gramEnd"/>
      <w:r w:rsidRPr="007E5046">
        <w:rPr>
          <w:rFonts w:asciiTheme="minorHAnsi" w:eastAsia="Times New Roman" w:hAnsiTheme="minorHAnsi" w:cstheme="minorHAnsi"/>
          <w:bCs/>
          <w:iCs/>
          <w:snapToGrid/>
          <w:color w:val="358189"/>
          <w:sz w:val="28"/>
          <w:szCs w:val="28"/>
          <w:lang w:val="en-AU"/>
        </w:rPr>
        <w:t xml:space="preserve"> and transplantation </w:t>
      </w:r>
    </w:p>
    <w:p w14:paraId="10DF5D40" w14:textId="77777777"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Settle future governance arrangements</w:t>
      </w:r>
    </w:p>
    <w:p w14:paraId="640927F4" w14:textId="31130B0D"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Agree the role of the OTA</w:t>
      </w:r>
    </w:p>
    <w:p w14:paraId="4E4EB553" w14:textId="77777777"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 xml:space="preserve">Review funding arrangements for organ donation, </w:t>
      </w:r>
      <w:proofErr w:type="gramStart"/>
      <w:r w:rsidRPr="007E5046">
        <w:rPr>
          <w:rFonts w:asciiTheme="minorHAnsi" w:hAnsiTheme="minorHAnsi" w:cstheme="minorHAnsi"/>
          <w:sz w:val="24"/>
          <w:szCs w:val="24"/>
        </w:rPr>
        <w:t>retrieval</w:t>
      </w:r>
      <w:proofErr w:type="gramEnd"/>
      <w:r w:rsidRPr="007E5046">
        <w:rPr>
          <w:rFonts w:asciiTheme="minorHAnsi" w:hAnsiTheme="minorHAnsi" w:cstheme="minorHAnsi"/>
          <w:sz w:val="24"/>
          <w:szCs w:val="24"/>
        </w:rPr>
        <w:t xml:space="preserve"> and transplantation</w:t>
      </w:r>
    </w:p>
    <w:p w14:paraId="7AC8C92F" w14:textId="6D7F2416" w:rsidR="00725899"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Review funding arrangements for tissue supply</w:t>
      </w:r>
    </w:p>
    <w:p w14:paraId="009E5672" w14:textId="59EB5250" w:rsidR="00725899" w:rsidRPr="00177B01" w:rsidRDefault="00725899" w:rsidP="00177B01">
      <w:pPr>
        <w:pStyle w:val="ListParagraph"/>
        <w:numPr>
          <w:ilvl w:val="1"/>
          <w:numId w:val="38"/>
        </w:numPr>
        <w:spacing w:before="120" w:after="120"/>
        <w:rPr>
          <w:rFonts w:asciiTheme="minorHAnsi" w:hAnsiTheme="minorHAnsi" w:cstheme="minorHAnsi"/>
          <w:sz w:val="24"/>
          <w:szCs w:val="24"/>
        </w:rPr>
      </w:pPr>
      <w:r w:rsidRPr="00620F56">
        <w:rPr>
          <w:sz w:val="24"/>
          <w:szCs w:val="24"/>
        </w:rPr>
        <w:t>Consider options to improve</w:t>
      </w:r>
      <w:r w:rsidR="00AB4348" w:rsidRPr="00620F56">
        <w:rPr>
          <w:sz w:val="24"/>
          <w:szCs w:val="24"/>
        </w:rPr>
        <w:t xml:space="preserve"> donor registration </w:t>
      </w:r>
      <w:r w:rsidRPr="00620F56">
        <w:rPr>
          <w:sz w:val="24"/>
          <w:szCs w:val="24"/>
        </w:rPr>
        <w:t>to increase consent for donation</w:t>
      </w:r>
      <w:r w:rsidR="00AB4348" w:rsidRPr="00620F56">
        <w:rPr>
          <w:sz w:val="24"/>
          <w:szCs w:val="24"/>
        </w:rPr>
        <w:t xml:space="preserve">. </w:t>
      </w:r>
    </w:p>
    <w:p w14:paraId="3490652E" w14:textId="2F0A4DE0" w:rsidR="00BC3E2C" w:rsidRPr="007E5046" w:rsidRDefault="00BC3E2C" w:rsidP="00177B01">
      <w:pPr>
        <w:pStyle w:val="ListParagraph"/>
        <w:numPr>
          <w:ilvl w:val="0"/>
          <w:numId w:val="38"/>
        </w:numPr>
        <w:spacing w:before="240" w:after="240"/>
        <w:ind w:left="357" w:hanging="357"/>
        <w:rPr>
          <w:rFonts w:asciiTheme="minorHAnsi" w:eastAsia="Times New Roman" w:hAnsiTheme="minorHAnsi" w:cstheme="minorHAnsi"/>
          <w:bCs/>
          <w:iCs/>
          <w:color w:val="358189"/>
          <w:sz w:val="28"/>
          <w:szCs w:val="28"/>
        </w:rPr>
      </w:pPr>
      <w:r w:rsidRPr="007E5046">
        <w:rPr>
          <w:rFonts w:asciiTheme="minorHAnsi" w:eastAsia="Times New Roman" w:hAnsiTheme="minorHAnsi" w:cstheme="minorHAnsi"/>
          <w:bCs/>
          <w:iCs/>
          <w:color w:val="358189"/>
          <w:sz w:val="28"/>
          <w:szCs w:val="28"/>
        </w:rPr>
        <w:t xml:space="preserve">Equitable access for Australians who would benefit from </w:t>
      </w:r>
      <w:r w:rsidR="005D3D76">
        <w:rPr>
          <w:rFonts w:asciiTheme="minorHAnsi" w:eastAsia="Times New Roman" w:hAnsiTheme="minorHAnsi" w:cstheme="minorHAnsi"/>
          <w:bCs/>
          <w:iCs/>
          <w:color w:val="358189"/>
          <w:sz w:val="28"/>
          <w:szCs w:val="28"/>
        </w:rPr>
        <w:t xml:space="preserve">organ </w:t>
      </w:r>
      <w:r w:rsidRPr="007E5046">
        <w:rPr>
          <w:rFonts w:asciiTheme="minorHAnsi" w:eastAsia="Times New Roman" w:hAnsiTheme="minorHAnsi" w:cstheme="minorHAnsi"/>
          <w:bCs/>
          <w:iCs/>
          <w:color w:val="358189"/>
          <w:sz w:val="28"/>
          <w:szCs w:val="28"/>
        </w:rPr>
        <w:t xml:space="preserve">transplantation, with a focus on </w:t>
      </w:r>
      <w:r w:rsidR="00607F5B" w:rsidRPr="007E5046">
        <w:rPr>
          <w:rFonts w:asciiTheme="minorHAnsi" w:eastAsia="Times New Roman" w:hAnsiTheme="minorHAnsi" w:cstheme="minorHAnsi"/>
          <w:bCs/>
          <w:iCs/>
          <w:color w:val="358189"/>
          <w:sz w:val="28"/>
          <w:szCs w:val="28"/>
        </w:rPr>
        <w:t xml:space="preserve">Aboriginal and Torres Strait Islander people and those living in </w:t>
      </w:r>
      <w:r w:rsidRPr="007E5046">
        <w:rPr>
          <w:rFonts w:asciiTheme="minorHAnsi" w:eastAsia="Times New Roman" w:hAnsiTheme="minorHAnsi" w:cstheme="minorHAnsi"/>
          <w:bCs/>
          <w:iCs/>
          <w:color w:val="358189"/>
          <w:sz w:val="28"/>
          <w:szCs w:val="28"/>
        </w:rPr>
        <w:t xml:space="preserve">rural, </w:t>
      </w:r>
      <w:proofErr w:type="gramStart"/>
      <w:r w:rsidRPr="007E5046">
        <w:rPr>
          <w:rFonts w:asciiTheme="minorHAnsi" w:eastAsia="Times New Roman" w:hAnsiTheme="minorHAnsi" w:cstheme="minorHAnsi"/>
          <w:bCs/>
          <w:iCs/>
          <w:color w:val="358189"/>
          <w:sz w:val="28"/>
          <w:szCs w:val="28"/>
        </w:rPr>
        <w:t>regional</w:t>
      </w:r>
      <w:proofErr w:type="gramEnd"/>
      <w:r w:rsidRPr="007E5046">
        <w:rPr>
          <w:rFonts w:asciiTheme="minorHAnsi" w:eastAsia="Times New Roman" w:hAnsiTheme="minorHAnsi" w:cstheme="minorHAnsi"/>
          <w:bCs/>
          <w:iCs/>
          <w:color w:val="358189"/>
          <w:sz w:val="28"/>
          <w:szCs w:val="28"/>
        </w:rPr>
        <w:t xml:space="preserve"> and remote areas </w:t>
      </w:r>
    </w:p>
    <w:p w14:paraId="228660F1" w14:textId="13C8E1BF"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Review current work informing equitable access to</w:t>
      </w:r>
      <w:r w:rsidR="00B07B1E">
        <w:rPr>
          <w:rFonts w:asciiTheme="minorHAnsi" w:hAnsiTheme="minorHAnsi" w:cstheme="minorHAnsi"/>
          <w:sz w:val="24"/>
          <w:szCs w:val="24"/>
        </w:rPr>
        <w:t xml:space="preserve"> organ</w:t>
      </w:r>
      <w:r w:rsidRPr="007E5046">
        <w:rPr>
          <w:rFonts w:asciiTheme="minorHAnsi" w:hAnsiTheme="minorHAnsi" w:cstheme="minorHAnsi"/>
          <w:sz w:val="24"/>
          <w:szCs w:val="24"/>
        </w:rPr>
        <w:t xml:space="preserve"> transplantation</w:t>
      </w:r>
    </w:p>
    <w:p w14:paraId="1841BF1E" w14:textId="77777777"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Review organ allocation processes to support equity and consistency in practice</w:t>
      </w:r>
      <w:r w:rsidR="00304B36" w:rsidRPr="007E5046">
        <w:rPr>
          <w:rFonts w:asciiTheme="minorHAnsi" w:hAnsiTheme="minorHAnsi" w:cstheme="minorHAnsi"/>
          <w:sz w:val="24"/>
          <w:szCs w:val="24"/>
        </w:rPr>
        <w:t xml:space="preserve"> for Australians needing a transplant.</w:t>
      </w:r>
    </w:p>
    <w:p w14:paraId="2D4D92E7" w14:textId="5CE6A3AA" w:rsidR="00BC3E2C" w:rsidRPr="007E5046" w:rsidRDefault="00BC3E2C" w:rsidP="004E5110">
      <w:pPr>
        <w:pStyle w:val="Heading1"/>
        <w:numPr>
          <w:ilvl w:val="0"/>
          <w:numId w:val="38"/>
        </w:numPr>
        <w:rPr>
          <w:rFonts w:asciiTheme="minorHAnsi" w:eastAsia="Times New Roman" w:hAnsiTheme="minorHAnsi" w:cstheme="minorHAnsi"/>
          <w:bCs/>
          <w:iCs/>
          <w:snapToGrid/>
          <w:color w:val="358189"/>
          <w:sz w:val="28"/>
          <w:szCs w:val="28"/>
          <w:lang w:val="en-AU"/>
        </w:rPr>
      </w:pPr>
      <w:r w:rsidRPr="007E5046">
        <w:rPr>
          <w:rFonts w:asciiTheme="minorHAnsi" w:eastAsia="Times New Roman" w:hAnsiTheme="minorHAnsi" w:cstheme="minorHAnsi"/>
          <w:bCs/>
          <w:iCs/>
          <w:snapToGrid/>
          <w:color w:val="358189"/>
          <w:sz w:val="28"/>
          <w:szCs w:val="28"/>
          <w:lang w:val="en-AU"/>
        </w:rPr>
        <w:t>Enhance</w:t>
      </w:r>
      <w:r w:rsidR="00AA2624" w:rsidRPr="007E5046">
        <w:rPr>
          <w:rFonts w:asciiTheme="minorHAnsi" w:eastAsia="Times New Roman" w:hAnsiTheme="minorHAnsi" w:cstheme="minorHAnsi"/>
          <w:bCs/>
          <w:iCs/>
          <w:snapToGrid/>
          <w:color w:val="358189"/>
          <w:sz w:val="28"/>
          <w:szCs w:val="28"/>
          <w:lang w:val="en-AU"/>
        </w:rPr>
        <w:t>d</w:t>
      </w:r>
      <w:r w:rsidRPr="007E5046">
        <w:rPr>
          <w:rFonts w:asciiTheme="minorHAnsi" w:eastAsia="Times New Roman" w:hAnsiTheme="minorHAnsi" w:cstheme="minorHAnsi"/>
          <w:bCs/>
          <w:iCs/>
          <w:snapToGrid/>
          <w:color w:val="358189"/>
          <w:sz w:val="28"/>
          <w:szCs w:val="28"/>
          <w:lang w:val="en-AU"/>
        </w:rPr>
        <w:t xml:space="preserve"> organ retrieval and transplantation capability</w:t>
      </w:r>
      <w:r w:rsidR="00BD5B2F" w:rsidRPr="007E5046">
        <w:rPr>
          <w:rFonts w:asciiTheme="minorHAnsi" w:eastAsia="Times New Roman" w:hAnsiTheme="minorHAnsi" w:cstheme="minorHAnsi"/>
          <w:bCs/>
          <w:iCs/>
          <w:snapToGrid/>
          <w:color w:val="358189"/>
          <w:sz w:val="28"/>
          <w:szCs w:val="28"/>
          <w:lang w:val="en-AU"/>
        </w:rPr>
        <w:t xml:space="preserve"> and capacity</w:t>
      </w:r>
      <w:r w:rsidRPr="007E5046">
        <w:rPr>
          <w:rFonts w:asciiTheme="minorHAnsi" w:eastAsia="Times New Roman" w:hAnsiTheme="minorHAnsi" w:cstheme="minorHAnsi"/>
          <w:bCs/>
          <w:iCs/>
          <w:snapToGrid/>
          <w:color w:val="358189"/>
          <w:sz w:val="28"/>
          <w:szCs w:val="28"/>
          <w:lang w:val="en-AU"/>
        </w:rPr>
        <w:t xml:space="preserve"> to optimise transplant outcomes</w:t>
      </w:r>
    </w:p>
    <w:p w14:paraId="4314D6D6" w14:textId="77777777" w:rsidR="006849D5" w:rsidRPr="008C729B" w:rsidRDefault="006849D5" w:rsidP="006849D5">
      <w:pPr>
        <w:pStyle w:val="ListParagraph"/>
        <w:numPr>
          <w:ilvl w:val="1"/>
          <w:numId w:val="38"/>
        </w:numPr>
        <w:spacing w:before="120" w:after="120" w:line="276" w:lineRule="auto"/>
        <w:rPr>
          <w:rFonts w:asciiTheme="minorHAnsi" w:hAnsiTheme="minorHAnsi" w:cstheme="minorHAnsi"/>
          <w:sz w:val="24"/>
          <w:szCs w:val="24"/>
        </w:rPr>
      </w:pPr>
      <w:r w:rsidRPr="008C729B">
        <w:rPr>
          <w:rFonts w:asciiTheme="minorHAnsi" w:hAnsiTheme="minorHAnsi" w:cstheme="minorHAnsi"/>
          <w:sz w:val="24"/>
          <w:szCs w:val="24"/>
        </w:rPr>
        <w:t>Continue to consider workforce issues across retrieval and transplantation</w:t>
      </w:r>
    </w:p>
    <w:p w14:paraId="4A930EDB" w14:textId="7C8AA410"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Review tissue typing arrangements</w:t>
      </w:r>
    </w:p>
    <w:p w14:paraId="06ADCFCA" w14:textId="77777777" w:rsidR="00BC3E2C" w:rsidRPr="007E5046" w:rsidRDefault="00BC3E2C" w:rsidP="004E5110">
      <w:pPr>
        <w:pStyle w:val="Heading1"/>
        <w:numPr>
          <w:ilvl w:val="0"/>
          <w:numId w:val="38"/>
        </w:numPr>
        <w:rPr>
          <w:rFonts w:asciiTheme="minorHAnsi" w:eastAsia="Times New Roman" w:hAnsiTheme="minorHAnsi" w:cstheme="minorHAnsi"/>
          <w:bCs/>
          <w:iCs/>
          <w:snapToGrid/>
          <w:color w:val="358189"/>
          <w:sz w:val="28"/>
          <w:szCs w:val="28"/>
          <w:lang w:val="en-AU"/>
        </w:rPr>
      </w:pPr>
      <w:r w:rsidRPr="007E5046">
        <w:rPr>
          <w:rFonts w:asciiTheme="minorHAnsi" w:eastAsia="Times New Roman" w:hAnsiTheme="minorHAnsi" w:cstheme="minorHAnsi"/>
          <w:bCs/>
          <w:iCs/>
          <w:snapToGrid/>
          <w:color w:val="358189"/>
          <w:sz w:val="28"/>
          <w:szCs w:val="28"/>
          <w:lang w:val="en-AU"/>
        </w:rPr>
        <w:t xml:space="preserve">Enhanced systems and data collection and reporting to drive clinical best practice </w:t>
      </w:r>
    </w:p>
    <w:p w14:paraId="55091EE5" w14:textId="2BCA5FEA"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 xml:space="preserve">Expand organ donation </w:t>
      </w:r>
      <w:r w:rsidR="005925CC">
        <w:rPr>
          <w:rFonts w:asciiTheme="minorHAnsi" w:hAnsiTheme="minorHAnsi" w:cstheme="minorHAnsi"/>
          <w:sz w:val="24"/>
          <w:szCs w:val="24"/>
        </w:rPr>
        <w:t xml:space="preserve">to </w:t>
      </w:r>
      <w:r w:rsidRPr="007E5046">
        <w:rPr>
          <w:rFonts w:asciiTheme="minorHAnsi" w:hAnsiTheme="minorHAnsi" w:cstheme="minorHAnsi"/>
          <w:sz w:val="24"/>
          <w:szCs w:val="24"/>
        </w:rPr>
        <w:t xml:space="preserve">transplantation data and reporting  </w:t>
      </w:r>
    </w:p>
    <w:p w14:paraId="59F31EF7" w14:textId="77777777"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 xml:space="preserve">Expand </w:t>
      </w:r>
      <w:r w:rsidR="0031797C" w:rsidRPr="007E5046">
        <w:rPr>
          <w:rFonts w:asciiTheme="minorHAnsi" w:hAnsiTheme="minorHAnsi" w:cstheme="minorHAnsi"/>
          <w:sz w:val="24"/>
          <w:szCs w:val="24"/>
        </w:rPr>
        <w:t xml:space="preserve">deceased </w:t>
      </w:r>
      <w:r w:rsidRPr="007E5046">
        <w:rPr>
          <w:rFonts w:asciiTheme="minorHAnsi" w:hAnsiTheme="minorHAnsi" w:cstheme="minorHAnsi"/>
          <w:sz w:val="24"/>
          <w:szCs w:val="24"/>
        </w:rPr>
        <w:t xml:space="preserve">eye and tissue donation data and reporting  </w:t>
      </w:r>
    </w:p>
    <w:p w14:paraId="5EF7D986" w14:textId="77777777" w:rsidR="00BC3E2C" w:rsidRPr="007E5046" w:rsidRDefault="00BC3E2C" w:rsidP="004E5110">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 xml:space="preserve">Support </w:t>
      </w:r>
      <w:proofErr w:type="spellStart"/>
      <w:r w:rsidRPr="007E5046">
        <w:rPr>
          <w:rFonts w:asciiTheme="minorHAnsi" w:hAnsiTheme="minorHAnsi" w:cstheme="minorHAnsi"/>
          <w:sz w:val="24"/>
          <w:szCs w:val="24"/>
        </w:rPr>
        <w:t>OrganMatch</w:t>
      </w:r>
      <w:proofErr w:type="spellEnd"/>
      <w:r w:rsidRPr="007E5046">
        <w:rPr>
          <w:rFonts w:asciiTheme="minorHAnsi" w:hAnsiTheme="minorHAnsi" w:cstheme="minorHAnsi"/>
          <w:sz w:val="24"/>
          <w:szCs w:val="24"/>
        </w:rPr>
        <w:t xml:space="preserve"> for national consistency, equitable and transparent processes</w:t>
      </w:r>
    </w:p>
    <w:p w14:paraId="44C545D9" w14:textId="06596156" w:rsidR="004E5110" w:rsidRPr="00903F08" w:rsidRDefault="00BC3E2C" w:rsidP="00903F08">
      <w:pPr>
        <w:pStyle w:val="ListParagraph"/>
        <w:numPr>
          <w:ilvl w:val="1"/>
          <w:numId w:val="38"/>
        </w:numPr>
        <w:spacing w:before="120" w:after="120"/>
        <w:rPr>
          <w:rFonts w:asciiTheme="minorHAnsi" w:hAnsiTheme="minorHAnsi" w:cstheme="minorHAnsi"/>
          <w:sz w:val="24"/>
          <w:szCs w:val="24"/>
        </w:rPr>
      </w:pPr>
      <w:r w:rsidRPr="007E5046">
        <w:rPr>
          <w:rFonts w:asciiTheme="minorHAnsi" w:hAnsiTheme="minorHAnsi" w:cstheme="minorHAnsi"/>
          <w:sz w:val="24"/>
          <w:szCs w:val="24"/>
        </w:rPr>
        <w:t>Facilitate eye and tissue sector collaboration</w:t>
      </w:r>
    </w:p>
    <w:p w14:paraId="0D0E046E" w14:textId="234DEA2B" w:rsidR="007E5046" w:rsidRPr="00932E0F" w:rsidRDefault="00BC3E2C" w:rsidP="004E5110">
      <w:pPr>
        <w:pStyle w:val="ListParagraph"/>
        <w:ind w:left="0"/>
        <w:rPr>
          <w:rFonts w:asciiTheme="minorHAnsi" w:eastAsia="Times New Roman" w:hAnsiTheme="minorHAnsi" w:cstheme="minorHAnsi"/>
          <w:iCs/>
          <w:snapToGrid w:val="0"/>
          <w:sz w:val="24"/>
          <w:szCs w:val="24"/>
          <w:lang w:val="en-US"/>
        </w:rPr>
      </w:pPr>
      <w:r w:rsidRPr="00932E0F">
        <w:rPr>
          <w:rFonts w:asciiTheme="minorHAnsi" w:eastAsia="Times New Roman" w:hAnsiTheme="minorHAnsi" w:cstheme="minorHAnsi"/>
          <w:iCs/>
          <w:snapToGrid w:val="0"/>
          <w:sz w:val="24"/>
          <w:szCs w:val="24"/>
          <w:lang w:val="en-US"/>
        </w:rPr>
        <w:t xml:space="preserve">A </w:t>
      </w:r>
      <w:r w:rsidR="00EF3A76">
        <w:rPr>
          <w:rFonts w:asciiTheme="minorHAnsi" w:eastAsia="Times New Roman" w:hAnsiTheme="minorHAnsi" w:cstheme="minorHAnsi"/>
          <w:iCs/>
          <w:snapToGrid w:val="0"/>
          <w:sz w:val="24"/>
          <w:szCs w:val="24"/>
          <w:lang w:val="en-US"/>
        </w:rPr>
        <w:t xml:space="preserve">steering </w:t>
      </w:r>
      <w:r w:rsidRPr="00932E0F">
        <w:rPr>
          <w:rFonts w:asciiTheme="minorHAnsi" w:eastAsia="Times New Roman" w:hAnsiTheme="minorHAnsi" w:cstheme="minorHAnsi"/>
          <w:iCs/>
          <w:snapToGrid w:val="0"/>
          <w:sz w:val="24"/>
          <w:szCs w:val="24"/>
          <w:lang w:val="en-US"/>
        </w:rPr>
        <w:t>committee comprising representatives from all jurisdictions and the OTA will o</w:t>
      </w:r>
      <w:r w:rsidR="007E5046">
        <w:rPr>
          <w:rFonts w:asciiTheme="minorHAnsi" w:eastAsia="Times New Roman" w:hAnsiTheme="minorHAnsi" w:cstheme="minorHAnsi"/>
          <w:iCs/>
          <w:snapToGrid w:val="0"/>
          <w:sz w:val="24"/>
          <w:szCs w:val="24"/>
          <w:lang w:val="en-US"/>
        </w:rPr>
        <w:t xml:space="preserve">versee the delivery of the </w:t>
      </w:r>
      <w:r w:rsidR="00802CEE">
        <w:rPr>
          <w:rFonts w:asciiTheme="minorHAnsi" w:eastAsia="Times New Roman" w:hAnsiTheme="minorHAnsi" w:cstheme="minorHAnsi"/>
          <w:iCs/>
          <w:snapToGrid w:val="0"/>
          <w:sz w:val="24"/>
          <w:szCs w:val="24"/>
          <w:lang w:val="en-US"/>
        </w:rPr>
        <w:t>TAP</w:t>
      </w:r>
      <w:r w:rsidR="007E5046">
        <w:rPr>
          <w:rFonts w:asciiTheme="minorHAnsi" w:eastAsia="Times New Roman" w:hAnsiTheme="minorHAnsi" w:cstheme="minorHAnsi"/>
          <w:iCs/>
          <w:snapToGrid w:val="0"/>
          <w:sz w:val="24"/>
          <w:szCs w:val="24"/>
          <w:lang w:val="en-US"/>
        </w:rPr>
        <w:t>.</w:t>
      </w:r>
    </w:p>
    <w:p w14:paraId="2D8E30DA" w14:textId="296A5A75" w:rsidR="00BC3E2C" w:rsidRPr="007E5046" w:rsidRDefault="00BC3E2C" w:rsidP="00903F08">
      <w:pPr>
        <w:pStyle w:val="ListParagraph"/>
        <w:ind w:left="0"/>
        <w:rPr>
          <w:rFonts w:asciiTheme="minorHAnsi" w:eastAsiaTheme="majorEastAsia" w:hAnsiTheme="minorHAnsi" w:cstheme="minorHAnsi"/>
          <w:color w:val="2E74B5" w:themeColor="accent1" w:themeShade="BF"/>
          <w:highlight w:val="lightGray"/>
        </w:rPr>
      </w:pPr>
      <w:r w:rsidRPr="00932E0F">
        <w:rPr>
          <w:rFonts w:asciiTheme="minorHAnsi" w:eastAsia="Times New Roman" w:hAnsiTheme="minorHAnsi" w:cstheme="minorHAnsi"/>
          <w:iCs/>
          <w:snapToGrid w:val="0"/>
          <w:sz w:val="24"/>
          <w:szCs w:val="24"/>
          <w:lang w:val="en-US"/>
        </w:rPr>
        <w:lastRenderedPageBreak/>
        <w:t xml:space="preserve">The </w:t>
      </w:r>
      <w:r w:rsidR="00863B95" w:rsidRPr="00932E0F">
        <w:rPr>
          <w:rFonts w:asciiTheme="minorHAnsi" w:eastAsia="Times New Roman" w:hAnsiTheme="minorHAnsi" w:cstheme="minorHAnsi"/>
          <w:iCs/>
          <w:snapToGrid w:val="0"/>
          <w:sz w:val="24"/>
          <w:szCs w:val="24"/>
          <w:lang w:val="en-US"/>
        </w:rPr>
        <w:t>‘</w:t>
      </w:r>
      <w:r w:rsidR="00863B95" w:rsidRPr="00932E0F">
        <w:rPr>
          <w:rFonts w:asciiTheme="minorHAnsi" w:eastAsia="Times New Roman" w:hAnsiTheme="minorHAnsi" w:cstheme="minorHAnsi"/>
          <w:i/>
          <w:iCs/>
          <w:snapToGrid w:val="0"/>
          <w:sz w:val="24"/>
          <w:szCs w:val="24"/>
          <w:lang w:val="en-US"/>
        </w:rPr>
        <w:t xml:space="preserve">Progressing Australian organ and tissue donation and transplantation to </w:t>
      </w:r>
      <w:r w:rsidR="00CB3D3A" w:rsidRPr="00932E0F">
        <w:rPr>
          <w:rFonts w:asciiTheme="minorHAnsi" w:eastAsia="Times New Roman" w:hAnsiTheme="minorHAnsi" w:cstheme="minorHAnsi"/>
          <w:i/>
          <w:iCs/>
          <w:snapToGrid w:val="0"/>
          <w:sz w:val="24"/>
          <w:szCs w:val="24"/>
          <w:lang w:val="en-US"/>
        </w:rPr>
        <w:t>202</w:t>
      </w:r>
      <w:r w:rsidR="00CB3D3A">
        <w:rPr>
          <w:rFonts w:asciiTheme="minorHAnsi" w:eastAsia="Times New Roman" w:hAnsiTheme="minorHAnsi" w:cstheme="minorHAnsi"/>
          <w:i/>
          <w:iCs/>
          <w:snapToGrid w:val="0"/>
          <w:sz w:val="24"/>
          <w:szCs w:val="24"/>
          <w:lang w:val="en-US"/>
        </w:rPr>
        <w:t>5</w:t>
      </w:r>
      <w:r w:rsidR="00CB3D3A" w:rsidRPr="00932E0F">
        <w:rPr>
          <w:rFonts w:asciiTheme="minorHAnsi" w:eastAsia="Times New Roman" w:hAnsiTheme="minorHAnsi" w:cstheme="minorHAnsi"/>
          <w:i/>
          <w:iCs/>
          <w:snapToGrid w:val="0"/>
          <w:sz w:val="24"/>
          <w:szCs w:val="24"/>
          <w:lang w:val="en-US"/>
        </w:rPr>
        <w:t xml:space="preserve"> </w:t>
      </w:r>
      <w:r w:rsidR="00863B95" w:rsidRPr="00932E0F">
        <w:rPr>
          <w:rFonts w:asciiTheme="minorHAnsi" w:eastAsia="Times New Roman" w:hAnsiTheme="minorHAnsi" w:cstheme="minorHAnsi"/>
          <w:i/>
          <w:iCs/>
          <w:snapToGrid w:val="0"/>
          <w:sz w:val="24"/>
          <w:szCs w:val="24"/>
          <w:lang w:val="en-US"/>
        </w:rPr>
        <w:t xml:space="preserve">Strategic Plan 2020–21 to </w:t>
      </w:r>
      <w:r w:rsidR="00CB3D3A">
        <w:rPr>
          <w:rFonts w:asciiTheme="minorHAnsi" w:eastAsia="Times New Roman" w:hAnsiTheme="minorHAnsi" w:cstheme="minorHAnsi"/>
          <w:i/>
          <w:iCs/>
          <w:snapToGrid w:val="0"/>
          <w:sz w:val="24"/>
          <w:szCs w:val="24"/>
          <w:lang w:val="en-US"/>
        </w:rPr>
        <w:t>2024-25</w:t>
      </w:r>
      <w:r w:rsidRPr="00932E0F">
        <w:rPr>
          <w:rFonts w:asciiTheme="minorHAnsi" w:eastAsia="Times New Roman" w:hAnsiTheme="minorHAnsi" w:cstheme="minorHAnsi"/>
          <w:iCs/>
          <w:snapToGrid w:val="0"/>
          <w:sz w:val="24"/>
          <w:szCs w:val="24"/>
          <w:lang w:val="en-US"/>
        </w:rPr>
        <w:t xml:space="preserve">, is delivered collaboratively by the OTA, the national </w:t>
      </w:r>
      <w:proofErr w:type="spellStart"/>
      <w:r w:rsidRPr="00932E0F">
        <w:rPr>
          <w:rFonts w:asciiTheme="minorHAnsi" w:eastAsia="Times New Roman" w:hAnsiTheme="minorHAnsi" w:cstheme="minorHAnsi"/>
          <w:iCs/>
          <w:snapToGrid w:val="0"/>
          <w:sz w:val="24"/>
          <w:szCs w:val="24"/>
          <w:lang w:val="en-US"/>
        </w:rPr>
        <w:t>DonateLife</w:t>
      </w:r>
      <w:proofErr w:type="spellEnd"/>
      <w:r w:rsidRPr="00932E0F">
        <w:rPr>
          <w:rFonts w:asciiTheme="minorHAnsi" w:eastAsia="Times New Roman" w:hAnsiTheme="minorHAnsi" w:cstheme="minorHAnsi"/>
          <w:iCs/>
          <w:snapToGrid w:val="0"/>
          <w:sz w:val="24"/>
          <w:szCs w:val="24"/>
          <w:lang w:val="en-US"/>
        </w:rPr>
        <w:t xml:space="preserve"> Network, and Commonwealth, state and territory health </w:t>
      </w:r>
      <w:r w:rsidR="00802CEE">
        <w:rPr>
          <w:rFonts w:asciiTheme="minorHAnsi" w:eastAsia="Times New Roman" w:hAnsiTheme="minorHAnsi" w:cstheme="minorHAnsi"/>
          <w:iCs/>
          <w:snapToGrid w:val="0"/>
          <w:sz w:val="24"/>
          <w:szCs w:val="24"/>
          <w:lang w:val="en-US"/>
        </w:rPr>
        <w:t>departments</w:t>
      </w:r>
      <w:r w:rsidR="00802CEE" w:rsidRPr="00932E0F">
        <w:rPr>
          <w:rFonts w:asciiTheme="minorHAnsi" w:eastAsia="Times New Roman" w:hAnsiTheme="minorHAnsi" w:cstheme="minorHAnsi"/>
          <w:iCs/>
          <w:snapToGrid w:val="0"/>
          <w:sz w:val="24"/>
          <w:szCs w:val="24"/>
          <w:lang w:val="en-US"/>
        </w:rPr>
        <w:t xml:space="preserve"> </w:t>
      </w:r>
      <w:r w:rsidRPr="00932E0F">
        <w:rPr>
          <w:rFonts w:asciiTheme="minorHAnsi" w:eastAsia="Times New Roman" w:hAnsiTheme="minorHAnsi" w:cstheme="minorHAnsi"/>
          <w:iCs/>
          <w:snapToGrid w:val="0"/>
          <w:sz w:val="24"/>
          <w:szCs w:val="24"/>
          <w:lang w:val="en-US"/>
        </w:rPr>
        <w:t xml:space="preserve">complements, and will work alongside the </w:t>
      </w:r>
      <w:r w:rsidR="00802CEE">
        <w:rPr>
          <w:rFonts w:asciiTheme="minorHAnsi" w:eastAsia="Times New Roman" w:hAnsiTheme="minorHAnsi" w:cstheme="minorHAnsi"/>
          <w:iCs/>
          <w:snapToGrid w:val="0"/>
          <w:sz w:val="24"/>
          <w:szCs w:val="24"/>
          <w:lang w:val="en-US"/>
        </w:rPr>
        <w:t>T</w:t>
      </w:r>
      <w:r w:rsidRPr="00932E0F">
        <w:rPr>
          <w:rFonts w:asciiTheme="minorHAnsi" w:eastAsia="Times New Roman" w:hAnsiTheme="minorHAnsi" w:cstheme="minorHAnsi"/>
          <w:iCs/>
          <w:snapToGrid w:val="0"/>
          <w:sz w:val="24"/>
          <w:szCs w:val="24"/>
          <w:lang w:val="en-US"/>
        </w:rPr>
        <w:t>AP, Framework and Strategy.</w:t>
      </w:r>
      <w:r w:rsidRPr="007E5046">
        <w:rPr>
          <w:rFonts w:asciiTheme="minorHAnsi" w:hAnsiTheme="minorHAnsi" w:cstheme="minorHAnsi"/>
          <w:highlight w:val="lightGray"/>
        </w:rPr>
        <w:br w:type="page"/>
      </w:r>
    </w:p>
    <w:p w14:paraId="4A8E8A43" w14:textId="1BA693D8" w:rsidR="00BC3E2C" w:rsidRPr="00903F08" w:rsidRDefault="00BC3E2C" w:rsidP="005B7F9D">
      <w:pPr>
        <w:pStyle w:val="Heading1"/>
        <w:numPr>
          <w:ilvl w:val="0"/>
          <w:numId w:val="42"/>
        </w:numPr>
        <w:ind w:left="714" w:hanging="357"/>
        <w:rPr>
          <w:rFonts w:asciiTheme="minorHAnsi" w:eastAsia="Times New Roman" w:hAnsiTheme="minorHAnsi" w:cstheme="minorHAnsi"/>
          <w:bCs/>
          <w:snapToGrid/>
          <w:color w:val="3F4A75"/>
          <w:kern w:val="28"/>
          <w:lang w:val="en-AU"/>
        </w:rPr>
      </w:pPr>
      <w:r w:rsidRPr="007E5046">
        <w:rPr>
          <w:rFonts w:asciiTheme="minorHAnsi" w:eastAsia="Times New Roman" w:hAnsiTheme="minorHAnsi" w:cstheme="minorHAnsi"/>
          <w:bCs/>
          <w:snapToGrid/>
          <w:color w:val="3F4A75"/>
          <w:kern w:val="28"/>
          <w:lang w:val="en-AU"/>
        </w:rPr>
        <w:lastRenderedPageBreak/>
        <w:t xml:space="preserve">A national </w:t>
      </w:r>
      <w:r w:rsidR="00A95BF7" w:rsidRPr="007E5046">
        <w:rPr>
          <w:rFonts w:asciiTheme="minorHAnsi" w:eastAsia="Times New Roman" w:hAnsiTheme="minorHAnsi" w:cstheme="minorHAnsi"/>
          <w:bCs/>
          <w:snapToGrid/>
          <w:color w:val="3F4A75"/>
          <w:kern w:val="28"/>
          <w:lang w:val="en-AU"/>
        </w:rPr>
        <w:t xml:space="preserve">approach to optimise </w:t>
      </w:r>
      <w:r w:rsidRPr="007E5046">
        <w:rPr>
          <w:rFonts w:asciiTheme="minorHAnsi" w:eastAsia="Times New Roman" w:hAnsiTheme="minorHAnsi" w:cstheme="minorHAnsi"/>
          <w:bCs/>
          <w:snapToGrid/>
          <w:color w:val="3F4A75"/>
          <w:kern w:val="28"/>
          <w:lang w:val="en-AU"/>
        </w:rPr>
        <w:t xml:space="preserve">organ and tissue donation, </w:t>
      </w:r>
      <w:proofErr w:type="gramStart"/>
      <w:r w:rsidRPr="007E5046">
        <w:rPr>
          <w:rFonts w:asciiTheme="minorHAnsi" w:eastAsia="Times New Roman" w:hAnsiTheme="minorHAnsi" w:cstheme="minorHAnsi"/>
          <w:bCs/>
          <w:snapToGrid/>
          <w:color w:val="3F4A75"/>
          <w:kern w:val="28"/>
          <w:lang w:val="en-AU"/>
        </w:rPr>
        <w:t>retrieval</w:t>
      </w:r>
      <w:proofErr w:type="gramEnd"/>
      <w:r w:rsidRPr="007E5046">
        <w:rPr>
          <w:rFonts w:asciiTheme="minorHAnsi" w:eastAsia="Times New Roman" w:hAnsiTheme="minorHAnsi" w:cstheme="minorHAnsi"/>
          <w:bCs/>
          <w:snapToGrid/>
          <w:color w:val="3F4A75"/>
          <w:kern w:val="28"/>
          <w:lang w:val="en-AU"/>
        </w:rPr>
        <w:t xml:space="preserve"> and transplantation </w:t>
      </w:r>
    </w:p>
    <w:p w14:paraId="595AF685" w14:textId="77777777" w:rsidR="00BC3E2C" w:rsidRPr="007E5046" w:rsidRDefault="00BC3E2C" w:rsidP="003A342E">
      <w:pPr>
        <w:pStyle w:val="Heading2"/>
        <w:spacing w:line="276" w:lineRule="auto"/>
        <w:rPr>
          <w:rFonts w:asciiTheme="minorHAnsi" w:eastAsia="Times New Roman" w:hAnsiTheme="minorHAnsi" w:cstheme="minorHAnsi"/>
          <w:bCs/>
          <w:iCs/>
          <w:color w:val="358189"/>
          <w:sz w:val="28"/>
          <w:szCs w:val="28"/>
        </w:rPr>
      </w:pPr>
      <w:r w:rsidRPr="007E5046">
        <w:rPr>
          <w:rFonts w:asciiTheme="minorHAnsi" w:eastAsia="Times New Roman" w:hAnsiTheme="minorHAnsi" w:cstheme="minorHAnsi"/>
          <w:bCs/>
          <w:iCs/>
          <w:color w:val="358189"/>
          <w:sz w:val="28"/>
          <w:szCs w:val="28"/>
        </w:rPr>
        <w:t>1.</w:t>
      </w:r>
      <w:r w:rsidR="005B4272" w:rsidRPr="007E5046">
        <w:rPr>
          <w:rFonts w:asciiTheme="minorHAnsi" w:eastAsia="Times New Roman" w:hAnsiTheme="minorHAnsi" w:cstheme="minorHAnsi"/>
          <w:bCs/>
          <w:iCs/>
          <w:color w:val="358189"/>
          <w:sz w:val="28"/>
          <w:szCs w:val="28"/>
        </w:rPr>
        <w:t>1</w:t>
      </w:r>
      <w:r w:rsidRPr="007E5046">
        <w:rPr>
          <w:rFonts w:asciiTheme="minorHAnsi" w:eastAsia="Times New Roman" w:hAnsiTheme="minorHAnsi" w:cstheme="minorHAnsi"/>
          <w:bCs/>
          <w:iCs/>
          <w:color w:val="358189"/>
          <w:sz w:val="28"/>
          <w:szCs w:val="28"/>
        </w:rPr>
        <w:t xml:space="preserve"> Settle future governance arrangements</w:t>
      </w:r>
    </w:p>
    <w:tbl>
      <w:tblPr>
        <w:tblStyle w:val="TableGrid"/>
        <w:tblW w:w="0" w:type="auto"/>
        <w:tblLook w:val="04A0" w:firstRow="1" w:lastRow="0" w:firstColumn="1" w:lastColumn="0" w:noHBand="0" w:noVBand="1"/>
      </w:tblPr>
      <w:tblGrid>
        <w:gridCol w:w="1842"/>
        <w:gridCol w:w="7174"/>
      </w:tblGrid>
      <w:tr w:rsidR="00BC3E2C" w:rsidRPr="00932E0F" w14:paraId="4064D01F" w14:textId="77777777" w:rsidTr="00AD6DE4">
        <w:trPr>
          <w:trHeight w:val="691"/>
        </w:trPr>
        <w:tc>
          <w:tcPr>
            <w:tcW w:w="1842" w:type="dxa"/>
            <w:shd w:val="clear" w:color="auto" w:fill="B3ECEB"/>
          </w:tcPr>
          <w:p w14:paraId="11B01F6A" w14:textId="77777777" w:rsidR="00BC3E2C" w:rsidRPr="00932E0F" w:rsidRDefault="00BC3E2C" w:rsidP="004E5110">
            <w:pPr>
              <w:spacing w:after="120"/>
              <w:rPr>
                <w:rFonts w:asciiTheme="minorHAnsi" w:hAnsiTheme="minorHAnsi" w:cstheme="minorHAnsi"/>
                <w:b/>
                <w:szCs w:val="24"/>
              </w:rPr>
            </w:pPr>
            <w:r w:rsidRPr="00932E0F">
              <w:rPr>
                <w:rFonts w:asciiTheme="minorHAnsi" w:hAnsiTheme="minorHAnsi" w:cstheme="minorHAnsi"/>
                <w:b/>
                <w:szCs w:val="24"/>
              </w:rPr>
              <w:t>Action</w:t>
            </w:r>
          </w:p>
        </w:tc>
        <w:tc>
          <w:tcPr>
            <w:tcW w:w="7174" w:type="dxa"/>
            <w:shd w:val="clear" w:color="auto" w:fill="B3ECEB"/>
          </w:tcPr>
          <w:p w14:paraId="2CB1E9D8" w14:textId="77777777" w:rsidR="00BC3E2C" w:rsidRPr="00932E0F" w:rsidRDefault="00BC3E2C" w:rsidP="004E5110">
            <w:pPr>
              <w:spacing w:after="120"/>
              <w:rPr>
                <w:rFonts w:asciiTheme="minorHAnsi" w:hAnsiTheme="minorHAnsi" w:cstheme="minorHAnsi"/>
                <w:szCs w:val="24"/>
              </w:rPr>
            </w:pPr>
            <w:r w:rsidRPr="00932E0F">
              <w:rPr>
                <w:rFonts w:asciiTheme="minorHAnsi" w:hAnsiTheme="minorHAnsi" w:cstheme="minorHAnsi"/>
                <w:szCs w:val="24"/>
              </w:rPr>
              <w:t xml:space="preserve">Settle future governance arrangements to support implementation of the Framework and the Strategy.  </w:t>
            </w:r>
          </w:p>
        </w:tc>
      </w:tr>
      <w:tr w:rsidR="00BC3E2C" w:rsidRPr="00A75D02" w14:paraId="3C900A0E" w14:textId="77777777" w:rsidTr="00903F08">
        <w:tc>
          <w:tcPr>
            <w:tcW w:w="1842" w:type="dxa"/>
            <w:tcBorders>
              <w:bottom w:val="single" w:sz="4" w:space="0" w:color="auto"/>
            </w:tcBorders>
          </w:tcPr>
          <w:p w14:paraId="76910821" w14:textId="77777777" w:rsidR="00BC3E2C" w:rsidRPr="00932E0F" w:rsidRDefault="00BC3E2C" w:rsidP="004E5110">
            <w:pPr>
              <w:spacing w:after="120"/>
              <w:rPr>
                <w:rFonts w:asciiTheme="minorHAnsi" w:hAnsiTheme="minorHAnsi" w:cstheme="minorHAnsi"/>
                <w:b/>
                <w:szCs w:val="24"/>
              </w:rPr>
            </w:pPr>
            <w:r w:rsidRPr="00932E0F">
              <w:rPr>
                <w:rFonts w:asciiTheme="minorHAnsi" w:hAnsiTheme="minorHAnsi" w:cstheme="minorHAnsi"/>
                <w:b/>
                <w:szCs w:val="24"/>
              </w:rPr>
              <w:t xml:space="preserve">Rationale for early action </w:t>
            </w:r>
          </w:p>
        </w:tc>
        <w:tc>
          <w:tcPr>
            <w:tcW w:w="7174" w:type="dxa"/>
          </w:tcPr>
          <w:p w14:paraId="34F1D625" w14:textId="07177CC8" w:rsidR="00BC3E2C" w:rsidRPr="00932E0F" w:rsidRDefault="00BC3E2C" w:rsidP="004E5110">
            <w:pPr>
              <w:spacing w:after="120"/>
              <w:rPr>
                <w:rFonts w:asciiTheme="minorHAnsi" w:hAnsiTheme="minorHAnsi" w:cstheme="minorHAnsi"/>
                <w:bCs/>
                <w:szCs w:val="24"/>
                <w:lang w:val="en-AU"/>
              </w:rPr>
            </w:pPr>
            <w:r w:rsidRPr="00932E0F">
              <w:rPr>
                <w:rFonts w:asciiTheme="minorHAnsi" w:hAnsiTheme="minorHAnsi" w:cstheme="minorHAnsi"/>
                <w:bCs/>
                <w:szCs w:val="24"/>
              </w:rPr>
              <w:t xml:space="preserve">Agreed governance arrangements will provide all jurisdictions with the ability to contribute to national organ and tissue donation, </w:t>
            </w:r>
            <w:proofErr w:type="gramStart"/>
            <w:r w:rsidRPr="00932E0F">
              <w:rPr>
                <w:rFonts w:asciiTheme="minorHAnsi" w:hAnsiTheme="minorHAnsi" w:cstheme="minorHAnsi"/>
                <w:bCs/>
                <w:szCs w:val="24"/>
              </w:rPr>
              <w:t>retrieval</w:t>
            </w:r>
            <w:proofErr w:type="gramEnd"/>
            <w:r w:rsidRPr="00932E0F">
              <w:rPr>
                <w:rFonts w:asciiTheme="minorHAnsi" w:hAnsiTheme="minorHAnsi" w:cstheme="minorHAnsi"/>
                <w:bCs/>
                <w:szCs w:val="24"/>
              </w:rPr>
              <w:t xml:space="preserve"> and transplantation policy.</w:t>
            </w:r>
            <w:r w:rsidR="005F4E4B">
              <w:rPr>
                <w:rFonts w:asciiTheme="minorHAnsi" w:hAnsiTheme="minorHAnsi" w:cstheme="minorHAnsi"/>
                <w:bCs/>
                <w:szCs w:val="24"/>
              </w:rPr>
              <w:t xml:space="preserve"> </w:t>
            </w:r>
            <w:r w:rsidR="00C03DBD">
              <w:rPr>
                <w:rFonts w:asciiTheme="minorHAnsi" w:hAnsiTheme="minorHAnsi" w:cstheme="minorHAnsi"/>
                <w:bCs/>
                <w:szCs w:val="24"/>
              </w:rPr>
              <w:t>Governance arrangements are likely to include a</w:t>
            </w:r>
            <w:r w:rsidR="005F4E4B" w:rsidRPr="00234E51">
              <w:rPr>
                <w:rFonts w:asciiTheme="minorHAnsi" w:hAnsiTheme="minorHAnsi" w:cstheme="minorHAnsi"/>
                <w:bCs/>
                <w:szCs w:val="24"/>
              </w:rPr>
              <w:t xml:space="preserve"> </w:t>
            </w:r>
            <w:r w:rsidR="005F4E4B" w:rsidRPr="00C03DBD">
              <w:rPr>
                <w:rFonts w:asciiTheme="minorHAnsi" w:hAnsiTheme="minorHAnsi" w:cstheme="minorHAnsi"/>
                <w:bCs/>
                <w:szCs w:val="24"/>
              </w:rPr>
              <w:t xml:space="preserve">jurisdictional committee </w:t>
            </w:r>
            <w:r w:rsidR="00E65857" w:rsidRPr="00C03DBD">
              <w:rPr>
                <w:rFonts w:asciiTheme="minorHAnsi" w:hAnsiTheme="minorHAnsi" w:cstheme="minorHAnsi"/>
                <w:bCs/>
                <w:szCs w:val="24"/>
              </w:rPr>
              <w:t>comprising senior officials</w:t>
            </w:r>
            <w:r w:rsidR="00C03DBD">
              <w:rPr>
                <w:rFonts w:asciiTheme="minorHAnsi" w:hAnsiTheme="minorHAnsi" w:cstheme="minorHAnsi"/>
                <w:bCs/>
                <w:szCs w:val="24"/>
              </w:rPr>
              <w:t xml:space="preserve"> that will</w:t>
            </w:r>
            <w:r w:rsidR="005F4E4B" w:rsidRPr="00234E51">
              <w:rPr>
                <w:rFonts w:asciiTheme="minorHAnsi" w:hAnsiTheme="minorHAnsi" w:cstheme="minorHAnsi"/>
                <w:bCs/>
                <w:szCs w:val="24"/>
              </w:rPr>
              <w:t xml:space="preserve"> provide advice on </w:t>
            </w:r>
            <w:r w:rsidR="00C03DBD">
              <w:rPr>
                <w:rFonts w:asciiTheme="minorHAnsi" w:hAnsiTheme="minorHAnsi" w:cstheme="minorHAnsi"/>
                <w:bCs/>
                <w:szCs w:val="24"/>
              </w:rPr>
              <w:t>the</w:t>
            </w:r>
            <w:r w:rsidR="005F4E4B" w:rsidRPr="00234E51">
              <w:rPr>
                <w:rFonts w:asciiTheme="minorHAnsi" w:hAnsiTheme="minorHAnsi" w:cstheme="minorHAnsi"/>
                <w:bCs/>
                <w:szCs w:val="24"/>
              </w:rPr>
              <w:t xml:space="preserve"> national approach to organ and tissue donation, </w:t>
            </w:r>
            <w:r w:rsidR="00802CEE">
              <w:rPr>
                <w:rFonts w:asciiTheme="minorHAnsi" w:hAnsiTheme="minorHAnsi" w:cstheme="minorHAnsi"/>
                <w:bCs/>
                <w:szCs w:val="24"/>
              </w:rPr>
              <w:t xml:space="preserve">organ </w:t>
            </w:r>
            <w:r w:rsidR="005F4E4B" w:rsidRPr="00234E51">
              <w:rPr>
                <w:rFonts w:asciiTheme="minorHAnsi" w:hAnsiTheme="minorHAnsi" w:cstheme="minorHAnsi"/>
                <w:bCs/>
                <w:szCs w:val="24"/>
              </w:rPr>
              <w:t>retrieval and transplantation</w:t>
            </w:r>
            <w:r w:rsidR="00C03DBD">
              <w:rPr>
                <w:rFonts w:asciiTheme="minorHAnsi" w:hAnsiTheme="minorHAnsi" w:cstheme="minorHAnsi"/>
                <w:bCs/>
                <w:szCs w:val="24"/>
              </w:rPr>
              <w:t xml:space="preserve">. </w:t>
            </w:r>
            <w:r w:rsidRPr="00932E0F">
              <w:rPr>
                <w:rFonts w:asciiTheme="minorHAnsi" w:hAnsiTheme="minorHAnsi" w:cstheme="minorHAnsi"/>
                <w:bCs/>
                <w:szCs w:val="24"/>
              </w:rPr>
              <w:t xml:space="preserve"> </w:t>
            </w:r>
          </w:p>
          <w:p w14:paraId="7286941E" w14:textId="021FEA5A" w:rsidR="00AF4161" w:rsidRPr="00932E0F" w:rsidRDefault="00BC3E2C" w:rsidP="004E5110">
            <w:pPr>
              <w:spacing w:after="120"/>
              <w:rPr>
                <w:rFonts w:asciiTheme="minorHAnsi" w:hAnsiTheme="minorHAnsi" w:cstheme="minorHAnsi"/>
                <w:bCs/>
                <w:szCs w:val="24"/>
                <w:lang w:val="en-AU"/>
              </w:rPr>
            </w:pPr>
            <w:r w:rsidRPr="00932E0F">
              <w:rPr>
                <w:rFonts w:asciiTheme="minorHAnsi" w:hAnsiTheme="minorHAnsi" w:cstheme="minorHAnsi"/>
                <w:bCs/>
                <w:szCs w:val="24"/>
                <w:lang w:val="en-AU"/>
              </w:rPr>
              <w:t>The Commonwealth and jurisdictions are working together on a coordinated approach to support progression of the Framework at the same time as the development of the Strategy.</w:t>
            </w:r>
            <w:r w:rsidR="00584C10">
              <w:rPr>
                <w:rFonts w:asciiTheme="minorHAnsi" w:hAnsiTheme="minorHAnsi" w:cstheme="minorHAnsi"/>
                <w:bCs/>
                <w:szCs w:val="24"/>
                <w:lang w:val="en-AU"/>
              </w:rPr>
              <w:t xml:space="preserve"> </w:t>
            </w:r>
            <w:r w:rsidRPr="00932E0F">
              <w:rPr>
                <w:rFonts w:asciiTheme="minorHAnsi" w:hAnsiTheme="minorHAnsi" w:cstheme="minorHAnsi"/>
                <w:szCs w:val="24"/>
              </w:rPr>
              <w:t>Aligning jurisdictional governance</w:t>
            </w:r>
            <w:r w:rsidR="00584C20" w:rsidRPr="00932E0F">
              <w:rPr>
                <w:rFonts w:asciiTheme="minorHAnsi" w:hAnsiTheme="minorHAnsi" w:cstheme="minorHAnsi"/>
                <w:szCs w:val="24"/>
              </w:rPr>
              <w:t>, where appropriate,</w:t>
            </w:r>
            <w:r w:rsidRPr="00932E0F">
              <w:rPr>
                <w:rFonts w:asciiTheme="minorHAnsi" w:hAnsiTheme="minorHAnsi" w:cstheme="minorHAnsi"/>
                <w:szCs w:val="24"/>
              </w:rPr>
              <w:t xml:space="preserve"> in both eye and tissue and organ donation</w:t>
            </w:r>
            <w:r w:rsidR="003A342E" w:rsidRPr="00932E0F">
              <w:rPr>
                <w:rFonts w:asciiTheme="minorHAnsi" w:hAnsiTheme="minorHAnsi" w:cstheme="minorHAnsi"/>
                <w:szCs w:val="24"/>
              </w:rPr>
              <w:t>, retrieval</w:t>
            </w:r>
            <w:r w:rsidRPr="00932E0F">
              <w:rPr>
                <w:rFonts w:asciiTheme="minorHAnsi" w:hAnsiTheme="minorHAnsi" w:cstheme="minorHAnsi"/>
                <w:szCs w:val="24"/>
              </w:rPr>
              <w:t xml:space="preserve"> and transplantation </w:t>
            </w:r>
            <w:r w:rsidRPr="00932E0F">
              <w:rPr>
                <w:rFonts w:asciiTheme="minorHAnsi" w:hAnsiTheme="minorHAnsi" w:cstheme="minorHAnsi"/>
                <w:bCs/>
                <w:szCs w:val="24"/>
                <w:lang w:val="en-AU"/>
              </w:rPr>
              <w:t>will allow these arrangements to be built upon existing arrangements</w:t>
            </w:r>
            <w:r w:rsidR="003A342E" w:rsidRPr="00932E0F">
              <w:rPr>
                <w:rFonts w:asciiTheme="minorHAnsi" w:hAnsiTheme="minorHAnsi" w:cstheme="minorHAnsi"/>
                <w:bCs/>
                <w:szCs w:val="24"/>
                <w:lang w:val="en-AU"/>
              </w:rPr>
              <w:t>,</w:t>
            </w:r>
            <w:r w:rsidRPr="00932E0F">
              <w:rPr>
                <w:rFonts w:asciiTheme="minorHAnsi" w:hAnsiTheme="minorHAnsi" w:cstheme="minorHAnsi"/>
                <w:bCs/>
                <w:szCs w:val="24"/>
                <w:lang w:val="en-AU"/>
              </w:rPr>
              <w:t xml:space="preserve"> enabling Strategy development.</w:t>
            </w:r>
          </w:p>
          <w:p w14:paraId="2FED4580" w14:textId="2238F863" w:rsidR="00625D47" w:rsidRPr="007E5046" w:rsidRDefault="005F4E4B" w:rsidP="00DB7C49">
            <w:pPr>
              <w:spacing w:after="120"/>
              <w:rPr>
                <w:rFonts w:asciiTheme="minorHAnsi" w:hAnsiTheme="minorHAnsi" w:cstheme="minorHAnsi"/>
                <w:bCs/>
                <w:szCs w:val="24"/>
                <w:lang w:val="en-AU"/>
              </w:rPr>
            </w:pPr>
            <w:r>
              <w:rPr>
                <w:rFonts w:asciiTheme="minorHAnsi" w:hAnsiTheme="minorHAnsi" w:cstheme="minorHAnsi"/>
                <w:bCs/>
                <w:szCs w:val="24"/>
                <w:lang w:val="en-AU"/>
              </w:rPr>
              <w:t xml:space="preserve">National </w:t>
            </w:r>
            <w:r w:rsidR="009F7160">
              <w:rPr>
                <w:rFonts w:asciiTheme="minorHAnsi" w:hAnsiTheme="minorHAnsi" w:cstheme="minorHAnsi"/>
                <w:bCs/>
                <w:szCs w:val="24"/>
                <w:lang w:val="en-AU"/>
              </w:rPr>
              <w:t>g</w:t>
            </w:r>
            <w:r w:rsidR="00A55198">
              <w:rPr>
                <w:rFonts w:asciiTheme="minorHAnsi" w:hAnsiTheme="minorHAnsi" w:cstheme="minorHAnsi"/>
                <w:bCs/>
                <w:szCs w:val="24"/>
                <w:lang w:val="en-AU"/>
              </w:rPr>
              <w:t>overnance arrangement</w:t>
            </w:r>
            <w:r w:rsidR="00903F08">
              <w:rPr>
                <w:rFonts w:asciiTheme="minorHAnsi" w:hAnsiTheme="minorHAnsi" w:cstheme="minorHAnsi"/>
                <w:bCs/>
                <w:szCs w:val="24"/>
                <w:lang w:val="en-AU"/>
              </w:rPr>
              <w:t>s</w:t>
            </w:r>
            <w:r w:rsidR="00A55198">
              <w:rPr>
                <w:rFonts w:asciiTheme="minorHAnsi" w:hAnsiTheme="minorHAnsi" w:cstheme="minorHAnsi"/>
                <w:bCs/>
                <w:szCs w:val="24"/>
                <w:lang w:val="en-AU"/>
              </w:rPr>
              <w:t xml:space="preserve"> will need to </w:t>
            </w:r>
            <w:r w:rsidR="00903F08">
              <w:rPr>
                <w:rFonts w:asciiTheme="minorHAnsi" w:hAnsiTheme="minorHAnsi" w:cstheme="minorHAnsi"/>
                <w:bCs/>
                <w:szCs w:val="24"/>
                <w:lang w:val="en-AU"/>
              </w:rPr>
              <w:t>include</w:t>
            </w:r>
            <w:r w:rsidR="00A55198">
              <w:rPr>
                <w:rFonts w:asciiTheme="minorHAnsi" w:hAnsiTheme="minorHAnsi" w:cstheme="minorHAnsi"/>
                <w:bCs/>
                <w:szCs w:val="24"/>
                <w:lang w:val="en-AU"/>
              </w:rPr>
              <w:t xml:space="preserve"> </w:t>
            </w:r>
            <w:r w:rsidR="00903F08">
              <w:rPr>
                <w:rFonts w:asciiTheme="minorHAnsi" w:hAnsiTheme="minorHAnsi" w:cstheme="minorHAnsi"/>
                <w:bCs/>
                <w:szCs w:val="24"/>
                <w:lang w:val="en-AU"/>
              </w:rPr>
              <w:t>structures to draw on</w:t>
            </w:r>
            <w:r w:rsidR="00625D47" w:rsidRPr="00932E0F">
              <w:rPr>
                <w:rFonts w:asciiTheme="minorHAnsi" w:hAnsiTheme="minorHAnsi" w:cstheme="minorHAnsi"/>
                <w:bCs/>
                <w:szCs w:val="24"/>
                <w:lang w:val="en-AU"/>
              </w:rPr>
              <w:t xml:space="preserve"> clinical subject matter experts.  </w:t>
            </w:r>
          </w:p>
        </w:tc>
      </w:tr>
      <w:tr w:rsidR="00BC3E2C" w:rsidRPr="00932E0F" w14:paraId="6EAEC902" w14:textId="77777777" w:rsidTr="00903F08">
        <w:tc>
          <w:tcPr>
            <w:tcW w:w="1842" w:type="dxa"/>
            <w:tcBorders>
              <w:top w:val="single" w:sz="4" w:space="0" w:color="auto"/>
              <w:left w:val="single" w:sz="4" w:space="0" w:color="auto"/>
              <w:bottom w:val="single" w:sz="4" w:space="0" w:color="auto"/>
              <w:right w:val="single" w:sz="4" w:space="0" w:color="auto"/>
            </w:tcBorders>
          </w:tcPr>
          <w:p w14:paraId="7CDE8AA8" w14:textId="77777777" w:rsidR="00BC3E2C" w:rsidRPr="007E5046" w:rsidRDefault="00BC3E2C" w:rsidP="004E5110">
            <w:pPr>
              <w:spacing w:after="120"/>
              <w:rPr>
                <w:rFonts w:asciiTheme="minorHAnsi" w:hAnsiTheme="minorHAnsi" w:cstheme="minorHAnsi"/>
                <w:b/>
                <w:szCs w:val="24"/>
              </w:rPr>
            </w:pPr>
            <w:r w:rsidRPr="007E5046">
              <w:rPr>
                <w:rFonts w:asciiTheme="minorHAnsi" w:hAnsiTheme="minorHAnsi" w:cstheme="minorHAnsi"/>
                <w:b/>
                <w:szCs w:val="24"/>
              </w:rPr>
              <w:t>Implementation</w:t>
            </w:r>
          </w:p>
        </w:tc>
        <w:tc>
          <w:tcPr>
            <w:tcW w:w="7174" w:type="dxa"/>
            <w:tcBorders>
              <w:left w:val="single" w:sz="4" w:space="0" w:color="auto"/>
            </w:tcBorders>
          </w:tcPr>
          <w:p w14:paraId="007A4B7E" w14:textId="77777777" w:rsidR="00BC3E2C" w:rsidRPr="007E5046" w:rsidRDefault="00BC3E2C" w:rsidP="004E5110">
            <w:pPr>
              <w:spacing w:after="120"/>
              <w:rPr>
                <w:rFonts w:asciiTheme="minorHAnsi" w:hAnsiTheme="minorHAnsi" w:cstheme="minorHAnsi"/>
                <w:szCs w:val="24"/>
                <w:lang w:val="en-AU"/>
              </w:rPr>
            </w:pPr>
            <w:r w:rsidRPr="007E5046">
              <w:rPr>
                <w:rFonts w:asciiTheme="minorHAnsi" w:hAnsiTheme="minorHAnsi" w:cstheme="minorHAnsi"/>
                <w:szCs w:val="24"/>
              </w:rPr>
              <w:t xml:space="preserve">All governments will work together to </w:t>
            </w:r>
            <w:r w:rsidR="00A803FE" w:rsidRPr="007E5046">
              <w:rPr>
                <w:rFonts w:asciiTheme="minorHAnsi" w:hAnsiTheme="minorHAnsi" w:cstheme="minorHAnsi"/>
                <w:szCs w:val="24"/>
              </w:rPr>
              <w:t xml:space="preserve">agree </w:t>
            </w:r>
            <w:r w:rsidRPr="007E5046">
              <w:rPr>
                <w:rFonts w:asciiTheme="minorHAnsi" w:hAnsiTheme="minorHAnsi" w:cstheme="minorHAnsi"/>
                <w:szCs w:val="24"/>
              </w:rPr>
              <w:t xml:space="preserve">governance and </w:t>
            </w:r>
            <w:r w:rsidRPr="007E5046">
              <w:rPr>
                <w:rFonts w:asciiTheme="minorHAnsi" w:hAnsiTheme="minorHAnsi" w:cstheme="minorHAnsi"/>
                <w:szCs w:val="24"/>
                <w:lang w:val="en-AU"/>
              </w:rPr>
              <w:t>committee arrangements</w:t>
            </w:r>
            <w:r w:rsidR="006F136C" w:rsidRPr="007E5046">
              <w:rPr>
                <w:rFonts w:asciiTheme="minorHAnsi" w:hAnsiTheme="minorHAnsi" w:cstheme="minorHAnsi"/>
                <w:szCs w:val="24"/>
                <w:lang w:val="en-AU"/>
              </w:rPr>
              <w:t xml:space="preserve"> to</w:t>
            </w:r>
            <w:r w:rsidRPr="007E5046">
              <w:rPr>
                <w:rFonts w:asciiTheme="minorHAnsi" w:hAnsiTheme="minorHAnsi" w:cstheme="minorHAnsi"/>
                <w:szCs w:val="24"/>
                <w:lang w:val="en-AU"/>
              </w:rPr>
              <w:t xml:space="preserve"> facilitate agreed implementation of the Framework and the Strategy.   </w:t>
            </w:r>
          </w:p>
        </w:tc>
      </w:tr>
    </w:tbl>
    <w:p w14:paraId="42624052" w14:textId="77777777" w:rsidR="00BC3E2C" w:rsidRPr="007E5046" w:rsidRDefault="00BC3E2C" w:rsidP="003A342E">
      <w:pPr>
        <w:pStyle w:val="Heading2"/>
        <w:spacing w:before="120" w:line="276" w:lineRule="auto"/>
        <w:rPr>
          <w:rFonts w:asciiTheme="minorHAnsi" w:eastAsia="Times New Roman" w:hAnsiTheme="minorHAnsi" w:cstheme="minorHAnsi"/>
          <w:bCs/>
          <w:iCs/>
          <w:color w:val="358189"/>
          <w:sz w:val="28"/>
          <w:szCs w:val="28"/>
        </w:rPr>
      </w:pPr>
      <w:r w:rsidRPr="007E5046">
        <w:rPr>
          <w:rFonts w:asciiTheme="minorHAnsi" w:eastAsia="Times New Roman" w:hAnsiTheme="minorHAnsi" w:cstheme="minorHAnsi"/>
          <w:bCs/>
          <w:iCs/>
          <w:color w:val="358189"/>
          <w:sz w:val="28"/>
          <w:szCs w:val="28"/>
        </w:rPr>
        <w:lastRenderedPageBreak/>
        <w:t>1.2 Agree the role of the OTA</w:t>
      </w:r>
    </w:p>
    <w:tbl>
      <w:tblPr>
        <w:tblStyle w:val="TableGrid"/>
        <w:tblW w:w="0" w:type="auto"/>
        <w:tblLook w:val="04A0" w:firstRow="1" w:lastRow="0" w:firstColumn="1" w:lastColumn="0" w:noHBand="0" w:noVBand="1"/>
      </w:tblPr>
      <w:tblGrid>
        <w:gridCol w:w="1831"/>
        <w:gridCol w:w="7185"/>
      </w:tblGrid>
      <w:tr w:rsidR="00BC3E2C" w:rsidRPr="00932E0F" w14:paraId="7092D8C2" w14:textId="77777777" w:rsidTr="00AD6DE4">
        <w:trPr>
          <w:trHeight w:val="916"/>
        </w:trPr>
        <w:tc>
          <w:tcPr>
            <w:tcW w:w="1831" w:type="dxa"/>
            <w:shd w:val="clear" w:color="auto" w:fill="B3ECEB"/>
          </w:tcPr>
          <w:p w14:paraId="4E4A7310" w14:textId="77777777" w:rsidR="00BC3E2C" w:rsidRPr="00932E0F" w:rsidRDefault="00BC3E2C" w:rsidP="004E5110">
            <w:pPr>
              <w:keepNext/>
              <w:spacing w:after="120"/>
              <w:rPr>
                <w:rFonts w:asciiTheme="minorHAnsi" w:hAnsiTheme="minorHAnsi" w:cstheme="minorHAnsi"/>
                <w:b/>
                <w:szCs w:val="24"/>
              </w:rPr>
            </w:pPr>
            <w:r w:rsidRPr="00932E0F">
              <w:rPr>
                <w:rFonts w:asciiTheme="minorHAnsi" w:hAnsiTheme="minorHAnsi" w:cstheme="minorHAnsi"/>
                <w:b/>
                <w:szCs w:val="24"/>
              </w:rPr>
              <w:t>Action</w:t>
            </w:r>
          </w:p>
        </w:tc>
        <w:tc>
          <w:tcPr>
            <w:tcW w:w="7185" w:type="dxa"/>
            <w:shd w:val="clear" w:color="auto" w:fill="B3ECEB"/>
          </w:tcPr>
          <w:p w14:paraId="192D0E86" w14:textId="6C48762C" w:rsidR="00BC3E2C" w:rsidRPr="00932E0F" w:rsidRDefault="0053619C" w:rsidP="00F76C23">
            <w:pPr>
              <w:keepNext/>
              <w:spacing w:after="120"/>
              <w:rPr>
                <w:rFonts w:asciiTheme="minorHAnsi" w:hAnsiTheme="minorHAnsi" w:cstheme="minorHAnsi"/>
                <w:szCs w:val="24"/>
              </w:rPr>
            </w:pPr>
            <w:r>
              <w:rPr>
                <w:rFonts w:asciiTheme="minorHAnsi" w:hAnsiTheme="minorHAnsi" w:cstheme="minorHAnsi"/>
                <w:szCs w:val="24"/>
              </w:rPr>
              <w:t>A</w:t>
            </w:r>
            <w:r w:rsidR="00E165AD" w:rsidRPr="00932E0F">
              <w:rPr>
                <w:rFonts w:asciiTheme="minorHAnsi" w:hAnsiTheme="minorHAnsi" w:cstheme="minorHAnsi"/>
                <w:szCs w:val="24"/>
              </w:rPr>
              <w:t>gree the</w:t>
            </w:r>
            <w:r>
              <w:rPr>
                <w:rFonts w:asciiTheme="minorHAnsi" w:hAnsiTheme="minorHAnsi" w:cstheme="minorHAnsi"/>
                <w:szCs w:val="24"/>
              </w:rPr>
              <w:t xml:space="preserve"> scope of the OTA’s</w:t>
            </w:r>
            <w:r w:rsidR="00E165AD" w:rsidRPr="00932E0F">
              <w:rPr>
                <w:rFonts w:asciiTheme="minorHAnsi" w:hAnsiTheme="minorHAnsi" w:cstheme="minorHAnsi"/>
                <w:szCs w:val="24"/>
              </w:rPr>
              <w:t xml:space="preserve"> role </w:t>
            </w:r>
            <w:r>
              <w:rPr>
                <w:rFonts w:asciiTheme="minorHAnsi" w:hAnsiTheme="minorHAnsi" w:cstheme="minorHAnsi"/>
                <w:szCs w:val="24"/>
              </w:rPr>
              <w:t xml:space="preserve">in </w:t>
            </w:r>
            <w:r w:rsidR="00754E89" w:rsidRPr="00932E0F">
              <w:rPr>
                <w:rFonts w:asciiTheme="minorHAnsi" w:hAnsiTheme="minorHAnsi" w:cstheme="minorHAnsi"/>
                <w:szCs w:val="24"/>
              </w:rPr>
              <w:t>implement</w:t>
            </w:r>
            <w:r>
              <w:rPr>
                <w:rFonts w:asciiTheme="minorHAnsi" w:hAnsiTheme="minorHAnsi" w:cstheme="minorHAnsi"/>
                <w:szCs w:val="24"/>
              </w:rPr>
              <w:t>ing</w:t>
            </w:r>
            <w:r w:rsidR="00754E89" w:rsidRPr="00932E0F">
              <w:rPr>
                <w:rFonts w:asciiTheme="minorHAnsi" w:hAnsiTheme="minorHAnsi" w:cstheme="minorHAnsi"/>
                <w:szCs w:val="24"/>
              </w:rPr>
              <w:t xml:space="preserve"> </w:t>
            </w:r>
            <w:r w:rsidR="00BC3E2C" w:rsidRPr="00932E0F">
              <w:rPr>
                <w:rFonts w:asciiTheme="minorHAnsi" w:hAnsiTheme="minorHAnsi" w:cstheme="minorHAnsi"/>
                <w:szCs w:val="24"/>
              </w:rPr>
              <w:t>a nationally consistent approach to elements of the</w:t>
            </w:r>
            <w:r w:rsidR="00E165AD" w:rsidRPr="00932E0F">
              <w:rPr>
                <w:rFonts w:asciiTheme="minorHAnsi" w:hAnsiTheme="minorHAnsi" w:cstheme="minorHAnsi"/>
                <w:szCs w:val="24"/>
              </w:rPr>
              <w:t xml:space="preserve"> </w:t>
            </w:r>
            <w:r w:rsidR="00BC3E2C" w:rsidRPr="00932E0F">
              <w:rPr>
                <w:rFonts w:asciiTheme="minorHAnsi" w:hAnsiTheme="minorHAnsi" w:cstheme="minorHAnsi"/>
                <w:szCs w:val="24"/>
              </w:rPr>
              <w:t>retrieval and transplantation system and the eye and tissue sector</w:t>
            </w:r>
            <w:r w:rsidR="00F76C23">
              <w:rPr>
                <w:rFonts w:asciiTheme="minorHAnsi" w:hAnsiTheme="minorHAnsi" w:cstheme="minorHAnsi"/>
                <w:szCs w:val="24"/>
              </w:rPr>
              <w:t>.</w:t>
            </w:r>
          </w:p>
        </w:tc>
      </w:tr>
      <w:tr w:rsidR="00BC3E2C" w:rsidRPr="00932E0F" w14:paraId="0E862151" w14:textId="77777777" w:rsidTr="00AD6DE4">
        <w:tc>
          <w:tcPr>
            <w:tcW w:w="1831" w:type="dxa"/>
          </w:tcPr>
          <w:p w14:paraId="4C927F84" w14:textId="77777777" w:rsidR="00BC3E2C" w:rsidRPr="00932E0F" w:rsidRDefault="00BC3E2C" w:rsidP="004E5110">
            <w:pPr>
              <w:keepNext/>
              <w:spacing w:after="120"/>
              <w:rPr>
                <w:rFonts w:asciiTheme="minorHAnsi" w:hAnsiTheme="minorHAnsi" w:cstheme="minorHAnsi"/>
                <w:b/>
                <w:szCs w:val="24"/>
              </w:rPr>
            </w:pPr>
            <w:r w:rsidRPr="00932E0F">
              <w:rPr>
                <w:rFonts w:asciiTheme="minorHAnsi" w:hAnsiTheme="minorHAnsi" w:cstheme="minorHAnsi"/>
                <w:b/>
                <w:szCs w:val="24"/>
              </w:rPr>
              <w:t xml:space="preserve">Rationale for early action </w:t>
            </w:r>
          </w:p>
        </w:tc>
        <w:tc>
          <w:tcPr>
            <w:tcW w:w="7185" w:type="dxa"/>
          </w:tcPr>
          <w:p w14:paraId="2B32BA4E" w14:textId="77777777" w:rsidR="00BC3E2C" w:rsidRPr="00932E0F" w:rsidRDefault="00BC3E2C" w:rsidP="004E5110">
            <w:pPr>
              <w:keepNext/>
              <w:spacing w:after="120"/>
              <w:rPr>
                <w:rFonts w:asciiTheme="minorHAnsi" w:hAnsiTheme="minorHAnsi" w:cstheme="minorHAnsi"/>
                <w:szCs w:val="24"/>
              </w:rPr>
            </w:pPr>
            <w:r w:rsidRPr="00932E0F">
              <w:rPr>
                <w:rFonts w:asciiTheme="minorHAnsi" w:hAnsiTheme="minorHAnsi" w:cstheme="minorHAnsi"/>
                <w:szCs w:val="24"/>
              </w:rPr>
              <w:t>Clarifying the role of the OTA will inform the development of the Strategy and associated implementation plans, including activities to support the Framework. It may also identify that some elements are out of scope for the OTA.</w:t>
            </w:r>
          </w:p>
          <w:p w14:paraId="54220386" w14:textId="77777777" w:rsidR="00BC3E2C" w:rsidRPr="00932E0F" w:rsidRDefault="00BC3E2C" w:rsidP="004E5110">
            <w:pPr>
              <w:keepNext/>
              <w:keepLines/>
              <w:spacing w:after="120"/>
              <w:rPr>
                <w:rFonts w:asciiTheme="minorHAnsi" w:hAnsiTheme="minorHAnsi" w:cstheme="minorHAnsi"/>
                <w:szCs w:val="24"/>
              </w:rPr>
            </w:pPr>
            <w:r w:rsidRPr="00932E0F">
              <w:rPr>
                <w:rFonts w:asciiTheme="minorHAnsi" w:hAnsiTheme="minorHAnsi" w:cstheme="minorHAnsi"/>
                <w:szCs w:val="24"/>
              </w:rPr>
              <w:t>Consultation with all jurisdictions will settle the elements of the reviews of organ donation, retrieval and transplantation and the eye and tissue sector that would benefit from national coordination. This may include:</w:t>
            </w:r>
          </w:p>
          <w:p w14:paraId="37EE0692" w14:textId="77777777" w:rsidR="00BC3E2C" w:rsidRPr="00932E0F" w:rsidRDefault="00BC3E2C" w:rsidP="004E5110">
            <w:pPr>
              <w:pStyle w:val="ListParagraph"/>
              <w:keepNext/>
              <w:keepLines/>
              <w:numPr>
                <w:ilvl w:val="0"/>
                <w:numId w:val="2"/>
              </w:numPr>
              <w:spacing w:after="120"/>
              <w:rPr>
                <w:rFonts w:asciiTheme="minorHAnsi" w:hAnsiTheme="minorHAnsi" w:cstheme="minorHAnsi"/>
                <w:sz w:val="24"/>
                <w:szCs w:val="24"/>
              </w:rPr>
            </w:pPr>
            <w:r w:rsidRPr="00932E0F">
              <w:rPr>
                <w:rFonts w:asciiTheme="minorHAnsi" w:hAnsiTheme="minorHAnsi" w:cstheme="minorHAnsi"/>
                <w:sz w:val="24"/>
                <w:szCs w:val="24"/>
              </w:rPr>
              <w:t>enhanced stakeholder engagement and collaboration</w:t>
            </w:r>
          </w:p>
          <w:p w14:paraId="417ECF2E" w14:textId="77777777" w:rsidR="00BC3E2C" w:rsidRPr="00932E0F" w:rsidRDefault="00BC3E2C" w:rsidP="004E5110">
            <w:pPr>
              <w:pStyle w:val="ListParagraph"/>
              <w:keepNext/>
              <w:keepLines/>
              <w:numPr>
                <w:ilvl w:val="0"/>
                <w:numId w:val="2"/>
              </w:numPr>
              <w:spacing w:after="120"/>
              <w:rPr>
                <w:rFonts w:asciiTheme="minorHAnsi" w:hAnsiTheme="minorHAnsi" w:cstheme="minorHAnsi"/>
                <w:sz w:val="24"/>
                <w:szCs w:val="24"/>
              </w:rPr>
            </w:pPr>
            <w:r w:rsidRPr="00932E0F">
              <w:rPr>
                <w:rFonts w:asciiTheme="minorHAnsi" w:hAnsiTheme="minorHAnsi" w:cstheme="minorHAnsi"/>
                <w:sz w:val="24"/>
                <w:szCs w:val="24"/>
              </w:rPr>
              <w:t xml:space="preserve">national data collection, </w:t>
            </w:r>
            <w:proofErr w:type="gramStart"/>
            <w:r w:rsidRPr="00932E0F">
              <w:rPr>
                <w:rFonts w:asciiTheme="minorHAnsi" w:hAnsiTheme="minorHAnsi" w:cstheme="minorHAnsi"/>
                <w:sz w:val="24"/>
                <w:szCs w:val="24"/>
              </w:rPr>
              <w:t>analysis</w:t>
            </w:r>
            <w:proofErr w:type="gramEnd"/>
            <w:r w:rsidRPr="00932E0F">
              <w:rPr>
                <w:rFonts w:asciiTheme="minorHAnsi" w:hAnsiTheme="minorHAnsi" w:cstheme="minorHAnsi"/>
                <w:sz w:val="24"/>
                <w:szCs w:val="24"/>
              </w:rPr>
              <w:t xml:space="preserve"> and enhanced reporting</w:t>
            </w:r>
          </w:p>
          <w:p w14:paraId="38DEDDC5" w14:textId="77777777" w:rsidR="00BC3E2C" w:rsidRPr="00932E0F" w:rsidRDefault="00BC3E2C" w:rsidP="004E5110">
            <w:pPr>
              <w:pStyle w:val="ListParagraph"/>
              <w:keepNext/>
              <w:keepLines/>
              <w:numPr>
                <w:ilvl w:val="0"/>
                <w:numId w:val="2"/>
              </w:numPr>
              <w:spacing w:after="120"/>
              <w:rPr>
                <w:rFonts w:asciiTheme="minorHAnsi" w:hAnsiTheme="minorHAnsi" w:cstheme="minorHAnsi"/>
                <w:sz w:val="24"/>
                <w:szCs w:val="24"/>
              </w:rPr>
            </w:pPr>
            <w:r w:rsidRPr="00932E0F">
              <w:rPr>
                <w:rFonts w:asciiTheme="minorHAnsi" w:hAnsiTheme="minorHAnsi" w:cstheme="minorHAnsi"/>
                <w:sz w:val="24"/>
                <w:szCs w:val="24"/>
              </w:rPr>
              <w:t>professional education and resources</w:t>
            </w:r>
          </w:p>
          <w:p w14:paraId="58EEA209" w14:textId="77777777" w:rsidR="00BC3E2C" w:rsidRPr="00932E0F" w:rsidRDefault="0031797C" w:rsidP="004E5110">
            <w:pPr>
              <w:pStyle w:val="ListParagraph"/>
              <w:keepNext/>
              <w:keepLines/>
              <w:numPr>
                <w:ilvl w:val="0"/>
                <w:numId w:val="2"/>
              </w:numPr>
              <w:spacing w:after="120"/>
              <w:rPr>
                <w:rFonts w:asciiTheme="minorHAnsi" w:hAnsiTheme="minorHAnsi" w:cstheme="minorHAnsi"/>
                <w:sz w:val="24"/>
                <w:szCs w:val="24"/>
              </w:rPr>
            </w:pPr>
            <w:r w:rsidRPr="00932E0F">
              <w:rPr>
                <w:rFonts w:asciiTheme="minorHAnsi" w:hAnsiTheme="minorHAnsi" w:cstheme="minorHAnsi"/>
                <w:sz w:val="24"/>
                <w:szCs w:val="24"/>
              </w:rPr>
              <w:t>enhanced</w:t>
            </w:r>
            <w:r w:rsidR="00BC3E2C" w:rsidRPr="00932E0F">
              <w:rPr>
                <w:rFonts w:asciiTheme="minorHAnsi" w:hAnsiTheme="minorHAnsi" w:cstheme="minorHAnsi"/>
                <w:sz w:val="24"/>
                <w:szCs w:val="24"/>
              </w:rPr>
              <w:t xml:space="preserve"> national community awareness and </w:t>
            </w:r>
            <w:r w:rsidRPr="00932E0F">
              <w:rPr>
                <w:rFonts w:asciiTheme="minorHAnsi" w:hAnsiTheme="minorHAnsi" w:cstheme="minorHAnsi"/>
                <w:sz w:val="24"/>
                <w:szCs w:val="24"/>
              </w:rPr>
              <w:t>messaging</w:t>
            </w:r>
          </w:p>
          <w:p w14:paraId="55CB1A72" w14:textId="383E341C" w:rsidR="00BC3E2C" w:rsidRPr="00932E0F" w:rsidRDefault="00BC3E2C" w:rsidP="004E5110">
            <w:pPr>
              <w:pStyle w:val="ListParagraph"/>
              <w:keepNext/>
              <w:keepLines/>
              <w:numPr>
                <w:ilvl w:val="0"/>
                <w:numId w:val="2"/>
              </w:numPr>
              <w:spacing w:after="120"/>
              <w:rPr>
                <w:rFonts w:asciiTheme="minorHAnsi" w:hAnsiTheme="minorHAnsi" w:cstheme="minorHAnsi"/>
                <w:sz w:val="24"/>
                <w:szCs w:val="24"/>
              </w:rPr>
            </w:pPr>
            <w:r w:rsidRPr="00932E0F">
              <w:rPr>
                <w:rFonts w:asciiTheme="minorHAnsi" w:hAnsiTheme="minorHAnsi" w:cstheme="minorHAnsi"/>
                <w:sz w:val="24"/>
                <w:szCs w:val="24"/>
              </w:rPr>
              <w:t xml:space="preserve">collaboration with stakeholders to develop and monitor nationally consistent clinical practice </w:t>
            </w:r>
            <w:r w:rsidR="001D31FF">
              <w:rPr>
                <w:rFonts w:asciiTheme="minorHAnsi" w:hAnsiTheme="minorHAnsi" w:cstheme="minorHAnsi"/>
                <w:sz w:val="24"/>
                <w:szCs w:val="24"/>
              </w:rPr>
              <w:t xml:space="preserve">guidelines </w:t>
            </w:r>
            <w:r w:rsidRPr="00932E0F">
              <w:rPr>
                <w:rFonts w:asciiTheme="minorHAnsi" w:hAnsiTheme="minorHAnsi" w:cstheme="minorHAnsi"/>
                <w:sz w:val="24"/>
                <w:szCs w:val="24"/>
              </w:rPr>
              <w:t xml:space="preserve">protocols </w:t>
            </w:r>
          </w:p>
          <w:p w14:paraId="6BC265D2" w14:textId="77777777" w:rsidR="00BC3E2C" w:rsidRPr="00932E0F" w:rsidRDefault="00BC3E2C" w:rsidP="004E5110">
            <w:pPr>
              <w:pStyle w:val="ListParagraph"/>
              <w:keepNext/>
              <w:keepLines/>
              <w:numPr>
                <w:ilvl w:val="0"/>
                <w:numId w:val="2"/>
              </w:numPr>
              <w:spacing w:after="120"/>
              <w:rPr>
                <w:rFonts w:asciiTheme="minorHAnsi" w:hAnsiTheme="minorHAnsi" w:cstheme="minorHAnsi"/>
                <w:sz w:val="24"/>
                <w:szCs w:val="24"/>
              </w:rPr>
            </w:pPr>
            <w:r w:rsidRPr="00932E0F">
              <w:rPr>
                <w:rFonts w:asciiTheme="minorHAnsi" w:hAnsiTheme="minorHAnsi" w:cstheme="minorHAnsi"/>
                <w:sz w:val="24"/>
                <w:szCs w:val="24"/>
              </w:rPr>
              <w:t>improve the efficiency of donation</w:t>
            </w:r>
            <w:r w:rsidR="0031797C" w:rsidRPr="00932E0F">
              <w:rPr>
                <w:rFonts w:asciiTheme="minorHAnsi" w:hAnsiTheme="minorHAnsi" w:cstheme="minorHAnsi"/>
                <w:sz w:val="24"/>
                <w:szCs w:val="24"/>
              </w:rPr>
              <w:t xml:space="preserve">, </w:t>
            </w:r>
            <w:proofErr w:type="gramStart"/>
            <w:r w:rsidR="0031797C" w:rsidRPr="00932E0F">
              <w:rPr>
                <w:rFonts w:asciiTheme="minorHAnsi" w:hAnsiTheme="minorHAnsi" w:cstheme="minorHAnsi"/>
                <w:sz w:val="24"/>
                <w:szCs w:val="24"/>
              </w:rPr>
              <w:t>retrieval</w:t>
            </w:r>
            <w:proofErr w:type="gramEnd"/>
            <w:r w:rsidRPr="00932E0F">
              <w:rPr>
                <w:rFonts w:asciiTheme="minorHAnsi" w:hAnsiTheme="minorHAnsi" w:cstheme="minorHAnsi"/>
                <w:sz w:val="24"/>
                <w:szCs w:val="24"/>
              </w:rPr>
              <w:t xml:space="preserve"> and transplantation processes with consideration of current and emerging </w:t>
            </w:r>
            <w:r w:rsidRPr="00932E0F">
              <w:rPr>
                <w:rFonts w:asciiTheme="minorHAnsi" w:hAnsiTheme="minorHAnsi" w:cstheme="minorHAnsi"/>
                <w:sz w:val="24"/>
                <w:szCs w:val="24"/>
                <w:lang w:val="en-US"/>
              </w:rPr>
              <w:t xml:space="preserve">best practice </w:t>
            </w:r>
          </w:p>
          <w:p w14:paraId="1BC92466" w14:textId="77777777" w:rsidR="00BC3E2C" w:rsidRPr="00932E0F" w:rsidRDefault="00BC3E2C" w:rsidP="004E5110">
            <w:pPr>
              <w:pStyle w:val="ListParagraph"/>
              <w:keepNext/>
              <w:keepLines/>
              <w:numPr>
                <w:ilvl w:val="0"/>
                <w:numId w:val="2"/>
              </w:numPr>
              <w:spacing w:after="120"/>
              <w:rPr>
                <w:rFonts w:asciiTheme="minorHAnsi" w:hAnsiTheme="minorHAnsi" w:cstheme="minorHAnsi"/>
                <w:sz w:val="24"/>
                <w:szCs w:val="24"/>
              </w:rPr>
            </w:pPr>
            <w:r w:rsidRPr="00932E0F">
              <w:rPr>
                <w:rFonts w:asciiTheme="minorHAnsi" w:hAnsiTheme="minorHAnsi" w:cstheme="minorHAnsi"/>
                <w:sz w:val="24"/>
                <w:szCs w:val="24"/>
              </w:rPr>
              <w:t xml:space="preserve">a national approach for transport and other services that support donation, </w:t>
            </w:r>
            <w:proofErr w:type="gramStart"/>
            <w:r w:rsidRPr="00932E0F">
              <w:rPr>
                <w:rFonts w:asciiTheme="minorHAnsi" w:hAnsiTheme="minorHAnsi" w:cstheme="minorHAnsi"/>
                <w:sz w:val="24"/>
                <w:szCs w:val="24"/>
              </w:rPr>
              <w:t>retrieval</w:t>
            </w:r>
            <w:proofErr w:type="gramEnd"/>
            <w:r w:rsidRPr="00932E0F">
              <w:rPr>
                <w:rFonts w:asciiTheme="minorHAnsi" w:hAnsiTheme="minorHAnsi" w:cstheme="minorHAnsi"/>
                <w:sz w:val="24"/>
                <w:szCs w:val="24"/>
              </w:rPr>
              <w:t xml:space="preserve"> and transplantation. </w:t>
            </w:r>
          </w:p>
        </w:tc>
      </w:tr>
      <w:tr w:rsidR="00BC3E2C" w:rsidRPr="007E5046" w14:paraId="3E93FBAD" w14:textId="77777777" w:rsidTr="00AD6DE4">
        <w:tc>
          <w:tcPr>
            <w:tcW w:w="1831" w:type="dxa"/>
          </w:tcPr>
          <w:p w14:paraId="4AB8E61C" w14:textId="77777777" w:rsidR="00BC3E2C" w:rsidRPr="007E5046" w:rsidRDefault="00BC3E2C" w:rsidP="004E5110">
            <w:pPr>
              <w:spacing w:after="120"/>
              <w:rPr>
                <w:rFonts w:asciiTheme="minorHAnsi" w:hAnsiTheme="minorHAnsi" w:cstheme="minorHAnsi"/>
                <w:b/>
                <w:szCs w:val="24"/>
              </w:rPr>
            </w:pPr>
            <w:r w:rsidRPr="007E5046">
              <w:rPr>
                <w:rFonts w:asciiTheme="minorHAnsi" w:hAnsiTheme="minorHAnsi" w:cstheme="minorHAnsi"/>
                <w:b/>
                <w:szCs w:val="24"/>
              </w:rPr>
              <w:t>Implementation</w:t>
            </w:r>
          </w:p>
        </w:tc>
        <w:tc>
          <w:tcPr>
            <w:tcW w:w="7185" w:type="dxa"/>
          </w:tcPr>
          <w:p w14:paraId="3260972A" w14:textId="32EA7284" w:rsidR="006B1B5D" w:rsidRPr="007E5046" w:rsidRDefault="00C34039" w:rsidP="004E5110">
            <w:pPr>
              <w:spacing w:after="120"/>
              <w:rPr>
                <w:rFonts w:asciiTheme="minorHAnsi" w:hAnsiTheme="minorHAnsi" w:cstheme="minorHAnsi"/>
                <w:b/>
                <w:szCs w:val="24"/>
              </w:rPr>
            </w:pPr>
            <w:r w:rsidRPr="007E5046">
              <w:rPr>
                <w:rFonts w:asciiTheme="minorHAnsi" w:hAnsiTheme="minorHAnsi" w:cstheme="minorHAnsi"/>
                <w:szCs w:val="24"/>
              </w:rPr>
              <w:t xml:space="preserve">The Commonwealth, in collaboration with the OTA, will work with states and territories to </w:t>
            </w:r>
            <w:r w:rsidR="007C77F9" w:rsidRPr="007E5046">
              <w:rPr>
                <w:rFonts w:asciiTheme="minorHAnsi" w:hAnsiTheme="minorHAnsi" w:cstheme="minorHAnsi"/>
                <w:szCs w:val="24"/>
              </w:rPr>
              <w:t xml:space="preserve">clarify </w:t>
            </w:r>
            <w:r w:rsidR="001D31FF">
              <w:rPr>
                <w:rFonts w:asciiTheme="minorHAnsi" w:hAnsiTheme="minorHAnsi" w:cstheme="minorHAnsi"/>
                <w:szCs w:val="24"/>
              </w:rPr>
              <w:t xml:space="preserve">any expanded </w:t>
            </w:r>
            <w:r w:rsidR="007C77F9" w:rsidRPr="007E5046">
              <w:rPr>
                <w:rFonts w:asciiTheme="minorHAnsi" w:hAnsiTheme="minorHAnsi" w:cstheme="minorHAnsi"/>
                <w:szCs w:val="24"/>
              </w:rPr>
              <w:t xml:space="preserve">role of the </w:t>
            </w:r>
            <w:r w:rsidR="00AD6DE4" w:rsidRPr="007E5046">
              <w:rPr>
                <w:rFonts w:asciiTheme="minorHAnsi" w:hAnsiTheme="minorHAnsi" w:cstheme="minorHAnsi"/>
                <w:szCs w:val="24"/>
              </w:rPr>
              <w:t>OTA</w:t>
            </w:r>
            <w:r w:rsidRPr="007E5046">
              <w:rPr>
                <w:rFonts w:asciiTheme="minorHAnsi" w:hAnsiTheme="minorHAnsi" w:cstheme="minorHAnsi"/>
                <w:szCs w:val="24"/>
              </w:rPr>
              <w:t xml:space="preserve">. </w:t>
            </w:r>
          </w:p>
        </w:tc>
      </w:tr>
    </w:tbl>
    <w:p w14:paraId="4E2AF862" w14:textId="77777777" w:rsidR="00BC3E2C" w:rsidRPr="007E5046" w:rsidRDefault="00BC3E2C" w:rsidP="003A342E">
      <w:pPr>
        <w:spacing w:line="276" w:lineRule="auto"/>
        <w:rPr>
          <w:rFonts w:asciiTheme="minorHAnsi" w:hAnsiTheme="minorHAnsi" w:cstheme="minorHAnsi"/>
          <w:sz w:val="22"/>
          <w:szCs w:val="22"/>
          <w:lang w:val="en-AU"/>
        </w:rPr>
      </w:pPr>
    </w:p>
    <w:p w14:paraId="6187ADF4" w14:textId="77777777" w:rsidR="00BC3E2C" w:rsidRPr="007E5046" w:rsidRDefault="00BC3E2C" w:rsidP="003A342E">
      <w:pPr>
        <w:pStyle w:val="Heading2"/>
        <w:spacing w:line="276" w:lineRule="auto"/>
        <w:ind w:left="360"/>
        <w:rPr>
          <w:rFonts w:asciiTheme="minorHAnsi" w:eastAsia="Times New Roman" w:hAnsiTheme="minorHAnsi" w:cstheme="minorHAnsi"/>
          <w:bCs/>
          <w:iCs/>
          <w:color w:val="358189"/>
          <w:sz w:val="28"/>
          <w:szCs w:val="28"/>
        </w:rPr>
      </w:pPr>
      <w:r w:rsidRPr="007E5046">
        <w:rPr>
          <w:rFonts w:asciiTheme="minorHAnsi" w:eastAsia="Times New Roman" w:hAnsiTheme="minorHAnsi" w:cstheme="minorHAnsi"/>
          <w:bCs/>
          <w:iCs/>
          <w:color w:val="358189"/>
          <w:sz w:val="28"/>
          <w:szCs w:val="28"/>
        </w:rPr>
        <w:lastRenderedPageBreak/>
        <w:t xml:space="preserve">1.3 Review funding arrangements for organ donation, </w:t>
      </w:r>
      <w:proofErr w:type="gramStart"/>
      <w:r w:rsidRPr="007E5046">
        <w:rPr>
          <w:rFonts w:asciiTheme="minorHAnsi" w:eastAsia="Times New Roman" w:hAnsiTheme="minorHAnsi" w:cstheme="minorHAnsi"/>
          <w:bCs/>
          <w:iCs/>
          <w:color w:val="358189"/>
          <w:sz w:val="28"/>
          <w:szCs w:val="28"/>
        </w:rPr>
        <w:t>retrieval</w:t>
      </w:r>
      <w:proofErr w:type="gramEnd"/>
      <w:r w:rsidRPr="007E5046">
        <w:rPr>
          <w:rFonts w:asciiTheme="minorHAnsi" w:eastAsia="Times New Roman" w:hAnsiTheme="minorHAnsi" w:cstheme="minorHAnsi"/>
          <w:bCs/>
          <w:iCs/>
          <w:color w:val="358189"/>
          <w:sz w:val="28"/>
          <w:szCs w:val="28"/>
        </w:rPr>
        <w:t xml:space="preserve"> and transplantation</w:t>
      </w:r>
    </w:p>
    <w:tbl>
      <w:tblPr>
        <w:tblStyle w:val="TableGrid"/>
        <w:tblW w:w="0" w:type="auto"/>
        <w:tblLook w:val="04A0" w:firstRow="1" w:lastRow="0" w:firstColumn="1" w:lastColumn="0" w:noHBand="0" w:noVBand="1"/>
      </w:tblPr>
      <w:tblGrid>
        <w:gridCol w:w="1831"/>
        <w:gridCol w:w="7185"/>
      </w:tblGrid>
      <w:tr w:rsidR="00BC3E2C" w:rsidRPr="00932E0F" w14:paraId="68FF0BFE" w14:textId="77777777" w:rsidTr="00AD6DE4">
        <w:trPr>
          <w:trHeight w:val="2258"/>
        </w:trPr>
        <w:tc>
          <w:tcPr>
            <w:tcW w:w="1831" w:type="dxa"/>
            <w:shd w:val="clear" w:color="auto" w:fill="B3ECEB"/>
          </w:tcPr>
          <w:p w14:paraId="2D294820" w14:textId="77777777" w:rsidR="00BC3E2C" w:rsidRPr="00932E0F" w:rsidRDefault="00BC3E2C" w:rsidP="004E5110">
            <w:pPr>
              <w:keepNext/>
              <w:spacing w:after="120"/>
              <w:rPr>
                <w:rFonts w:asciiTheme="minorHAnsi" w:hAnsiTheme="minorHAnsi" w:cstheme="minorHAnsi"/>
                <w:b/>
                <w:szCs w:val="24"/>
              </w:rPr>
            </w:pPr>
            <w:r w:rsidRPr="00932E0F">
              <w:rPr>
                <w:rFonts w:asciiTheme="minorHAnsi" w:hAnsiTheme="minorHAnsi" w:cstheme="minorHAnsi"/>
                <w:b/>
                <w:szCs w:val="24"/>
              </w:rPr>
              <w:t>Action</w:t>
            </w:r>
          </w:p>
        </w:tc>
        <w:tc>
          <w:tcPr>
            <w:tcW w:w="7185" w:type="dxa"/>
            <w:shd w:val="clear" w:color="auto" w:fill="B3ECEB"/>
          </w:tcPr>
          <w:p w14:paraId="23C0CF57" w14:textId="3BC9BB12" w:rsidR="00BC3E2C" w:rsidRPr="007E5046" w:rsidRDefault="00BC3E2C" w:rsidP="004E5110">
            <w:pPr>
              <w:keepNext/>
              <w:spacing w:after="120"/>
              <w:rPr>
                <w:rFonts w:asciiTheme="minorHAnsi" w:hAnsiTheme="minorHAnsi" w:cstheme="minorHAnsi"/>
                <w:szCs w:val="24"/>
              </w:rPr>
            </w:pPr>
            <w:r w:rsidRPr="00932E0F">
              <w:rPr>
                <w:rFonts w:asciiTheme="minorHAnsi" w:hAnsiTheme="minorHAnsi" w:cstheme="minorHAnsi"/>
                <w:szCs w:val="24"/>
              </w:rPr>
              <w:t xml:space="preserve">Continue to engage with the Independent Hospital Pricing Authority (IHPA) regarding the review of the costing arrangements for all aspects of organ </w:t>
            </w:r>
            <w:r w:rsidRPr="007E5046">
              <w:rPr>
                <w:rFonts w:asciiTheme="minorHAnsi" w:hAnsiTheme="minorHAnsi" w:cstheme="minorHAnsi"/>
                <w:szCs w:val="24"/>
              </w:rPr>
              <w:t xml:space="preserve">donation, </w:t>
            </w:r>
            <w:proofErr w:type="gramStart"/>
            <w:r w:rsidRPr="007E5046">
              <w:rPr>
                <w:rFonts w:asciiTheme="minorHAnsi" w:hAnsiTheme="minorHAnsi" w:cstheme="minorHAnsi"/>
                <w:szCs w:val="24"/>
              </w:rPr>
              <w:t>retrieval</w:t>
            </w:r>
            <w:proofErr w:type="gramEnd"/>
            <w:r w:rsidRPr="007E5046">
              <w:rPr>
                <w:rFonts w:asciiTheme="minorHAnsi" w:hAnsiTheme="minorHAnsi" w:cstheme="minorHAnsi"/>
                <w:szCs w:val="24"/>
              </w:rPr>
              <w:t xml:space="preserve"> and transplantation.  </w:t>
            </w:r>
          </w:p>
          <w:p w14:paraId="23901193" w14:textId="3B2E06AE" w:rsidR="00BC3E2C" w:rsidRPr="003D7BEE" w:rsidRDefault="00BC3E2C" w:rsidP="004E5110">
            <w:pPr>
              <w:keepNext/>
              <w:spacing w:after="120"/>
              <w:rPr>
                <w:rFonts w:asciiTheme="minorHAnsi" w:hAnsiTheme="minorHAnsi" w:cstheme="minorHAnsi"/>
                <w:szCs w:val="24"/>
              </w:rPr>
            </w:pPr>
            <w:r w:rsidRPr="007E5046">
              <w:rPr>
                <w:rFonts w:asciiTheme="minorHAnsi" w:hAnsiTheme="minorHAnsi" w:cstheme="minorHAnsi"/>
                <w:szCs w:val="24"/>
              </w:rPr>
              <w:t xml:space="preserve">Request IHPA </w:t>
            </w:r>
            <w:r w:rsidR="00A00F32">
              <w:rPr>
                <w:rFonts w:asciiTheme="minorHAnsi" w:hAnsiTheme="minorHAnsi" w:cstheme="minorHAnsi"/>
                <w:szCs w:val="24"/>
              </w:rPr>
              <w:t>to complete their</w:t>
            </w:r>
            <w:r w:rsidRPr="007E5046">
              <w:rPr>
                <w:rFonts w:asciiTheme="minorHAnsi" w:hAnsiTheme="minorHAnsi" w:cstheme="minorHAnsi"/>
                <w:szCs w:val="24"/>
              </w:rPr>
              <w:t xml:space="preserve"> work </w:t>
            </w:r>
            <w:r w:rsidR="00A00F32">
              <w:rPr>
                <w:rFonts w:asciiTheme="minorHAnsi" w:hAnsiTheme="minorHAnsi" w:cstheme="minorHAnsi"/>
                <w:szCs w:val="24"/>
              </w:rPr>
              <w:t>on</w:t>
            </w:r>
            <w:r w:rsidR="00A00F32" w:rsidRPr="007E5046">
              <w:rPr>
                <w:rFonts w:asciiTheme="minorHAnsi" w:hAnsiTheme="minorHAnsi" w:cstheme="minorHAnsi"/>
                <w:szCs w:val="24"/>
              </w:rPr>
              <w:t xml:space="preserve"> </w:t>
            </w:r>
            <w:r w:rsidRPr="007E5046">
              <w:rPr>
                <w:rFonts w:asciiTheme="minorHAnsi" w:hAnsiTheme="minorHAnsi" w:cstheme="minorHAnsi"/>
                <w:szCs w:val="24"/>
              </w:rPr>
              <w:t xml:space="preserve">a </w:t>
            </w:r>
            <w:r w:rsidRPr="007E5046">
              <w:rPr>
                <w:rFonts w:asciiTheme="minorHAnsi" w:hAnsiTheme="minorHAnsi" w:cstheme="minorHAnsi"/>
                <w:iCs/>
                <w:szCs w:val="24"/>
              </w:rPr>
              <w:t xml:space="preserve">costing study and classification review for the classification of all aspects of organ donation, </w:t>
            </w:r>
            <w:proofErr w:type="gramStart"/>
            <w:r w:rsidRPr="007E5046">
              <w:rPr>
                <w:rFonts w:asciiTheme="minorHAnsi" w:hAnsiTheme="minorHAnsi" w:cstheme="minorHAnsi"/>
                <w:iCs/>
                <w:szCs w:val="24"/>
              </w:rPr>
              <w:t>retrieval</w:t>
            </w:r>
            <w:proofErr w:type="gramEnd"/>
            <w:r w:rsidRPr="007E5046">
              <w:rPr>
                <w:rFonts w:asciiTheme="minorHAnsi" w:hAnsiTheme="minorHAnsi" w:cstheme="minorHAnsi"/>
                <w:iCs/>
                <w:szCs w:val="24"/>
              </w:rPr>
              <w:t xml:space="preserve"> and transplantation</w:t>
            </w:r>
            <w:r w:rsidR="00863B95" w:rsidRPr="007E5046">
              <w:rPr>
                <w:rFonts w:asciiTheme="minorHAnsi" w:hAnsiTheme="minorHAnsi" w:cstheme="minorHAnsi"/>
                <w:iCs/>
                <w:szCs w:val="24"/>
              </w:rPr>
              <w:t xml:space="preserve">, including </w:t>
            </w:r>
            <w:r w:rsidR="00F2129D" w:rsidRPr="007E5046">
              <w:rPr>
                <w:rFonts w:asciiTheme="minorHAnsi" w:hAnsiTheme="minorHAnsi" w:cstheme="minorHAnsi"/>
                <w:iCs/>
                <w:szCs w:val="24"/>
              </w:rPr>
              <w:t xml:space="preserve">both </w:t>
            </w:r>
            <w:r w:rsidR="00863B95" w:rsidRPr="007E5046">
              <w:rPr>
                <w:rFonts w:asciiTheme="minorHAnsi" w:hAnsiTheme="minorHAnsi" w:cstheme="minorHAnsi"/>
                <w:iCs/>
                <w:szCs w:val="24"/>
              </w:rPr>
              <w:t>donation pathways, deceased</w:t>
            </w:r>
            <w:r w:rsidR="00F2129D" w:rsidRPr="007E5046">
              <w:rPr>
                <w:rFonts w:asciiTheme="minorHAnsi" w:hAnsiTheme="minorHAnsi" w:cstheme="minorHAnsi"/>
                <w:iCs/>
                <w:szCs w:val="24"/>
              </w:rPr>
              <w:t xml:space="preserve"> and living</w:t>
            </w:r>
            <w:r w:rsidR="00863B95" w:rsidRPr="007E5046">
              <w:rPr>
                <w:rFonts w:asciiTheme="minorHAnsi" w:hAnsiTheme="minorHAnsi" w:cstheme="minorHAnsi"/>
                <w:iCs/>
                <w:szCs w:val="24"/>
              </w:rPr>
              <w:t xml:space="preserve"> donation, and intrastate/interstate retrieval and transplantation</w:t>
            </w:r>
            <w:r w:rsidR="00C00DAF">
              <w:rPr>
                <w:rFonts w:asciiTheme="minorHAnsi" w:hAnsiTheme="minorHAnsi" w:cstheme="minorHAnsi"/>
                <w:iCs/>
                <w:szCs w:val="24"/>
              </w:rPr>
              <w:t xml:space="preserve"> (include non-admitted pre and post organ transplantation care)</w:t>
            </w:r>
            <w:r w:rsidR="00903F08">
              <w:rPr>
                <w:rFonts w:asciiTheme="minorHAnsi" w:hAnsiTheme="minorHAnsi" w:cstheme="minorHAnsi"/>
                <w:iCs/>
                <w:szCs w:val="24"/>
              </w:rPr>
              <w:t>.</w:t>
            </w:r>
          </w:p>
        </w:tc>
      </w:tr>
      <w:tr w:rsidR="00BC3E2C" w:rsidRPr="00932E0F" w14:paraId="6730A465" w14:textId="77777777" w:rsidTr="00AD6DE4">
        <w:tc>
          <w:tcPr>
            <w:tcW w:w="1831" w:type="dxa"/>
          </w:tcPr>
          <w:p w14:paraId="1B7BF614" w14:textId="77777777" w:rsidR="00BC3E2C" w:rsidRPr="003D7BEE" w:rsidRDefault="00BC3E2C" w:rsidP="004E5110">
            <w:pPr>
              <w:keepNext/>
              <w:spacing w:after="120"/>
              <w:rPr>
                <w:rFonts w:asciiTheme="minorHAnsi" w:hAnsiTheme="minorHAnsi" w:cstheme="minorHAnsi"/>
                <w:b/>
                <w:szCs w:val="24"/>
              </w:rPr>
            </w:pPr>
            <w:r w:rsidRPr="003D7BEE">
              <w:rPr>
                <w:rFonts w:asciiTheme="minorHAnsi" w:hAnsiTheme="minorHAnsi" w:cstheme="minorHAnsi"/>
                <w:b/>
                <w:szCs w:val="24"/>
              </w:rPr>
              <w:t xml:space="preserve">Rationale for early action </w:t>
            </w:r>
          </w:p>
        </w:tc>
        <w:tc>
          <w:tcPr>
            <w:tcW w:w="7185" w:type="dxa"/>
          </w:tcPr>
          <w:p w14:paraId="7D9C18D5" w14:textId="0CAAD790" w:rsidR="00BC3E2C" w:rsidRPr="003D7BEE" w:rsidRDefault="00BC3E2C" w:rsidP="004E5110">
            <w:pPr>
              <w:keepNext/>
              <w:spacing w:after="120"/>
              <w:rPr>
                <w:rFonts w:asciiTheme="minorHAnsi" w:hAnsiTheme="minorHAnsi" w:cstheme="minorHAnsi"/>
                <w:szCs w:val="24"/>
              </w:rPr>
            </w:pPr>
            <w:r w:rsidRPr="003D7BEE">
              <w:rPr>
                <w:rFonts w:asciiTheme="minorHAnsi" w:hAnsiTheme="minorHAnsi" w:cstheme="minorHAnsi"/>
                <w:szCs w:val="24"/>
              </w:rPr>
              <w:t xml:space="preserve">The Review Report identified that the current funding arrangements for </w:t>
            </w:r>
            <w:r w:rsidR="00580BA6">
              <w:rPr>
                <w:rFonts w:asciiTheme="minorHAnsi" w:hAnsiTheme="minorHAnsi" w:cstheme="minorHAnsi"/>
                <w:szCs w:val="24"/>
              </w:rPr>
              <w:t xml:space="preserve">donation, </w:t>
            </w:r>
            <w:proofErr w:type="gramStart"/>
            <w:r w:rsidRPr="003D7BEE">
              <w:rPr>
                <w:rFonts w:asciiTheme="minorHAnsi" w:hAnsiTheme="minorHAnsi" w:cstheme="minorHAnsi"/>
                <w:szCs w:val="24"/>
              </w:rPr>
              <w:t>retrieval</w:t>
            </w:r>
            <w:proofErr w:type="gramEnd"/>
            <w:r w:rsidRPr="003D7BEE">
              <w:rPr>
                <w:rFonts w:asciiTheme="minorHAnsi" w:hAnsiTheme="minorHAnsi" w:cstheme="minorHAnsi"/>
                <w:szCs w:val="24"/>
              </w:rPr>
              <w:t xml:space="preserve"> and transplantation present challenges for the sector, with concerns that the current arrangements do not allocate funding appropriately or consider all the associated costs. </w:t>
            </w:r>
          </w:p>
          <w:p w14:paraId="68718CBA" w14:textId="77777777" w:rsidR="00BC3E2C" w:rsidRPr="003D7BEE" w:rsidRDefault="00BC3E2C" w:rsidP="004E5110">
            <w:pPr>
              <w:keepNext/>
              <w:spacing w:after="120"/>
              <w:rPr>
                <w:rFonts w:asciiTheme="minorHAnsi" w:hAnsiTheme="minorHAnsi" w:cstheme="minorHAnsi"/>
                <w:szCs w:val="24"/>
              </w:rPr>
            </w:pPr>
            <w:r w:rsidRPr="003D7BEE">
              <w:rPr>
                <w:rFonts w:asciiTheme="minorHAnsi" w:hAnsiTheme="minorHAnsi" w:cstheme="minorHAnsi"/>
                <w:szCs w:val="24"/>
              </w:rPr>
              <w:t xml:space="preserve">Reviewing funding arrangements will underpin other actions to be included in the Strategy. </w:t>
            </w:r>
          </w:p>
        </w:tc>
      </w:tr>
      <w:tr w:rsidR="00BC3E2C" w:rsidRPr="00FF18A1" w14:paraId="5263CA38" w14:textId="77777777" w:rsidTr="00AD6DE4">
        <w:tc>
          <w:tcPr>
            <w:tcW w:w="1831" w:type="dxa"/>
          </w:tcPr>
          <w:p w14:paraId="501F94F3" w14:textId="77777777" w:rsidR="00BC3E2C" w:rsidRPr="003D7BEE" w:rsidRDefault="00BC3E2C" w:rsidP="004E5110">
            <w:pPr>
              <w:spacing w:after="120"/>
              <w:rPr>
                <w:rFonts w:asciiTheme="minorHAnsi" w:hAnsiTheme="minorHAnsi" w:cstheme="minorHAnsi"/>
                <w:b/>
                <w:szCs w:val="24"/>
              </w:rPr>
            </w:pPr>
            <w:r w:rsidRPr="003D7BEE">
              <w:rPr>
                <w:rFonts w:asciiTheme="minorHAnsi" w:hAnsiTheme="minorHAnsi" w:cstheme="minorHAnsi"/>
                <w:b/>
                <w:szCs w:val="24"/>
              </w:rPr>
              <w:t>Implementation</w:t>
            </w:r>
          </w:p>
        </w:tc>
        <w:tc>
          <w:tcPr>
            <w:tcW w:w="7185" w:type="dxa"/>
          </w:tcPr>
          <w:p w14:paraId="66A21B72" w14:textId="7571C790" w:rsidR="00BC3E2C" w:rsidRPr="00BE7B25" w:rsidRDefault="00BC3E2C" w:rsidP="004E5110">
            <w:pPr>
              <w:spacing w:after="120"/>
              <w:rPr>
                <w:rFonts w:asciiTheme="minorHAnsi" w:hAnsiTheme="minorHAnsi" w:cstheme="minorHAnsi"/>
                <w:i/>
                <w:szCs w:val="24"/>
              </w:rPr>
            </w:pPr>
            <w:r w:rsidRPr="003D7BEE">
              <w:rPr>
                <w:rFonts w:asciiTheme="minorHAnsi" w:hAnsiTheme="minorHAnsi" w:cstheme="minorHAnsi"/>
                <w:szCs w:val="24"/>
              </w:rPr>
              <w:t>IHPA’s 202</w:t>
            </w:r>
            <w:r w:rsidR="00E054B4">
              <w:rPr>
                <w:rFonts w:asciiTheme="minorHAnsi" w:hAnsiTheme="minorHAnsi" w:cstheme="minorHAnsi"/>
                <w:szCs w:val="24"/>
              </w:rPr>
              <w:t>1</w:t>
            </w:r>
            <w:r w:rsidRPr="003D7BEE">
              <w:rPr>
                <w:rFonts w:asciiTheme="minorHAnsi" w:hAnsiTheme="minorHAnsi" w:cstheme="minorHAnsi"/>
                <w:szCs w:val="24"/>
              </w:rPr>
              <w:t>-2</w:t>
            </w:r>
            <w:r w:rsidR="00E054B4">
              <w:rPr>
                <w:rFonts w:asciiTheme="minorHAnsi" w:hAnsiTheme="minorHAnsi" w:cstheme="minorHAnsi"/>
                <w:szCs w:val="24"/>
              </w:rPr>
              <w:t>2</w:t>
            </w:r>
            <w:r w:rsidRPr="003D7BEE">
              <w:rPr>
                <w:rFonts w:asciiTheme="minorHAnsi" w:hAnsiTheme="minorHAnsi" w:cstheme="minorHAnsi"/>
                <w:szCs w:val="24"/>
              </w:rPr>
              <w:t xml:space="preserve"> Workplan includes a review of costing arrangements for all aspects of organ donation, </w:t>
            </w:r>
            <w:proofErr w:type="gramStart"/>
            <w:r w:rsidRPr="003D7BEE">
              <w:rPr>
                <w:rFonts w:asciiTheme="minorHAnsi" w:hAnsiTheme="minorHAnsi" w:cstheme="minorHAnsi"/>
                <w:szCs w:val="24"/>
              </w:rPr>
              <w:t>retrieval</w:t>
            </w:r>
            <w:proofErr w:type="gramEnd"/>
            <w:r w:rsidRPr="003D7BEE">
              <w:rPr>
                <w:rFonts w:asciiTheme="minorHAnsi" w:hAnsiTheme="minorHAnsi" w:cstheme="minorHAnsi"/>
                <w:szCs w:val="24"/>
              </w:rPr>
              <w:t xml:space="preserve"> and transplantation, as part of the development of the </w:t>
            </w:r>
            <w:r w:rsidRPr="003D7BEE">
              <w:rPr>
                <w:rFonts w:asciiTheme="minorHAnsi" w:hAnsiTheme="minorHAnsi" w:cstheme="minorHAnsi"/>
                <w:i/>
                <w:szCs w:val="24"/>
              </w:rPr>
              <w:t>Pricing Framework for Australian Public Hospital Services.</w:t>
            </w:r>
            <w:r w:rsidRPr="003D7BEE">
              <w:rPr>
                <w:rStyle w:val="FootnoteReference"/>
                <w:rFonts w:asciiTheme="minorHAnsi" w:hAnsiTheme="minorHAnsi" w:cstheme="minorHAnsi"/>
                <w:szCs w:val="24"/>
              </w:rPr>
              <w:footnoteReference w:id="6"/>
            </w:r>
            <w:r w:rsidR="00747B2E">
              <w:rPr>
                <w:rFonts w:asciiTheme="minorHAnsi" w:hAnsiTheme="minorHAnsi" w:cstheme="minorHAnsi"/>
                <w:iCs/>
                <w:szCs w:val="24"/>
              </w:rPr>
              <w:t xml:space="preserve"> It is anticipated that this work will be </w:t>
            </w:r>
            <w:proofErr w:type="spellStart"/>
            <w:r w:rsidR="00747B2E">
              <w:rPr>
                <w:rFonts w:asciiTheme="minorHAnsi" w:hAnsiTheme="minorHAnsi" w:cstheme="minorHAnsi"/>
                <w:iCs/>
                <w:szCs w:val="24"/>
              </w:rPr>
              <w:t>finalised</w:t>
            </w:r>
            <w:proofErr w:type="spellEnd"/>
            <w:r w:rsidR="00747B2E">
              <w:rPr>
                <w:rFonts w:asciiTheme="minorHAnsi" w:hAnsiTheme="minorHAnsi" w:cstheme="minorHAnsi"/>
                <w:iCs/>
                <w:szCs w:val="24"/>
              </w:rPr>
              <w:t xml:space="preserve"> in 2022</w:t>
            </w:r>
            <w:r w:rsidR="00DE354C">
              <w:rPr>
                <w:rFonts w:asciiTheme="minorHAnsi" w:hAnsiTheme="minorHAnsi" w:cstheme="minorHAnsi"/>
                <w:iCs/>
                <w:szCs w:val="24"/>
              </w:rPr>
              <w:t>.</w:t>
            </w:r>
          </w:p>
          <w:p w14:paraId="7403D734" w14:textId="085C468D" w:rsidR="003D7BEE" w:rsidRPr="003D7BEE" w:rsidRDefault="003D7BEE" w:rsidP="004E5110">
            <w:pPr>
              <w:spacing w:after="120"/>
              <w:rPr>
                <w:rFonts w:asciiTheme="minorHAnsi" w:hAnsiTheme="minorHAnsi" w:cstheme="minorHAnsi"/>
                <w:b/>
                <w:szCs w:val="24"/>
              </w:rPr>
            </w:pPr>
            <w:r>
              <w:rPr>
                <w:rFonts w:asciiTheme="minorHAnsi" w:hAnsiTheme="minorHAnsi" w:cstheme="minorHAnsi"/>
                <w:szCs w:val="24"/>
              </w:rPr>
              <w:t>All governments will continue to engage with IHPA regarding a proposed costing study and classification review as recommended by the Review Report.</w:t>
            </w:r>
          </w:p>
        </w:tc>
      </w:tr>
    </w:tbl>
    <w:p w14:paraId="5951A893" w14:textId="77777777" w:rsidR="00BC3E2C" w:rsidRPr="00FF18A1" w:rsidRDefault="00BC3E2C" w:rsidP="003A342E">
      <w:pPr>
        <w:widowControl/>
        <w:spacing w:after="160" w:line="276" w:lineRule="auto"/>
        <w:rPr>
          <w:rFonts w:asciiTheme="minorHAnsi" w:eastAsiaTheme="majorEastAsia" w:hAnsiTheme="minorHAnsi" w:cstheme="minorHAnsi"/>
          <w:snapToGrid/>
          <w:color w:val="2E74B5" w:themeColor="accent1" w:themeShade="BF"/>
          <w:sz w:val="22"/>
          <w:szCs w:val="22"/>
          <w:lang w:val="en-AU"/>
        </w:rPr>
      </w:pPr>
    </w:p>
    <w:p w14:paraId="4924EDC6" w14:textId="77777777" w:rsidR="004E5110" w:rsidRDefault="004E5110">
      <w:pPr>
        <w:widowControl/>
        <w:spacing w:after="160" w:line="259" w:lineRule="auto"/>
        <w:rPr>
          <w:rFonts w:asciiTheme="minorHAnsi" w:eastAsiaTheme="majorEastAsia" w:hAnsiTheme="minorHAnsi" w:cstheme="minorHAnsi"/>
          <w:snapToGrid/>
          <w:color w:val="2E74B5" w:themeColor="accent1" w:themeShade="BF"/>
          <w:sz w:val="28"/>
          <w:szCs w:val="28"/>
          <w:lang w:val="en-AU"/>
        </w:rPr>
      </w:pPr>
      <w:r>
        <w:rPr>
          <w:rFonts w:asciiTheme="minorHAnsi" w:hAnsiTheme="minorHAnsi" w:cstheme="minorHAnsi"/>
          <w:sz w:val="28"/>
          <w:szCs w:val="28"/>
        </w:rPr>
        <w:br w:type="page"/>
      </w:r>
    </w:p>
    <w:p w14:paraId="670D5887" w14:textId="3FA21C50" w:rsidR="00BC3E2C" w:rsidRPr="00FF18A1" w:rsidRDefault="00BC3E2C" w:rsidP="003A342E">
      <w:pPr>
        <w:pStyle w:val="Heading2"/>
        <w:spacing w:line="276" w:lineRule="auto"/>
        <w:rPr>
          <w:rFonts w:asciiTheme="minorHAnsi" w:eastAsia="Times New Roman" w:hAnsiTheme="minorHAnsi" w:cstheme="minorHAnsi"/>
          <w:bCs/>
          <w:iCs/>
          <w:color w:val="358189"/>
          <w:sz w:val="28"/>
          <w:szCs w:val="28"/>
        </w:rPr>
      </w:pPr>
      <w:r w:rsidRPr="00FF18A1">
        <w:rPr>
          <w:rFonts w:asciiTheme="minorHAnsi" w:hAnsiTheme="minorHAnsi" w:cstheme="minorHAnsi"/>
          <w:sz w:val="28"/>
          <w:szCs w:val="28"/>
        </w:rPr>
        <w:lastRenderedPageBreak/>
        <w:t>1</w:t>
      </w:r>
      <w:r w:rsidRPr="00FF18A1">
        <w:rPr>
          <w:rFonts w:asciiTheme="minorHAnsi" w:eastAsia="Times New Roman" w:hAnsiTheme="minorHAnsi" w:cstheme="minorHAnsi"/>
          <w:bCs/>
          <w:iCs/>
          <w:color w:val="358189"/>
          <w:sz w:val="28"/>
          <w:szCs w:val="28"/>
        </w:rPr>
        <w:t xml:space="preserve">.4 Review funding arrangements for tissue supply </w:t>
      </w:r>
    </w:p>
    <w:tbl>
      <w:tblPr>
        <w:tblStyle w:val="TableGrid"/>
        <w:tblW w:w="0" w:type="auto"/>
        <w:tblLook w:val="04A0" w:firstRow="1" w:lastRow="0" w:firstColumn="1" w:lastColumn="0" w:noHBand="0" w:noVBand="1"/>
      </w:tblPr>
      <w:tblGrid>
        <w:gridCol w:w="1831"/>
        <w:gridCol w:w="7185"/>
      </w:tblGrid>
      <w:tr w:rsidR="00BC3E2C" w:rsidRPr="00932E0F" w14:paraId="03869337" w14:textId="77777777" w:rsidTr="00AD6DE4">
        <w:tc>
          <w:tcPr>
            <w:tcW w:w="1831" w:type="dxa"/>
            <w:shd w:val="clear" w:color="auto" w:fill="B3ECEB"/>
          </w:tcPr>
          <w:p w14:paraId="060A2B3B" w14:textId="77777777" w:rsidR="00BC3E2C" w:rsidRPr="00932E0F" w:rsidRDefault="00BC3E2C" w:rsidP="004E5110">
            <w:pPr>
              <w:spacing w:after="120"/>
              <w:rPr>
                <w:rFonts w:asciiTheme="minorHAnsi" w:hAnsiTheme="minorHAnsi" w:cstheme="minorHAnsi"/>
                <w:b/>
                <w:szCs w:val="24"/>
              </w:rPr>
            </w:pPr>
            <w:r w:rsidRPr="00932E0F">
              <w:rPr>
                <w:rFonts w:asciiTheme="minorHAnsi" w:hAnsiTheme="minorHAnsi" w:cstheme="minorHAnsi"/>
                <w:b/>
                <w:szCs w:val="24"/>
              </w:rPr>
              <w:t>Actions</w:t>
            </w:r>
          </w:p>
        </w:tc>
        <w:tc>
          <w:tcPr>
            <w:tcW w:w="7185" w:type="dxa"/>
            <w:shd w:val="clear" w:color="auto" w:fill="B3ECEB"/>
          </w:tcPr>
          <w:p w14:paraId="4F293765" w14:textId="77777777" w:rsidR="00BC3E2C" w:rsidRPr="00932E0F" w:rsidRDefault="00BC3E2C" w:rsidP="004E5110">
            <w:pPr>
              <w:rPr>
                <w:rFonts w:asciiTheme="minorHAnsi" w:hAnsiTheme="minorHAnsi" w:cstheme="minorHAnsi"/>
                <w:szCs w:val="24"/>
              </w:rPr>
            </w:pPr>
            <w:r w:rsidRPr="00932E0F">
              <w:rPr>
                <w:rFonts w:asciiTheme="minorHAnsi" w:hAnsiTheme="minorHAnsi" w:cstheme="minorHAnsi"/>
                <w:szCs w:val="24"/>
              </w:rPr>
              <w:t>The Commonwealth, as part of its existing plans</w:t>
            </w:r>
            <w:r w:rsidR="00EE0639" w:rsidRPr="00932E0F">
              <w:rPr>
                <w:rFonts w:asciiTheme="minorHAnsi" w:hAnsiTheme="minorHAnsi" w:cstheme="minorHAnsi"/>
                <w:szCs w:val="24"/>
              </w:rPr>
              <w:t>,</w:t>
            </w:r>
            <w:r w:rsidR="003A342E" w:rsidRPr="00932E0F">
              <w:rPr>
                <w:rFonts w:asciiTheme="minorHAnsi" w:hAnsiTheme="minorHAnsi" w:cstheme="minorHAnsi"/>
                <w:szCs w:val="24"/>
              </w:rPr>
              <w:t xml:space="preserve"> will consider how to enhance p</w:t>
            </w:r>
            <w:r w:rsidRPr="00932E0F">
              <w:rPr>
                <w:rFonts w:asciiTheme="minorHAnsi" w:hAnsiTheme="minorHAnsi" w:cstheme="minorHAnsi"/>
                <w:szCs w:val="24"/>
              </w:rPr>
              <w:t>rostheses listing and benefit setting to potentially include:</w:t>
            </w:r>
          </w:p>
          <w:p w14:paraId="7B3F0A09" w14:textId="39B30A7B" w:rsidR="00BC3E2C" w:rsidRPr="00932E0F" w:rsidRDefault="00BC3E2C" w:rsidP="004E5110">
            <w:pPr>
              <w:pStyle w:val="ListParagraph"/>
              <w:numPr>
                <w:ilvl w:val="0"/>
                <w:numId w:val="30"/>
              </w:numPr>
              <w:contextualSpacing/>
              <w:rPr>
                <w:rFonts w:asciiTheme="minorHAnsi" w:hAnsiTheme="minorHAnsi" w:cstheme="minorHAnsi"/>
                <w:sz w:val="24"/>
                <w:szCs w:val="24"/>
              </w:rPr>
            </w:pPr>
            <w:r w:rsidRPr="00932E0F">
              <w:rPr>
                <w:rFonts w:asciiTheme="minorHAnsi" w:hAnsiTheme="minorHAnsi" w:cstheme="minorHAnsi"/>
                <w:sz w:val="24"/>
                <w:szCs w:val="24"/>
              </w:rPr>
              <w:t xml:space="preserve">tissues and tissue-based products being included on the Australian Register of Therapeutic </w:t>
            </w:r>
            <w:proofErr w:type="gramStart"/>
            <w:r w:rsidRPr="00932E0F">
              <w:rPr>
                <w:rFonts w:asciiTheme="minorHAnsi" w:hAnsiTheme="minorHAnsi" w:cstheme="minorHAnsi"/>
                <w:sz w:val="24"/>
                <w:szCs w:val="24"/>
              </w:rPr>
              <w:t>Goods;</w:t>
            </w:r>
            <w:proofErr w:type="gramEnd"/>
          </w:p>
          <w:p w14:paraId="3C70EE23" w14:textId="77777777" w:rsidR="00BC3E2C" w:rsidRPr="00932E0F" w:rsidRDefault="00BC3E2C" w:rsidP="004E5110">
            <w:pPr>
              <w:pStyle w:val="ListParagraph"/>
              <w:numPr>
                <w:ilvl w:val="0"/>
                <w:numId w:val="30"/>
              </w:numPr>
              <w:contextualSpacing/>
              <w:rPr>
                <w:rFonts w:asciiTheme="minorHAnsi" w:hAnsiTheme="minorHAnsi" w:cstheme="minorHAnsi"/>
                <w:sz w:val="24"/>
                <w:szCs w:val="24"/>
              </w:rPr>
            </w:pPr>
            <w:r w:rsidRPr="00932E0F">
              <w:rPr>
                <w:rFonts w:asciiTheme="minorHAnsi" w:hAnsiTheme="minorHAnsi" w:cstheme="minorHAnsi"/>
                <w:sz w:val="24"/>
                <w:szCs w:val="24"/>
              </w:rPr>
              <w:t xml:space="preserve">assessment of products for comparative clinical effectiveness and </w:t>
            </w:r>
            <w:proofErr w:type="gramStart"/>
            <w:r w:rsidRPr="00932E0F">
              <w:rPr>
                <w:rFonts w:asciiTheme="minorHAnsi" w:hAnsiTheme="minorHAnsi" w:cstheme="minorHAnsi"/>
                <w:sz w:val="24"/>
                <w:szCs w:val="24"/>
              </w:rPr>
              <w:t>outcomes;</w:t>
            </w:r>
            <w:proofErr w:type="gramEnd"/>
          </w:p>
          <w:p w14:paraId="536C79B9" w14:textId="77777777" w:rsidR="00BC3E2C" w:rsidRPr="00932E0F" w:rsidRDefault="00BC3E2C" w:rsidP="004E5110">
            <w:pPr>
              <w:pStyle w:val="ListParagraph"/>
              <w:numPr>
                <w:ilvl w:val="0"/>
                <w:numId w:val="30"/>
              </w:numPr>
              <w:contextualSpacing/>
              <w:rPr>
                <w:rFonts w:asciiTheme="minorHAnsi" w:hAnsiTheme="minorHAnsi" w:cstheme="minorHAnsi"/>
                <w:sz w:val="24"/>
                <w:szCs w:val="24"/>
              </w:rPr>
            </w:pPr>
            <w:r w:rsidRPr="00932E0F">
              <w:rPr>
                <w:rFonts w:asciiTheme="minorHAnsi" w:hAnsiTheme="minorHAnsi" w:cstheme="minorHAnsi"/>
                <w:sz w:val="24"/>
                <w:szCs w:val="24"/>
              </w:rPr>
              <w:t>cost-effectiveness and benchmarking of benefits to ensure similar benefits are payable for like tissues and tissue-based products.</w:t>
            </w:r>
          </w:p>
        </w:tc>
      </w:tr>
      <w:tr w:rsidR="00BC3E2C" w:rsidRPr="00932E0F" w14:paraId="33CFE86F" w14:textId="77777777" w:rsidTr="00AD6DE4">
        <w:tc>
          <w:tcPr>
            <w:tcW w:w="1831" w:type="dxa"/>
          </w:tcPr>
          <w:p w14:paraId="5CCA52C3" w14:textId="77777777" w:rsidR="00BC3E2C" w:rsidRPr="00932E0F" w:rsidRDefault="00BC3E2C" w:rsidP="004E5110">
            <w:pPr>
              <w:spacing w:after="120"/>
              <w:rPr>
                <w:rFonts w:asciiTheme="minorHAnsi" w:hAnsiTheme="minorHAnsi" w:cstheme="minorHAnsi"/>
                <w:b/>
                <w:szCs w:val="24"/>
              </w:rPr>
            </w:pPr>
            <w:r w:rsidRPr="00932E0F">
              <w:rPr>
                <w:rFonts w:asciiTheme="minorHAnsi" w:hAnsiTheme="minorHAnsi" w:cstheme="minorHAnsi"/>
                <w:b/>
                <w:szCs w:val="24"/>
              </w:rPr>
              <w:t xml:space="preserve">Rationale for early action </w:t>
            </w:r>
          </w:p>
        </w:tc>
        <w:tc>
          <w:tcPr>
            <w:tcW w:w="7185" w:type="dxa"/>
          </w:tcPr>
          <w:p w14:paraId="58D5DC01" w14:textId="77777777" w:rsidR="00BC3E2C" w:rsidRPr="00932E0F" w:rsidRDefault="00BC3E2C" w:rsidP="004E5110">
            <w:pPr>
              <w:rPr>
                <w:rFonts w:asciiTheme="minorHAnsi" w:eastAsia="Calibri Light" w:hAnsiTheme="minorHAnsi" w:cstheme="minorHAnsi"/>
                <w:szCs w:val="24"/>
              </w:rPr>
            </w:pPr>
            <w:r w:rsidRPr="00932E0F">
              <w:rPr>
                <w:rFonts w:asciiTheme="minorHAnsi" w:hAnsiTheme="minorHAnsi" w:cstheme="minorHAnsi"/>
                <w:szCs w:val="24"/>
              </w:rPr>
              <w:t>Planned</w:t>
            </w:r>
            <w:r w:rsidRPr="00932E0F">
              <w:rPr>
                <w:rFonts w:asciiTheme="minorHAnsi" w:eastAsia="Calibri Light" w:hAnsiTheme="minorHAnsi" w:cstheme="minorHAnsi"/>
                <w:szCs w:val="24"/>
              </w:rPr>
              <w:t xml:space="preserve"> reforms to the Prostheses List arrangements, including a review of Part B items to investigate how item listings are assessed for comparative clinical and cost effectiveness and improved benefit setting, will further support the sustainability of the sector.</w:t>
            </w:r>
          </w:p>
          <w:p w14:paraId="1F65F20D" w14:textId="24A5EA00" w:rsidR="00BC3E2C" w:rsidRPr="00932E0F" w:rsidRDefault="00BC3E2C" w:rsidP="004E5110">
            <w:pPr>
              <w:spacing w:before="120" w:after="120"/>
              <w:rPr>
                <w:rFonts w:asciiTheme="minorHAnsi" w:eastAsia="Calibri" w:hAnsiTheme="minorHAnsi" w:cstheme="minorHAnsi"/>
                <w:szCs w:val="24"/>
              </w:rPr>
            </w:pPr>
            <w:r w:rsidRPr="00932E0F">
              <w:rPr>
                <w:rFonts w:asciiTheme="minorHAnsi" w:eastAsia="Calibri" w:hAnsiTheme="minorHAnsi" w:cstheme="minorHAnsi"/>
                <w:szCs w:val="24"/>
              </w:rPr>
              <w:t>The reform of Part B of the Prostheses List is being considered as part of a broader program of prostheses reform being delivered under the Australian Government’s Agreement with the Medical Technology Association of Australia. This may include:</w:t>
            </w:r>
          </w:p>
          <w:p w14:paraId="25038E7A" w14:textId="77777777" w:rsidR="00BC3E2C" w:rsidRPr="00932E0F" w:rsidRDefault="00BC3E2C" w:rsidP="004E5110">
            <w:pPr>
              <w:pStyle w:val="ListParagraph"/>
              <w:numPr>
                <w:ilvl w:val="0"/>
                <w:numId w:val="33"/>
              </w:numPr>
              <w:spacing w:before="120" w:after="120"/>
              <w:rPr>
                <w:rFonts w:asciiTheme="minorHAnsi" w:eastAsia="Calibri" w:hAnsiTheme="minorHAnsi" w:cstheme="minorHAnsi"/>
                <w:sz w:val="24"/>
                <w:szCs w:val="24"/>
              </w:rPr>
            </w:pPr>
            <w:r w:rsidRPr="00932E0F">
              <w:rPr>
                <w:rFonts w:asciiTheme="minorHAnsi" w:eastAsia="Calibri" w:hAnsiTheme="minorHAnsi" w:cstheme="minorHAnsi"/>
                <w:sz w:val="24"/>
                <w:szCs w:val="24"/>
              </w:rPr>
              <w:t>Aligning arrangements for human tissue items (Part B) with those of Part A of the Prostheses List</w:t>
            </w:r>
          </w:p>
          <w:p w14:paraId="147DA92D" w14:textId="77777777" w:rsidR="00BC3E2C" w:rsidRPr="00932E0F" w:rsidRDefault="00BC3E2C" w:rsidP="004E5110">
            <w:pPr>
              <w:pStyle w:val="ListParagraph"/>
              <w:numPr>
                <w:ilvl w:val="0"/>
                <w:numId w:val="33"/>
              </w:numPr>
              <w:spacing w:before="120" w:after="120"/>
              <w:rPr>
                <w:rFonts w:asciiTheme="minorHAnsi" w:hAnsiTheme="minorHAnsi" w:cstheme="minorHAnsi"/>
                <w:sz w:val="24"/>
                <w:szCs w:val="24"/>
              </w:rPr>
            </w:pPr>
            <w:r w:rsidRPr="00932E0F">
              <w:rPr>
                <w:rFonts w:asciiTheme="minorHAnsi" w:eastAsia="Calibri" w:hAnsiTheme="minorHAnsi" w:cstheme="minorHAnsi"/>
                <w:sz w:val="24"/>
                <w:szCs w:val="24"/>
              </w:rPr>
              <w:t>Developing and implementing, in consultation with the sector, clear guidance to assist providers of tissues and tissue products</w:t>
            </w:r>
            <w:r w:rsidR="00407DA7" w:rsidRPr="00932E0F">
              <w:rPr>
                <w:rFonts w:asciiTheme="minorHAnsi" w:eastAsia="Calibri" w:hAnsiTheme="minorHAnsi" w:cstheme="minorHAnsi"/>
                <w:sz w:val="24"/>
                <w:szCs w:val="24"/>
              </w:rPr>
              <w:t xml:space="preserve"> with new arrangements</w:t>
            </w:r>
            <w:r w:rsidRPr="00932E0F">
              <w:rPr>
                <w:rFonts w:asciiTheme="minorHAnsi" w:eastAsia="Calibri" w:hAnsiTheme="minorHAnsi" w:cstheme="minorHAnsi"/>
                <w:sz w:val="24"/>
                <w:szCs w:val="24"/>
              </w:rPr>
              <w:t>.</w:t>
            </w:r>
          </w:p>
        </w:tc>
      </w:tr>
      <w:tr w:rsidR="00BC3E2C" w:rsidRPr="00FF18A1" w14:paraId="3407E55F" w14:textId="77777777" w:rsidTr="00AD6DE4">
        <w:tc>
          <w:tcPr>
            <w:tcW w:w="1831" w:type="dxa"/>
          </w:tcPr>
          <w:p w14:paraId="4A14AFEF" w14:textId="77777777" w:rsidR="00BC3E2C" w:rsidRPr="00932E0F" w:rsidRDefault="00BC3E2C" w:rsidP="004E5110">
            <w:pPr>
              <w:spacing w:after="120"/>
              <w:rPr>
                <w:rFonts w:asciiTheme="minorHAnsi" w:hAnsiTheme="minorHAnsi" w:cstheme="minorHAnsi"/>
                <w:b/>
                <w:szCs w:val="24"/>
              </w:rPr>
            </w:pPr>
            <w:r w:rsidRPr="00932E0F">
              <w:rPr>
                <w:rFonts w:asciiTheme="minorHAnsi" w:hAnsiTheme="minorHAnsi" w:cstheme="minorHAnsi"/>
                <w:b/>
                <w:szCs w:val="24"/>
              </w:rPr>
              <w:t>Implementation</w:t>
            </w:r>
          </w:p>
        </w:tc>
        <w:tc>
          <w:tcPr>
            <w:tcW w:w="7185" w:type="dxa"/>
          </w:tcPr>
          <w:p w14:paraId="16AE33DA" w14:textId="77777777" w:rsidR="00BC3E2C" w:rsidRPr="00932E0F" w:rsidRDefault="00BC3E2C" w:rsidP="004E5110">
            <w:pPr>
              <w:rPr>
                <w:rFonts w:asciiTheme="minorHAnsi" w:hAnsiTheme="minorHAnsi" w:cstheme="minorHAnsi"/>
                <w:bCs/>
                <w:iCs/>
                <w:szCs w:val="24"/>
              </w:rPr>
            </w:pPr>
            <w:r w:rsidRPr="00932E0F">
              <w:rPr>
                <w:rFonts w:asciiTheme="minorHAnsi" w:eastAsia="Calibri" w:hAnsiTheme="minorHAnsi" w:cstheme="minorHAnsi"/>
                <w:szCs w:val="24"/>
              </w:rPr>
              <w:t xml:space="preserve">The </w:t>
            </w:r>
            <w:r w:rsidRPr="00932E0F">
              <w:rPr>
                <w:rFonts w:asciiTheme="minorHAnsi" w:hAnsiTheme="minorHAnsi" w:cstheme="minorHAnsi"/>
                <w:szCs w:val="24"/>
              </w:rPr>
              <w:t>Prostheses</w:t>
            </w:r>
            <w:r w:rsidRPr="00932E0F">
              <w:rPr>
                <w:rFonts w:asciiTheme="minorHAnsi" w:eastAsia="Calibri" w:hAnsiTheme="minorHAnsi" w:cstheme="minorHAnsi"/>
                <w:szCs w:val="24"/>
              </w:rPr>
              <w:t xml:space="preserve"> List review is being conducted by the Commonwealth Department of Health with the involvement of key stakeholders.</w:t>
            </w:r>
          </w:p>
        </w:tc>
      </w:tr>
    </w:tbl>
    <w:p w14:paraId="2DF749AD" w14:textId="77777777" w:rsidR="005B4272" w:rsidRPr="00FF18A1" w:rsidRDefault="005B4272" w:rsidP="003A342E">
      <w:pPr>
        <w:spacing w:line="276" w:lineRule="auto"/>
        <w:rPr>
          <w:rFonts w:asciiTheme="minorHAnsi" w:hAnsiTheme="minorHAnsi" w:cstheme="minorHAnsi"/>
          <w:sz w:val="22"/>
          <w:szCs w:val="22"/>
        </w:rPr>
      </w:pPr>
    </w:p>
    <w:p w14:paraId="02D2355D" w14:textId="77777777" w:rsidR="005B4272" w:rsidRPr="00FF18A1" w:rsidRDefault="005B4272" w:rsidP="003A342E">
      <w:pPr>
        <w:widowControl/>
        <w:spacing w:after="160" w:line="276" w:lineRule="auto"/>
        <w:rPr>
          <w:rFonts w:asciiTheme="minorHAnsi" w:hAnsiTheme="minorHAnsi" w:cstheme="minorHAnsi"/>
          <w:sz w:val="22"/>
          <w:szCs w:val="22"/>
        </w:rPr>
      </w:pPr>
      <w:r w:rsidRPr="00FF18A1">
        <w:rPr>
          <w:rFonts w:asciiTheme="minorHAnsi" w:hAnsiTheme="minorHAnsi" w:cstheme="minorHAnsi"/>
          <w:sz w:val="22"/>
          <w:szCs w:val="22"/>
        </w:rPr>
        <w:br w:type="page"/>
      </w:r>
    </w:p>
    <w:p w14:paraId="592BA6A5" w14:textId="29FF4ECD" w:rsidR="005B4272" w:rsidRPr="00FF18A1" w:rsidRDefault="005B4272" w:rsidP="003A342E">
      <w:pPr>
        <w:pStyle w:val="Heading2"/>
        <w:spacing w:line="276" w:lineRule="auto"/>
        <w:rPr>
          <w:rFonts w:asciiTheme="minorHAnsi" w:eastAsia="Times New Roman" w:hAnsiTheme="minorHAnsi" w:cstheme="minorHAnsi"/>
          <w:bCs/>
          <w:iCs/>
          <w:color w:val="358189"/>
          <w:sz w:val="28"/>
          <w:szCs w:val="28"/>
        </w:rPr>
      </w:pPr>
      <w:r w:rsidRPr="00A14C75">
        <w:rPr>
          <w:rFonts w:asciiTheme="minorHAnsi" w:eastAsia="Times New Roman" w:hAnsiTheme="minorHAnsi" w:cstheme="minorHAnsi"/>
          <w:bCs/>
          <w:iCs/>
          <w:color w:val="358189"/>
          <w:sz w:val="28"/>
          <w:szCs w:val="28"/>
        </w:rPr>
        <w:lastRenderedPageBreak/>
        <w:t xml:space="preserve">1.5 </w:t>
      </w:r>
      <w:r w:rsidR="002A599A" w:rsidRPr="002A599A">
        <w:rPr>
          <w:rFonts w:asciiTheme="minorHAnsi" w:eastAsia="Times New Roman" w:hAnsiTheme="minorHAnsi" w:cstheme="minorHAnsi"/>
          <w:bCs/>
          <w:iCs/>
          <w:color w:val="358189"/>
          <w:sz w:val="28"/>
          <w:szCs w:val="28"/>
          <w:lang w:val="en-US"/>
        </w:rPr>
        <w:t>Consider options to improve donor registration to increase consent for donation</w:t>
      </w:r>
    </w:p>
    <w:tbl>
      <w:tblPr>
        <w:tblStyle w:val="TableGrid"/>
        <w:tblW w:w="0" w:type="auto"/>
        <w:tblLook w:val="04A0" w:firstRow="1" w:lastRow="0" w:firstColumn="1" w:lastColumn="0" w:noHBand="0" w:noVBand="1"/>
      </w:tblPr>
      <w:tblGrid>
        <w:gridCol w:w="1842"/>
        <w:gridCol w:w="7174"/>
      </w:tblGrid>
      <w:tr w:rsidR="005B4272" w:rsidRPr="00932E0F" w14:paraId="152EAE0C" w14:textId="77777777" w:rsidTr="008000DC">
        <w:trPr>
          <w:cantSplit/>
          <w:trHeight w:val="1672"/>
        </w:trPr>
        <w:tc>
          <w:tcPr>
            <w:tcW w:w="1842" w:type="dxa"/>
            <w:shd w:val="clear" w:color="auto" w:fill="B3ECEB"/>
          </w:tcPr>
          <w:p w14:paraId="7AA4F09D" w14:textId="77777777" w:rsidR="005B4272" w:rsidRPr="00932E0F" w:rsidRDefault="005B4272" w:rsidP="004E5110">
            <w:pPr>
              <w:keepNext/>
              <w:keepLines/>
              <w:spacing w:after="120"/>
              <w:rPr>
                <w:rFonts w:asciiTheme="minorHAnsi" w:hAnsiTheme="minorHAnsi" w:cstheme="minorHAnsi"/>
                <w:b/>
                <w:szCs w:val="24"/>
              </w:rPr>
            </w:pPr>
            <w:r w:rsidRPr="00932E0F">
              <w:rPr>
                <w:rFonts w:asciiTheme="minorHAnsi" w:hAnsiTheme="minorHAnsi" w:cstheme="minorHAnsi"/>
                <w:b/>
                <w:szCs w:val="24"/>
              </w:rPr>
              <w:t>Action</w:t>
            </w:r>
          </w:p>
        </w:tc>
        <w:tc>
          <w:tcPr>
            <w:tcW w:w="7174" w:type="dxa"/>
            <w:shd w:val="clear" w:color="auto" w:fill="B3ECEB"/>
          </w:tcPr>
          <w:p w14:paraId="36DA5DBA" w14:textId="4552A8BF" w:rsidR="001C3D4E" w:rsidRPr="00B953D0" w:rsidRDefault="001C3D4E" w:rsidP="001C3D4E">
            <w:pPr>
              <w:keepNext/>
              <w:keepLines/>
              <w:spacing w:after="120"/>
              <w:rPr>
                <w:rFonts w:asciiTheme="minorHAnsi" w:hAnsiTheme="minorHAnsi" w:cstheme="minorHAnsi"/>
                <w:szCs w:val="24"/>
              </w:rPr>
            </w:pPr>
            <w:r w:rsidRPr="00B953D0">
              <w:rPr>
                <w:rFonts w:asciiTheme="minorHAnsi" w:hAnsiTheme="minorHAnsi" w:cstheme="minorHAnsi"/>
                <w:szCs w:val="24"/>
              </w:rPr>
              <w:t xml:space="preserve">Consider options to </w:t>
            </w:r>
            <w:r w:rsidR="002A599A" w:rsidRPr="00B953D0">
              <w:rPr>
                <w:rFonts w:asciiTheme="minorHAnsi" w:hAnsiTheme="minorHAnsi" w:cstheme="minorHAnsi"/>
                <w:szCs w:val="24"/>
              </w:rPr>
              <w:t xml:space="preserve">support increased consent for donation including by leveraging existing processes, such as driver </w:t>
            </w:r>
            <w:proofErr w:type="spellStart"/>
            <w:r w:rsidR="002A599A" w:rsidRPr="00B953D0">
              <w:rPr>
                <w:rFonts w:asciiTheme="minorHAnsi" w:hAnsiTheme="minorHAnsi" w:cstheme="minorHAnsi"/>
                <w:szCs w:val="24"/>
              </w:rPr>
              <w:t>licen</w:t>
            </w:r>
            <w:r w:rsidR="001D31FF">
              <w:rPr>
                <w:rFonts w:asciiTheme="minorHAnsi" w:hAnsiTheme="minorHAnsi" w:cstheme="minorHAnsi"/>
                <w:szCs w:val="24"/>
              </w:rPr>
              <w:t>c</w:t>
            </w:r>
            <w:r w:rsidR="002A599A" w:rsidRPr="00B953D0">
              <w:rPr>
                <w:rFonts w:asciiTheme="minorHAnsi" w:hAnsiTheme="minorHAnsi" w:cstheme="minorHAnsi"/>
                <w:szCs w:val="24"/>
              </w:rPr>
              <w:t>e</w:t>
            </w:r>
            <w:proofErr w:type="spellEnd"/>
            <w:r w:rsidR="002A599A" w:rsidRPr="00B953D0">
              <w:rPr>
                <w:rFonts w:asciiTheme="minorHAnsi" w:hAnsiTheme="minorHAnsi" w:cstheme="minorHAnsi"/>
                <w:szCs w:val="24"/>
              </w:rPr>
              <w:t xml:space="preserve"> applications and renewals.</w:t>
            </w:r>
          </w:p>
          <w:p w14:paraId="10A7ECA8" w14:textId="3A7E09F0" w:rsidR="00C00DAF" w:rsidRPr="001C3D4E" w:rsidRDefault="00C00DAF" w:rsidP="00E06C57">
            <w:pPr>
              <w:pStyle w:val="ListParagraph"/>
              <w:keepNext/>
              <w:keepLines/>
              <w:spacing w:after="120"/>
              <w:ind w:left="360"/>
              <w:rPr>
                <w:rFonts w:ascii="Arial" w:hAnsi="Arial" w:cs="Arial"/>
              </w:rPr>
            </w:pPr>
          </w:p>
        </w:tc>
      </w:tr>
      <w:tr w:rsidR="005B4272" w:rsidRPr="00932E0F" w14:paraId="45F43B40" w14:textId="77777777" w:rsidTr="00AB3270">
        <w:trPr>
          <w:cantSplit/>
        </w:trPr>
        <w:tc>
          <w:tcPr>
            <w:tcW w:w="1842" w:type="dxa"/>
          </w:tcPr>
          <w:p w14:paraId="3AD7B1A4" w14:textId="77777777" w:rsidR="005B4272" w:rsidRPr="00932E0F" w:rsidRDefault="005B4272" w:rsidP="004E5110">
            <w:pPr>
              <w:keepNext/>
              <w:keepLines/>
              <w:spacing w:after="120"/>
              <w:rPr>
                <w:rFonts w:asciiTheme="minorHAnsi" w:hAnsiTheme="minorHAnsi" w:cstheme="minorHAnsi"/>
                <w:b/>
                <w:szCs w:val="24"/>
              </w:rPr>
            </w:pPr>
            <w:r w:rsidRPr="00932E0F">
              <w:rPr>
                <w:rFonts w:asciiTheme="minorHAnsi" w:hAnsiTheme="minorHAnsi" w:cstheme="minorHAnsi"/>
                <w:b/>
                <w:szCs w:val="24"/>
              </w:rPr>
              <w:t xml:space="preserve">Rationale for early action </w:t>
            </w:r>
          </w:p>
        </w:tc>
        <w:tc>
          <w:tcPr>
            <w:tcW w:w="7174" w:type="dxa"/>
          </w:tcPr>
          <w:p w14:paraId="7FC6ABA7" w14:textId="4CCD44CC" w:rsidR="005B4272" w:rsidRPr="00932E0F" w:rsidRDefault="001D31FF" w:rsidP="004E5110">
            <w:pPr>
              <w:keepNext/>
              <w:keepLines/>
              <w:spacing w:after="120"/>
              <w:rPr>
                <w:rFonts w:asciiTheme="minorHAnsi" w:hAnsiTheme="minorHAnsi" w:cstheme="minorHAnsi"/>
                <w:szCs w:val="24"/>
              </w:rPr>
            </w:pPr>
            <w:r>
              <w:rPr>
                <w:rFonts w:asciiTheme="minorHAnsi" w:hAnsiTheme="minorHAnsi" w:cstheme="minorHAnsi"/>
                <w:szCs w:val="24"/>
              </w:rPr>
              <w:t xml:space="preserve">Very few people </w:t>
            </w:r>
            <w:proofErr w:type="gramStart"/>
            <w:r>
              <w:rPr>
                <w:rFonts w:asciiTheme="minorHAnsi" w:hAnsiTheme="minorHAnsi" w:cstheme="minorHAnsi"/>
                <w:szCs w:val="24"/>
              </w:rPr>
              <w:t>are able to</w:t>
            </w:r>
            <w:proofErr w:type="gramEnd"/>
            <w:r>
              <w:rPr>
                <w:rFonts w:asciiTheme="minorHAnsi" w:hAnsiTheme="minorHAnsi" w:cstheme="minorHAnsi"/>
                <w:szCs w:val="24"/>
              </w:rPr>
              <w:t xml:space="preserve"> become organ donors at the end of their life</w:t>
            </w:r>
            <w:r w:rsidR="005B4272" w:rsidRPr="00932E0F">
              <w:rPr>
                <w:rFonts w:asciiTheme="minorHAnsi" w:hAnsiTheme="minorHAnsi" w:cstheme="minorHAnsi"/>
                <w:szCs w:val="24"/>
              </w:rPr>
              <w:t xml:space="preserve">. Only around </w:t>
            </w:r>
            <w:r w:rsidR="00903F08">
              <w:rPr>
                <w:rFonts w:asciiTheme="minorHAnsi" w:hAnsiTheme="minorHAnsi" w:cstheme="minorHAnsi"/>
                <w:szCs w:val="24"/>
              </w:rPr>
              <w:t>two</w:t>
            </w:r>
            <w:r w:rsidR="005B4272" w:rsidRPr="00932E0F">
              <w:rPr>
                <w:rFonts w:asciiTheme="minorHAnsi" w:hAnsiTheme="minorHAnsi" w:cstheme="minorHAnsi"/>
                <w:szCs w:val="24"/>
              </w:rPr>
              <w:t xml:space="preserve"> per</w:t>
            </w:r>
            <w:r w:rsidR="003A342E" w:rsidRPr="00932E0F">
              <w:rPr>
                <w:rFonts w:asciiTheme="minorHAnsi" w:hAnsiTheme="minorHAnsi" w:cstheme="minorHAnsi"/>
                <w:szCs w:val="24"/>
              </w:rPr>
              <w:t xml:space="preserve"> </w:t>
            </w:r>
            <w:r w:rsidR="005B4272" w:rsidRPr="00932E0F">
              <w:rPr>
                <w:rFonts w:asciiTheme="minorHAnsi" w:hAnsiTheme="minorHAnsi" w:cstheme="minorHAnsi"/>
                <w:szCs w:val="24"/>
              </w:rPr>
              <w:t xml:space="preserve">cent </w:t>
            </w:r>
            <w:r w:rsidR="003A342E" w:rsidRPr="00932E0F">
              <w:rPr>
                <w:rFonts w:asciiTheme="minorHAnsi" w:hAnsiTheme="minorHAnsi" w:cstheme="minorHAnsi"/>
                <w:szCs w:val="24"/>
              </w:rPr>
              <w:t>of people who die in hospitals</w:t>
            </w:r>
            <w:r w:rsidR="005B4272" w:rsidRPr="00932E0F">
              <w:rPr>
                <w:rFonts w:asciiTheme="minorHAnsi" w:hAnsiTheme="minorHAnsi" w:cstheme="minorHAnsi"/>
                <w:szCs w:val="24"/>
              </w:rPr>
              <w:t xml:space="preserve"> die in a way that allows organ donation to be considered. In </w:t>
            </w:r>
            <w:r w:rsidR="002732FB" w:rsidRPr="00932E0F">
              <w:rPr>
                <w:rFonts w:asciiTheme="minorHAnsi" w:hAnsiTheme="minorHAnsi" w:cstheme="minorHAnsi"/>
                <w:szCs w:val="24"/>
              </w:rPr>
              <w:t>2020</w:t>
            </w:r>
            <w:r w:rsidR="005B4272" w:rsidRPr="00932E0F">
              <w:rPr>
                <w:rFonts w:asciiTheme="minorHAnsi" w:hAnsiTheme="minorHAnsi" w:cstheme="minorHAnsi"/>
                <w:szCs w:val="24"/>
              </w:rPr>
              <w:t>, there were approximately 1,</w:t>
            </w:r>
            <w:r w:rsidR="002732FB" w:rsidRPr="00932E0F">
              <w:rPr>
                <w:rFonts w:asciiTheme="minorHAnsi" w:hAnsiTheme="minorHAnsi" w:cstheme="minorHAnsi"/>
                <w:szCs w:val="24"/>
              </w:rPr>
              <w:t xml:space="preserve">250 </w:t>
            </w:r>
            <w:r w:rsidR="005B4272" w:rsidRPr="00932E0F">
              <w:rPr>
                <w:rFonts w:asciiTheme="minorHAnsi" w:hAnsiTheme="minorHAnsi" w:cstheme="minorHAnsi"/>
                <w:szCs w:val="24"/>
              </w:rPr>
              <w:t xml:space="preserve">potential donors. Australia’s consent rate from this pool of potential donors was </w:t>
            </w:r>
            <w:r w:rsidR="002732FB" w:rsidRPr="00932E0F">
              <w:rPr>
                <w:rFonts w:asciiTheme="minorHAnsi" w:hAnsiTheme="minorHAnsi" w:cstheme="minorHAnsi"/>
                <w:szCs w:val="24"/>
              </w:rPr>
              <w:t xml:space="preserve">58 </w:t>
            </w:r>
            <w:r w:rsidR="005B4272" w:rsidRPr="00932E0F">
              <w:rPr>
                <w:rFonts w:asciiTheme="minorHAnsi" w:hAnsiTheme="minorHAnsi" w:cstheme="minorHAnsi"/>
                <w:szCs w:val="24"/>
              </w:rPr>
              <w:t>per</w:t>
            </w:r>
            <w:r w:rsidR="003A342E" w:rsidRPr="00932E0F">
              <w:rPr>
                <w:rFonts w:asciiTheme="minorHAnsi" w:hAnsiTheme="minorHAnsi" w:cstheme="minorHAnsi"/>
                <w:szCs w:val="24"/>
              </w:rPr>
              <w:t xml:space="preserve"> </w:t>
            </w:r>
            <w:r w:rsidR="005B4272" w:rsidRPr="00932E0F">
              <w:rPr>
                <w:rFonts w:asciiTheme="minorHAnsi" w:hAnsiTheme="minorHAnsi" w:cstheme="minorHAnsi"/>
                <w:szCs w:val="24"/>
              </w:rPr>
              <w:t>cent resulting in 1,</w:t>
            </w:r>
            <w:r w:rsidR="002732FB" w:rsidRPr="00932E0F">
              <w:rPr>
                <w:rFonts w:asciiTheme="minorHAnsi" w:hAnsiTheme="minorHAnsi" w:cstheme="minorHAnsi"/>
                <w:szCs w:val="24"/>
              </w:rPr>
              <w:t xml:space="preserve">270 </w:t>
            </w:r>
            <w:r w:rsidR="005B4272" w:rsidRPr="00932E0F">
              <w:rPr>
                <w:rFonts w:asciiTheme="minorHAnsi" w:hAnsiTheme="minorHAnsi" w:cstheme="minorHAnsi"/>
                <w:szCs w:val="24"/>
              </w:rPr>
              <w:t xml:space="preserve">people receiving a transplant. If the national consent rate </w:t>
            </w:r>
            <w:r>
              <w:rPr>
                <w:rFonts w:asciiTheme="minorHAnsi" w:hAnsiTheme="minorHAnsi" w:cstheme="minorHAnsi"/>
                <w:szCs w:val="24"/>
              </w:rPr>
              <w:t>from this pool</w:t>
            </w:r>
            <w:r w:rsidR="005B4272" w:rsidRPr="00932E0F">
              <w:rPr>
                <w:rFonts w:asciiTheme="minorHAnsi" w:hAnsiTheme="minorHAnsi" w:cstheme="minorHAnsi"/>
                <w:szCs w:val="24"/>
              </w:rPr>
              <w:t xml:space="preserve"> increased to 75 percent an estimated 300 additional </w:t>
            </w:r>
            <w:r>
              <w:rPr>
                <w:rFonts w:asciiTheme="minorHAnsi" w:hAnsiTheme="minorHAnsi" w:cstheme="minorHAnsi"/>
                <w:szCs w:val="24"/>
              </w:rPr>
              <w:t>people in Australia would receive a transplant.</w:t>
            </w:r>
            <w:r w:rsidR="00F2129D" w:rsidRPr="00932E0F">
              <w:rPr>
                <w:rFonts w:asciiTheme="minorHAnsi" w:hAnsiTheme="minorHAnsi" w:cstheme="minorHAnsi"/>
                <w:szCs w:val="24"/>
              </w:rPr>
              <w:t xml:space="preserve"> </w:t>
            </w:r>
          </w:p>
          <w:p w14:paraId="372C9F9E" w14:textId="3487B05F" w:rsidR="005B4272" w:rsidRPr="00932E0F" w:rsidRDefault="005B4272" w:rsidP="00A50CE9">
            <w:pPr>
              <w:keepNext/>
              <w:keepLines/>
              <w:spacing w:after="120"/>
              <w:rPr>
                <w:rFonts w:asciiTheme="minorHAnsi" w:hAnsiTheme="minorHAnsi" w:cstheme="minorHAnsi"/>
                <w:szCs w:val="24"/>
                <w:lang w:val="en-AU"/>
              </w:rPr>
            </w:pPr>
            <w:r w:rsidRPr="00932E0F">
              <w:rPr>
                <w:rFonts w:asciiTheme="minorHAnsi" w:hAnsiTheme="minorHAnsi" w:cstheme="minorHAnsi"/>
                <w:szCs w:val="24"/>
              </w:rPr>
              <w:t xml:space="preserve">Registration on the </w:t>
            </w:r>
            <w:r w:rsidR="002A599A">
              <w:rPr>
                <w:rFonts w:asciiTheme="minorHAnsi" w:hAnsiTheme="minorHAnsi" w:cstheme="minorHAnsi"/>
                <w:szCs w:val="24"/>
              </w:rPr>
              <w:t>Australian Organ Donor Register (</w:t>
            </w:r>
            <w:r w:rsidRPr="00932E0F">
              <w:rPr>
                <w:rFonts w:asciiTheme="minorHAnsi" w:hAnsiTheme="minorHAnsi" w:cstheme="minorHAnsi"/>
                <w:szCs w:val="24"/>
              </w:rPr>
              <w:t>AODR</w:t>
            </w:r>
            <w:r w:rsidR="002A599A">
              <w:rPr>
                <w:rFonts w:asciiTheme="minorHAnsi" w:hAnsiTheme="minorHAnsi" w:cstheme="minorHAnsi"/>
                <w:szCs w:val="24"/>
              </w:rPr>
              <w:t>)</w:t>
            </w:r>
            <w:r w:rsidRPr="00932E0F">
              <w:rPr>
                <w:rFonts w:asciiTheme="minorHAnsi" w:hAnsiTheme="minorHAnsi" w:cstheme="minorHAnsi"/>
                <w:szCs w:val="24"/>
              </w:rPr>
              <w:t xml:space="preserve"> and family knowing their </w:t>
            </w:r>
            <w:r w:rsidR="001D31FF">
              <w:rPr>
                <w:rFonts w:asciiTheme="minorHAnsi" w:hAnsiTheme="minorHAnsi" w:cstheme="minorHAnsi"/>
                <w:szCs w:val="24"/>
              </w:rPr>
              <w:t xml:space="preserve">family member </w:t>
            </w:r>
            <w:r w:rsidRPr="00932E0F">
              <w:rPr>
                <w:rFonts w:asciiTheme="minorHAnsi" w:hAnsiTheme="minorHAnsi" w:cstheme="minorHAnsi"/>
                <w:szCs w:val="24"/>
              </w:rPr>
              <w:t xml:space="preserve">wanted to be a donor make a major difference when families are </w:t>
            </w:r>
            <w:r w:rsidR="003A342E" w:rsidRPr="00932E0F">
              <w:rPr>
                <w:rFonts w:asciiTheme="minorHAnsi" w:hAnsiTheme="minorHAnsi" w:cstheme="minorHAnsi"/>
                <w:szCs w:val="24"/>
              </w:rPr>
              <w:t xml:space="preserve">asked </w:t>
            </w:r>
            <w:r w:rsidRPr="00932E0F">
              <w:rPr>
                <w:rFonts w:asciiTheme="minorHAnsi" w:hAnsiTheme="minorHAnsi" w:cstheme="minorHAnsi"/>
                <w:szCs w:val="24"/>
              </w:rPr>
              <w:t xml:space="preserve">to </w:t>
            </w:r>
            <w:r w:rsidR="00F2129D" w:rsidRPr="00932E0F">
              <w:rPr>
                <w:rFonts w:asciiTheme="minorHAnsi" w:hAnsiTheme="minorHAnsi" w:cstheme="minorHAnsi"/>
                <w:szCs w:val="24"/>
              </w:rPr>
              <w:t xml:space="preserve">consent </w:t>
            </w:r>
            <w:r w:rsidRPr="00932E0F">
              <w:rPr>
                <w:rFonts w:asciiTheme="minorHAnsi" w:hAnsiTheme="minorHAnsi" w:cstheme="minorHAnsi"/>
                <w:szCs w:val="24"/>
              </w:rPr>
              <w:t>to donation</w:t>
            </w:r>
            <w:r w:rsidR="001D31FF">
              <w:rPr>
                <w:rFonts w:asciiTheme="minorHAnsi" w:hAnsiTheme="minorHAnsi" w:cstheme="minorHAnsi"/>
                <w:szCs w:val="24"/>
              </w:rPr>
              <w:t xml:space="preserve"> in the hospital</w:t>
            </w:r>
            <w:r w:rsidRPr="00932E0F">
              <w:rPr>
                <w:rFonts w:asciiTheme="minorHAnsi" w:hAnsiTheme="minorHAnsi" w:cstheme="minorHAnsi"/>
                <w:szCs w:val="24"/>
              </w:rPr>
              <w:t xml:space="preserve">. </w:t>
            </w:r>
            <w:r w:rsidR="00903F08">
              <w:rPr>
                <w:rFonts w:asciiTheme="minorHAnsi" w:hAnsiTheme="minorHAnsi" w:cstheme="minorHAnsi"/>
                <w:szCs w:val="24"/>
              </w:rPr>
              <w:t>In 2020, 88</w:t>
            </w:r>
            <w:r w:rsidR="00F2129D" w:rsidRPr="00932E0F">
              <w:rPr>
                <w:rFonts w:asciiTheme="minorHAnsi" w:hAnsiTheme="minorHAnsi" w:cstheme="minorHAnsi"/>
                <w:szCs w:val="24"/>
              </w:rPr>
              <w:t xml:space="preserve"> percent of families agreed to </w:t>
            </w:r>
            <w:r w:rsidRPr="00932E0F">
              <w:rPr>
                <w:rFonts w:asciiTheme="minorHAnsi" w:hAnsiTheme="minorHAnsi" w:cstheme="minorHAnsi"/>
                <w:szCs w:val="24"/>
              </w:rPr>
              <w:t xml:space="preserve">donation when their family member was </w:t>
            </w:r>
            <w:r w:rsidR="001D31FF">
              <w:rPr>
                <w:rFonts w:asciiTheme="minorHAnsi" w:hAnsiTheme="minorHAnsi" w:cstheme="minorHAnsi"/>
                <w:szCs w:val="24"/>
              </w:rPr>
              <w:t>register</w:t>
            </w:r>
            <w:r w:rsidR="00E06C57">
              <w:rPr>
                <w:rFonts w:asciiTheme="minorHAnsi" w:hAnsiTheme="minorHAnsi" w:cstheme="minorHAnsi"/>
                <w:szCs w:val="24"/>
              </w:rPr>
              <w:t>ed</w:t>
            </w:r>
            <w:r w:rsidR="001D31FF">
              <w:rPr>
                <w:rFonts w:asciiTheme="minorHAnsi" w:hAnsiTheme="minorHAnsi" w:cstheme="minorHAnsi"/>
                <w:szCs w:val="24"/>
              </w:rPr>
              <w:t xml:space="preserve"> </w:t>
            </w:r>
            <w:r w:rsidRPr="00932E0F">
              <w:rPr>
                <w:rFonts w:asciiTheme="minorHAnsi" w:hAnsiTheme="minorHAnsi" w:cstheme="minorHAnsi"/>
                <w:szCs w:val="24"/>
              </w:rPr>
              <w:t xml:space="preserve">on the AODR. </w:t>
            </w:r>
            <w:r w:rsidR="002450E1" w:rsidRPr="002450E1">
              <w:rPr>
                <w:rFonts w:asciiTheme="minorHAnsi" w:hAnsiTheme="minorHAnsi" w:cstheme="minorHAnsi"/>
                <w:szCs w:val="24"/>
              </w:rPr>
              <w:t>Increasing the number of people on the AODR will support increased donor consent rates.</w:t>
            </w:r>
          </w:p>
        </w:tc>
      </w:tr>
      <w:tr w:rsidR="005B4272" w:rsidRPr="00FF18A1" w14:paraId="069AAE3E" w14:textId="77777777" w:rsidTr="00AB3270">
        <w:trPr>
          <w:cantSplit/>
        </w:trPr>
        <w:tc>
          <w:tcPr>
            <w:tcW w:w="1842" w:type="dxa"/>
          </w:tcPr>
          <w:p w14:paraId="4591F1B2" w14:textId="77777777" w:rsidR="005B4272" w:rsidRPr="00932E0F" w:rsidRDefault="005B4272" w:rsidP="004E5110">
            <w:pPr>
              <w:keepNext/>
              <w:keepLines/>
              <w:spacing w:after="120"/>
              <w:rPr>
                <w:rFonts w:asciiTheme="minorHAnsi" w:hAnsiTheme="minorHAnsi" w:cstheme="minorHAnsi"/>
                <w:b/>
                <w:szCs w:val="24"/>
              </w:rPr>
            </w:pPr>
            <w:r w:rsidRPr="00932E0F">
              <w:rPr>
                <w:rFonts w:asciiTheme="minorHAnsi" w:hAnsiTheme="minorHAnsi" w:cstheme="minorHAnsi"/>
                <w:b/>
                <w:szCs w:val="24"/>
              </w:rPr>
              <w:t>Implementation</w:t>
            </w:r>
          </w:p>
        </w:tc>
        <w:tc>
          <w:tcPr>
            <w:tcW w:w="7174" w:type="dxa"/>
          </w:tcPr>
          <w:p w14:paraId="0AF225A4" w14:textId="03C7E51B" w:rsidR="005B4272" w:rsidRPr="00E65857" w:rsidRDefault="001C3D4E" w:rsidP="00455975">
            <w:pPr>
              <w:keepNext/>
              <w:keepLines/>
              <w:spacing w:after="120"/>
              <w:rPr>
                <w:rFonts w:asciiTheme="minorHAnsi" w:hAnsiTheme="minorHAnsi" w:cstheme="minorHAnsi"/>
                <w:bCs/>
                <w:iCs/>
                <w:szCs w:val="24"/>
              </w:rPr>
            </w:pPr>
            <w:r w:rsidRPr="00B953D0">
              <w:rPr>
                <w:rFonts w:asciiTheme="minorHAnsi" w:hAnsiTheme="minorHAnsi" w:cstheme="minorHAnsi"/>
                <w:szCs w:val="24"/>
              </w:rPr>
              <w:t>The Commonwealth, in collaboration with the OTA</w:t>
            </w:r>
            <w:r w:rsidR="002A599A" w:rsidRPr="00B953D0">
              <w:rPr>
                <w:rFonts w:asciiTheme="minorHAnsi" w:hAnsiTheme="minorHAnsi" w:cstheme="minorHAnsi"/>
                <w:szCs w:val="24"/>
              </w:rPr>
              <w:t xml:space="preserve"> and other relevant stakeholders</w:t>
            </w:r>
            <w:r w:rsidRPr="00B953D0">
              <w:rPr>
                <w:rFonts w:asciiTheme="minorHAnsi" w:hAnsiTheme="minorHAnsi" w:cstheme="minorHAnsi"/>
                <w:szCs w:val="24"/>
              </w:rPr>
              <w:t>, will work with states and territories to</w:t>
            </w:r>
            <w:r w:rsidR="002A599A" w:rsidRPr="00B953D0">
              <w:rPr>
                <w:rFonts w:asciiTheme="minorHAnsi" w:hAnsiTheme="minorHAnsi" w:cstheme="minorHAnsi"/>
                <w:szCs w:val="24"/>
              </w:rPr>
              <w:t xml:space="preserve"> consider</w:t>
            </w:r>
            <w:r w:rsidRPr="00B953D0">
              <w:rPr>
                <w:rFonts w:asciiTheme="minorHAnsi" w:hAnsiTheme="minorHAnsi" w:cstheme="minorHAnsi"/>
                <w:szCs w:val="24"/>
              </w:rPr>
              <w:t xml:space="preserve"> </w:t>
            </w:r>
            <w:r w:rsidR="00455975" w:rsidRPr="00B953D0">
              <w:rPr>
                <w:rFonts w:asciiTheme="minorHAnsi" w:hAnsiTheme="minorHAnsi" w:cstheme="minorHAnsi"/>
                <w:szCs w:val="24"/>
              </w:rPr>
              <w:t>options to increase consent for donation.</w:t>
            </w:r>
          </w:p>
        </w:tc>
      </w:tr>
    </w:tbl>
    <w:p w14:paraId="771B33B2" w14:textId="77777777" w:rsidR="00BC3E2C" w:rsidRPr="00FF18A1" w:rsidRDefault="00BC3E2C" w:rsidP="003A342E">
      <w:pPr>
        <w:widowControl/>
        <w:spacing w:after="160" w:line="276" w:lineRule="auto"/>
        <w:rPr>
          <w:rFonts w:asciiTheme="minorHAnsi" w:hAnsiTheme="minorHAnsi" w:cstheme="minorHAnsi"/>
          <w:sz w:val="22"/>
          <w:szCs w:val="22"/>
        </w:rPr>
      </w:pPr>
      <w:r w:rsidRPr="00FF18A1">
        <w:rPr>
          <w:rFonts w:asciiTheme="minorHAnsi" w:hAnsiTheme="minorHAnsi" w:cstheme="minorHAnsi"/>
          <w:sz w:val="22"/>
          <w:szCs w:val="22"/>
        </w:rPr>
        <w:br w:type="page"/>
      </w:r>
    </w:p>
    <w:p w14:paraId="027AB977" w14:textId="2C988961" w:rsidR="00BC3E2C" w:rsidRPr="00903F08" w:rsidRDefault="00BC3E2C" w:rsidP="005B7F9D">
      <w:pPr>
        <w:pStyle w:val="Heading1"/>
        <w:numPr>
          <w:ilvl w:val="0"/>
          <w:numId w:val="42"/>
        </w:numPr>
        <w:ind w:left="714" w:hanging="357"/>
        <w:rPr>
          <w:rFonts w:asciiTheme="minorHAnsi" w:eastAsia="Times New Roman" w:hAnsiTheme="minorHAnsi" w:cstheme="minorHAnsi"/>
          <w:bCs/>
          <w:snapToGrid/>
          <w:color w:val="3F4A75"/>
          <w:kern w:val="28"/>
          <w:lang w:val="en-AU"/>
        </w:rPr>
      </w:pPr>
      <w:r w:rsidRPr="00FF18A1">
        <w:rPr>
          <w:rFonts w:asciiTheme="minorHAnsi" w:eastAsia="Times New Roman" w:hAnsiTheme="minorHAnsi" w:cstheme="minorHAnsi"/>
          <w:bCs/>
          <w:snapToGrid/>
          <w:color w:val="3F4A75"/>
          <w:kern w:val="28"/>
          <w:lang w:val="en-AU"/>
        </w:rPr>
        <w:lastRenderedPageBreak/>
        <w:t xml:space="preserve">Equitable access for Australians who would benefit from </w:t>
      </w:r>
      <w:r w:rsidR="00C0360B">
        <w:rPr>
          <w:rFonts w:asciiTheme="minorHAnsi" w:eastAsia="Times New Roman" w:hAnsiTheme="minorHAnsi" w:cstheme="minorHAnsi"/>
          <w:bCs/>
          <w:snapToGrid/>
          <w:color w:val="3F4A75"/>
          <w:kern w:val="28"/>
          <w:lang w:val="en-AU"/>
        </w:rPr>
        <w:t xml:space="preserve">organ </w:t>
      </w:r>
      <w:r w:rsidRPr="00FF18A1">
        <w:rPr>
          <w:rFonts w:asciiTheme="minorHAnsi" w:eastAsia="Times New Roman" w:hAnsiTheme="minorHAnsi" w:cstheme="minorHAnsi"/>
          <w:bCs/>
          <w:snapToGrid/>
          <w:color w:val="3F4A75"/>
          <w:kern w:val="28"/>
          <w:lang w:val="en-AU"/>
        </w:rPr>
        <w:t xml:space="preserve">transplantation, with a focus on </w:t>
      </w:r>
      <w:r w:rsidR="00607F5B" w:rsidRPr="00FF18A1">
        <w:rPr>
          <w:rFonts w:asciiTheme="minorHAnsi" w:eastAsia="Times New Roman" w:hAnsiTheme="minorHAnsi" w:cstheme="minorHAnsi"/>
          <w:bCs/>
          <w:snapToGrid/>
          <w:color w:val="3F4A75"/>
          <w:kern w:val="28"/>
          <w:lang w:val="en-AU"/>
        </w:rPr>
        <w:t xml:space="preserve">Aboriginal and Torres Strait Islander people and those living in </w:t>
      </w:r>
      <w:r w:rsidRPr="00FF18A1">
        <w:rPr>
          <w:rFonts w:asciiTheme="minorHAnsi" w:eastAsia="Times New Roman" w:hAnsiTheme="minorHAnsi" w:cstheme="minorHAnsi"/>
          <w:bCs/>
          <w:snapToGrid/>
          <w:color w:val="3F4A75"/>
          <w:kern w:val="28"/>
          <w:lang w:val="en-AU"/>
        </w:rPr>
        <w:t xml:space="preserve">rural, </w:t>
      </w:r>
      <w:proofErr w:type="gramStart"/>
      <w:r w:rsidRPr="00FF18A1">
        <w:rPr>
          <w:rFonts w:asciiTheme="minorHAnsi" w:eastAsia="Times New Roman" w:hAnsiTheme="minorHAnsi" w:cstheme="minorHAnsi"/>
          <w:bCs/>
          <w:snapToGrid/>
          <w:color w:val="3F4A75"/>
          <w:kern w:val="28"/>
          <w:lang w:val="en-AU"/>
        </w:rPr>
        <w:t>regional</w:t>
      </w:r>
      <w:proofErr w:type="gramEnd"/>
      <w:r w:rsidRPr="00FF18A1">
        <w:rPr>
          <w:rFonts w:asciiTheme="minorHAnsi" w:eastAsia="Times New Roman" w:hAnsiTheme="minorHAnsi" w:cstheme="minorHAnsi"/>
          <w:bCs/>
          <w:snapToGrid/>
          <w:color w:val="3F4A75"/>
          <w:kern w:val="28"/>
          <w:lang w:val="en-AU"/>
        </w:rPr>
        <w:t xml:space="preserve"> and remote areas </w:t>
      </w:r>
    </w:p>
    <w:p w14:paraId="3929BE88" w14:textId="6BB95A98" w:rsidR="00BC3E2C" w:rsidRPr="00FF18A1" w:rsidRDefault="00BC3E2C" w:rsidP="003A342E">
      <w:pPr>
        <w:pStyle w:val="Heading2"/>
        <w:spacing w:line="276" w:lineRule="auto"/>
        <w:rPr>
          <w:rFonts w:asciiTheme="minorHAnsi" w:eastAsia="Times New Roman" w:hAnsiTheme="minorHAnsi" w:cstheme="minorHAnsi"/>
          <w:bCs/>
          <w:iCs/>
          <w:color w:val="358189"/>
          <w:sz w:val="28"/>
          <w:szCs w:val="28"/>
        </w:rPr>
      </w:pPr>
      <w:r w:rsidRPr="00FF18A1">
        <w:rPr>
          <w:rFonts w:asciiTheme="minorHAnsi" w:eastAsia="Times New Roman" w:hAnsiTheme="minorHAnsi" w:cstheme="minorHAnsi"/>
          <w:bCs/>
          <w:iCs/>
          <w:color w:val="358189"/>
          <w:sz w:val="28"/>
          <w:szCs w:val="28"/>
        </w:rPr>
        <w:t xml:space="preserve">2.1 Review current work informing equitable access to </w:t>
      </w:r>
      <w:r w:rsidR="00C0360B">
        <w:rPr>
          <w:rFonts w:asciiTheme="minorHAnsi" w:eastAsia="Times New Roman" w:hAnsiTheme="minorHAnsi" w:cstheme="minorHAnsi"/>
          <w:bCs/>
          <w:iCs/>
          <w:color w:val="358189"/>
          <w:sz w:val="28"/>
          <w:szCs w:val="28"/>
        </w:rPr>
        <w:t xml:space="preserve">organ </w:t>
      </w:r>
      <w:r w:rsidRPr="00FF18A1">
        <w:rPr>
          <w:rFonts w:asciiTheme="minorHAnsi" w:eastAsia="Times New Roman" w:hAnsiTheme="minorHAnsi" w:cstheme="minorHAnsi"/>
          <w:bCs/>
          <w:iCs/>
          <w:color w:val="358189"/>
          <w:sz w:val="28"/>
          <w:szCs w:val="28"/>
        </w:rPr>
        <w:t>transplantation</w:t>
      </w:r>
    </w:p>
    <w:tbl>
      <w:tblPr>
        <w:tblStyle w:val="TableGrid"/>
        <w:tblW w:w="0" w:type="auto"/>
        <w:tblLook w:val="04A0" w:firstRow="1" w:lastRow="0" w:firstColumn="1" w:lastColumn="0" w:noHBand="0" w:noVBand="1"/>
      </w:tblPr>
      <w:tblGrid>
        <w:gridCol w:w="1831"/>
        <w:gridCol w:w="7185"/>
      </w:tblGrid>
      <w:tr w:rsidR="00BC3E2C" w:rsidRPr="00932E0F" w14:paraId="101C42AA" w14:textId="77777777" w:rsidTr="00AD6DE4">
        <w:trPr>
          <w:cantSplit/>
          <w:trHeight w:val="677"/>
        </w:trPr>
        <w:tc>
          <w:tcPr>
            <w:tcW w:w="1831" w:type="dxa"/>
            <w:shd w:val="clear" w:color="auto" w:fill="B3ECEB"/>
          </w:tcPr>
          <w:p w14:paraId="117F3902" w14:textId="77777777" w:rsidR="00BC3E2C" w:rsidRPr="00932E0F" w:rsidRDefault="00BC3E2C" w:rsidP="004E5110">
            <w:pPr>
              <w:keepNext/>
              <w:spacing w:after="120"/>
              <w:rPr>
                <w:rFonts w:asciiTheme="minorHAnsi" w:hAnsiTheme="minorHAnsi" w:cstheme="minorHAnsi"/>
                <w:b/>
                <w:szCs w:val="24"/>
              </w:rPr>
            </w:pPr>
            <w:r w:rsidRPr="00932E0F">
              <w:rPr>
                <w:rFonts w:asciiTheme="minorHAnsi" w:hAnsiTheme="minorHAnsi" w:cstheme="minorHAnsi"/>
                <w:b/>
                <w:szCs w:val="24"/>
              </w:rPr>
              <w:t>Actions</w:t>
            </w:r>
          </w:p>
        </w:tc>
        <w:tc>
          <w:tcPr>
            <w:tcW w:w="7185" w:type="dxa"/>
            <w:shd w:val="clear" w:color="auto" w:fill="B3ECEB"/>
          </w:tcPr>
          <w:p w14:paraId="58BAC4C9" w14:textId="77777777" w:rsidR="00BC3E2C" w:rsidRPr="00932E0F" w:rsidRDefault="00BC3E2C" w:rsidP="004E5110">
            <w:pPr>
              <w:keepNext/>
              <w:spacing w:after="120"/>
              <w:rPr>
                <w:rFonts w:asciiTheme="minorHAnsi" w:hAnsiTheme="minorHAnsi" w:cstheme="minorHAnsi"/>
                <w:szCs w:val="24"/>
              </w:rPr>
            </w:pPr>
            <w:r w:rsidRPr="00932E0F">
              <w:rPr>
                <w:rFonts w:asciiTheme="minorHAnsi" w:hAnsiTheme="minorHAnsi" w:cstheme="minorHAnsi"/>
                <w:szCs w:val="24"/>
              </w:rPr>
              <w:t>Leverage the work of the National Indigenous Kidney Transplantation Taskforce (NIKTT), including findings from relevant initiatives, to inform Strategy actions.</w:t>
            </w:r>
          </w:p>
        </w:tc>
      </w:tr>
      <w:tr w:rsidR="00BC3E2C" w:rsidRPr="00932E0F" w14:paraId="29E896AE" w14:textId="77777777" w:rsidTr="00AD6DE4">
        <w:trPr>
          <w:cantSplit/>
        </w:trPr>
        <w:tc>
          <w:tcPr>
            <w:tcW w:w="1831" w:type="dxa"/>
          </w:tcPr>
          <w:p w14:paraId="27363FF6" w14:textId="77777777" w:rsidR="00BC3E2C" w:rsidRPr="00932E0F" w:rsidRDefault="00BC3E2C" w:rsidP="004E5110">
            <w:pPr>
              <w:keepNext/>
              <w:spacing w:after="120"/>
              <w:rPr>
                <w:rFonts w:asciiTheme="minorHAnsi" w:hAnsiTheme="minorHAnsi" w:cstheme="minorHAnsi"/>
                <w:b/>
                <w:szCs w:val="24"/>
              </w:rPr>
            </w:pPr>
            <w:r w:rsidRPr="00932E0F">
              <w:rPr>
                <w:rFonts w:asciiTheme="minorHAnsi" w:hAnsiTheme="minorHAnsi" w:cstheme="minorHAnsi"/>
                <w:b/>
                <w:szCs w:val="24"/>
              </w:rPr>
              <w:t xml:space="preserve">Rationale for early action </w:t>
            </w:r>
          </w:p>
        </w:tc>
        <w:tc>
          <w:tcPr>
            <w:tcW w:w="7185" w:type="dxa"/>
          </w:tcPr>
          <w:p w14:paraId="67408FCA" w14:textId="77777777" w:rsidR="00BC3E2C" w:rsidRPr="00932E0F" w:rsidRDefault="00BC3E2C" w:rsidP="004E5110">
            <w:pPr>
              <w:keepNext/>
              <w:spacing w:after="120"/>
              <w:rPr>
                <w:rFonts w:asciiTheme="minorHAnsi" w:hAnsiTheme="minorHAnsi" w:cstheme="minorHAnsi"/>
                <w:szCs w:val="24"/>
                <w:lang w:val="en-AU"/>
              </w:rPr>
            </w:pPr>
            <w:r w:rsidRPr="00932E0F">
              <w:rPr>
                <w:rFonts w:asciiTheme="minorHAnsi" w:hAnsiTheme="minorHAnsi" w:cstheme="minorHAnsi"/>
                <w:szCs w:val="24"/>
                <w:lang w:val="en-AU"/>
              </w:rPr>
              <w:t xml:space="preserve">One of the drivers for the Review of the Australian organ donation, retrieval and transplantation system was the reported inequity of access to transplantation for Aboriginal and Torres Strait Islander people. </w:t>
            </w:r>
          </w:p>
          <w:p w14:paraId="32D926E7" w14:textId="509E8051" w:rsidR="00BC3E2C" w:rsidRPr="00932E0F" w:rsidRDefault="00BC3E2C" w:rsidP="004E5110">
            <w:pPr>
              <w:keepNext/>
              <w:spacing w:after="120"/>
              <w:rPr>
                <w:rFonts w:asciiTheme="minorHAnsi" w:hAnsiTheme="minorHAnsi" w:cstheme="minorHAnsi"/>
                <w:szCs w:val="24"/>
                <w:lang w:val="en-AU"/>
              </w:rPr>
            </w:pPr>
            <w:r w:rsidRPr="00932E0F">
              <w:rPr>
                <w:rFonts w:asciiTheme="minorHAnsi" w:hAnsiTheme="minorHAnsi" w:cstheme="minorHAnsi"/>
                <w:szCs w:val="24"/>
                <w:lang w:val="en-AU"/>
              </w:rPr>
              <w:t xml:space="preserve">The Transplantation Society of Australia and New Zealand (TSANZ) Performance Report (the TSANZ Report), endorsed by the Commonwealth and published in March 2019, provided 35 recommendations to address inequities in access. Of these, </w:t>
            </w:r>
            <w:r w:rsidR="00903F08">
              <w:rPr>
                <w:rFonts w:asciiTheme="minorHAnsi" w:hAnsiTheme="minorHAnsi" w:cstheme="minorHAnsi"/>
                <w:szCs w:val="24"/>
                <w:lang w:val="en-AU"/>
              </w:rPr>
              <w:t xml:space="preserve">eight </w:t>
            </w:r>
            <w:r w:rsidRPr="00932E0F">
              <w:rPr>
                <w:rFonts w:asciiTheme="minorHAnsi" w:hAnsiTheme="minorHAnsi" w:cstheme="minorHAnsi"/>
                <w:szCs w:val="24"/>
                <w:lang w:val="en-AU"/>
              </w:rPr>
              <w:t>recommendations were prioritised, which sought improvements in pre</w:t>
            </w:r>
            <w:r w:rsidR="000509F0" w:rsidRPr="00932E0F">
              <w:rPr>
                <w:rFonts w:asciiTheme="minorHAnsi" w:hAnsiTheme="minorHAnsi" w:cstheme="minorHAnsi"/>
                <w:szCs w:val="24"/>
                <w:lang w:val="en-AU"/>
              </w:rPr>
              <w:noBreakHyphen/>
            </w:r>
            <w:r w:rsidRPr="00932E0F">
              <w:rPr>
                <w:rFonts w:asciiTheme="minorHAnsi" w:hAnsiTheme="minorHAnsi" w:cstheme="minorHAnsi"/>
                <w:szCs w:val="24"/>
                <w:lang w:val="en-AU"/>
              </w:rPr>
              <w:t>transplant care. In June 2019, the Commonwealth funded the NIKTT to implement initiatives based on the Report’s priority recommendations.</w:t>
            </w:r>
          </w:p>
          <w:p w14:paraId="4FB642AF" w14:textId="1459F9FA" w:rsidR="00BC3E2C" w:rsidRPr="00932E0F" w:rsidRDefault="00BC3E2C" w:rsidP="004E5110">
            <w:pPr>
              <w:keepNext/>
              <w:keepLines/>
              <w:spacing w:after="120"/>
              <w:rPr>
                <w:rFonts w:asciiTheme="minorHAnsi" w:hAnsiTheme="minorHAnsi" w:cstheme="minorHAnsi"/>
                <w:bCs/>
                <w:iCs/>
                <w:szCs w:val="24"/>
              </w:rPr>
            </w:pPr>
            <w:r w:rsidRPr="00932E0F">
              <w:rPr>
                <w:rFonts w:asciiTheme="minorHAnsi" w:hAnsiTheme="minorHAnsi" w:cstheme="minorHAnsi"/>
                <w:bCs/>
                <w:iCs/>
                <w:szCs w:val="24"/>
              </w:rPr>
              <w:t xml:space="preserve">In response to the TSANZ Report and the Review Report’s findings of inequitable access to transplantation for Aboriginal and Torres Strait Islander people, the </w:t>
            </w:r>
            <w:r w:rsidR="0096687F" w:rsidRPr="00932E0F">
              <w:rPr>
                <w:rFonts w:asciiTheme="minorHAnsi" w:hAnsiTheme="minorHAnsi" w:cstheme="minorHAnsi"/>
                <w:bCs/>
                <w:iCs/>
                <w:szCs w:val="24"/>
              </w:rPr>
              <w:t xml:space="preserve">final </w:t>
            </w:r>
            <w:r w:rsidRPr="00932E0F">
              <w:rPr>
                <w:rFonts w:asciiTheme="minorHAnsi" w:hAnsiTheme="minorHAnsi" w:cstheme="minorHAnsi"/>
                <w:bCs/>
                <w:iCs/>
                <w:szCs w:val="24"/>
              </w:rPr>
              <w:t xml:space="preserve">Strategy </w:t>
            </w:r>
            <w:r w:rsidR="00E165AD" w:rsidRPr="00932E0F">
              <w:rPr>
                <w:rFonts w:asciiTheme="minorHAnsi" w:hAnsiTheme="minorHAnsi" w:cstheme="minorHAnsi"/>
                <w:bCs/>
                <w:iCs/>
                <w:szCs w:val="24"/>
              </w:rPr>
              <w:t>will include</w:t>
            </w:r>
            <w:r w:rsidRPr="00932E0F">
              <w:rPr>
                <w:rFonts w:asciiTheme="minorHAnsi" w:hAnsiTheme="minorHAnsi" w:cstheme="minorHAnsi"/>
                <w:bCs/>
                <w:iCs/>
                <w:szCs w:val="24"/>
              </w:rPr>
              <w:t xml:space="preserve"> actions that aim to break down geographical, cultural, educational and language barriers to transplantation. </w:t>
            </w:r>
          </w:p>
          <w:p w14:paraId="1E291A74" w14:textId="77777777" w:rsidR="00BC3E2C" w:rsidRPr="00932E0F" w:rsidRDefault="00BC3E2C" w:rsidP="004E5110">
            <w:pPr>
              <w:keepNext/>
              <w:keepLines/>
              <w:spacing w:after="120"/>
              <w:rPr>
                <w:rFonts w:asciiTheme="minorHAnsi" w:hAnsiTheme="minorHAnsi" w:cstheme="minorHAnsi"/>
                <w:szCs w:val="24"/>
              </w:rPr>
            </w:pPr>
            <w:r w:rsidRPr="00932E0F">
              <w:rPr>
                <w:rFonts w:asciiTheme="minorHAnsi" w:hAnsiTheme="minorHAnsi" w:cstheme="minorHAnsi"/>
                <w:bCs/>
                <w:iCs/>
                <w:szCs w:val="24"/>
              </w:rPr>
              <w:t xml:space="preserve">Drawing on the work of the NIKTT will be a foundational requirement </w:t>
            </w:r>
            <w:r w:rsidR="0031797C" w:rsidRPr="00932E0F">
              <w:rPr>
                <w:rFonts w:asciiTheme="minorHAnsi" w:hAnsiTheme="minorHAnsi" w:cstheme="minorHAnsi"/>
                <w:bCs/>
                <w:iCs/>
                <w:szCs w:val="24"/>
              </w:rPr>
              <w:t>to develop</w:t>
            </w:r>
            <w:r w:rsidRPr="00932E0F">
              <w:rPr>
                <w:rFonts w:asciiTheme="minorHAnsi" w:hAnsiTheme="minorHAnsi" w:cstheme="minorHAnsi"/>
                <w:bCs/>
                <w:iCs/>
                <w:szCs w:val="24"/>
              </w:rPr>
              <w:t xml:space="preserve"> these actions.  </w:t>
            </w:r>
          </w:p>
        </w:tc>
      </w:tr>
      <w:tr w:rsidR="00BC3E2C" w:rsidRPr="00FF18A1" w14:paraId="17D04A72" w14:textId="77777777" w:rsidTr="00AD6DE4">
        <w:trPr>
          <w:cantSplit/>
        </w:trPr>
        <w:tc>
          <w:tcPr>
            <w:tcW w:w="1831" w:type="dxa"/>
          </w:tcPr>
          <w:p w14:paraId="5AE95013" w14:textId="77777777" w:rsidR="00BC3E2C" w:rsidRPr="00932E0F" w:rsidRDefault="00BC3E2C" w:rsidP="004E5110">
            <w:pPr>
              <w:spacing w:after="120"/>
              <w:rPr>
                <w:rFonts w:asciiTheme="minorHAnsi" w:hAnsiTheme="minorHAnsi" w:cstheme="minorHAnsi"/>
                <w:b/>
                <w:szCs w:val="24"/>
              </w:rPr>
            </w:pPr>
            <w:r w:rsidRPr="00932E0F">
              <w:rPr>
                <w:rFonts w:asciiTheme="minorHAnsi" w:hAnsiTheme="minorHAnsi" w:cstheme="minorHAnsi"/>
                <w:b/>
                <w:szCs w:val="24"/>
              </w:rPr>
              <w:t>Implementation</w:t>
            </w:r>
          </w:p>
        </w:tc>
        <w:tc>
          <w:tcPr>
            <w:tcW w:w="7185" w:type="dxa"/>
          </w:tcPr>
          <w:p w14:paraId="43B1D1F4" w14:textId="3E9F5B4B" w:rsidR="00BC3E2C" w:rsidRPr="00932E0F" w:rsidRDefault="00BC3E2C" w:rsidP="004E5110">
            <w:pPr>
              <w:spacing w:after="120"/>
              <w:rPr>
                <w:rFonts w:asciiTheme="minorHAnsi" w:hAnsiTheme="minorHAnsi" w:cstheme="minorHAnsi"/>
                <w:bCs/>
                <w:iCs/>
                <w:szCs w:val="24"/>
              </w:rPr>
            </w:pPr>
            <w:r w:rsidRPr="00932E0F">
              <w:rPr>
                <w:rFonts w:asciiTheme="minorHAnsi" w:hAnsiTheme="minorHAnsi" w:cstheme="minorHAnsi"/>
                <w:bCs/>
                <w:iCs/>
                <w:szCs w:val="24"/>
              </w:rPr>
              <w:t>All governments, through relevant committee arrangements, will consider the</w:t>
            </w:r>
            <w:r w:rsidR="00786CAF" w:rsidRPr="00932E0F">
              <w:rPr>
                <w:rFonts w:asciiTheme="minorHAnsi" w:hAnsiTheme="minorHAnsi" w:cstheme="minorHAnsi"/>
                <w:bCs/>
                <w:iCs/>
                <w:szCs w:val="24"/>
              </w:rPr>
              <w:t xml:space="preserve"> work of the</w:t>
            </w:r>
            <w:r w:rsidRPr="00932E0F">
              <w:rPr>
                <w:rFonts w:asciiTheme="minorHAnsi" w:hAnsiTheme="minorHAnsi" w:cstheme="minorHAnsi"/>
                <w:bCs/>
                <w:iCs/>
                <w:szCs w:val="24"/>
              </w:rPr>
              <w:t xml:space="preserve"> NIKTT with a view to</w:t>
            </w:r>
            <w:r w:rsidR="00786CAF" w:rsidRPr="00932E0F">
              <w:rPr>
                <w:rFonts w:asciiTheme="minorHAnsi" w:hAnsiTheme="minorHAnsi" w:cstheme="minorHAnsi"/>
                <w:bCs/>
                <w:iCs/>
                <w:szCs w:val="24"/>
              </w:rPr>
              <w:t xml:space="preserve"> aligning and</w:t>
            </w:r>
            <w:r w:rsidRPr="00932E0F">
              <w:rPr>
                <w:rFonts w:asciiTheme="minorHAnsi" w:hAnsiTheme="minorHAnsi" w:cstheme="minorHAnsi"/>
                <w:bCs/>
                <w:iCs/>
                <w:szCs w:val="24"/>
              </w:rPr>
              <w:t xml:space="preserve"> incorporating any endorsed recommendations and initiatives into the Strategy. </w:t>
            </w:r>
          </w:p>
        </w:tc>
      </w:tr>
    </w:tbl>
    <w:p w14:paraId="10E8127A" w14:textId="77777777" w:rsidR="00BC3E2C" w:rsidRPr="00FF18A1" w:rsidRDefault="00BC3E2C" w:rsidP="003A342E">
      <w:pPr>
        <w:spacing w:line="276" w:lineRule="auto"/>
        <w:rPr>
          <w:rFonts w:asciiTheme="minorHAnsi" w:hAnsiTheme="minorHAnsi" w:cstheme="minorHAnsi"/>
          <w:sz w:val="22"/>
          <w:szCs w:val="22"/>
        </w:rPr>
      </w:pPr>
    </w:p>
    <w:p w14:paraId="321985B9" w14:textId="77777777" w:rsidR="00BC3E2C" w:rsidRPr="00FF18A1" w:rsidRDefault="00BC3E2C" w:rsidP="003A342E">
      <w:pPr>
        <w:pStyle w:val="Heading2"/>
        <w:spacing w:line="276" w:lineRule="auto"/>
        <w:rPr>
          <w:rFonts w:asciiTheme="minorHAnsi" w:eastAsia="Times New Roman" w:hAnsiTheme="minorHAnsi" w:cstheme="minorHAnsi"/>
          <w:bCs/>
          <w:iCs/>
          <w:color w:val="358189"/>
          <w:sz w:val="28"/>
          <w:szCs w:val="28"/>
        </w:rPr>
      </w:pPr>
      <w:r w:rsidRPr="00FF18A1">
        <w:rPr>
          <w:rFonts w:asciiTheme="minorHAnsi" w:eastAsia="Times New Roman" w:hAnsiTheme="minorHAnsi" w:cstheme="minorHAnsi"/>
          <w:bCs/>
          <w:iCs/>
          <w:color w:val="358189"/>
          <w:sz w:val="28"/>
          <w:szCs w:val="28"/>
        </w:rPr>
        <w:lastRenderedPageBreak/>
        <w:t>2.2 Review organ allocation processes to support equity and consistency in practice</w:t>
      </w:r>
      <w:r w:rsidR="00A551EF" w:rsidRPr="00FF18A1">
        <w:rPr>
          <w:rFonts w:asciiTheme="minorHAnsi" w:eastAsia="Times New Roman" w:hAnsiTheme="minorHAnsi" w:cstheme="minorHAnsi"/>
          <w:bCs/>
          <w:iCs/>
          <w:color w:val="358189"/>
          <w:sz w:val="28"/>
          <w:szCs w:val="28"/>
        </w:rPr>
        <w:t xml:space="preserve"> for Australians needing a transplant</w:t>
      </w:r>
      <w:r w:rsidRPr="00FF18A1">
        <w:rPr>
          <w:rFonts w:asciiTheme="minorHAnsi" w:eastAsia="Times New Roman" w:hAnsiTheme="minorHAnsi" w:cstheme="minorHAnsi"/>
          <w:bCs/>
          <w:iCs/>
          <w:color w:val="358189"/>
          <w:sz w:val="28"/>
          <w:szCs w:val="28"/>
        </w:rPr>
        <w:t xml:space="preserve"> </w:t>
      </w:r>
    </w:p>
    <w:tbl>
      <w:tblPr>
        <w:tblStyle w:val="TableGrid"/>
        <w:tblW w:w="0" w:type="auto"/>
        <w:tblLook w:val="04A0" w:firstRow="1" w:lastRow="0" w:firstColumn="1" w:lastColumn="0" w:noHBand="0" w:noVBand="1"/>
      </w:tblPr>
      <w:tblGrid>
        <w:gridCol w:w="1831"/>
        <w:gridCol w:w="7185"/>
      </w:tblGrid>
      <w:tr w:rsidR="00903F08" w:rsidRPr="007A3366" w14:paraId="64EE1903" w14:textId="77777777" w:rsidTr="00E606BD">
        <w:trPr>
          <w:trHeight w:val="3578"/>
        </w:trPr>
        <w:tc>
          <w:tcPr>
            <w:tcW w:w="1831" w:type="dxa"/>
            <w:shd w:val="clear" w:color="auto" w:fill="B3ECEB"/>
          </w:tcPr>
          <w:p w14:paraId="182BD4EA" w14:textId="77777777" w:rsidR="00903F08" w:rsidRPr="00E81934" w:rsidRDefault="00903F08" w:rsidP="004E5110">
            <w:pPr>
              <w:keepNext/>
              <w:keepLines/>
              <w:spacing w:after="120"/>
              <w:rPr>
                <w:rFonts w:asciiTheme="minorHAnsi" w:hAnsiTheme="minorHAnsi" w:cstheme="minorHAnsi"/>
                <w:b/>
                <w:szCs w:val="24"/>
              </w:rPr>
            </w:pPr>
            <w:r w:rsidRPr="00E81934">
              <w:rPr>
                <w:rFonts w:asciiTheme="minorHAnsi" w:hAnsiTheme="minorHAnsi" w:cstheme="minorHAnsi"/>
                <w:b/>
                <w:szCs w:val="24"/>
              </w:rPr>
              <w:t>Actions</w:t>
            </w:r>
          </w:p>
        </w:tc>
        <w:tc>
          <w:tcPr>
            <w:tcW w:w="7185" w:type="dxa"/>
            <w:shd w:val="clear" w:color="auto" w:fill="B3ECEB"/>
          </w:tcPr>
          <w:p w14:paraId="6493CC27" w14:textId="5485EBFA" w:rsidR="00903F08" w:rsidRPr="00E81934" w:rsidRDefault="001926D9" w:rsidP="004E5110">
            <w:pPr>
              <w:pStyle w:val="ListParagraph"/>
              <w:keepNext/>
              <w:keepLines/>
              <w:numPr>
                <w:ilvl w:val="0"/>
                <w:numId w:val="49"/>
              </w:numPr>
              <w:spacing w:after="120"/>
              <w:rPr>
                <w:rFonts w:asciiTheme="minorHAnsi" w:hAnsiTheme="minorHAnsi" w:cstheme="minorHAnsi"/>
                <w:sz w:val="24"/>
                <w:szCs w:val="24"/>
              </w:rPr>
            </w:pPr>
            <w:r>
              <w:rPr>
                <w:rFonts w:asciiTheme="minorHAnsi" w:hAnsiTheme="minorHAnsi" w:cstheme="minorHAnsi"/>
                <w:sz w:val="24"/>
                <w:szCs w:val="24"/>
              </w:rPr>
              <w:t>Continue to s</w:t>
            </w:r>
            <w:r w:rsidR="00903F08" w:rsidRPr="00E81934">
              <w:rPr>
                <w:rFonts w:asciiTheme="minorHAnsi" w:hAnsiTheme="minorHAnsi" w:cstheme="minorHAnsi"/>
                <w:sz w:val="24"/>
                <w:szCs w:val="24"/>
              </w:rPr>
              <w:t>upport</w:t>
            </w:r>
            <w:r w:rsidR="00234459">
              <w:rPr>
                <w:rFonts w:asciiTheme="minorHAnsi" w:hAnsiTheme="minorHAnsi" w:cstheme="minorHAnsi"/>
                <w:sz w:val="24"/>
                <w:szCs w:val="24"/>
              </w:rPr>
              <w:t xml:space="preserve"> implementation of</w:t>
            </w:r>
            <w:r w:rsidR="00903F08" w:rsidRPr="00E81934">
              <w:rPr>
                <w:rFonts w:asciiTheme="minorHAnsi" w:hAnsiTheme="minorHAnsi" w:cstheme="minorHAnsi"/>
                <w:sz w:val="24"/>
                <w:szCs w:val="24"/>
              </w:rPr>
              <w:t xml:space="preserve"> the work being undertaken by the Transplantation Society of Australia and New Zealand (TSANZ) Renal Allocation Working Group of the renal allocation algorithm:</w:t>
            </w:r>
          </w:p>
          <w:p w14:paraId="150BE862" w14:textId="384A9EBB" w:rsidR="00903F08" w:rsidRPr="00E81934" w:rsidRDefault="00903F08" w:rsidP="004E5110">
            <w:pPr>
              <w:pStyle w:val="ListParagraph"/>
              <w:keepNext/>
              <w:keepLines/>
              <w:numPr>
                <w:ilvl w:val="0"/>
                <w:numId w:val="48"/>
              </w:numPr>
              <w:spacing w:after="120"/>
              <w:rPr>
                <w:rFonts w:asciiTheme="minorHAnsi" w:hAnsiTheme="minorHAnsi" w:cstheme="minorHAnsi"/>
                <w:sz w:val="24"/>
                <w:szCs w:val="24"/>
              </w:rPr>
            </w:pPr>
            <w:r w:rsidRPr="00E81934">
              <w:rPr>
                <w:rFonts w:asciiTheme="minorHAnsi" w:hAnsiTheme="minorHAnsi" w:cstheme="minorHAnsi"/>
                <w:sz w:val="24"/>
                <w:szCs w:val="24"/>
              </w:rPr>
              <w:t>Improved access to transplant for highly sensitised patients</w:t>
            </w:r>
            <w:r w:rsidR="00EC3201">
              <w:rPr>
                <w:rFonts w:asciiTheme="minorHAnsi" w:hAnsiTheme="minorHAnsi" w:cstheme="minorHAnsi"/>
                <w:sz w:val="24"/>
                <w:szCs w:val="24"/>
              </w:rPr>
              <w:t xml:space="preserve"> and other groups</w:t>
            </w:r>
            <w:r w:rsidR="00234459">
              <w:rPr>
                <w:rFonts w:asciiTheme="minorHAnsi" w:hAnsiTheme="minorHAnsi" w:cstheme="minorHAnsi"/>
                <w:sz w:val="24"/>
                <w:szCs w:val="24"/>
              </w:rPr>
              <w:t xml:space="preserve"> who are otherwise very hard to match</w:t>
            </w:r>
            <w:r w:rsidR="00EC3201">
              <w:rPr>
                <w:rFonts w:asciiTheme="minorHAnsi" w:hAnsiTheme="minorHAnsi" w:cstheme="minorHAnsi"/>
                <w:sz w:val="24"/>
                <w:szCs w:val="24"/>
              </w:rPr>
              <w:t xml:space="preserve"> </w:t>
            </w:r>
          </w:p>
          <w:p w14:paraId="2B697529" w14:textId="4FD88804" w:rsidR="00C03DBD" w:rsidRPr="00B953D0" w:rsidRDefault="00903F08" w:rsidP="00B953D0">
            <w:pPr>
              <w:pStyle w:val="ListParagraph"/>
              <w:keepNext/>
              <w:keepLines/>
              <w:numPr>
                <w:ilvl w:val="0"/>
                <w:numId w:val="48"/>
              </w:numPr>
              <w:spacing w:after="120"/>
              <w:rPr>
                <w:rFonts w:asciiTheme="minorHAnsi" w:hAnsiTheme="minorHAnsi" w:cstheme="minorHAnsi"/>
                <w:sz w:val="24"/>
                <w:szCs w:val="24"/>
              </w:rPr>
            </w:pPr>
            <w:r w:rsidRPr="00E81934">
              <w:rPr>
                <w:rFonts w:asciiTheme="minorHAnsi" w:hAnsiTheme="minorHAnsi" w:cstheme="minorHAnsi"/>
                <w:sz w:val="24"/>
                <w:szCs w:val="24"/>
              </w:rPr>
              <w:t>Improved utility of don</w:t>
            </w:r>
            <w:r w:rsidR="00234459">
              <w:rPr>
                <w:rFonts w:asciiTheme="minorHAnsi" w:hAnsiTheme="minorHAnsi" w:cstheme="minorHAnsi"/>
                <w:sz w:val="24"/>
                <w:szCs w:val="24"/>
              </w:rPr>
              <w:t>ated</w:t>
            </w:r>
            <w:r w:rsidRPr="00E81934">
              <w:rPr>
                <w:rFonts w:asciiTheme="minorHAnsi" w:hAnsiTheme="minorHAnsi" w:cstheme="minorHAnsi"/>
                <w:sz w:val="24"/>
                <w:szCs w:val="24"/>
              </w:rPr>
              <w:t xml:space="preserve"> </w:t>
            </w:r>
            <w:r w:rsidR="00234459">
              <w:rPr>
                <w:rFonts w:asciiTheme="minorHAnsi" w:hAnsiTheme="minorHAnsi" w:cstheme="minorHAnsi"/>
                <w:sz w:val="24"/>
                <w:szCs w:val="24"/>
              </w:rPr>
              <w:t>kidneys</w:t>
            </w:r>
            <w:r w:rsidR="00234459" w:rsidRPr="00B953D0">
              <w:rPr>
                <w:rFonts w:asciiTheme="minorHAnsi" w:hAnsiTheme="minorHAnsi" w:cstheme="minorHAnsi"/>
                <w:sz w:val="24"/>
                <w:szCs w:val="24"/>
                <w:lang w:val="en-US"/>
              </w:rPr>
              <w:t xml:space="preserve">Improved immunological matches for younger patients to reduce </w:t>
            </w:r>
            <w:proofErr w:type="spellStart"/>
            <w:r w:rsidR="00234459" w:rsidRPr="00B953D0">
              <w:rPr>
                <w:rFonts w:asciiTheme="minorHAnsi" w:hAnsiTheme="minorHAnsi" w:cstheme="minorHAnsi"/>
                <w:sz w:val="24"/>
                <w:szCs w:val="24"/>
                <w:lang w:val="en-US"/>
              </w:rPr>
              <w:t>sensitisation</w:t>
            </w:r>
            <w:proofErr w:type="spellEnd"/>
            <w:r w:rsidR="00234459" w:rsidRPr="00B953D0">
              <w:rPr>
                <w:rFonts w:asciiTheme="minorHAnsi" w:hAnsiTheme="minorHAnsi" w:cstheme="minorHAnsi"/>
                <w:sz w:val="24"/>
                <w:szCs w:val="24"/>
                <w:lang w:val="en-US"/>
              </w:rPr>
              <w:t xml:space="preserve"> </w:t>
            </w:r>
          </w:p>
          <w:p w14:paraId="71805FF4" w14:textId="28A9EF42" w:rsidR="00903F08" w:rsidRPr="00E81934" w:rsidRDefault="001926D9" w:rsidP="00C03DBD">
            <w:pPr>
              <w:pStyle w:val="ListParagraph"/>
              <w:keepNext/>
              <w:keepLines/>
              <w:numPr>
                <w:ilvl w:val="0"/>
                <w:numId w:val="49"/>
              </w:numPr>
              <w:spacing w:after="120"/>
              <w:rPr>
                <w:rFonts w:asciiTheme="minorHAnsi" w:hAnsiTheme="minorHAnsi" w:cstheme="minorHAnsi"/>
                <w:sz w:val="24"/>
                <w:szCs w:val="24"/>
              </w:rPr>
            </w:pPr>
            <w:r>
              <w:rPr>
                <w:rFonts w:asciiTheme="minorHAnsi" w:hAnsiTheme="minorHAnsi" w:cstheme="minorHAnsi"/>
                <w:sz w:val="24"/>
                <w:szCs w:val="24"/>
              </w:rPr>
              <w:t xml:space="preserve">Continue to </w:t>
            </w:r>
            <w:r w:rsidR="00800905">
              <w:rPr>
                <w:rFonts w:asciiTheme="minorHAnsi" w:hAnsiTheme="minorHAnsi" w:cstheme="minorHAnsi"/>
                <w:sz w:val="24"/>
                <w:szCs w:val="24"/>
              </w:rPr>
              <w:t xml:space="preserve">work with TSANZ Advisory Committees, transplant units and </w:t>
            </w:r>
            <w:proofErr w:type="spellStart"/>
            <w:r w:rsidR="00800905">
              <w:rPr>
                <w:rFonts w:asciiTheme="minorHAnsi" w:hAnsiTheme="minorHAnsi" w:cstheme="minorHAnsi"/>
                <w:sz w:val="24"/>
                <w:szCs w:val="24"/>
              </w:rPr>
              <w:t>DonateLife</w:t>
            </w:r>
            <w:proofErr w:type="spellEnd"/>
            <w:r w:rsidR="00800905">
              <w:rPr>
                <w:rFonts w:asciiTheme="minorHAnsi" w:hAnsiTheme="minorHAnsi" w:cstheme="minorHAnsi"/>
                <w:sz w:val="24"/>
                <w:szCs w:val="24"/>
              </w:rPr>
              <w:t xml:space="preserve"> agencies to </w:t>
            </w:r>
            <w:r w:rsidR="00926064" w:rsidRPr="00E81934">
              <w:rPr>
                <w:rFonts w:asciiTheme="minorHAnsi" w:hAnsiTheme="minorHAnsi" w:cstheme="minorHAnsi"/>
                <w:sz w:val="24"/>
                <w:szCs w:val="24"/>
              </w:rPr>
              <w:t>improve efficiencies across non-renal organ allocation and acceptance processes</w:t>
            </w:r>
            <w:r w:rsidR="00926064">
              <w:rPr>
                <w:rFonts w:asciiTheme="minorHAnsi" w:hAnsiTheme="minorHAnsi" w:cstheme="minorHAnsi"/>
                <w:sz w:val="24"/>
                <w:szCs w:val="24"/>
              </w:rPr>
              <w:t xml:space="preserve"> using </w:t>
            </w:r>
            <w:proofErr w:type="spellStart"/>
            <w:r w:rsidR="00234459">
              <w:rPr>
                <w:rFonts w:asciiTheme="minorHAnsi" w:hAnsiTheme="minorHAnsi" w:cstheme="minorHAnsi"/>
                <w:sz w:val="24"/>
                <w:szCs w:val="24"/>
              </w:rPr>
              <w:t>OrganMatch</w:t>
            </w:r>
            <w:proofErr w:type="spellEnd"/>
            <w:r w:rsidR="00926064">
              <w:rPr>
                <w:rFonts w:asciiTheme="minorHAnsi" w:hAnsiTheme="minorHAnsi" w:cstheme="minorHAnsi"/>
                <w:sz w:val="24"/>
                <w:szCs w:val="24"/>
              </w:rPr>
              <w:t xml:space="preserve">. </w:t>
            </w:r>
          </w:p>
        </w:tc>
      </w:tr>
      <w:tr w:rsidR="00BC3E2C" w:rsidRPr="007A3366" w14:paraId="58D111F8" w14:textId="77777777" w:rsidTr="00AD6DE4">
        <w:tc>
          <w:tcPr>
            <w:tcW w:w="1831" w:type="dxa"/>
          </w:tcPr>
          <w:p w14:paraId="41087681" w14:textId="77777777" w:rsidR="00BC3E2C" w:rsidRPr="00E81934" w:rsidRDefault="00BC3E2C" w:rsidP="004E5110">
            <w:pPr>
              <w:keepNext/>
              <w:keepLines/>
              <w:spacing w:after="120"/>
              <w:rPr>
                <w:rFonts w:asciiTheme="minorHAnsi" w:hAnsiTheme="minorHAnsi" w:cstheme="minorHAnsi"/>
                <w:b/>
                <w:szCs w:val="24"/>
              </w:rPr>
            </w:pPr>
            <w:r w:rsidRPr="00E81934">
              <w:rPr>
                <w:rFonts w:asciiTheme="minorHAnsi" w:hAnsiTheme="minorHAnsi" w:cstheme="minorHAnsi"/>
                <w:b/>
                <w:szCs w:val="24"/>
              </w:rPr>
              <w:t xml:space="preserve">Rationale for early action </w:t>
            </w:r>
          </w:p>
        </w:tc>
        <w:tc>
          <w:tcPr>
            <w:tcW w:w="7185" w:type="dxa"/>
          </w:tcPr>
          <w:p w14:paraId="7CB6FC84" w14:textId="77777777" w:rsidR="00BC3E2C" w:rsidRPr="00E81934" w:rsidRDefault="00BC3E2C" w:rsidP="004E5110">
            <w:pPr>
              <w:keepNext/>
              <w:keepLines/>
              <w:spacing w:after="120"/>
              <w:rPr>
                <w:rFonts w:asciiTheme="minorHAnsi" w:hAnsiTheme="minorHAnsi" w:cstheme="minorHAnsi"/>
                <w:szCs w:val="24"/>
              </w:rPr>
            </w:pPr>
            <w:r w:rsidRPr="00E81934">
              <w:rPr>
                <w:rFonts w:asciiTheme="minorHAnsi" w:hAnsiTheme="minorHAnsi" w:cstheme="minorHAnsi"/>
                <w:szCs w:val="24"/>
              </w:rPr>
              <w:t xml:space="preserve">The Review Report found that current allocation systems and practices do not </w:t>
            </w:r>
            <w:proofErr w:type="gramStart"/>
            <w:r w:rsidRPr="00E81934">
              <w:rPr>
                <w:rFonts w:asciiTheme="minorHAnsi" w:hAnsiTheme="minorHAnsi" w:cstheme="minorHAnsi"/>
                <w:szCs w:val="24"/>
              </w:rPr>
              <w:t>take into account</w:t>
            </w:r>
            <w:proofErr w:type="gramEnd"/>
            <w:r w:rsidRPr="00E81934">
              <w:rPr>
                <w:rFonts w:asciiTheme="minorHAnsi" w:hAnsiTheme="minorHAnsi" w:cstheme="minorHAnsi"/>
                <w:szCs w:val="24"/>
              </w:rPr>
              <w:t xml:space="preserve"> major changes and advances in transplantation and other treatment options that have occurred over the past decade. It also identified processes that could be strengthened to improve the timeliness and effectiveness of organ allocation. </w:t>
            </w:r>
          </w:p>
          <w:p w14:paraId="13024300" w14:textId="77777777" w:rsidR="00BC3E2C" w:rsidRPr="00E81934" w:rsidRDefault="00BC3E2C" w:rsidP="004E5110">
            <w:pPr>
              <w:keepNext/>
              <w:keepLines/>
              <w:spacing w:after="120"/>
              <w:rPr>
                <w:rFonts w:asciiTheme="minorHAnsi" w:hAnsiTheme="minorHAnsi" w:cstheme="minorHAnsi"/>
                <w:szCs w:val="24"/>
              </w:rPr>
            </w:pPr>
            <w:r w:rsidRPr="00E81934">
              <w:rPr>
                <w:rFonts w:asciiTheme="minorHAnsi" w:hAnsiTheme="minorHAnsi" w:cstheme="minorHAnsi"/>
                <w:szCs w:val="24"/>
              </w:rPr>
              <w:t xml:space="preserve">These actions will support existing work in the sector, and any further work to be progressed through the Strategy, aiming to provide a more equitable and nationally consistent organ allocation system for optimal patient outcomes. </w:t>
            </w:r>
          </w:p>
        </w:tc>
      </w:tr>
      <w:tr w:rsidR="00BC3E2C" w:rsidRPr="007A3366" w14:paraId="06CF1443" w14:textId="77777777" w:rsidTr="00AD6DE4">
        <w:tc>
          <w:tcPr>
            <w:tcW w:w="1831" w:type="dxa"/>
          </w:tcPr>
          <w:p w14:paraId="67AB2F0F" w14:textId="77777777" w:rsidR="00BC3E2C" w:rsidRPr="00E81934" w:rsidRDefault="00BC3E2C" w:rsidP="004E5110">
            <w:pPr>
              <w:spacing w:after="120"/>
              <w:rPr>
                <w:rFonts w:asciiTheme="minorHAnsi" w:hAnsiTheme="minorHAnsi" w:cstheme="minorHAnsi"/>
                <w:b/>
                <w:szCs w:val="24"/>
              </w:rPr>
            </w:pPr>
            <w:r w:rsidRPr="00E81934">
              <w:rPr>
                <w:rFonts w:asciiTheme="minorHAnsi" w:hAnsiTheme="minorHAnsi" w:cstheme="minorHAnsi"/>
                <w:b/>
                <w:szCs w:val="24"/>
              </w:rPr>
              <w:t>Implementation</w:t>
            </w:r>
          </w:p>
        </w:tc>
        <w:tc>
          <w:tcPr>
            <w:tcW w:w="7185" w:type="dxa"/>
          </w:tcPr>
          <w:p w14:paraId="2D3935BB" w14:textId="0656B3DC" w:rsidR="00BC3E2C" w:rsidRPr="00E81934" w:rsidRDefault="00BC3E2C" w:rsidP="004E5110">
            <w:pPr>
              <w:spacing w:after="120"/>
              <w:rPr>
                <w:rFonts w:asciiTheme="minorHAnsi" w:hAnsiTheme="minorHAnsi" w:cstheme="minorHAnsi"/>
                <w:b/>
                <w:i/>
                <w:szCs w:val="24"/>
              </w:rPr>
            </w:pPr>
            <w:r w:rsidRPr="00E81934">
              <w:rPr>
                <w:rFonts w:asciiTheme="minorHAnsi" w:hAnsiTheme="minorHAnsi" w:cstheme="minorHAnsi"/>
                <w:szCs w:val="24"/>
              </w:rPr>
              <w:t xml:space="preserve">The OTA </w:t>
            </w:r>
            <w:r w:rsidR="00013C70" w:rsidRPr="00E81934">
              <w:rPr>
                <w:rFonts w:asciiTheme="minorHAnsi" w:hAnsiTheme="minorHAnsi" w:cstheme="minorHAnsi"/>
                <w:szCs w:val="24"/>
              </w:rPr>
              <w:t>and j</w:t>
            </w:r>
            <w:r w:rsidR="007C77F9" w:rsidRPr="00E81934">
              <w:rPr>
                <w:rFonts w:asciiTheme="minorHAnsi" w:hAnsiTheme="minorHAnsi" w:cstheme="minorHAnsi"/>
                <w:szCs w:val="24"/>
              </w:rPr>
              <w:t xml:space="preserve">urisdictions </w:t>
            </w:r>
            <w:r w:rsidRPr="00E81934">
              <w:rPr>
                <w:rFonts w:asciiTheme="minorHAnsi" w:hAnsiTheme="minorHAnsi" w:cstheme="minorHAnsi"/>
                <w:szCs w:val="24"/>
              </w:rPr>
              <w:t xml:space="preserve">will </w:t>
            </w:r>
            <w:r w:rsidR="002732FB" w:rsidRPr="00E81934">
              <w:rPr>
                <w:rFonts w:asciiTheme="minorHAnsi" w:hAnsiTheme="minorHAnsi" w:cstheme="minorHAnsi"/>
                <w:szCs w:val="24"/>
              </w:rPr>
              <w:t xml:space="preserve">work </w:t>
            </w:r>
            <w:r w:rsidR="00786CAF" w:rsidRPr="00E81934">
              <w:rPr>
                <w:rFonts w:asciiTheme="minorHAnsi" w:hAnsiTheme="minorHAnsi" w:cstheme="minorHAnsi"/>
                <w:szCs w:val="24"/>
              </w:rPr>
              <w:t xml:space="preserve">with </w:t>
            </w:r>
            <w:r w:rsidRPr="00E81934">
              <w:rPr>
                <w:rFonts w:asciiTheme="minorHAnsi" w:hAnsiTheme="minorHAnsi" w:cstheme="minorHAnsi"/>
                <w:szCs w:val="24"/>
              </w:rPr>
              <w:t>TSANZ and the</w:t>
            </w:r>
            <w:r w:rsidR="002732FB" w:rsidRPr="00E81934">
              <w:rPr>
                <w:rFonts w:asciiTheme="minorHAnsi" w:hAnsiTheme="minorHAnsi" w:cstheme="minorHAnsi"/>
                <w:szCs w:val="24"/>
              </w:rPr>
              <w:t xml:space="preserve"> broader</w:t>
            </w:r>
            <w:r w:rsidRPr="00E81934">
              <w:rPr>
                <w:rFonts w:asciiTheme="minorHAnsi" w:hAnsiTheme="minorHAnsi" w:cstheme="minorHAnsi"/>
                <w:szCs w:val="24"/>
              </w:rPr>
              <w:t xml:space="preserve"> </w:t>
            </w:r>
            <w:r w:rsidR="002732FB" w:rsidRPr="00E81934">
              <w:rPr>
                <w:rFonts w:asciiTheme="minorHAnsi" w:hAnsiTheme="minorHAnsi" w:cstheme="minorHAnsi"/>
                <w:szCs w:val="24"/>
              </w:rPr>
              <w:t xml:space="preserve">clinical </w:t>
            </w:r>
            <w:r w:rsidRPr="00E81934">
              <w:rPr>
                <w:rFonts w:asciiTheme="minorHAnsi" w:hAnsiTheme="minorHAnsi" w:cstheme="minorHAnsi"/>
                <w:szCs w:val="24"/>
              </w:rPr>
              <w:t>sector in</w:t>
            </w:r>
            <w:r w:rsidR="007C77F9" w:rsidRPr="00E81934">
              <w:rPr>
                <w:rFonts w:asciiTheme="minorHAnsi" w:hAnsiTheme="minorHAnsi" w:cstheme="minorHAnsi"/>
                <w:szCs w:val="24"/>
              </w:rPr>
              <w:t xml:space="preserve"> consideration and implementation of t</w:t>
            </w:r>
            <w:r w:rsidRPr="00E81934">
              <w:rPr>
                <w:rFonts w:asciiTheme="minorHAnsi" w:hAnsiTheme="minorHAnsi" w:cstheme="minorHAnsi"/>
                <w:szCs w:val="24"/>
              </w:rPr>
              <w:t xml:space="preserve">he recommendations from the review of renal </w:t>
            </w:r>
            <w:r w:rsidR="00AD6DE4" w:rsidRPr="00E81934">
              <w:rPr>
                <w:rFonts w:asciiTheme="minorHAnsi" w:hAnsiTheme="minorHAnsi" w:cstheme="minorHAnsi"/>
                <w:szCs w:val="24"/>
              </w:rPr>
              <w:t xml:space="preserve">and </w:t>
            </w:r>
            <w:r w:rsidR="007C77F9" w:rsidRPr="00E81934">
              <w:rPr>
                <w:rFonts w:asciiTheme="minorHAnsi" w:hAnsiTheme="minorHAnsi" w:cstheme="minorHAnsi"/>
                <w:szCs w:val="24"/>
              </w:rPr>
              <w:t xml:space="preserve">the </w:t>
            </w:r>
            <w:r w:rsidRPr="00E81934">
              <w:rPr>
                <w:rFonts w:asciiTheme="minorHAnsi" w:hAnsiTheme="minorHAnsi" w:cstheme="minorHAnsi"/>
                <w:szCs w:val="24"/>
              </w:rPr>
              <w:t>non</w:t>
            </w:r>
            <w:r w:rsidRPr="00E81934">
              <w:rPr>
                <w:rFonts w:asciiTheme="minorHAnsi" w:hAnsiTheme="minorHAnsi" w:cstheme="minorHAnsi"/>
                <w:szCs w:val="24"/>
              </w:rPr>
              <w:noBreakHyphen/>
              <w:t>renal allocation</w:t>
            </w:r>
            <w:r w:rsidR="007C77F9" w:rsidRPr="00E81934">
              <w:rPr>
                <w:rFonts w:asciiTheme="minorHAnsi" w:hAnsiTheme="minorHAnsi" w:cstheme="minorHAnsi"/>
                <w:szCs w:val="24"/>
              </w:rPr>
              <w:t xml:space="preserve"> working groups</w:t>
            </w:r>
            <w:r w:rsidRPr="00E81934">
              <w:rPr>
                <w:rFonts w:asciiTheme="minorHAnsi" w:hAnsiTheme="minorHAnsi" w:cstheme="minorHAnsi"/>
                <w:szCs w:val="24"/>
              </w:rPr>
              <w:t xml:space="preserve"> </w:t>
            </w:r>
          </w:p>
        </w:tc>
      </w:tr>
    </w:tbl>
    <w:p w14:paraId="51491333" w14:textId="77777777" w:rsidR="00BC3E2C" w:rsidRPr="00E81934" w:rsidRDefault="00BC3E2C" w:rsidP="003A342E">
      <w:pPr>
        <w:widowControl/>
        <w:spacing w:after="160" w:line="276" w:lineRule="auto"/>
        <w:rPr>
          <w:rFonts w:asciiTheme="minorHAnsi" w:hAnsiTheme="minorHAnsi" w:cstheme="minorHAnsi"/>
          <w:color w:val="2E74B5" w:themeColor="accent1" w:themeShade="BF"/>
          <w:sz w:val="22"/>
          <w:szCs w:val="22"/>
        </w:rPr>
      </w:pPr>
    </w:p>
    <w:p w14:paraId="7B726297" w14:textId="77777777" w:rsidR="00BC3E2C" w:rsidRPr="00E81934" w:rsidRDefault="00BC3E2C" w:rsidP="003A342E">
      <w:pPr>
        <w:widowControl/>
        <w:spacing w:after="160" w:line="276" w:lineRule="auto"/>
        <w:rPr>
          <w:rFonts w:asciiTheme="minorHAnsi" w:hAnsiTheme="minorHAnsi" w:cstheme="minorHAnsi"/>
          <w:color w:val="2E74B5" w:themeColor="accent1" w:themeShade="BF"/>
          <w:sz w:val="22"/>
          <w:szCs w:val="22"/>
        </w:rPr>
      </w:pPr>
      <w:r w:rsidRPr="00E81934">
        <w:rPr>
          <w:rFonts w:asciiTheme="minorHAnsi" w:hAnsiTheme="minorHAnsi" w:cstheme="minorHAnsi"/>
          <w:color w:val="2E74B5" w:themeColor="accent1" w:themeShade="BF"/>
          <w:sz w:val="22"/>
          <w:szCs w:val="22"/>
        </w:rPr>
        <w:br w:type="page"/>
      </w:r>
    </w:p>
    <w:p w14:paraId="3E713BCD" w14:textId="33DE6469" w:rsidR="00002177" w:rsidRPr="00FF18A1" w:rsidRDefault="00BC3E2C" w:rsidP="005B7F9D">
      <w:pPr>
        <w:pStyle w:val="Heading1"/>
        <w:numPr>
          <w:ilvl w:val="0"/>
          <w:numId w:val="42"/>
        </w:numPr>
        <w:ind w:left="714" w:hanging="357"/>
        <w:rPr>
          <w:rFonts w:asciiTheme="minorHAnsi" w:eastAsia="Times New Roman" w:hAnsiTheme="minorHAnsi" w:cstheme="minorHAnsi"/>
          <w:bCs/>
          <w:snapToGrid/>
          <w:color w:val="3F4A75"/>
          <w:kern w:val="28"/>
          <w:lang w:val="en-AU"/>
        </w:rPr>
      </w:pPr>
      <w:r w:rsidRPr="00FF18A1">
        <w:rPr>
          <w:rFonts w:asciiTheme="minorHAnsi" w:eastAsia="Times New Roman" w:hAnsiTheme="minorHAnsi" w:cstheme="minorHAnsi"/>
          <w:bCs/>
          <w:snapToGrid/>
          <w:color w:val="3F4A75"/>
          <w:kern w:val="28"/>
          <w:lang w:val="en-AU"/>
        </w:rPr>
        <w:lastRenderedPageBreak/>
        <w:t>Enhanced organ retrieval and transplantation capability</w:t>
      </w:r>
      <w:r w:rsidR="00A95BF7" w:rsidRPr="00FF18A1">
        <w:rPr>
          <w:rFonts w:asciiTheme="minorHAnsi" w:eastAsia="Times New Roman" w:hAnsiTheme="minorHAnsi" w:cstheme="minorHAnsi"/>
          <w:bCs/>
          <w:snapToGrid/>
          <w:color w:val="3F4A75"/>
          <w:kern w:val="28"/>
          <w:lang w:val="en-AU"/>
        </w:rPr>
        <w:t xml:space="preserve"> and capacity</w:t>
      </w:r>
      <w:r w:rsidRPr="00FF18A1">
        <w:rPr>
          <w:rFonts w:asciiTheme="minorHAnsi" w:eastAsia="Times New Roman" w:hAnsiTheme="minorHAnsi" w:cstheme="minorHAnsi"/>
          <w:bCs/>
          <w:snapToGrid/>
          <w:color w:val="3F4A75"/>
          <w:kern w:val="28"/>
          <w:lang w:val="en-AU"/>
        </w:rPr>
        <w:t xml:space="preserve"> to optimise transplant outcomes</w:t>
      </w:r>
    </w:p>
    <w:p w14:paraId="66DA0F3A" w14:textId="5752E7AB" w:rsidR="00002177" w:rsidRPr="00A14C75" w:rsidRDefault="00176197" w:rsidP="000543ED">
      <w:pPr>
        <w:pStyle w:val="Heading2"/>
        <w:rPr>
          <w:rFonts w:asciiTheme="minorHAnsi" w:eastAsia="Times New Roman" w:hAnsiTheme="minorHAnsi" w:cstheme="minorHAnsi"/>
          <w:bCs/>
          <w:iCs/>
          <w:color w:val="358189"/>
          <w:sz w:val="28"/>
          <w:szCs w:val="28"/>
        </w:rPr>
      </w:pPr>
      <w:r w:rsidRPr="00A14C75">
        <w:rPr>
          <w:rFonts w:asciiTheme="minorHAnsi" w:eastAsia="Times New Roman" w:hAnsiTheme="minorHAnsi" w:cstheme="minorHAnsi"/>
          <w:bCs/>
          <w:iCs/>
          <w:color w:val="358189"/>
          <w:sz w:val="28"/>
          <w:szCs w:val="28"/>
        </w:rPr>
        <w:t>3.1 Continue to consider workforce iss</w:t>
      </w:r>
      <w:r w:rsidR="000543ED" w:rsidRPr="00A14C75">
        <w:rPr>
          <w:rFonts w:asciiTheme="minorHAnsi" w:eastAsia="Times New Roman" w:hAnsiTheme="minorHAnsi" w:cstheme="minorHAnsi"/>
          <w:bCs/>
          <w:iCs/>
          <w:color w:val="358189"/>
          <w:sz w:val="28"/>
          <w:szCs w:val="28"/>
        </w:rPr>
        <w:t>u</w:t>
      </w:r>
      <w:r w:rsidRPr="00A14C75">
        <w:rPr>
          <w:rFonts w:asciiTheme="minorHAnsi" w:eastAsia="Times New Roman" w:hAnsiTheme="minorHAnsi" w:cstheme="minorHAnsi"/>
          <w:bCs/>
          <w:iCs/>
          <w:color w:val="358189"/>
          <w:sz w:val="28"/>
          <w:szCs w:val="28"/>
        </w:rPr>
        <w:t>es across retrieval and transplantation</w:t>
      </w:r>
    </w:p>
    <w:tbl>
      <w:tblPr>
        <w:tblStyle w:val="TableGrid"/>
        <w:tblW w:w="0" w:type="auto"/>
        <w:tblLook w:val="04A0" w:firstRow="1" w:lastRow="0" w:firstColumn="1" w:lastColumn="0" w:noHBand="0" w:noVBand="1"/>
      </w:tblPr>
      <w:tblGrid>
        <w:gridCol w:w="1831"/>
        <w:gridCol w:w="7185"/>
      </w:tblGrid>
      <w:tr w:rsidR="00176197" w:rsidRPr="000543ED" w14:paraId="33211241" w14:textId="77777777" w:rsidTr="00281F4C">
        <w:trPr>
          <w:cantSplit/>
        </w:trPr>
        <w:tc>
          <w:tcPr>
            <w:tcW w:w="1831" w:type="dxa"/>
            <w:shd w:val="clear" w:color="auto" w:fill="B3ECEB"/>
          </w:tcPr>
          <w:p w14:paraId="1C5E48BE" w14:textId="77777777" w:rsidR="00176197" w:rsidRPr="000543ED" w:rsidRDefault="00176197" w:rsidP="00281F4C">
            <w:pPr>
              <w:keepNext/>
              <w:keepLines/>
              <w:spacing w:after="120"/>
              <w:rPr>
                <w:rFonts w:asciiTheme="minorHAnsi" w:hAnsiTheme="minorHAnsi" w:cstheme="minorHAnsi"/>
                <w:b/>
                <w:szCs w:val="24"/>
              </w:rPr>
            </w:pPr>
            <w:r w:rsidRPr="000543ED">
              <w:rPr>
                <w:rFonts w:asciiTheme="minorHAnsi" w:hAnsiTheme="minorHAnsi" w:cstheme="minorHAnsi"/>
                <w:b/>
                <w:szCs w:val="24"/>
              </w:rPr>
              <w:t>Action</w:t>
            </w:r>
          </w:p>
        </w:tc>
        <w:tc>
          <w:tcPr>
            <w:tcW w:w="7185" w:type="dxa"/>
            <w:shd w:val="clear" w:color="auto" w:fill="B3ECEB"/>
          </w:tcPr>
          <w:p w14:paraId="6819716B" w14:textId="615506DE" w:rsidR="00176197" w:rsidRPr="000543ED" w:rsidRDefault="00176197" w:rsidP="00281F4C">
            <w:pPr>
              <w:pStyle w:val="Default"/>
              <w:rPr>
                <w:rFonts w:asciiTheme="minorHAnsi" w:hAnsiTheme="minorHAnsi" w:cstheme="minorHAnsi"/>
              </w:rPr>
            </w:pPr>
            <w:r w:rsidRPr="000543ED">
              <w:rPr>
                <w:rFonts w:asciiTheme="minorHAnsi" w:hAnsiTheme="minorHAnsi" w:cstheme="minorHAnsi"/>
                <w:lang w:val="en-US"/>
              </w:rPr>
              <w:t xml:space="preserve">Continue to support workforce planning and capacity at the state and territory level.  </w:t>
            </w:r>
          </w:p>
        </w:tc>
      </w:tr>
      <w:tr w:rsidR="00176197" w:rsidRPr="000543ED" w14:paraId="66BE045D" w14:textId="77777777" w:rsidTr="00281F4C">
        <w:trPr>
          <w:cantSplit/>
          <w:trHeight w:val="1501"/>
        </w:trPr>
        <w:tc>
          <w:tcPr>
            <w:tcW w:w="1831" w:type="dxa"/>
          </w:tcPr>
          <w:p w14:paraId="16C60F2C" w14:textId="77777777" w:rsidR="00176197" w:rsidRPr="000543ED" w:rsidRDefault="00176197" w:rsidP="00281F4C">
            <w:pPr>
              <w:keepNext/>
              <w:keepLines/>
              <w:spacing w:after="120"/>
              <w:rPr>
                <w:rFonts w:asciiTheme="minorHAnsi" w:hAnsiTheme="minorHAnsi" w:cstheme="minorHAnsi"/>
                <w:b/>
                <w:szCs w:val="24"/>
              </w:rPr>
            </w:pPr>
            <w:r w:rsidRPr="000543ED">
              <w:rPr>
                <w:rFonts w:asciiTheme="minorHAnsi" w:hAnsiTheme="minorHAnsi" w:cstheme="minorHAnsi"/>
                <w:b/>
                <w:szCs w:val="24"/>
              </w:rPr>
              <w:t xml:space="preserve">Rationale for early action </w:t>
            </w:r>
          </w:p>
        </w:tc>
        <w:tc>
          <w:tcPr>
            <w:tcW w:w="7185" w:type="dxa"/>
          </w:tcPr>
          <w:p w14:paraId="4740D05E" w14:textId="7200695A" w:rsidR="00176197" w:rsidRPr="000543ED" w:rsidRDefault="00176197" w:rsidP="00281F4C">
            <w:pPr>
              <w:keepNext/>
              <w:keepLines/>
              <w:spacing w:after="120"/>
              <w:rPr>
                <w:rFonts w:asciiTheme="minorHAnsi" w:hAnsiTheme="minorHAnsi" w:cstheme="minorHAnsi"/>
                <w:szCs w:val="24"/>
              </w:rPr>
            </w:pPr>
            <w:r w:rsidRPr="000543ED">
              <w:rPr>
                <w:rFonts w:asciiTheme="minorHAnsi" w:hAnsiTheme="minorHAnsi" w:cstheme="minorHAnsi"/>
                <w:szCs w:val="24"/>
                <w:lang w:eastAsia="en-AU"/>
              </w:rPr>
              <w:t xml:space="preserve">As </w:t>
            </w:r>
            <w:r w:rsidR="008652D7">
              <w:rPr>
                <w:rFonts w:asciiTheme="minorHAnsi" w:hAnsiTheme="minorHAnsi" w:cstheme="minorHAnsi"/>
                <w:szCs w:val="24"/>
                <w:lang w:eastAsia="en-AU"/>
              </w:rPr>
              <w:t>outlined</w:t>
            </w:r>
            <w:r w:rsidRPr="000543ED">
              <w:rPr>
                <w:rFonts w:asciiTheme="minorHAnsi" w:hAnsiTheme="minorHAnsi" w:cstheme="minorHAnsi"/>
                <w:szCs w:val="24"/>
                <w:lang w:eastAsia="en-AU"/>
              </w:rPr>
              <w:t xml:space="preserve"> in the Review Report, </w:t>
            </w:r>
            <w:r w:rsidRPr="000543ED">
              <w:rPr>
                <w:rFonts w:asciiTheme="minorHAnsi" w:hAnsiTheme="minorHAnsi" w:cstheme="minorHAnsi"/>
                <w:szCs w:val="24"/>
              </w:rPr>
              <w:t xml:space="preserve">the increased organ donation activity has placed downstream pressure on organ retrieval and transplantation services. </w:t>
            </w:r>
          </w:p>
          <w:p w14:paraId="700E1163" w14:textId="5ADF2D22" w:rsidR="00176197" w:rsidRPr="000543ED" w:rsidRDefault="00176197" w:rsidP="008652D7">
            <w:pPr>
              <w:keepNext/>
              <w:keepLines/>
              <w:spacing w:after="120"/>
              <w:rPr>
                <w:rFonts w:asciiTheme="minorHAnsi" w:hAnsiTheme="minorHAnsi" w:cstheme="minorHAnsi"/>
                <w:szCs w:val="24"/>
              </w:rPr>
            </w:pPr>
            <w:r w:rsidRPr="000543ED">
              <w:rPr>
                <w:rFonts w:asciiTheme="minorHAnsi" w:hAnsiTheme="minorHAnsi" w:cstheme="minorHAnsi"/>
                <w:szCs w:val="24"/>
              </w:rPr>
              <w:t xml:space="preserve">A key objective of the </w:t>
            </w:r>
            <w:r w:rsidRPr="000543ED">
              <w:rPr>
                <w:rFonts w:asciiTheme="minorHAnsi" w:hAnsiTheme="minorHAnsi" w:cstheme="minorHAnsi"/>
                <w:i/>
                <w:szCs w:val="24"/>
                <w:lang w:val="en-AU"/>
              </w:rPr>
              <w:t>2008</w:t>
            </w:r>
            <w:r w:rsidRPr="000543ED">
              <w:rPr>
                <w:rFonts w:asciiTheme="minorHAnsi" w:hAnsiTheme="minorHAnsi" w:cstheme="minorHAnsi"/>
                <w:szCs w:val="24"/>
                <w:lang w:val="en-AU"/>
              </w:rPr>
              <w:t xml:space="preserve"> </w:t>
            </w:r>
            <w:r w:rsidRPr="000543ED">
              <w:rPr>
                <w:rFonts w:asciiTheme="minorHAnsi" w:hAnsiTheme="minorHAnsi" w:cstheme="minorHAnsi"/>
                <w:i/>
                <w:szCs w:val="24"/>
                <w:lang w:val="en-AU"/>
              </w:rPr>
              <w:t>World’s Best Practice Reform Package on Organ and Tissue Donation for Transplantation</w:t>
            </w:r>
            <w:r w:rsidRPr="000543ED">
              <w:rPr>
                <w:rFonts w:asciiTheme="minorHAnsi" w:hAnsiTheme="minorHAnsi" w:cstheme="minorHAnsi"/>
                <w:szCs w:val="24"/>
                <w:lang w:val="en-AU"/>
              </w:rPr>
              <w:t xml:space="preserve"> </w:t>
            </w:r>
            <w:r w:rsidRPr="000543ED">
              <w:rPr>
                <w:rFonts w:asciiTheme="minorHAnsi" w:hAnsiTheme="minorHAnsi" w:cstheme="minorHAnsi"/>
                <w:szCs w:val="24"/>
              </w:rPr>
              <w:t xml:space="preserve">and the ongoing National Program for organ and tissue donation has been increasing the donation capability and capacity within the health system to </w:t>
            </w:r>
            <w:proofErr w:type="spellStart"/>
            <w:r w:rsidRPr="000543ED">
              <w:rPr>
                <w:rFonts w:asciiTheme="minorHAnsi" w:hAnsiTheme="minorHAnsi" w:cstheme="minorHAnsi"/>
                <w:szCs w:val="24"/>
              </w:rPr>
              <w:t>optimise</w:t>
            </w:r>
            <w:proofErr w:type="spellEnd"/>
            <w:r w:rsidRPr="000543ED">
              <w:rPr>
                <w:rFonts w:asciiTheme="minorHAnsi" w:hAnsiTheme="minorHAnsi" w:cstheme="minorHAnsi"/>
                <w:szCs w:val="24"/>
              </w:rPr>
              <w:t xml:space="preserve"> donation and transplant rates. This continues to be delivered through the </w:t>
            </w:r>
            <w:proofErr w:type="gramStart"/>
            <w:r w:rsidRPr="000543ED">
              <w:rPr>
                <w:rFonts w:asciiTheme="minorHAnsi" w:hAnsiTheme="minorHAnsi" w:cstheme="minorHAnsi"/>
                <w:szCs w:val="24"/>
              </w:rPr>
              <w:t>four year</w:t>
            </w:r>
            <w:proofErr w:type="gramEnd"/>
            <w:r w:rsidRPr="000543ED">
              <w:rPr>
                <w:rFonts w:asciiTheme="minorHAnsi" w:hAnsiTheme="minorHAnsi" w:cstheme="minorHAnsi"/>
                <w:iCs/>
                <w:szCs w:val="24"/>
              </w:rPr>
              <w:t xml:space="preserve"> Strategic Plan for the </w:t>
            </w:r>
            <w:r w:rsidR="008652D7">
              <w:rPr>
                <w:rFonts w:asciiTheme="minorHAnsi" w:hAnsiTheme="minorHAnsi" w:cstheme="minorHAnsi"/>
                <w:iCs/>
                <w:szCs w:val="24"/>
              </w:rPr>
              <w:t>n</w:t>
            </w:r>
            <w:r w:rsidRPr="000543ED">
              <w:rPr>
                <w:rFonts w:asciiTheme="minorHAnsi" w:hAnsiTheme="minorHAnsi" w:cstheme="minorHAnsi"/>
                <w:iCs/>
                <w:szCs w:val="24"/>
              </w:rPr>
              <w:t>ational donation program.</w:t>
            </w:r>
            <w:r w:rsidRPr="000543ED">
              <w:rPr>
                <w:rFonts w:asciiTheme="minorHAnsi" w:hAnsiTheme="minorHAnsi" w:cstheme="minorHAnsi"/>
                <w:szCs w:val="24"/>
              </w:rPr>
              <w:t xml:space="preserve"> While this has specifically focused on the donation workforce, there is further work required to enhance retrieval and transplantation capability and capacity.      </w:t>
            </w:r>
          </w:p>
        </w:tc>
      </w:tr>
      <w:tr w:rsidR="00176197" w:rsidRPr="000543ED" w14:paraId="0DD95094" w14:textId="77777777" w:rsidTr="00281F4C">
        <w:trPr>
          <w:cantSplit/>
        </w:trPr>
        <w:tc>
          <w:tcPr>
            <w:tcW w:w="1831" w:type="dxa"/>
          </w:tcPr>
          <w:p w14:paraId="22BA584D" w14:textId="77777777" w:rsidR="00176197" w:rsidRPr="000543ED" w:rsidRDefault="00176197" w:rsidP="00281F4C">
            <w:pPr>
              <w:keepNext/>
              <w:keepLines/>
              <w:spacing w:after="120"/>
              <w:rPr>
                <w:rFonts w:asciiTheme="minorHAnsi" w:hAnsiTheme="minorHAnsi" w:cstheme="minorHAnsi"/>
                <w:b/>
                <w:szCs w:val="24"/>
              </w:rPr>
            </w:pPr>
            <w:r w:rsidRPr="000543ED">
              <w:rPr>
                <w:rFonts w:asciiTheme="minorHAnsi" w:hAnsiTheme="minorHAnsi" w:cstheme="minorHAnsi"/>
                <w:b/>
                <w:szCs w:val="24"/>
              </w:rPr>
              <w:t>Implementation</w:t>
            </w:r>
          </w:p>
        </w:tc>
        <w:tc>
          <w:tcPr>
            <w:tcW w:w="7185" w:type="dxa"/>
          </w:tcPr>
          <w:p w14:paraId="61DA46C1" w14:textId="77777777" w:rsidR="00176197" w:rsidRPr="000543ED" w:rsidRDefault="00176197" w:rsidP="00281F4C">
            <w:pPr>
              <w:pStyle w:val="Default"/>
              <w:rPr>
                <w:rFonts w:asciiTheme="minorHAnsi" w:hAnsiTheme="minorHAnsi" w:cstheme="minorHAnsi"/>
                <w:b/>
                <w:i/>
              </w:rPr>
            </w:pPr>
            <w:r w:rsidRPr="000543ED">
              <w:rPr>
                <w:rFonts w:asciiTheme="minorHAnsi" w:hAnsiTheme="minorHAnsi" w:cstheme="minorHAnsi"/>
                <w:lang w:val="en-US"/>
              </w:rPr>
              <w:t>All jurisdictions will continue to manage workforce capacity and capability which will inform future national planning to be considered as part of the Strategy.</w:t>
            </w:r>
          </w:p>
        </w:tc>
      </w:tr>
    </w:tbl>
    <w:p w14:paraId="79F8CDC8" w14:textId="77777777" w:rsidR="00176197" w:rsidRPr="000543ED" w:rsidRDefault="00176197" w:rsidP="003A342E">
      <w:pPr>
        <w:spacing w:line="276" w:lineRule="auto"/>
        <w:rPr>
          <w:rFonts w:asciiTheme="minorHAnsi" w:hAnsiTheme="minorHAnsi" w:cstheme="minorHAnsi"/>
          <w:bCs/>
          <w:iCs/>
          <w:snapToGrid/>
          <w:color w:val="358189"/>
          <w:sz w:val="28"/>
          <w:szCs w:val="28"/>
          <w:highlight w:val="cyan"/>
          <w:lang w:val="en-AU"/>
        </w:rPr>
      </w:pPr>
    </w:p>
    <w:p w14:paraId="56871330" w14:textId="29FC0696" w:rsidR="00BC3E2C" w:rsidRPr="00FF18A1" w:rsidRDefault="00BC3E2C" w:rsidP="003A342E">
      <w:pPr>
        <w:pStyle w:val="Heading2"/>
        <w:spacing w:line="276" w:lineRule="auto"/>
        <w:rPr>
          <w:rFonts w:asciiTheme="minorHAnsi" w:eastAsia="Times New Roman" w:hAnsiTheme="minorHAnsi" w:cstheme="minorHAnsi"/>
          <w:bCs/>
          <w:iCs/>
          <w:color w:val="358189"/>
          <w:sz w:val="28"/>
          <w:szCs w:val="28"/>
        </w:rPr>
      </w:pPr>
      <w:r w:rsidRPr="00FF18A1">
        <w:rPr>
          <w:rFonts w:asciiTheme="minorHAnsi" w:eastAsia="Times New Roman" w:hAnsiTheme="minorHAnsi" w:cstheme="minorHAnsi"/>
          <w:bCs/>
          <w:iCs/>
          <w:color w:val="358189"/>
          <w:sz w:val="28"/>
          <w:szCs w:val="28"/>
        </w:rPr>
        <w:lastRenderedPageBreak/>
        <w:t>3.</w:t>
      </w:r>
      <w:r w:rsidR="00176197">
        <w:rPr>
          <w:rFonts w:asciiTheme="minorHAnsi" w:eastAsia="Times New Roman" w:hAnsiTheme="minorHAnsi" w:cstheme="minorHAnsi"/>
          <w:bCs/>
          <w:iCs/>
          <w:color w:val="358189"/>
          <w:sz w:val="28"/>
          <w:szCs w:val="28"/>
        </w:rPr>
        <w:t>2</w:t>
      </w:r>
      <w:r w:rsidRPr="00FF18A1">
        <w:rPr>
          <w:rFonts w:asciiTheme="minorHAnsi" w:eastAsia="Times New Roman" w:hAnsiTheme="minorHAnsi" w:cstheme="minorHAnsi"/>
          <w:bCs/>
          <w:iCs/>
          <w:color w:val="358189"/>
          <w:sz w:val="28"/>
          <w:szCs w:val="28"/>
        </w:rPr>
        <w:t xml:space="preserve"> </w:t>
      </w:r>
      <w:r w:rsidRPr="00FB1C00">
        <w:rPr>
          <w:rFonts w:asciiTheme="minorHAnsi" w:eastAsia="Times New Roman" w:hAnsiTheme="minorHAnsi" w:cstheme="minorHAnsi"/>
          <w:bCs/>
          <w:iCs/>
          <w:color w:val="358189"/>
          <w:sz w:val="28"/>
          <w:szCs w:val="28"/>
        </w:rPr>
        <w:t>Review tissue typing arrangements</w:t>
      </w:r>
      <w:r w:rsidRPr="00FF18A1">
        <w:rPr>
          <w:rFonts w:asciiTheme="minorHAnsi" w:eastAsia="Times New Roman" w:hAnsiTheme="minorHAnsi" w:cstheme="minorHAnsi"/>
          <w:bCs/>
          <w:iCs/>
          <w:color w:val="358189"/>
          <w:sz w:val="28"/>
          <w:szCs w:val="28"/>
        </w:rPr>
        <w:t xml:space="preserve"> </w:t>
      </w:r>
    </w:p>
    <w:tbl>
      <w:tblPr>
        <w:tblStyle w:val="TableGrid"/>
        <w:tblW w:w="0" w:type="auto"/>
        <w:tblLook w:val="04A0" w:firstRow="1" w:lastRow="0" w:firstColumn="1" w:lastColumn="0" w:noHBand="0" w:noVBand="1"/>
      </w:tblPr>
      <w:tblGrid>
        <w:gridCol w:w="1831"/>
        <w:gridCol w:w="7185"/>
      </w:tblGrid>
      <w:tr w:rsidR="00BC3E2C" w:rsidRPr="00E81934" w14:paraId="58E232BC" w14:textId="77777777" w:rsidTr="00AD6DE4">
        <w:trPr>
          <w:cantSplit/>
        </w:trPr>
        <w:tc>
          <w:tcPr>
            <w:tcW w:w="1831" w:type="dxa"/>
            <w:shd w:val="clear" w:color="auto" w:fill="B3ECEB"/>
          </w:tcPr>
          <w:p w14:paraId="16F80097" w14:textId="77777777" w:rsidR="00BC3E2C" w:rsidRPr="00E81934" w:rsidRDefault="00BC3E2C" w:rsidP="004E5110">
            <w:pPr>
              <w:keepNext/>
              <w:keepLines/>
              <w:spacing w:after="120"/>
              <w:rPr>
                <w:rFonts w:asciiTheme="minorHAnsi" w:hAnsiTheme="minorHAnsi" w:cstheme="minorHAnsi"/>
                <w:b/>
                <w:szCs w:val="24"/>
              </w:rPr>
            </w:pPr>
            <w:r w:rsidRPr="00E81934">
              <w:rPr>
                <w:rFonts w:asciiTheme="minorHAnsi" w:hAnsiTheme="minorHAnsi" w:cstheme="minorHAnsi"/>
                <w:b/>
                <w:szCs w:val="24"/>
              </w:rPr>
              <w:t>Action</w:t>
            </w:r>
          </w:p>
        </w:tc>
        <w:tc>
          <w:tcPr>
            <w:tcW w:w="7185" w:type="dxa"/>
            <w:shd w:val="clear" w:color="auto" w:fill="B3ECEB"/>
          </w:tcPr>
          <w:p w14:paraId="433B66C4" w14:textId="4C79B747" w:rsidR="00BC3E2C" w:rsidRPr="00E81934" w:rsidRDefault="00A24AB2" w:rsidP="00A24AB2">
            <w:pPr>
              <w:pStyle w:val="Default"/>
              <w:rPr>
                <w:rFonts w:asciiTheme="minorHAnsi" w:hAnsiTheme="minorHAnsi" w:cstheme="minorHAnsi"/>
                <w:color w:val="211D1E"/>
              </w:rPr>
            </w:pPr>
            <w:r>
              <w:rPr>
                <w:rFonts w:asciiTheme="minorHAnsi" w:hAnsiTheme="minorHAnsi" w:cstheme="minorHAnsi"/>
                <w:color w:val="211D1E"/>
              </w:rPr>
              <w:t>Continue to s</w:t>
            </w:r>
            <w:r w:rsidR="00AD6DE4" w:rsidRPr="00E81934">
              <w:rPr>
                <w:rFonts w:asciiTheme="minorHAnsi" w:hAnsiTheme="minorHAnsi" w:cstheme="minorHAnsi"/>
                <w:color w:val="211D1E"/>
              </w:rPr>
              <w:t xml:space="preserve">upport the </w:t>
            </w:r>
            <w:r w:rsidR="005D02D5" w:rsidRPr="00E81934">
              <w:rPr>
                <w:rFonts w:asciiTheme="minorHAnsi" w:hAnsiTheme="minorHAnsi" w:cstheme="minorHAnsi"/>
                <w:color w:val="211D1E"/>
              </w:rPr>
              <w:t xml:space="preserve">phased </w:t>
            </w:r>
            <w:r w:rsidR="00AD6DE4" w:rsidRPr="00E81934">
              <w:rPr>
                <w:rFonts w:asciiTheme="minorHAnsi" w:hAnsiTheme="minorHAnsi" w:cstheme="minorHAnsi"/>
                <w:color w:val="211D1E"/>
              </w:rPr>
              <w:t>transition to nationally consistent tissue typing practices commencing with the introduction of Virtual Cross Matching</w:t>
            </w:r>
            <w:r w:rsidR="00217913" w:rsidRPr="00E81934">
              <w:rPr>
                <w:rFonts w:asciiTheme="minorHAnsi" w:hAnsiTheme="minorHAnsi" w:cstheme="minorHAnsi"/>
                <w:color w:val="211D1E"/>
              </w:rPr>
              <w:t xml:space="preserve"> </w:t>
            </w:r>
            <w:r w:rsidR="0029454B" w:rsidRPr="00E81934">
              <w:rPr>
                <w:rFonts w:asciiTheme="minorHAnsi" w:hAnsiTheme="minorHAnsi" w:cstheme="minorHAnsi"/>
                <w:color w:val="211D1E"/>
              </w:rPr>
              <w:t xml:space="preserve">(VXM) </w:t>
            </w:r>
            <w:r w:rsidR="00AD6DE4" w:rsidRPr="00E81934">
              <w:rPr>
                <w:rFonts w:asciiTheme="minorHAnsi" w:hAnsiTheme="minorHAnsi" w:cstheme="minorHAnsi"/>
                <w:color w:val="211D1E"/>
              </w:rPr>
              <w:t xml:space="preserve">assessment of </w:t>
            </w:r>
            <w:proofErr w:type="gramStart"/>
            <w:r w:rsidR="00AD6DE4" w:rsidRPr="00E81934">
              <w:rPr>
                <w:rFonts w:asciiTheme="minorHAnsi" w:hAnsiTheme="minorHAnsi" w:cstheme="minorHAnsi"/>
                <w:color w:val="211D1E"/>
              </w:rPr>
              <w:t>histocompatibility</w:t>
            </w:r>
            <w:r w:rsidR="00690B9B" w:rsidRPr="00E81934">
              <w:rPr>
                <w:rFonts w:asciiTheme="minorHAnsi" w:hAnsiTheme="minorHAnsi" w:cstheme="minorHAnsi"/>
                <w:color w:val="211D1E"/>
              </w:rPr>
              <w:t>, and</w:t>
            </w:r>
            <w:proofErr w:type="gramEnd"/>
            <w:r w:rsidR="00690B9B" w:rsidRPr="00E81934">
              <w:rPr>
                <w:rFonts w:asciiTheme="minorHAnsi" w:hAnsiTheme="minorHAnsi" w:cstheme="minorHAnsi"/>
                <w:color w:val="211D1E"/>
              </w:rPr>
              <w:t xml:space="preserve"> consider future options to support national coordination and workforce planning.</w:t>
            </w:r>
          </w:p>
        </w:tc>
      </w:tr>
      <w:tr w:rsidR="00BC3E2C" w:rsidRPr="00FF18A1" w14:paraId="1FC9CE7A" w14:textId="77777777" w:rsidTr="00BC3E2C">
        <w:trPr>
          <w:cantSplit/>
          <w:trHeight w:val="1501"/>
        </w:trPr>
        <w:tc>
          <w:tcPr>
            <w:tcW w:w="1831" w:type="dxa"/>
          </w:tcPr>
          <w:p w14:paraId="78C145B6" w14:textId="77777777" w:rsidR="00BC3E2C" w:rsidRPr="00E81934" w:rsidRDefault="00BC3E2C" w:rsidP="004E5110">
            <w:pPr>
              <w:keepNext/>
              <w:keepLines/>
              <w:spacing w:after="120"/>
              <w:rPr>
                <w:rFonts w:asciiTheme="minorHAnsi" w:hAnsiTheme="minorHAnsi" w:cstheme="minorHAnsi"/>
                <w:b/>
                <w:szCs w:val="24"/>
              </w:rPr>
            </w:pPr>
            <w:r w:rsidRPr="00E81934">
              <w:rPr>
                <w:rFonts w:asciiTheme="minorHAnsi" w:hAnsiTheme="minorHAnsi" w:cstheme="minorHAnsi"/>
                <w:b/>
                <w:szCs w:val="24"/>
              </w:rPr>
              <w:t xml:space="preserve">Rationale for early action </w:t>
            </w:r>
          </w:p>
        </w:tc>
        <w:tc>
          <w:tcPr>
            <w:tcW w:w="7185" w:type="dxa"/>
          </w:tcPr>
          <w:p w14:paraId="299C5B24" w14:textId="77777777" w:rsidR="00BC3E2C" w:rsidRPr="00E81934" w:rsidRDefault="008236FC" w:rsidP="004E5110">
            <w:pPr>
              <w:keepNext/>
              <w:keepLines/>
              <w:spacing w:after="120"/>
              <w:rPr>
                <w:rFonts w:asciiTheme="minorHAnsi" w:hAnsiTheme="minorHAnsi" w:cstheme="minorHAnsi"/>
                <w:szCs w:val="24"/>
              </w:rPr>
            </w:pPr>
            <w:r w:rsidRPr="00E81934">
              <w:rPr>
                <w:rFonts w:asciiTheme="minorHAnsi" w:hAnsiTheme="minorHAnsi" w:cstheme="minorHAnsi"/>
                <w:szCs w:val="24"/>
              </w:rPr>
              <w:t xml:space="preserve">The Review Report found </w:t>
            </w:r>
            <w:r w:rsidR="0029454B" w:rsidRPr="00E81934">
              <w:rPr>
                <w:rFonts w:asciiTheme="minorHAnsi" w:hAnsiTheme="minorHAnsi" w:cstheme="minorHAnsi"/>
                <w:szCs w:val="24"/>
              </w:rPr>
              <w:t xml:space="preserve">jurisdictional </w:t>
            </w:r>
            <w:r w:rsidR="00217913" w:rsidRPr="00E81934">
              <w:rPr>
                <w:rFonts w:asciiTheme="minorHAnsi" w:hAnsiTheme="minorHAnsi" w:cstheme="minorHAnsi"/>
                <w:szCs w:val="24"/>
              </w:rPr>
              <w:t>variation</w:t>
            </w:r>
            <w:r w:rsidR="0029454B" w:rsidRPr="00E81934">
              <w:rPr>
                <w:rFonts w:asciiTheme="minorHAnsi" w:hAnsiTheme="minorHAnsi" w:cstheme="minorHAnsi"/>
                <w:szCs w:val="24"/>
              </w:rPr>
              <w:t xml:space="preserve"> in </w:t>
            </w:r>
            <w:r w:rsidRPr="00E81934">
              <w:rPr>
                <w:rFonts w:asciiTheme="minorHAnsi" w:hAnsiTheme="minorHAnsi" w:cstheme="minorHAnsi"/>
                <w:szCs w:val="24"/>
              </w:rPr>
              <w:t xml:space="preserve">tissue typing </w:t>
            </w:r>
            <w:r w:rsidR="0029454B" w:rsidRPr="00E81934">
              <w:rPr>
                <w:rFonts w:asciiTheme="minorHAnsi" w:hAnsiTheme="minorHAnsi" w:cstheme="minorHAnsi"/>
                <w:szCs w:val="24"/>
              </w:rPr>
              <w:t>practices</w:t>
            </w:r>
            <w:r w:rsidR="002D2FDB" w:rsidRPr="00E81934">
              <w:rPr>
                <w:rFonts w:asciiTheme="minorHAnsi" w:hAnsiTheme="minorHAnsi" w:cstheme="minorHAnsi"/>
                <w:szCs w:val="24"/>
              </w:rPr>
              <w:t xml:space="preserve"> across Australia. It highlighted the </w:t>
            </w:r>
            <w:r w:rsidR="0029454B" w:rsidRPr="00E81934">
              <w:rPr>
                <w:rFonts w:asciiTheme="minorHAnsi" w:hAnsiTheme="minorHAnsi" w:cstheme="minorHAnsi"/>
                <w:szCs w:val="24"/>
              </w:rPr>
              <w:t xml:space="preserve">lack of a nationally </w:t>
            </w:r>
            <w:r w:rsidR="00013C70" w:rsidRPr="00E81934">
              <w:rPr>
                <w:rFonts w:asciiTheme="minorHAnsi" w:hAnsiTheme="minorHAnsi" w:cstheme="minorHAnsi"/>
                <w:szCs w:val="24"/>
              </w:rPr>
              <w:t>coordinated</w:t>
            </w:r>
            <w:r w:rsidR="0029454B" w:rsidRPr="00E81934">
              <w:rPr>
                <w:rFonts w:asciiTheme="minorHAnsi" w:hAnsiTheme="minorHAnsi" w:cstheme="minorHAnsi"/>
                <w:szCs w:val="24"/>
              </w:rPr>
              <w:t xml:space="preserve"> </w:t>
            </w:r>
            <w:r w:rsidR="002D2FDB" w:rsidRPr="00E81934">
              <w:rPr>
                <w:rFonts w:asciiTheme="minorHAnsi" w:hAnsiTheme="minorHAnsi" w:cstheme="minorHAnsi"/>
                <w:szCs w:val="24"/>
              </w:rPr>
              <w:t xml:space="preserve">approach to drive clinical best practice and adopt </w:t>
            </w:r>
            <w:r w:rsidR="00BC3E2C" w:rsidRPr="00E81934">
              <w:rPr>
                <w:rFonts w:asciiTheme="minorHAnsi" w:hAnsiTheme="minorHAnsi" w:cstheme="minorHAnsi"/>
                <w:szCs w:val="24"/>
              </w:rPr>
              <w:t xml:space="preserve">new technologies. </w:t>
            </w:r>
          </w:p>
          <w:p w14:paraId="6E615003" w14:textId="0BA902E5" w:rsidR="002D2FDB" w:rsidRPr="00E81934" w:rsidRDefault="0029454B" w:rsidP="004E5110">
            <w:pPr>
              <w:keepNext/>
              <w:keepLines/>
              <w:spacing w:after="120"/>
              <w:rPr>
                <w:rFonts w:asciiTheme="minorHAnsi" w:hAnsiTheme="minorHAnsi" w:cstheme="minorHAnsi"/>
                <w:color w:val="000000"/>
                <w:szCs w:val="24"/>
              </w:rPr>
            </w:pPr>
            <w:r w:rsidRPr="00E81934">
              <w:rPr>
                <w:rFonts w:asciiTheme="minorHAnsi" w:hAnsiTheme="minorHAnsi" w:cstheme="minorHAnsi"/>
                <w:color w:val="000000"/>
                <w:szCs w:val="24"/>
              </w:rPr>
              <w:t xml:space="preserve">VXM </w:t>
            </w:r>
            <w:r w:rsidR="002D2FDB" w:rsidRPr="00E81934">
              <w:rPr>
                <w:rFonts w:asciiTheme="minorHAnsi" w:hAnsiTheme="minorHAnsi" w:cstheme="minorHAnsi"/>
                <w:color w:val="000000"/>
                <w:szCs w:val="24"/>
              </w:rPr>
              <w:t>is being implemented in all Australia</w:t>
            </w:r>
            <w:r w:rsidR="00013C70" w:rsidRPr="00E81934">
              <w:rPr>
                <w:rFonts w:asciiTheme="minorHAnsi" w:hAnsiTheme="minorHAnsi" w:cstheme="minorHAnsi"/>
                <w:color w:val="000000"/>
                <w:szCs w:val="24"/>
              </w:rPr>
              <w:t>n</w:t>
            </w:r>
            <w:r w:rsidR="002D2FDB" w:rsidRPr="00E81934">
              <w:rPr>
                <w:rFonts w:asciiTheme="minorHAnsi" w:hAnsiTheme="minorHAnsi" w:cstheme="minorHAnsi"/>
                <w:color w:val="000000"/>
                <w:szCs w:val="24"/>
              </w:rPr>
              <w:t xml:space="preserve"> tissue typing laboratories </w:t>
            </w:r>
            <w:r w:rsidR="0030630F" w:rsidRPr="00E81934">
              <w:rPr>
                <w:rFonts w:asciiTheme="minorHAnsi" w:hAnsiTheme="minorHAnsi" w:cstheme="minorHAnsi"/>
                <w:color w:val="000000"/>
                <w:szCs w:val="24"/>
              </w:rPr>
              <w:t>following successful</w:t>
            </w:r>
            <w:r w:rsidRPr="00E81934">
              <w:rPr>
                <w:rFonts w:asciiTheme="minorHAnsi" w:hAnsiTheme="minorHAnsi" w:cstheme="minorHAnsi"/>
                <w:color w:val="000000"/>
                <w:szCs w:val="24"/>
              </w:rPr>
              <w:t xml:space="preserve"> introduc</w:t>
            </w:r>
            <w:r w:rsidR="0030630F" w:rsidRPr="00E81934">
              <w:rPr>
                <w:rFonts w:asciiTheme="minorHAnsi" w:hAnsiTheme="minorHAnsi" w:cstheme="minorHAnsi"/>
                <w:color w:val="000000"/>
                <w:szCs w:val="24"/>
              </w:rPr>
              <w:t>tion</w:t>
            </w:r>
            <w:r w:rsidRPr="00E81934">
              <w:rPr>
                <w:rFonts w:asciiTheme="minorHAnsi" w:hAnsiTheme="minorHAnsi" w:cstheme="minorHAnsi"/>
                <w:color w:val="000000"/>
                <w:szCs w:val="24"/>
              </w:rPr>
              <w:t xml:space="preserve"> in many transplant programs overseas</w:t>
            </w:r>
            <w:r w:rsidR="0030630F" w:rsidRPr="00E81934">
              <w:rPr>
                <w:rFonts w:asciiTheme="minorHAnsi" w:hAnsiTheme="minorHAnsi" w:cstheme="minorHAnsi"/>
                <w:color w:val="000000"/>
                <w:szCs w:val="24"/>
              </w:rPr>
              <w:t xml:space="preserve"> and due to the equipment and reagents for the current complement-dependent cytotoxicity (CDC) crossmatch test becoming unavailable </w:t>
            </w:r>
            <w:proofErr w:type="gramStart"/>
            <w:r w:rsidR="0030630F" w:rsidRPr="00E81934">
              <w:rPr>
                <w:rFonts w:asciiTheme="minorHAnsi" w:hAnsiTheme="minorHAnsi" w:cstheme="minorHAnsi"/>
                <w:color w:val="000000"/>
                <w:szCs w:val="24"/>
              </w:rPr>
              <w:t>in the near future</w:t>
            </w:r>
            <w:proofErr w:type="gramEnd"/>
            <w:r w:rsidR="0030630F" w:rsidRPr="00E81934">
              <w:rPr>
                <w:rFonts w:asciiTheme="minorHAnsi" w:hAnsiTheme="minorHAnsi" w:cstheme="minorHAnsi"/>
                <w:color w:val="000000"/>
                <w:szCs w:val="24"/>
              </w:rPr>
              <w:t>.</w:t>
            </w:r>
            <w:r w:rsidR="00E81934">
              <w:rPr>
                <w:rFonts w:asciiTheme="minorHAnsi" w:hAnsiTheme="minorHAnsi" w:cstheme="minorHAnsi"/>
                <w:color w:val="000000"/>
                <w:szCs w:val="24"/>
              </w:rPr>
              <w:t xml:space="preserve"> </w:t>
            </w:r>
            <w:r w:rsidR="00013C70" w:rsidRPr="00E81934">
              <w:rPr>
                <w:rFonts w:asciiTheme="minorHAnsi" w:hAnsiTheme="minorHAnsi" w:cstheme="minorHAnsi"/>
                <w:color w:val="000000"/>
                <w:szCs w:val="24"/>
              </w:rPr>
              <w:t>This will drive national</w:t>
            </w:r>
            <w:r w:rsidR="002D2FDB" w:rsidRPr="00E81934">
              <w:rPr>
                <w:rFonts w:asciiTheme="minorHAnsi" w:hAnsiTheme="minorHAnsi" w:cstheme="minorHAnsi"/>
                <w:color w:val="000000"/>
                <w:szCs w:val="24"/>
              </w:rPr>
              <w:t xml:space="preserve"> consistency of processes and will expedite the timeframe for the organ offer process.  </w:t>
            </w:r>
          </w:p>
          <w:p w14:paraId="26477E6C" w14:textId="2128E69A" w:rsidR="00BC3E2C" w:rsidRPr="00E81934" w:rsidRDefault="0030630F" w:rsidP="004E5110">
            <w:pPr>
              <w:keepNext/>
              <w:keepLines/>
              <w:spacing w:after="120"/>
              <w:rPr>
                <w:rFonts w:asciiTheme="minorHAnsi" w:hAnsiTheme="minorHAnsi" w:cstheme="minorHAnsi"/>
                <w:color w:val="000000"/>
                <w:szCs w:val="24"/>
              </w:rPr>
            </w:pPr>
            <w:r w:rsidRPr="00E81934">
              <w:rPr>
                <w:rFonts w:asciiTheme="minorHAnsi" w:hAnsiTheme="minorHAnsi" w:cstheme="minorHAnsi"/>
                <w:color w:val="000000"/>
                <w:szCs w:val="24"/>
              </w:rPr>
              <w:t xml:space="preserve">With financial support from the OTA, </w:t>
            </w:r>
            <w:r w:rsidR="0029454B" w:rsidRPr="00E81934">
              <w:rPr>
                <w:rFonts w:asciiTheme="minorHAnsi" w:hAnsiTheme="minorHAnsi" w:cstheme="minorHAnsi"/>
                <w:color w:val="000000"/>
                <w:szCs w:val="24"/>
              </w:rPr>
              <w:t>TSANZ </w:t>
            </w:r>
            <w:r w:rsidRPr="00E81934">
              <w:rPr>
                <w:rFonts w:asciiTheme="minorHAnsi" w:hAnsiTheme="minorHAnsi" w:cstheme="minorHAnsi"/>
                <w:color w:val="000000"/>
                <w:szCs w:val="24"/>
              </w:rPr>
              <w:t xml:space="preserve">has </w:t>
            </w:r>
            <w:r w:rsidR="002D2FDB" w:rsidRPr="00E81934">
              <w:rPr>
                <w:rFonts w:asciiTheme="minorHAnsi" w:hAnsiTheme="minorHAnsi" w:cstheme="minorHAnsi"/>
                <w:color w:val="000000"/>
                <w:szCs w:val="24"/>
              </w:rPr>
              <w:t>established</w:t>
            </w:r>
            <w:r w:rsidRPr="00E81934">
              <w:rPr>
                <w:rFonts w:asciiTheme="minorHAnsi" w:hAnsiTheme="minorHAnsi" w:cstheme="minorHAnsi"/>
                <w:color w:val="000000"/>
                <w:szCs w:val="24"/>
              </w:rPr>
              <w:t xml:space="preserve"> </w:t>
            </w:r>
            <w:r w:rsidR="002D2FDB" w:rsidRPr="00E81934">
              <w:rPr>
                <w:rFonts w:asciiTheme="minorHAnsi" w:hAnsiTheme="minorHAnsi" w:cstheme="minorHAnsi"/>
                <w:color w:val="000000"/>
                <w:szCs w:val="24"/>
              </w:rPr>
              <w:t xml:space="preserve">the </w:t>
            </w:r>
            <w:r w:rsidR="006B5D7D" w:rsidRPr="00E81934">
              <w:rPr>
                <w:rFonts w:asciiTheme="minorHAnsi" w:hAnsiTheme="minorHAnsi" w:cstheme="minorHAnsi"/>
                <w:color w:val="000000"/>
                <w:szCs w:val="24"/>
              </w:rPr>
              <w:t>V</w:t>
            </w:r>
            <w:r w:rsidR="0029454B" w:rsidRPr="00E81934">
              <w:rPr>
                <w:rFonts w:asciiTheme="minorHAnsi" w:hAnsiTheme="minorHAnsi" w:cstheme="minorHAnsi"/>
                <w:color w:val="000000"/>
                <w:szCs w:val="24"/>
              </w:rPr>
              <w:t xml:space="preserve">irtual Cross Match Working Group to guide </w:t>
            </w:r>
            <w:r w:rsidR="00685BB8" w:rsidRPr="00E81934">
              <w:rPr>
                <w:rFonts w:asciiTheme="minorHAnsi" w:hAnsiTheme="minorHAnsi" w:cstheme="minorHAnsi"/>
                <w:color w:val="000000"/>
                <w:szCs w:val="24"/>
              </w:rPr>
              <w:t xml:space="preserve">the national </w:t>
            </w:r>
            <w:r w:rsidR="0029454B" w:rsidRPr="00E81934">
              <w:rPr>
                <w:rFonts w:asciiTheme="minorHAnsi" w:hAnsiTheme="minorHAnsi" w:cstheme="minorHAnsi"/>
                <w:color w:val="000000"/>
                <w:szCs w:val="24"/>
              </w:rPr>
              <w:t>implementation of VXM, with representation from across the sector and all organ groups</w:t>
            </w:r>
            <w:r w:rsidR="002D2FDB" w:rsidRPr="00E81934">
              <w:rPr>
                <w:rFonts w:asciiTheme="minorHAnsi" w:hAnsiTheme="minorHAnsi" w:cstheme="minorHAnsi"/>
                <w:color w:val="000000"/>
                <w:szCs w:val="24"/>
              </w:rPr>
              <w:t xml:space="preserve">. </w:t>
            </w:r>
          </w:p>
        </w:tc>
      </w:tr>
      <w:tr w:rsidR="00BC3E2C" w:rsidRPr="007A3366" w14:paraId="152B9D5A" w14:textId="77777777" w:rsidTr="00AD6DE4">
        <w:trPr>
          <w:cantSplit/>
        </w:trPr>
        <w:tc>
          <w:tcPr>
            <w:tcW w:w="1831" w:type="dxa"/>
          </w:tcPr>
          <w:p w14:paraId="1C02DE9C" w14:textId="77777777" w:rsidR="00BC3E2C" w:rsidRPr="007A3366" w:rsidRDefault="00BC3E2C" w:rsidP="004E5110">
            <w:pPr>
              <w:keepNext/>
              <w:keepLines/>
              <w:spacing w:after="120"/>
              <w:rPr>
                <w:rFonts w:asciiTheme="minorHAnsi" w:hAnsiTheme="minorHAnsi" w:cstheme="minorHAnsi"/>
                <w:b/>
                <w:szCs w:val="24"/>
              </w:rPr>
            </w:pPr>
            <w:r w:rsidRPr="007A3366">
              <w:rPr>
                <w:rFonts w:asciiTheme="minorHAnsi" w:hAnsiTheme="minorHAnsi" w:cstheme="minorHAnsi"/>
                <w:b/>
                <w:szCs w:val="24"/>
              </w:rPr>
              <w:t>Implementation</w:t>
            </w:r>
          </w:p>
        </w:tc>
        <w:tc>
          <w:tcPr>
            <w:tcW w:w="7185" w:type="dxa"/>
          </w:tcPr>
          <w:p w14:paraId="3522DAAB" w14:textId="7445E3C0" w:rsidR="00A803FE" w:rsidRPr="007A3366" w:rsidRDefault="00013C70" w:rsidP="00234459">
            <w:pPr>
              <w:keepNext/>
              <w:keepLines/>
              <w:spacing w:after="120"/>
              <w:rPr>
                <w:rFonts w:asciiTheme="minorHAnsi" w:hAnsiTheme="minorHAnsi" w:cstheme="minorHAnsi"/>
                <w:b/>
                <w:i/>
                <w:szCs w:val="24"/>
              </w:rPr>
            </w:pPr>
            <w:r w:rsidRPr="007A3366">
              <w:rPr>
                <w:rFonts w:asciiTheme="minorHAnsi" w:hAnsiTheme="minorHAnsi" w:cstheme="minorHAnsi"/>
                <w:szCs w:val="24"/>
              </w:rPr>
              <w:t>The OTA</w:t>
            </w:r>
            <w:r w:rsidR="004B67AC" w:rsidRPr="007A3366">
              <w:rPr>
                <w:rFonts w:asciiTheme="minorHAnsi" w:hAnsiTheme="minorHAnsi" w:cstheme="minorHAnsi"/>
                <w:szCs w:val="24"/>
              </w:rPr>
              <w:t>,</w:t>
            </w:r>
            <w:r w:rsidRPr="007A3366">
              <w:rPr>
                <w:rFonts w:asciiTheme="minorHAnsi" w:hAnsiTheme="minorHAnsi" w:cstheme="minorHAnsi"/>
                <w:szCs w:val="24"/>
              </w:rPr>
              <w:t xml:space="preserve"> j</w:t>
            </w:r>
            <w:r w:rsidR="0029454B" w:rsidRPr="007A3366">
              <w:rPr>
                <w:rFonts w:asciiTheme="minorHAnsi" w:hAnsiTheme="minorHAnsi" w:cstheme="minorHAnsi"/>
                <w:szCs w:val="24"/>
              </w:rPr>
              <w:t xml:space="preserve">urisdictions </w:t>
            </w:r>
            <w:r w:rsidR="004B67AC" w:rsidRPr="007A3366">
              <w:rPr>
                <w:rFonts w:asciiTheme="minorHAnsi" w:hAnsiTheme="minorHAnsi" w:cstheme="minorHAnsi"/>
                <w:szCs w:val="24"/>
              </w:rPr>
              <w:t>and</w:t>
            </w:r>
            <w:r w:rsidR="0029454B" w:rsidRPr="007A3366">
              <w:rPr>
                <w:rFonts w:asciiTheme="minorHAnsi" w:hAnsiTheme="minorHAnsi" w:cstheme="minorHAnsi"/>
                <w:szCs w:val="24"/>
              </w:rPr>
              <w:t xml:space="preserve"> TSANZ </w:t>
            </w:r>
            <w:r w:rsidR="004B67AC" w:rsidRPr="007A3366">
              <w:rPr>
                <w:rFonts w:asciiTheme="minorHAnsi" w:hAnsiTheme="minorHAnsi" w:cstheme="minorHAnsi"/>
                <w:szCs w:val="24"/>
              </w:rPr>
              <w:t xml:space="preserve">will </w:t>
            </w:r>
            <w:r w:rsidR="0030630F" w:rsidRPr="007A3366">
              <w:rPr>
                <w:rFonts w:asciiTheme="minorHAnsi" w:hAnsiTheme="minorHAnsi" w:cstheme="minorHAnsi"/>
                <w:szCs w:val="24"/>
              </w:rPr>
              <w:t>work with</w:t>
            </w:r>
            <w:r w:rsidR="004B67AC" w:rsidRPr="007A3366">
              <w:rPr>
                <w:rFonts w:asciiTheme="minorHAnsi" w:hAnsiTheme="minorHAnsi" w:cstheme="minorHAnsi"/>
                <w:szCs w:val="24"/>
              </w:rPr>
              <w:t xml:space="preserve"> </w:t>
            </w:r>
            <w:r w:rsidR="0029454B" w:rsidRPr="007A3366">
              <w:rPr>
                <w:rFonts w:asciiTheme="minorHAnsi" w:hAnsiTheme="minorHAnsi" w:cstheme="minorHAnsi"/>
                <w:szCs w:val="24"/>
              </w:rPr>
              <w:t xml:space="preserve">the </w:t>
            </w:r>
            <w:r w:rsidR="004B67AC" w:rsidRPr="007A3366">
              <w:rPr>
                <w:rFonts w:asciiTheme="minorHAnsi" w:hAnsiTheme="minorHAnsi" w:cstheme="minorHAnsi"/>
                <w:szCs w:val="24"/>
              </w:rPr>
              <w:t xml:space="preserve">clinical </w:t>
            </w:r>
            <w:r w:rsidR="0029454B" w:rsidRPr="007A3366">
              <w:rPr>
                <w:rFonts w:asciiTheme="minorHAnsi" w:hAnsiTheme="minorHAnsi" w:cstheme="minorHAnsi"/>
                <w:szCs w:val="24"/>
              </w:rPr>
              <w:t xml:space="preserve">sector </w:t>
            </w:r>
            <w:r w:rsidR="0030630F" w:rsidRPr="007A3366">
              <w:rPr>
                <w:rFonts w:asciiTheme="minorHAnsi" w:hAnsiTheme="minorHAnsi" w:cstheme="minorHAnsi"/>
                <w:szCs w:val="24"/>
              </w:rPr>
              <w:t xml:space="preserve">to support </w:t>
            </w:r>
            <w:r w:rsidR="0029454B" w:rsidRPr="007A3366">
              <w:rPr>
                <w:rFonts w:asciiTheme="minorHAnsi" w:hAnsiTheme="minorHAnsi" w:cstheme="minorHAnsi"/>
                <w:szCs w:val="24"/>
              </w:rPr>
              <w:t>a phased transition to VXM</w:t>
            </w:r>
            <w:r w:rsidR="00E06C57">
              <w:rPr>
                <w:rFonts w:asciiTheme="minorHAnsi" w:hAnsiTheme="minorHAnsi" w:cstheme="minorHAnsi"/>
                <w:szCs w:val="24"/>
              </w:rPr>
              <w:t xml:space="preserve"> for full implementation by the end of 2022. </w:t>
            </w:r>
            <w:r w:rsidR="002D2FDB" w:rsidRPr="007A3366">
              <w:rPr>
                <w:rFonts w:asciiTheme="minorHAnsi" w:hAnsiTheme="minorHAnsi" w:cstheme="minorHAnsi"/>
                <w:szCs w:val="24"/>
              </w:rPr>
              <w:t xml:space="preserve"> </w:t>
            </w:r>
            <w:r w:rsidR="00690B9B" w:rsidRPr="007A3366">
              <w:rPr>
                <w:rFonts w:asciiTheme="minorHAnsi" w:hAnsiTheme="minorHAnsi" w:cstheme="minorHAnsi"/>
                <w:szCs w:val="24"/>
              </w:rPr>
              <w:t>This will inform future national coordination</w:t>
            </w:r>
            <w:r w:rsidR="00234459">
              <w:rPr>
                <w:rFonts w:asciiTheme="minorHAnsi" w:hAnsiTheme="minorHAnsi" w:cstheme="minorHAnsi"/>
                <w:szCs w:val="24"/>
              </w:rPr>
              <w:t xml:space="preserve"> </w:t>
            </w:r>
            <w:r w:rsidR="00234459" w:rsidRPr="007A3366">
              <w:rPr>
                <w:rFonts w:asciiTheme="minorHAnsi" w:hAnsiTheme="minorHAnsi" w:cstheme="minorHAnsi"/>
                <w:szCs w:val="24"/>
              </w:rPr>
              <w:t>and</w:t>
            </w:r>
            <w:r w:rsidR="00690B9B" w:rsidRPr="007A3366">
              <w:rPr>
                <w:rFonts w:asciiTheme="minorHAnsi" w:hAnsiTheme="minorHAnsi" w:cstheme="minorHAnsi"/>
                <w:szCs w:val="24"/>
              </w:rPr>
              <w:t xml:space="preserve"> workforce planning to be considered as part of the Strategy.</w:t>
            </w:r>
          </w:p>
        </w:tc>
      </w:tr>
    </w:tbl>
    <w:p w14:paraId="45404742" w14:textId="77777777" w:rsidR="00BC3E2C" w:rsidRPr="00FF18A1" w:rsidRDefault="00BC3E2C" w:rsidP="003A342E">
      <w:pPr>
        <w:spacing w:line="276" w:lineRule="auto"/>
        <w:rPr>
          <w:rFonts w:asciiTheme="minorHAnsi" w:hAnsiTheme="minorHAnsi" w:cstheme="minorHAnsi"/>
          <w:sz w:val="22"/>
          <w:szCs w:val="22"/>
        </w:rPr>
      </w:pPr>
    </w:p>
    <w:p w14:paraId="4DFA8658" w14:textId="77777777" w:rsidR="00BC3E2C" w:rsidRPr="00FF18A1" w:rsidRDefault="00BC3E2C" w:rsidP="003A342E">
      <w:pPr>
        <w:widowControl/>
        <w:spacing w:after="160" w:line="276" w:lineRule="auto"/>
        <w:rPr>
          <w:rFonts w:asciiTheme="minorHAnsi" w:eastAsiaTheme="majorEastAsia" w:hAnsiTheme="minorHAnsi" w:cstheme="minorHAnsi"/>
          <w:color w:val="2E74B5" w:themeColor="accent1" w:themeShade="BF"/>
          <w:sz w:val="22"/>
          <w:szCs w:val="22"/>
        </w:rPr>
      </w:pPr>
      <w:r w:rsidRPr="00FF18A1">
        <w:rPr>
          <w:rFonts w:asciiTheme="minorHAnsi" w:hAnsiTheme="minorHAnsi" w:cstheme="minorHAnsi"/>
          <w:sz w:val="22"/>
          <w:szCs w:val="22"/>
        </w:rPr>
        <w:br w:type="page"/>
      </w:r>
    </w:p>
    <w:p w14:paraId="78679F94" w14:textId="71F97664" w:rsidR="00480BA1" w:rsidRPr="005B7F9D" w:rsidRDefault="00BC3E2C" w:rsidP="00480BA1">
      <w:pPr>
        <w:pStyle w:val="Heading1"/>
        <w:numPr>
          <w:ilvl w:val="0"/>
          <w:numId w:val="42"/>
        </w:numPr>
        <w:ind w:left="714" w:hanging="357"/>
        <w:rPr>
          <w:rFonts w:asciiTheme="minorHAnsi" w:eastAsia="Times New Roman" w:hAnsiTheme="minorHAnsi" w:cstheme="minorHAnsi"/>
          <w:bCs/>
          <w:snapToGrid/>
          <w:color w:val="3F4A75"/>
          <w:kern w:val="28"/>
          <w:lang w:val="en-AU"/>
        </w:rPr>
      </w:pPr>
      <w:r w:rsidRPr="00FF18A1">
        <w:rPr>
          <w:rFonts w:asciiTheme="minorHAnsi" w:eastAsia="Times New Roman" w:hAnsiTheme="minorHAnsi" w:cstheme="minorHAnsi"/>
          <w:bCs/>
          <w:snapToGrid/>
          <w:color w:val="3F4A75"/>
          <w:kern w:val="28"/>
          <w:lang w:val="en-AU"/>
        </w:rPr>
        <w:lastRenderedPageBreak/>
        <w:t xml:space="preserve">Enhanced systems and data collection and reporting to drive clinical best practice </w:t>
      </w:r>
    </w:p>
    <w:p w14:paraId="3A61D8FE" w14:textId="77777777" w:rsidR="00BC3E2C" w:rsidRPr="00FF18A1" w:rsidRDefault="00A8747D" w:rsidP="003A342E">
      <w:pPr>
        <w:pStyle w:val="Heading2"/>
        <w:spacing w:line="276" w:lineRule="auto"/>
        <w:rPr>
          <w:rFonts w:asciiTheme="minorHAnsi" w:eastAsia="Times New Roman" w:hAnsiTheme="minorHAnsi" w:cstheme="minorHAnsi"/>
          <w:bCs/>
          <w:iCs/>
          <w:color w:val="358189"/>
          <w:sz w:val="28"/>
          <w:szCs w:val="28"/>
        </w:rPr>
      </w:pPr>
      <w:r w:rsidRPr="00FF18A1">
        <w:rPr>
          <w:rFonts w:asciiTheme="minorHAnsi" w:eastAsia="Times New Roman" w:hAnsiTheme="minorHAnsi" w:cstheme="minorHAnsi"/>
          <w:bCs/>
          <w:iCs/>
          <w:color w:val="358189"/>
          <w:sz w:val="28"/>
          <w:szCs w:val="28"/>
        </w:rPr>
        <w:t>4.</w:t>
      </w:r>
      <w:r w:rsidR="00415C1C" w:rsidRPr="00FF18A1">
        <w:rPr>
          <w:rFonts w:asciiTheme="minorHAnsi" w:eastAsia="Times New Roman" w:hAnsiTheme="minorHAnsi" w:cstheme="minorHAnsi"/>
          <w:bCs/>
          <w:iCs/>
          <w:color w:val="358189"/>
          <w:sz w:val="28"/>
          <w:szCs w:val="28"/>
        </w:rPr>
        <w:t>1</w:t>
      </w:r>
      <w:r w:rsidRPr="00FF18A1">
        <w:rPr>
          <w:rFonts w:asciiTheme="minorHAnsi" w:eastAsia="Times New Roman" w:hAnsiTheme="minorHAnsi" w:cstheme="minorHAnsi"/>
          <w:bCs/>
          <w:iCs/>
          <w:color w:val="358189"/>
          <w:sz w:val="28"/>
          <w:szCs w:val="28"/>
        </w:rPr>
        <w:t xml:space="preserve"> </w:t>
      </w:r>
      <w:r w:rsidR="00BC3E2C" w:rsidRPr="00FF18A1">
        <w:rPr>
          <w:rFonts w:asciiTheme="minorHAnsi" w:eastAsia="Times New Roman" w:hAnsiTheme="minorHAnsi" w:cstheme="minorHAnsi"/>
          <w:bCs/>
          <w:iCs/>
          <w:color w:val="358189"/>
          <w:sz w:val="28"/>
          <w:szCs w:val="28"/>
        </w:rPr>
        <w:t xml:space="preserve">Expand organ donation and transplantation data and reporting  </w:t>
      </w:r>
    </w:p>
    <w:tbl>
      <w:tblPr>
        <w:tblStyle w:val="TableGrid"/>
        <w:tblW w:w="0" w:type="auto"/>
        <w:tblLook w:val="04A0" w:firstRow="1" w:lastRow="0" w:firstColumn="1" w:lastColumn="0" w:noHBand="0" w:noVBand="1"/>
      </w:tblPr>
      <w:tblGrid>
        <w:gridCol w:w="1842"/>
        <w:gridCol w:w="7174"/>
      </w:tblGrid>
      <w:tr w:rsidR="00BC3E2C" w:rsidRPr="00402ED5" w14:paraId="09A2D974" w14:textId="77777777" w:rsidTr="001A2647">
        <w:tc>
          <w:tcPr>
            <w:tcW w:w="1842" w:type="dxa"/>
            <w:shd w:val="clear" w:color="auto" w:fill="B3ECEB"/>
          </w:tcPr>
          <w:p w14:paraId="56CE5539" w14:textId="091B7C46" w:rsidR="00BC3E2C" w:rsidRPr="00402ED5" w:rsidRDefault="00BC3E2C" w:rsidP="004E5110">
            <w:pPr>
              <w:spacing w:after="120"/>
              <w:rPr>
                <w:rFonts w:asciiTheme="minorHAnsi" w:hAnsiTheme="minorHAnsi" w:cstheme="minorHAnsi"/>
                <w:b/>
                <w:szCs w:val="24"/>
              </w:rPr>
            </w:pPr>
            <w:r w:rsidRPr="00402ED5">
              <w:rPr>
                <w:rFonts w:asciiTheme="minorHAnsi" w:hAnsiTheme="minorHAnsi" w:cstheme="minorHAnsi"/>
                <w:b/>
                <w:szCs w:val="24"/>
              </w:rPr>
              <w:t>Action</w:t>
            </w:r>
          </w:p>
        </w:tc>
        <w:tc>
          <w:tcPr>
            <w:tcW w:w="7174" w:type="dxa"/>
            <w:shd w:val="clear" w:color="auto" w:fill="B3ECEB"/>
          </w:tcPr>
          <w:p w14:paraId="44A85A73" w14:textId="383F21FB" w:rsidR="00BC3E2C" w:rsidRPr="00402ED5" w:rsidRDefault="00BC3E2C" w:rsidP="004E5110">
            <w:pPr>
              <w:spacing w:after="120"/>
              <w:rPr>
                <w:rFonts w:asciiTheme="minorHAnsi" w:hAnsiTheme="minorHAnsi" w:cstheme="minorHAnsi"/>
                <w:szCs w:val="24"/>
              </w:rPr>
            </w:pPr>
            <w:r w:rsidRPr="00402ED5">
              <w:rPr>
                <w:rFonts w:asciiTheme="minorHAnsi" w:hAnsiTheme="minorHAnsi" w:cstheme="minorHAnsi"/>
                <w:szCs w:val="24"/>
              </w:rPr>
              <w:t>Continue to support the OTA</w:t>
            </w:r>
            <w:r w:rsidR="00BE7B25">
              <w:rPr>
                <w:rFonts w:asciiTheme="minorHAnsi" w:hAnsiTheme="minorHAnsi" w:cstheme="minorHAnsi"/>
                <w:szCs w:val="24"/>
              </w:rPr>
              <w:t xml:space="preserve"> and data </w:t>
            </w:r>
            <w:proofErr w:type="gramStart"/>
            <w:r w:rsidR="00BE7B25">
              <w:rPr>
                <w:rFonts w:asciiTheme="minorHAnsi" w:hAnsiTheme="minorHAnsi" w:cstheme="minorHAnsi"/>
                <w:szCs w:val="24"/>
              </w:rPr>
              <w:t xml:space="preserve">custodians </w:t>
            </w:r>
            <w:r w:rsidRPr="00402ED5">
              <w:rPr>
                <w:rFonts w:asciiTheme="minorHAnsi" w:hAnsiTheme="minorHAnsi" w:cstheme="minorHAnsi"/>
                <w:szCs w:val="24"/>
              </w:rPr>
              <w:t xml:space="preserve"> to</w:t>
            </w:r>
            <w:proofErr w:type="gramEnd"/>
            <w:r w:rsidRPr="00402ED5">
              <w:rPr>
                <w:rFonts w:asciiTheme="minorHAnsi" w:hAnsiTheme="minorHAnsi" w:cstheme="minorHAnsi"/>
                <w:szCs w:val="24"/>
              </w:rPr>
              <w:t xml:space="preserve"> implement the Data Governance Framework and facilitate access to, and sharing of, national de-identified data</w:t>
            </w:r>
            <w:r w:rsidR="00632E3D" w:rsidRPr="00402ED5">
              <w:rPr>
                <w:rFonts w:asciiTheme="minorHAnsi" w:hAnsiTheme="minorHAnsi" w:cstheme="minorHAnsi"/>
                <w:szCs w:val="24"/>
              </w:rPr>
              <w:t>.</w:t>
            </w:r>
            <w:r w:rsidRPr="00402ED5">
              <w:rPr>
                <w:rFonts w:asciiTheme="minorHAnsi" w:hAnsiTheme="minorHAnsi" w:cstheme="minorHAnsi"/>
                <w:szCs w:val="24"/>
              </w:rPr>
              <w:t xml:space="preserve"> </w:t>
            </w:r>
          </w:p>
        </w:tc>
      </w:tr>
      <w:tr w:rsidR="00BC3E2C" w:rsidRPr="00402ED5" w14:paraId="327B21F2" w14:textId="77777777" w:rsidTr="001A2647">
        <w:tc>
          <w:tcPr>
            <w:tcW w:w="1842" w:type="dxa"/>
            <w:shd w:val="clear" w:color="auto" w:fill="B3ECEB"/>
          </w:tcPr>
          <w:p w14:paraId="477CEB4A" w14:textId="2BF934D9" w:rsidR="00BC3E2C" w:rsidRPr="00402ED5" w:rsidRDefault="004623B0" w:rsidP="004E5110">
            <w:pPr>
              <w:spacing w:after="120"/>
              <w:rPr>
                <w:rFonts w:asciiTheme="minorHAnsi" w:hAnsiTheme="minorHAnsi" w:cstheme="minorHAnsi"/>
                <w:b/>
                <w:szCs w:val="24"/>
              </w:rPr>
            </w:pPr>
            <w:r>
              <w:rPr>
                <w:rFonts w:asciiTheme="minorHAnsi" w:hAnsiTheme="minorHAnsi" w:cstheme="minorHAnsi"/>
                <w:b/>
                <w:szCs w:val="24"/>
              </w:rPr>
              <w:t>Action</w:t>
            </w:r>
          </w:p>
        </w:tc>
        <w:tc>
          <w:tcPr>
            <w:tcW w:w="7174" w:type="dxa"/>
            <w:shd w:val="clear" w:color="auto" w:fill="B3ECEB"/>
          </w:tcPr>
          <w:p w14:paraId="1E5B5FE9" w14:textId="25257250" w:rsidR="00BC3E2C" w:rsidRPr="00402ED5" w:rsidRDefault="00BC3E2C" w:rsidP="004E5110">
            <w:pPr>
              <w:spacing w:after="120"/>
              <w:rPr>
                <w:rFonts w:asciiTheme="minorHAnsi" w:hAnsiTheme="minorHAnsi" w:cstheme="minorHAnsi"/>
                <w:szCs w:val="24"/>
              </w:rPr>
            </w:pPr>
            <w:r w:rsidRPr="00402ED5">
              <w:rPr>
                <w:rFonts w:asciiTheme="minorHAnsi" w:hAnsiTheme="minorHAnsi" w:cstheme="minorHAnsi"/>
                <w:szCs w:val="24"/>
              </w:rPr>
              <w:t>Consider expansion of the availability of hospital donation performance data</w:t>
            </w:r>
            <w:r w:rsidR="00402ED5">
              <w:rPr>
                <w:rFonts w:asciiTheme="minorHAnsi" w:hAnsiTheme="minorHAnsi" w:cstheme="minorHAnsi"/>
                <w:szCs w:val="24"/>
              </w:rPr>
              <w:t>.</w:t>
            </w:r>
          </w:p>
        </w:tc>
      </w:tr>
      <w:tr w:rsidR="00BC3E2C" w:rsidRPr="00402ED5" w14:paraId="69498B6F" w14:textId="77777777" w:rsidTr="001A2647">
        <w:tc>
          <w:tcPr>
            <w:tcW w:w="1842" w:type="dxa"/>
            <w:shd w:val="clear" w:color="auto" w:fill="B3ECEB"/>
          </w:tcPr>
          <w:p w14:paraId="38D21283" w14:textId="47FA09DD" w:rsidR="00BC3E2C" w:rsidRPr="00FF18A1" w:rsidRDefault="004623B0" w:rsidP="004E5110">
            <w:pPr>
              <w:spacing w:after="120"/>
              <w:rPr>
                <w:rFonts w:asciiTheme="minorHAnsi" w:hAnsiTheme="minorHAnsi" w:cstheme="minorHAnsi"/>
                <w:b/>
                <w:szCs w:val="24"/>
              </w:rPr>
            </w:pPr>
            <w:r>
              <w:rPr>
                <w:rFonts w:asciiTheme="minorHAnsi" w:hAnsiTheme="minorHAnsi" w:cstheme="minorHAnsi"/>
                <w:b/>
                <w:szCs w:val="24"/>
              </w:rPr>
              <w:t>Action</w:t>
            </w:r>
          </w:p>
        </w:tc>
        <w:tc>
          <w:tcPr>
            <w:tcW w:w="7174" w:type="dxa"/>
            <w:shd w:val="clear" w:color="auto" w:fill="B3ECEB"/>
          </w:tcPr>
          <w:p w14:paraId="6E1CFE02" w14:textId="0CCBD774" w:rsidR="00BC3E2C" w:rsidRPr="00FF18A1" w:rsidRDefault="005D02D5" w:rsidP="004E5110">
            <w:pPr>
              <w:spacing w:after="120"/>
              <w:rPr>
                <w:rFonts w:asciiTheme="minorHAnsi" w:hAnsiTheme="minorHAnsi" w:cstheme="minorHAnsi"/>
                <w:szCs w:val="24"/>
              </w:rPr>
            </w:pPr>
            <w:r w:rsidRPr="00FF18A1">
              <w:rPr>
                <w:rFonts w:asciiTheme="minorHAnsi" w:hAnsiTheme="minorHAnsi" w:cstheme="minorHAnsi"/>
                <w:szCs w:val="24"/>
              </w:rPr>
              <w:t>Consider expansion of</w:t>
            </w:r>
            <w:r w:rsidR="00BC3E2C" w:rsidRPr="00FF18A1">
              <w:rPr>
                <w:rFonts w:asciiTheme="minorHAnsi" w:hAnsiTheme="minorHAnsi" w:cstheme="minorHAnsi"/>
                <w:szCs w:val="24"/>
              </w:rPr>
              <w:t xml:space="preserve"> data relating to the profile and numbers of patients on kidney transplantation waiting lists</w:t>
            </w:r>
            <w:r w:rsidR="0097267F" w:rsidRPr="00FF18A1">
              <w:rPr>
                <w:rFonts w:asciiTheme="minorHAnsi" w:hAnsiTheme="minorHAnsi" w:cstheme="minorHAnsi"/>
                <w:szCs w:val="24"/>
              </w:rPr>
              <w:t xml:space="preserve"> with future consideration of wait list data for other organs</w:t>
            </w:r>
            <w:r w:rsidR="00BC3E2C" w:rsidRPr="00FF18A1">
              <w:rPr>
                <w:rFonts w:asciiTheme="minorHAnsi" w:hAnsiTheme="minorHAnsi" w:cstheme="minorHAnsi"/>
                <w:szCs w:val="24"/>
              </w:rPr>
              <w:t>.</w:t>
            </w:r>
          </w:p>
        </w:tc>
      </w:tr>
      <w:tr w:rsidR="00BC3E2C" w:rsidRPr="00402ED5" w14:paraId="40BB344E" w14:textId="77777777" w:rsidTr="001A2647">
        <w:tc>
          <w:tcPr>
            <w:tcW w:w="1842" w:type="dxa"/>
          </w:tcPr>
          <w:p w14:paraId="45771324" w14:textId="77777777" w:rsidR="00BC3E2C" w:rsidRPr="00402ED5" w:rsidRDefault="00BC3E2C" w:rsidP="004E5110">
            <w:pPr>
              <w:spacing w:after="120"/>
              <w:rPr>
                <w:rFonts w:asciiTheme="minorHAnsi" w:hAnsiTheme="minorHAnsi" w:cstheme="minorHAnsi"/>
                <w:b/>
                <w:szCs w:val="24"/>
              </w:rPr>
            </w:pPr>
            <w:r w:rsidRPr="00402ED5">
              <w:rPr>
                <w:rFonts w:asciiTheme="minorHAnsi" w:hAnsiTheme="minorHAnsi" w:cstheme="minorHAnsi"/>
                <w:b/>
                <w:szCs w:val="24"/>
              </w:rPr>
              <w:t xml:space="preserve">Rationale for early action </w:t>
            </w:r>
          </w:p>
        </w:tc>
        <w:tc>
          <w:tcPr>
            <w:tcW w:w="7174" w:type="dxa"/>
          </w:tcPr>
          <w:p w14:paraId="0426228D" w14:textId="77777777" w:rsidR="00BC3E2C" w:rsidRPr="00402ED5" w:rsidRDefault="00BC3E2C" w:rsidP="004E5110">
            <w:pPr>
              <w:spacing w:after="120"/>
              <w:rPr>
                <w:rFonts w:asciiTheme="minorHAnsi" w:hAnsiTheme="minorHAnsi" w:cstheme="minorHAnsi"/>
                <w:szCs w:val="24"/>
              </w:rPr>
            </w:pPr>
            <w:r w:rsidRPr="00402ED5">
              <w:rPr>
                <w:rFonts w:asciiTheme="minorHAnsi" w:hAnsiTheme="minorHAnsi" w:cstheme="minorHAnsi"/>
                <w:szCs w:val="24"/>
              </w:rPr>
              <w:t xml:space="preserve">Access to high-quality data will underpin decision making and drive best clinical practice and outcomes for patients. </w:t>
            </w:r>
          </w:p>
          <w:p w14:paraId="46081FDD" w14:textId="77777777" w:rsidR="00BC3E2C" w:rsidRPr="00402ED5" w:rsidRDefault="00BC3E2C" w:rsidP="004E5110">
            <w:pPr>
              <w:spacing w:after="120"/>
              <w:rPr>
                <w:rFonts w:asciiTheme="minorHAnsi" w:hAnsiTheme="minorHAnsi" w:cstheme="minorHAnsi"/>
                <w:szCs w:val="24"/>
              </w:rPr>
            </w:pPr>
            <w:r w:rsidRPr="00402ED5">
              <w:rPr>
                <w:rFonts w:asciiTheme="minorHAnsi" w:hAnsiTheme="minorHAnsi" w:cstheme="minorHAnsi"/>
                <w:szCs w:val="24"/>
              </w:rPr>
              <w:t xml:space="preserve">A comprehensive </w:t>
            </w:r>
            <w:r w:rsidR="00685BB8" w:rsidRPr="00402ED5">
              <w:rPr>
                <w:rFonts w:asciiTheme="minorHAnsi" w:hAnsiTheme="minorHAnsi" w:cstheme="minorHAnsi"/>
                <w:szCs w:val="24"/>
              </w:rPr>
              <w:t xml:space="preserve">de-identified </w:t>
            </w:r>
            <w:r w:rsidRPr="00402ED5">
              <w:rPr>
                <w:rFonts w:asciiTheme="minorHAnsi" w:hAnsiTheme="minorHAnsi" w:cstheme="minorHAnsi"/>
                <w:szCs w:val="24"/>
              </w:rPr>
              <w:t xml:space="preserve">data set will </w:t>
            </w:r>
            <w:r w:rsidR="00690B9B" w:rsidRPr="00402ED5">
              <w:rPr>
                <w:rFonts w:asciiTheme="minorHAnsi" w:hAnsiTheme="minorHAnsi" w:cstheme="minorHAnsi"/>
                <w:szCs w:val="24"/>
              </w:rPr>
              <w:t xml:space="preserve">also </w:t>
            </w:r>
            <w:r w:rsidRPr="00402ED5">
              <w:rPr>
                <w:rFonts w:asciiTheme="minorHAnsi" w:hAnsiTheme="minorHAnsi" w:cstheme="minorHAnsi"/>
                <w:szCs w:val="24"/>
              </w:rPr>
              <w:t xml:space="preserve">inform the final Strategy, help governments to implement other actions in the Strategy and inform future policy priorities. </w:t>
            </w:r>
          </w:p>
        </w:tc>
      </w:tr>
      <w:tr w:rsidR="00BC3E2C" w:rsidRPr="00402ED5" w14:paraId="6F45E0C5" w14:textId="77777777" w:rsidTr="001A2647">
        <w:tc>
          <w:tcPr>
            <w:tcW w:w="1842" w:type="dxa"/>
          </w:tcPr>
          <w:p w14:paraId="68D27810" w14:textId="77777777" w:rsidR="00BC3E2C" w:rsidRPr="00402ED5" w:rsidRDefault="00BC3E2C" w:rsidP="004E5110">
            <w:pPr>
              <w:spacing w:after="120"/>
              <w:rPr>
                <w:rFonts w:asciiTheme="minorHAnsi" w:hAnsiTheme="minorHAnsi" w:cstheme="minorHAnsi"/>
                <w:b/>
                <w:szCs w:val="24"/>
              </w:rPr>
            </w:pPr>
            <w:r w:rsidRPr="00402ED5">
              <w:rPr>
                <w:rFonts w:asciiTheme="minorHAnsi" w:hAnsiTheme="minorHAnsi" w:cstheme="minorHAnsi"/>
                <w:b/>
                <w:szCs w:val="24"/>
              </w:rPr>
              <w:t>Implementation</w:t>
            </w:r>
          </w:p>
        </w:tc>
        <w:tc>
          <w:tcPr>
            <w:tcW w:w="7174" w:type="dxa"/>
          </w:tcPr>
          <w:p w14:paraId="6D54F4F2" w14:textId="69075CF1" w:rsidR="00BC3E2C" w:rsidRPr="00402ED5" w:rsidRDefault="00BC3E2C" w:rsidP="004E5110">
            <w:pPr>
              <w:spacing w:after="120"/>
              <w:rPr>
                <w:rFonts w:asciiTheme="minorHAnsi" w:hAnsiTheme="minorHAnsi" w:cstheme="minorHAnsi"/>
                <w:bCs/>
                <w:iCs/>
                <w:szCs w:val="24"/>
              </w:rPr>
            </w:pPr>
            <w:r w:rsidRPr="00402ED5">
              <w:rPr>
                <w:rFonts w:asciiTheme="minorHAnsi" w:hAnsiTheme="minorHAnsi" w:cstheme="minorHAnsi"/>
                <w:bCs/>
                <w:iCs/>
                <w:szCs w:val="24"/>
              </w:rPr>
              <w:t xml:space="preserve">All governments will collaborate with the OTA to implement the Data Governance Framework. </w:t>
            </w:r>
            <w:r w:rsidR="00402ED5">
              <w:rPr>
                <w:rFonts w:asciiTheme="minorHAnsi" w:hAnsiTheme="minorHAnsi" w:cstheme="minorHAnsi"/>
                <w:bCs/>
                <w:iCs/>
                <w:szCs w:val="24"/>
              </w:rPr>
              <w:t xml:space="preserve">The </w:t>
            </w:r>
            <w:r w:rsidR="009819FB" w:rsidRPr="00402ED5">
              <w:rPr>
                <w:rFonts w:asciiTheme="minorHAnsi" w:hAnsiTheme="minorHAnsi" w:cstheme="minorHAnsi"/>
                <w:bCs/>
                <w:iCs/>
                <w:szCs w:val="24"/>
              </w:rPr>
              <w:t>Commonwealth and jurisdictions</w:t>
            </w:r>
            <w:r w:rsidRPr="00402ED5">
              <w:rPr>
                <w:rFonts w:asciiTheme="minorHAnsi" w:hAnsiTheme="minorHAnsi" w:cstheme="minorHAnsi"/>
                <w:bCs/>
                <w:iCs/>
                <w:szCs w:val="24"/>
              </w:rPr>
              <w:t xml:space="preserve"> will</w:t>
            </w:r>
            <w:r w:rsidR="009819FB" w:rsidRPr="00402ED5">
              <w:rPr>
                <w:rFonts w:asciiTheme="minorHAnsi" w:hAnsiTheme="minorHAnsi" w:cstheme="minorHAnsi"/>
                <w:bCs/>
                <w:iCs/>
                <w:szCs w:val="24"/>
              </w:rPr>
              <w:t xml:space="preserve"> collaborate to</w:t>
            </w:r>
            <w:r w:rsidRPr="00402ED5">
              <w:rPr>
                <w:rFonts w:asciiTheme="minorHAnsi" w:hAnsiTheme="minorHAnsi" w:cstheme="minorHAnsi"/>
                <w:bCs/>
                <w:iCs/>
                <w:szCs w:val="24"/>
              </w:rPr>
              <w:t xml:space="preserve"> consider additional data collection that complies with jurisdictional practices and policy. </w:t>
            </w:r>
          </w:p>
        </w:tc>
      </w:tr>
    </w:tbl>
    <w:p w14:paraId="66CCE551" w14:textId="77777777" w:rsidR="00BC3E2C" w:rsidRPr="00402ED5" w:rsidRDefault="00BC3E2C" w:rsidP="003A342E">
      <w:pPr>
        <w:spacing w:line="276" w:lineRule="auto"/>
        <w:rPr>
          <w:rFonts w:asciiTheme="minorHAnsi" w:hAnsiTheme="minorHAnsi" w:cstheme="minorHAnsi"/>
          <w:sz w:val="22"/>
          <w:szCs w:val="22"/>
        </w:rPr>
      </w:pPr>
    </w:p>
    <w:p w14:paraId="5D864916" w14:textId="77777777" w:rsidR="000509F0" w:rsidRPr="00402ED5" w:rsidRDefault="000509F0">
      <w:pPr>
        <w:widowControl/>
        <w:spacing w:after="160" w:line="259" w:lineRule="auto"/>
        <w:rPr>
          <w:rFonts w:asciiTheme="minorHAnsi" w:hAnsiTheme="minorHAnsi" w:cstheme="minorHAnsi"/>
          <w:bCs/>
          <w:iCs/>
          <w:color w:val="358189"/>
          <w:szCs w:val="24"/>
        </w:rPr>
      </w:pPr>
      <w:r w:rsidRPr="00402ED5">
        <w:rPr>
          <w:rFonts w:asciiTheme="minorHAnsi" w:hAnsiTheme="minorHAnsi" w:cstheme="minorHAnsi"/>
          <w:bCs/>
          <w:iCs/>
          <w:color w:val="358189"/>
          <w:szCs w:val="24"/>
        </w:rPr>
        <w:br w:type="page"/>
      </w:r>
    </w:p>
    <w:p w14:paraId="03AECA15" w14:textId="77777777" w:rsidR="00BC3E2C" w:rsidRPr="00FF18A1" w:rsidRDefault="00BC3E2C" w:rsidP="000509F0">
      <w:pPr>
        <w:keepLines/>
        <w:widowControl/>
        <w:spacing w:after="160" w:line="276" w:lineRule="auto"/>
        <w:rPr>
          <w:rFonts w:asciiTheme="minorHAnsi" w:hAnsiTheme="minorHAnsi" w:cstheme="minorHAnsi"/>
          <w:bCs/>
          <w:iCs/>
          <w:color w:val="358189"/>
          <w:sz w:val="28"/>
          <w:szCs w:val="28"/>
        </w:rPr>
      </w:pPr>
      <w:r w:rsidRPr="00FF18A1">
        <w:rPr>
          <w:rFonts w:asciiTheme="minorHAnsi" w:hAnsiTheme="minorHAnsi" w:cstheme="minorHAnsi"/>
          <w:bCs/>
          <w:iCs/>
          <w:color w:val="358189"/>
          <w:sz w:val="28"/>
          <w:szCs w:val="28"/>
        </w:rPr>
        <w:lastRenderedPageBreak/>
        <w:t>4.</w:t>
      </w:r>
      <w:r w:rsidR="001A2647" w:rsidRPr="00FF18A1">
        <w:rPr>
          <w:rFonts w:asciiTheme="minorHAnsi" w:hAnsiTheme="minorHAnsi" w:cstheme="minorHAnsi"/>
          <w:bCs/>
          <w:iCs/>
          <w:color w:val="358189"/>
          <w:sz w:val="28"/>
          <w:szCs w:val="28"/>
        </w:rPr>
        <w:t>2</w:t>
      </w:r>
      <w:r w:rsidRPr="00FF18A1">
        <w:rPr>
          <w:rFonts w:asciiTheme="minorHAnsi" w:hAnsiTheme="minorHAnsi" w:cstheme="minorHAnsi"/>
          <w:bCs/>
          <w:iCs/>
          <w:color w:val="358189"/>
          <w:sz w:val="28"/>
          <w:szCs w:val="28"/>
        </w:rPr>
        <w:t xml:space="preserve"> Expand</w:t>
      </w:r>
      <w:r w:rsidR="001A2647" w:rsidRPr="00FF18A1">
        <w:rPr>
          <w:rFonts w:asciiTheme="minorHAnsi" w:hAnsiTheme="minorHAnsi" w:cstheme="minorHAnsi"/>
          <w:bCs/>
          <w:iCs/>
          <w:color w:val="358189"/>
          <w:sz w:val="28"/>
          <w:szCs w:val="28"/>
        </w:rPr>
        <w:t xml:space="preserve"> deceased</w:t>
      </w:r>
      <w:r w:rsidRPr="00FF18A1">
        <w:rPr>
          <w:rFonts w:asciiTheme="minorHAnsi" w:hAnsiTheme="minorHAnsi" w:cstheme="minorHAnsi"/>
          <w:bCs/>
          <w:iCs/>
          <w:color w:val="358189"/>
          <w:sz w:val="28"/>
          <w:szCs w:val="28"/>
        </w:rPr>
        <w:t xml:space="preserve"> eye and tissue donation data and reporting  </w:t>
      </w:r>
    </w:p>
    <w:tbl>
      <w:tblPr>
        <w:tblStyle w:val="TableGrid"/>
        <w:tblW w:w="0" w:type="auto"/>
        <w:tblLook w:val="04A0" w:firstRow="1" w:lastRow="0" w:firstColumn="1" w:lastColumn="0" w:noHBand="0" w:noVBand="1"/>
      </w:tblPr>
      <w:tblGrid>
        <w:gridCol w:w="1831"/>
        <w:gridCol w:w="7185"/>
      </w:tblGrid>
      <w:tr w:rsidR="00BC3E2C" w:rsidRPr="00402ED5" w14:paraId="06EA9E51" w14:textId="77777777" w:rsidTr="00AD6DE4">
        <w:trPr>
          <w:trHeight w:val="730"/>
        </w:trPr>
        <w:tc>
          <w:tcPr>
            <w:tcW w:w="1831" w:type="dxa"/>
            <w:shd w:val="clear" w:color="auto" w:fill="B3ECEB"/>
          </w:tcPr>
          <w:p w14:paraId="638B291F" w14:textId="77777777" w:rsidR="00BC3E2C" w:rsidRPr="00402ED5" w:rsidRDefault="00BC3E2C" w:rsidP="004E5110">
            <w:pPr>
              <w:keepLines/>
              <w:spacing w:after="120"/>
              <w:rPr>
                <w:rFonts w:asciiTheme="minorHAnsi" w:hAnsiTheme="minorHAnsi" w:cstheme="minorHAnsi"/>
                <w:b/>
                <w:szCs w:val="24"/>
              </w:rPr>
            </w:pPr>
            <w:r w:rsidRPr="00402ED5">
              <w:rPr>
                <w:rFonts w:asciiTheme="minorHAnsi" w:hAnsiTheme="minorHAnsi" w:cstheme="minorHAnsi"/>
                <w:b/>
                <w:szCs w:val="24"/>
              </w:rPr>
              <w:t>Action</w:t>
            </w:r>
          </w:p>
        </w:tc>
        <w:tc>
          <w:tcPr>
            <w:tcW w:w="7185" w:type="dxa"/>
            <w:shd w:val="clear" w:color="auto" w:fill="B3ECEB"/>
          </w:tcPr>
          <w:p w14:paraId="6CB56B84" w14:textId="328CC0E3" w:rsidR="00BC3E2C" w:rsidRPr="00402ED5" w:rsidRDefault="00BC3E2C" w:rsidP="004E5110">
            <w:pPr>
              <w:keepLines/>
              <w:spacing w:after="120"/>
              <w:rPr>
                <w:rFonts w:asciiTheme="minorHAnsi" w:hAnsiTheme="minorHAnsi" w:cstheme="minorHAnsi"/>
                <w:szCs w:val="24"/>
              </w:rPr>
            </w:pPr>
            <w:r w:rsidRPr="00402ED5">
              <w:rPr>
                <w:rFonts w:asciiTheme="minorHAnsi" w:hAnsiTheme="minorHAnsi" w:cstheme="minorHAnsi"/>
                <w:szCs w:val="24"/>
              </w:rPr>
              <w:t xml:space="preserve">Identify and develop a robust data set that enables the capture and analysis of </w:t>
            </w:r>
            <w:r w:rsidR="00685BB8" w:rsidRPr="00402ED5">
              <w:rPr>
                <w:rFonts w:asciiTheme="minorHAnsi" w:hAnsiTheme="minorHAnsi" w:cstheme="minorHAnsi"/>
                <w:szCs w:val="24"/>
              </w:rPr>
              <w:t xml:space="preserve">deceased </w:t>
            </w:r>
            <w:r w:rsidRPr="00402ED5">
              <w:rPr>
                <w:rFonts w:asciiTheme="minorHAnsi" w:hAnsiTheme="minorHAnsi" w:cstheme="minorHAnsi"/>
                <w:szCs w:val="24"/>
              </w:rPr>
              <w:t>eye and tissue donation associated with organ donation</w:t>
            </w:r>
          </w:p>
        </w:tc>
      </w:tr>
      <w:tr w:rsidR="00BC3E2C" w:rsidRPr="00402ED5" w14:paraId="04081573" w14:textId="77777777" w:rsidTr="00AD6DE4">
        <w:tc>
          <w:tcPr>
            <w:tcW w:w="1831" w:type="dxa"/>
          </w:tcPr>
          <w:p w14:paraId="71C84A89" w14:textId="77777777" w:rsidR="00BC3E2C" w:rsidRPr="00402ED5" w:rsidRDefault="00BC3E2C" w:rsidP="004E5110">
            <w:pPr>
              <w:keepLines/>
              <w:spacing w:after="120"/>
              <w:rPr>
                <w:rFonts w:asciiTheme="minorHAnsi" w:hAnsiTheme="minorHAnsi" w:cstheme="minorHAnsi"/>
                <w:b/>
                <w:szCs w:val="24"/>
              </w:rPr>
            </w:pPr>
            <w:r w:rsidRPr="00402ED5">
              <w:rPr>
                <w:rFonts w:asciiTheme="minorHAnsi" w:hAnsiTheme="minorHAnsi" w:cstheme="minorHAnsi"/>
                <w:b/>
                <w:szCs w:val="24"/>
              </w:rPr>
              <w:t xml:space="preserve">Rationale for early action </w:t>
            </w:r>
          </w:p>
        </w:tc>
        <w:tc>
          <w:tcPr>
            <w:tcW w:w="7185" w:type="dxa"/>
          </w:tcPr>
          <w:p w14:paraId="2BE0640E" w14:textId="77777777" w:rsidR="00BC3E2C" w:rsidRPr="00402ED5" w:rsidRDefault="00BC3E2C" w:rsidP="004E5110">
            <w:pPr>
              <w:keepLines/>
              <w:spacing w:after="120"/>
              <w:rPr>
                <w:rFonts w:asciiTheme="minorHAnsi" w:hAnsiTheme="minorHAnsi" w:cstheme="minorHAnsi"/>
                <w:szCs w:val="24"/>
                <w:lang w:val="en-AU"/>
              </w:rPr>
            </w:pPr>
            <w:r w:rsidRPr="00402ED5">
              <w:rPr>
                <w:rFonts w:asciiTheme="minorHAnsi" w:hAnsiTheme="minorHAnsi" w:cstheme="minorHAnsi"/>
                <w:szCs w:val="24"/>
                <w:lang w:val="en-AU"/>
              </w:rPr>
              <w:t xml:space="preserve">All Australian governments recognise that an essential part of </w:t>
            </w:r>
            <w:r w:rsidR="001A2647" w:rsidRPr="00402ED5">
              <w:rPr>
                <w:rFonts w:asciiTheme="minorHAnsi" w:hAnsiTheme="minorHAnsi" w:cstheme="minorHAnsi"/>
                <w:szCs w:val="24"/>
                <w:lang w:val="en-AU"/>
              </w:rPr>
              <w:t>supporting</w:t>
            </w:r>
            <w:r w:rsidR="00690B9B" w:rsidRPr="00402ED5">
              <w:rPr>
                <w:rFonts w:asciiTheme="minorHAnsi" w:hAnsiTheme="minorHAnsi" w:cstheme="minorHAnsi"/>
                <w:szCs w:val="24"/>
                <w:lang w:val="en-AU"/>
              </w:rPr>
              <w:t xml:space="preserve"> </w:t>
            </w:r>
            <w:r w:rsidRPr="00402ED5">
              <w:rPr>
                <w:rFonts w:asciiTheme="minorHAnsi" w:hAnsiTheme="minorHAnsi" w:cstheme="minorHAnsi"/>
                <w:szCs w:val="24"/>
                <w:lang w:val="en-AU"/>
              </w:rPr>
              <w:t>the sustainability of the Australian eye and tissue sector is the consistent collection and analysis of data.</w:t>
            </w:r>
          </w:p>
          <w:p w14:paraId="5A6B3158" w14:textId="77777777" w:rsidR="00BC3E2C" w:rsidRPr="00402ED5" w:rsidRDefault="00BC3E2C" w:rsidP="004E5110">
            <w:pPr>
              <w:keepLines/>
              <w:spacing w:after="120"/>
              <w:rPr>
                <w:rFonts w:asciiTheme="minorHAnsi" w:hAnsiTheme="minorHAnsi" w:cstheme="minorHAnsi"/>
                <w:szCs w:val="24"/>
                <w:lang w:val="en-AU"/>
              </w:rPr>
            </w:pPr>
            <w:r w:rsidRPr="00402ED5">
              <w:rPr>
                <w:rFonts w:asciiTheme="minorHAnsi" w:hAnsiTheme="minorHAnsi" w:cstheme="minorHAnsi"/>
                <w:szCs w:val="24"/>
                <w:lang w:val="en-AU"/>
              </w:rPr>
              <w:t xml:space="preserve">Establishing a national data and reporting framework in consultation with the sector will build upon and link existing data sets and systems wherever possible. </w:t>
            </w:r>
          </w:p>
          <w:p w14:paraId="5D50E904" w14:textId="77777777" w:rsidR="00BC3E2C" w:rsidRPr="00402ED5" w:rsidRDefault="00BC3E2C" w:rsidP="004E5110">
            <w:pPr>
              <w:keepLines/>
              <w:spacing w:after="120"/>
              <w:rPr>
                <w:rFonts w:asciiTheme="minorHAnsi" w:hAnsiTheme="minorHAnsi" w:cstheme="minorHAnsi"/>
                <w:szCs w:val="24"/>
                <w:lang w:val="en-AU"/>
              </w:rPr>
            </w:pPr>
            <w:r w:rsidRPr="00402ED5">
              <w:rPr>
                <w:rFonts w:asciiTheme="minorHAnsi" w:hAnsiTheme="minorHAnsi" w:cstheme="minorHAnsi"/>
                <w:szCs w:val="24"/>
                <w:lang w:val="en-AU"/>
              </w:rPr>
              <w:t xml:space="preserve">All stakeholders in the Australian eye and tissue sector have a role in collecting and providing data to contribute to the national data and reporting framework. This </w:t>
            </w:r>
            <w:r w:rsidR="00690B9B" w:rsidRPr="00402ED5">
              <w:rPr>
                <w:rFonts w:asciiTheme="minorHAnsi" w:hAnsiTheme="minorHAnsi" w:cstheme="minorHAnsi"/>
                <w:szCs w:val="24"/>
                <w:lang w:val="en-AU"/>
              </w:rPr>
              <w:t xml:space="preserve">may </w:t>
            </w:r>
            <w:r w:rsidRPr="00402ED5">
              <w:rPr>
                <w:rFonts w:asciiTheme="minorHAnsi" w:hAnsiTheme="minorHAnsi" w:cstheme="minorHAnsi"/>
                <w:szCs w:val="24"/>
                <w:lang w:val="en-AU"/>
              </w:rPr>
              <w:t>include donation agencies, tissue manufacturers and distributors, regulators, funders and cost setting agencies, and users of tissues and tissue-based products.</w:t>
            </w:r>
          </w:p>
        </w:tc>
      </w:tr>
      <w:tr w:rsidR="00BC3E2C" w:rsidRPr="00402ED5" w14:paraId="3245A57B" w14:textId="77777777" w:rsidTr="00AD6DE4">
        <w:tc>
          <w:tcPr>
            <w:tcW w:w="1831" w:type="dxa"/>
          </w:tcPr>
          <w:p w14:paraId="452B8BD5" w14:textId="77777777" w:rsidR="00BC3E2C" w:rsidRPr="00402ED5" w:rsidRDefault="00BC3E2C" w:rsidP="004E5110">
            <w:pPr>
              <w:keepLines/>
              <w:spacing w:after="120"/>
              <w:rPr>
                <w:rFonts w:asciiTheme="minorHAnsi" w:hAnsiTheme="minorHAnsi" w:cstheme="minorHAnsi"/>
                <w:b/>
                <w:szCs w:val="24"/>
              </w:rPr>
            </w:pPr>
            <w:r w:rsidRPr="00402ED5">
              <w:rPr>
                <w:rFonts w:asciiTheme="minorHAnsi" w:hAnsiTheme="minorHAnsi" w:cstheme="minorHAnsi"/>
                <w:b/>
                <w:szCs w:val="24"/>
              </w:rPr>
              <w:t>Implementation</w:t>
            </w:r>
          </w:p>
        </w:tc>
        <w:tc>
          <w:tcPr>
            <w:tcW w:w="7185" w:type="dxa"/>
          </w:tcPr>
          <w:p w14:paraId="32A046EB" w14:textId="77777777" w:rsidR="00BC3E2C" w:rsidRPr="00402ED5" w:rsidRDefault="00BC3E2C" w:rsidP="004E5110">
            <w:pPr>
              <w:keepLines/>
              <w:spacing w:after="120"/>
              <w:rPr>
                <w:rFonts w:asciiTheme="minorHAnsi" w:hAnsiTheme="minorHAnsi" w:cstheme="minorHAnsi"/>
                <w:szCs w:val="24"/>
              </w:rPr>
            </w:pPr>
            <w:r w:rsidRPr="00402ED5">
              <w:rPr>
                <w:rFonts w:asciiTheme="minorHAnsi" w:hAnsiTheme="minorHAnsi" w:cstheme="minorHAnsi"/>
                <w:szCs w:val="24"/>
              </w:rPr>
              <w:t xml:space="preserve">The OTA to work with </w:t>
            </w:r>
            <w:r w:rsidRPr="00402ED5">
              <w:rPr>
                <w:rFonts w:asciiTheme="minorHAnsi" w:hAnsiTheme="minorHAnsi" w:cstheme="minorHAnsi"/>
                <w:bCs/>
                <w:iCs/>
                <w:szCs w:val="24"/>
              </w:rPr>
              <w:t xml:space="preserve">all jurisdictions and </w:t>
            </w:r>
            <w:r w:rsidRPr="00402ED5">
              <w:rPr>
                <w:rFonts w:asciiTheme="minorHAnsi" w:hAnsiTheme="minorHAnsi" w:cstheme="minorHAnsi"/>
                <w:szCs w:val="24"/>
              </w:rPr>
              <w:t xml:space="preserve">eye and tissue sector stakeholders to identify and develop a robust data set that: </w:t>
            </w:r>
          </w:p>
          <w:p w14:paraId="49CD655C" w14:textId="77777777" w:rsidR="00BC3E2C" w:rsidRPr="00402ED5" w:rsidRDefault="00BC3E2C" w:rsidP="004E5110">
            <w:pPr>
              <w:pStyle w:val="ListParagraph"/>
              <w:keepLines/>
              <w:numPr>
                <w:ilvl w:val="0"/>
                <w:numId w:val="28"/>
              </w:numPr>
              <w:spacing w:after="120"/>
              <w:rPr>
                <w:rFonts w:asciiTheme="minorHAnsi" w:hAnsiTheme="minorHAnsi" w:cstheme="minorHAnsi"/>
                <w:sz w:val="24"/>
                <w:szCs w:val="24"/>
              </w:rPr>
            </w:pPr>
            <w:r w:rsidRPr="00402ED5">
              <w:rPr>
                <w:rFonts w:asciiTheme="minorHAnsi" w:hAnsiTheme="minorHAnsi" w:cstheme="minorHAnsi"/>
                <w:sz w:val="24"/>
                <w:szCs w:val="24"/>
              </w:rPr>
              <w:t>Captures deceased organ donor identification and referral for eye and tissue donation</w:t>
            </w:r>
          </w:p>
          <w:p w14:paraId="67B658E8" w14:textId="4B84BCB5" w:rsidR="00BC3E2C" w:rsidRPr="00402ED5" w:rsidRDefault="00BC3E2C" w:rsidP="004E5110">
            <w:pPr>
              <w:pStyle w:val="ListParagraph"/>
              <w:keepLines/>
              <w:numPr>
                <w:ilvl w:val="0"/>
                <w:numId w:val="28"/>
              </w:numPr>
              <w:spacing w:after="120"/>
              <w:rPr>
                <w:rFonts w:asciiTheme="minorHAnsi" w:hAnsiTheme="minorHAnsi" w:cstheme="minorHAnsi"/>
                <w:sz w:val="24"/>
                <w:szCs w:val="24"/>
              </w:rPr>
            </w:pPr>
            <w:r w:rsidRPr="00402ED5">
              <w:rPr>
                <w:rFonts w:asciiTheme="minorHAnsi" w:hAnsiTheme="minorHAnsi" w:cstheme="minorHAnsi"/>
                <w:sz w:val="24"/>
                <w:szCs w:val="24"/>
              </w:rPr>
              <w:t>Captures requests, consents and retrieval of eyes and tissue from deceased organ donors</w:t>
            </w:r>
          </w:p>
          <w:p w14:paraId="597D97FE" w14:textId="77777777" w:rsidR="00BC3E2C" w:rsidRPr="00402ED5" w:rsidRDefault="00BC3E2C" w:rsidP="004E5110">
            <w:pPr>
              <w:pStyle w:val="ListParagraph"/>
              <w:keepLines/>
              <w:numPr>
                <w:ilvl w:val="0"/>
                <w:numId w:val="28"/>
              </w:numPr>
              <w:spacing w:after="120"/>
              <w:rPr>
                <w:rFonts w:asciiTheme="minorHAnsi" w:hAnsiTheme="minorHAnsi" w:cstheme="minorHAnsi"/>
                <w:sz w:val="24"/>
                <w:szCs w:val="24"/>
              </w:rPr>
            </w:pPr>
            <w:r w:rsidRPr="00402ED5">
              <w:rPr>
                <w:rFonts w:asciiTheme="minorHAnsi" w:hAnsiTheme="minorHAnsi" w:cstheme="minorHAnsi"/>
                <w:sz w:val="24"/>
                <w:szCs w:val="24"/>
              </w:rPr>
              <w:t xml:space="preserve">Enables analysis of factors influencing consent for deceased eye and tissue donation  </w:t>
            </w:r>
          </w:p>
          <w:p w14:paraId="423CD1B3" w14:textId="134A5C75" w:rsidR="00BC3E2C" w:rsidRPr="00402ED5" w:rsidRDefault="00BC3E2C" w:rsidP="004E5110">
            <w:pPr>
              <w:pStyle w:val="ListParagraph"/>
              <w:keepLines/>
              <w:numPr>
                <w:ilvl w:val="0"/>
                <w:numId w:val="28"/>
              </w:numPr>
              <w:spacing w:after="120"/>
              <w:rPr>
                <w:rFonts w:asciiTheme="minorHAnsi" w:hAnsiTheme="minorHAnsi" w:cstheme="minorHAnsi"/>
                <w:sz w:val="24"/>
                <w:szCs w:val="24"/>
              </w:rPr>
            </w:pPr>
            <w:r w:rsidRPr="00402ED5">
              <w:rPr>
                <w:rFonts w:asciiTheme="minorHAnsi" w:hAnsiTheme="minorHAnsi" w:cstheme="minorHAnsi"/>
                <w:sz w:val="24"/>
                <w:szCs w:val="24"/>
              </w:rPr>
              <w:t>Expands reporting of graft outcomes for corneal transplants</w:t>
            </w:r>
            <w:r w:rsidR="00A50CE9">
              <w:rPr>
                <w:rFonts w:asciiTheme="minorHAnsi" w:hAnsiTheme="minorHAnsi" w:cstheme="minorHAnsi"/>
                <w:sz w:val="24"/>
                <w:szCs w:val="24"/>
              </w:rPr>
              <w:t>.</w:t>
            </w:r>
          </w:p>
        </w:tc>
      </w:tr>
    </w:tbl>
    <w:p w14:paraId="18575F3C" w14:textId="77777777" w:rsidR="00BC3E2C" w:rsidRPr="00FF18A1" w:rsidRDefault="00BC3E2C" w:rsidP="003A342E">
      <w:pPr>
        <w:pStyle w:val="Heading2"/>
        <w:spacing w:line="276" w:lineRule="auto"/>
        <w:rPr>
          <w:rFonts w:asciiTheme="minorHAnsi" w:eastAsia="Times New Roman" w:hAnsiTheme="minorHAnsi" w:cstheme="minorHAnsi"/>
          <w:bCs/>
          <w:iCs/>
          <w:color w:val="358189"/>
          <w:sz w:val="28"/>
          <w:szCs w:val="28"/>
        </w:rPr>
      </w:pPr>
      <w:r w:rsidRPr="00FF18A1">
        <w:rPr>
          <w:rFonts w:asciiTheme="minorHAnsi" w:eastAsia="Times New Roman" w:hAnsiTheme="minorHAnsi" w:cstheme="minorHAnsi"/>
          <w:bCs/>
          <w:iCs/>
          <w:color w:val="358189"/>
          <w:sz w:val="28"/>
          <w:szCs w:val="28"/>
        </w:rPr>
        <w:lastRenderedPageBreak/>
        <w:t>4.</w:t>
      </w:r>
      <w:r w:rsidR="006B5D7D" w:rsidRPr="00FF18A1">
        <w:rPr>
          <w:rFonts w:asciiTheme="minorHAnsi" w:eastAsia="Times New Roman" w:hAnsiTheme="minorHAnsi" w:cstheme="minorHAnsi"/>
          <w:bCs/>
          <w:iCs/>
          <w:color w:val="358189"/>
          <w:sz w:val="28"/>
          <w:szCs w:val="28"/>
        </w:rPr>
        <w:t>3</w:t>
      </w:r>
      <w:r w:rsidRPr="00FF18A1">
        <w:rPr>
          <w:rFonts w:asciiTheme="minorHAnsi" w:eastAsia="Times New Roman" w:hAnsiTheme="minorHAnsi" w:cstheme="minorHAnsi"/>
          <w:bCs/>
          <w:iCs/>
          <w:color w:val="358189"/>
          <w:sz w:val="28"/>
          <w:szCs w:val="28"/>
        </w:rPr>
        <w:t xml:space="preserve"> Support </w:t>
      </w:r>
      <w:proofErr w:type="spellStart"/>
      <w:r w:rsidRPr="00FF18A1">
        <w:rPr>
          <w:rFonts w:asciiTheme="minorHAnsi" w:eastAsia="Times New Roman" w:hAnsiTheme="minorHAnsi" w:cstheme="minorHAnsi"/>
          <w:bCs/>
          <w:iCs/>
          <w:color w:val="358189"/>
          <w:sz w:val="28"/>
          <w:szCs w:val="28"/>
        </w:rPr>
        <w:t>OrganMatch</w:t>
      </w:r>
      <w:proofErr w:type="spellEnd"/>
      <w:r w:rsidRPr="00FF18A1">
        <w:rPr>
          <w:rFonts w:asciiTheme="minorHAnsi" w:eastAsia="Times New Roman" w:hAnsiTheme="minorHAnsi" w:cstheme="minorHAnsi"/>
          <w:bCs/>
          <w:iCs/>
          <w:color w:val="358189"/>
          <w:sz w:val="28"/>
          <w:szCs w:val="28"/>
        </w:rPr>
        <w:t xml:space="preserve"> for national consistency, equitable and transparent processes </w:t>
      </w:r>
    </w:p>
    <w:tbl>
      <w:tblPr>
        <w:tblStyle w:val="TableGrid"/>
        <w:tblW w:w="0" w:type="auto"/>
        <w:tblLook w:val="04A0" w:firstRow="1" w:lastRow="0" w:firstColumn="1" w:lastColumn="0" w:noHBand="0" w:noVBand="1"/>
      </w:tblPr>
      <w:tblGrid>
        <w:gridCol w:w="1831"/>
        <w:gridCol w:w="7185"/>
      </w:tblGrid>
      <w:tr w:rsidR="00BC3E2C" w:rsidRPr="00402ED5" w14:paraId="4D98F22D" w14:textId="77777777" w:rsidTr="00AD6DE4">
        <w:trPr>
          <w:cantSplit/>
        </w:trPr>
        <w:tc>
          <w:tcPr>
            <w:tcW w:w="1831" w:type="dxa"/>
            <w:shd w:val="clear" w:color="auto" w:fill="B3ECEB"/>
          </w:tcPr>
          <w:p w14:paraId="6AED3C5D" w14:textId="5E594BA9" w:rsidR="00BC3E2C" w:rsidRPr="00402ED5" w:rsidRDefault="00BC3E2C" w:rsidP="002921EB">
            <w:pPr>
              <w:keepNext/>
              <w:keepLines/>
              <w:spacing w:after="120"/>
              <w:rPr>
                <w:rFonts w:asciiTheme="minorHAnsi" w:hAnsiTheme="minorHAnsi" w:cstheme="minorHAnsi"/>
                <w:b/>
                <w:szCs w:val="24"/>
              </w:rPr>
            </w:pPr>
            <w:r w:rsidRPr="00402ED5">
              <w:rPr>
                <w:rFonts w:asciiTheme="minorHAnsi" w:hAnsiTheme="minorHAnsi" w:cstheme="minorHAnsi"/>
                <w:b/>
                <w:szCs w:val="24"/>
              </w:rPr>
              <w:t>Action</w:t>
            </w:r>
          </w:p>
        </w:tc>
        <w:tc>
          <w:tcPr>
            <w:tcW w:w="7185" w:type="dxa"/>
            <w:shd w:val="clear" w:color="auto" w:fill="B3ECEB"/>
          </w:tcPr>
          <w:p w14:paraId="2A31A523" w14:textId="77777777" w:rsidR="00BC3E2C" w:rsidRPr="00402ED5" w:rsidRDefault="00BC3E2C" w:rsidP="002921EB">
            <w:pPr>
              <w:keepNext/>
              <w:keepLines/>
              <w:spacing w:after="120"/>
              <w:rPr>
                <w:rFonts w:asciiTheme="minorHAnsi" w:hAnsiTheme="minorHAnsi" w:cstheme="minorHAnsi"/>
                <w:szCs w:val="24"/>
              </w:rPr>
            </w:pPr>
            <w:r w:rsidRPr="00402ED5">
              <w:rPr>
                <w:rFonts w:asciiTheme="minorHAnsi" w:hAnsiTheme="minorHAnsi" w:cstheme="minorHAnsi"/>
                <w:szCs w:val="24"/>
              </w:rPr>
              <w:t xml:space="preserve">Agree </w:t>
            </w:r>
            <w:proofErr w:type="spellStart"/>
            <w:r w:rsidRPr="00402ED5">
              <w:rPr>
                <w:rFonts w:asciiTheme="minorHAnsi" w:hAnsiTheme="minorHAnsi" w:cstheme="minorHAnsi"/>
                <w:szCs w:val="24"/>
              </w:rPr>
              <w:t>OrganMatch</w:t>
            </w:r>
            <w:proofErr w:type="spellEnd"/>
            <w:r w:rsidRPr="00402ED5">
              <w:rPr>
                <w:rFonts w:asciiTheme="minorHAnsi" w:hAnsiTheme="minorHAnsi" w:cstheme="minorHAnsi"/>
                <w:szCs w:val="24"/>
              </w:rPr>
              <w:t xml:space="preserve"> be used as the national system for real time wait listing of patients for transplantation for all organs and pathways.</w:t>
            </w:r>
          </w:p>
        </w:tc>
      </w:tr>
      <w:tr w:rsidR="00BC3E2C" w:rsidRPr="00402ED5" w14:paraId="6CA99C2F" w14:textId="77777777" w:rsidTr="00AD6DE4">
        <w:trPr>
          <w:cantSplit/>
        </w:trPr>
        <w:tc>
          <w:tcPr>
            <w:tcW w:w="1831" w:type="dxa"/>
            <w:shd w:val="clear" w:color="auto" w:fill="B3ECEB"/>
          </w:tcPr>
          <w:p w14:paraId="7F8F869B" w14:textId="6B8D9E55" w:rsidR="00BC3E2C" w:rsidRPr="00402ED5" w:rsidRDefault="004623B0" w:rsidP="002921EB">
            <w:pPr>
              <w:keepNext/>
              <w:keepLines/>
              <w:spacing w:after="120"/>
              <w:rPr>
                <w:rFonts w:asciiTheme="minorHAnsi" w:hAnsiTheme="minorHAnsi" w:cstheme="minorHAnsi"/>
                <w:b/>
                <w:szCs w:val="24"/>
              </w:rPr>
            </w:pPr>
            <w:r>
              <w:rPr>
                <w:rFonts w:asciiTheme="minorHAnsi" w:hAnsiTheme="minorHAnsi" w:cstheme="minorHAnsi"/>
                <w:b/>
                <w:szCs w:val="24"/>
              </w:rPr>
              <w:t>Action</w:t>
            </w:r>
          </w:p>
        </w:tc>
        <w:tc>
          <w:tcPr>
            <w:tcW w:w="7185" w:type="dxa"/>
            <w:shd w:val="clear" w:color="auto" w:fill="B3ECEB"/>
          </w:tcPr>
          <w:p w14:paraId="402BD57B" w14:textId="77777777" w:rsidR="00BC3E2C" w:rsidRPr="00402ED5" w:rsidRDefault="00632E3D" w:rsidP="002921EB">
            <w:pPr>
              <w:keepNext/>
              <w:keepLines/>
              <w:spacing w:after="120"/>
              <w:rPr>
                <w:rFonts w:asciiTheme="minorHAnsi" w:hAnsiTheme="minorHAnsi" w:cstheme="minorHAnsi"/>
                <w:szCs w:val="24"/>
              </w:rPr>
            </w:pPr>
            <w:r w:rsidRPr="00402ED5">
              <w:rPr>
                <w:rFonts w:asciiTheme="minorHAnsi" w:hAnsiTheme="minorHAnsi" w:cstheme="minorHAnsi"/>
                <w:szCs w:val="24"/>
                <w:lang w:val="en-AU"/>
              </w:rPr>
              <w:t xml:space="preserve">Support delivery of </w:t>
            </w:r>
            <w:proofErr w:type="spellStart"/>
            <w:r w:rsidR="00BC3E2C" w:rsidRPr="00402ED5">
              <w:rPr>
                <w:rFonts w:asciiTheme="minorHAnsi" w:hAnsiTheme="minorHAnsi" w:cstheme="minorHAnsi"/>
                <w:szCs w:val="24"/>
                <w:lang w:val="en-AU"/>
              </w:rPr>
              <w:t>OrganMatch</w:t>
            </w:r>
            <w:proofErr w:type="spellEnd"/>
            <w:r w:rsidR="00BC3E2C" w:rsidRPr="00402ED5">
              <w:rPr>
                <w:rFonts w:asciiTheme="minorHAnsi" w:hAnsiTheme="minorHAnsi" w:cstheme="minorHAnsi"/>
                <w:szCs w:val="24"/>
                <w:lang w:val="en-AU"/>
              </w:rPr>
              <w:t xml:space="preserve"> </w:t>
            </w:r>
            <w:r w:rsidRPr="00402ED5">
              <w:rPr>
                <w:rFonts w:asciiTheme="minorHAnsi" w:hAnsiTheme="minorHAnsi" w:cstheme="minorHAnsi"/>
                <w:szCs w:val="24"/>
                <w:lang w:val="en-AU"/>
              </w:rPr>
              <w:t>enhancements</w:t>
            </w:r>
            <w:r w:rsidR="001A2647" w:rsidRPr="00402ED5">
              <w:rPr>
                <w:rFonts w:asciiTheme="minorHAnsi" w:hAnsiTheme="minorHAnsi" w:cstheme="minorHAnsi"/>
                <w:szCs w:val="24"/>
                <w:lang w:val="en-AU"/>
              </w:rPr>
              <w:t>,</w:t>
            </w:r>
            <w:r w:rsidRPr="00402ED5">
              <w:rPr>
                <w:rFonts w:asciiTheme="minorHAnsi" w:hAnsiTheme="minorHAnsi" w:cstheme="minorHAnsi"/>
                <w:szCs w:val="24"/>
                <w:lang w:val="en-AU"/>
              </w:rPr>
              <w:t xml:space="preserve"> informed by </w:t>
            </w:r>
            <w:r w:rsidR="00BC3E2C" w:rsidRPr="00402ED5">
              <w:rPr>
                <w:rFonts w:asciiTheme="minorHAnsi" w:hAnsiTheme="minorHAnsi" w:cstheme="minorHAnsi"/>
                <w:szCs w:val="24"/>
                <w:lang w:val="en-AU"/>
              </w:rPr>
              <w:t>clinical feedback</w:t>
            </w:r>
            <w:r w:rsidR="001A2647" w:rsidRPr="00402ED5">
              <w:rPr>
                <w:rFonts w:asciiTheme="minorHAnsi" w:hAnsiTheme="minorHAnsi" w:cstheme="minorHAnsi"/>
                <w:szCs w:val="24"/>
                <w:lang w:val="en-AU"/>
              </w:rPr>
              <w:t>,</w:t>
            </w:r>
            <w:r w:rsidR="00BC3E2C" w:rsidRPr="00402ED5">
              <w:rPr>
                <w:rFonts w:asciiTheme="minorHAnsi" w:hAnsiTheme="minorHAnsi" w:cstheme="minorHAnsi"/>
                <w:szCs w:val="24"/>
                <w:lang w:val="en-AU"/>
              </w:rPr>
              <w:t xml:space="preserve"> to improve the efficiency of organ allocation and offer process.</w:t>
            </w:r>
          </w:p>
        </w:tc>
      </w:tr>
      <w:tr w:rsidR="00BC3E2C" w:rsidRPr="00402ED5" w14:paraId="38507720" w14:textId="77777777" w:rsidTr="00AD6DE4">
        <w:trPr>
          <w:cantSplit/>
        </w:trPr>
        <w:tc>
          <w:tcPr>
            <w:tcW w:w="1831" w:type="dxa"/>
            <w:shd w:val="clear" w:color="auto" w:fill="B3ECEB"/>
          </w:tcPr>
          <w:p w14:paraId="41D9A25F" w14:textId="4885AD72" w:rsidR="00BC3E2C" w:rsidRPr="00402ED5" w:rsidRDefault="004623B0" w:rsidP="002921EB">
            <w:pPr>
              <w:keepNext/>
              <w:keepLines/>
              <w:spacing w:after="120"/>
              <w:rPr>
                <w:rFonts w:asciiTheme="minorHAnsi" w:hAnsiTheme="minorHAnsi" w:cstheme="minorHAnsi"/>
                <w:b/>
                <w:szCs w:val="24"/>
              </w:rPr>
            </w:pPr>
            <w:r>
              <w:rPr>
                <w:rFonts w:asciiTheme="minorHAnsi" w:hAnsiTheme="minorHAnsi" w:cstheme="minorHAnsi"/>
                <w:b/>
                <w:szCs w:val="24"/>
              </w:rPr>
              <w:t>Action</w:t>
            </w:r>
          </w:p>
        </w:tc>
        <w:tc>
          <w:tcPr>
            <w:tcW w:w="7185" w:type="dxa"/>
            <w:shd w:val="clear" w:color="auto" w:fill="B3ECEB"/>
          </w:tcPr>
          <w:p w14:paraId="5536F48C" w14:textId="77777777" w:rsidR="00BC3E2C" w:rsidRPr="00402ED5" w:rsidRDefault="00BC3E2C" w:rsidP="002921EB">
            <w:pPr>
              <w:keepNext/>
              <w:keepLines/>
              <w:spacing w:after="120"/>
              <w:rPr>
                <w:rFonts w:asciiTheme="minorHAnsi" w:hAnsiTheme="minorHAnsi" w:cstheme="minorHAnsi"/>
                <w:szCs w:val="24"/>
              </w:rPr>
            </w:pPr>
            <w:r w:rsidRPr="00402ED5">
              <w:rPr>
                <w:rFonts w:asciiTheme="minorHAnsi" w:hAnsiTheme="minorHAnsi" w:cstheme="minorHAnsi"/>
                <w:szCs w:val="24"/>
              </w:rPr>
              <w:t xml:space="preserve">Support </w:t>
            </w:r>
            <w:proofErr w:type="spellStart"/>
            <w:r w:rsidRPr="00402ED5">
              <w:rPr>
                <w:rFonts w:asciiTheme="minorHAnsi" w:hAnsiTheme="minorHAnsi" w:cstheme="minorHAnsi"/>
                <w:szCs w:val="24"/>
              </w:rPr>
              <w:t>OrganMatch</w:t>
            </w:r>
            <w:proofErr w:type="spellEnd"/>
            <w:r w:rsidRPr="00402ED5">
              <w:rPr>
                <w:rFonts w:asciiTheme="minorHAnsi" w:hAnsiTheme="minorHAnsi" w:cstheme="minorHAnsi"/>
                <w:szCs w:val="24"/>
              </w:rPr>
              <w:t xml:space="preserve"> </w:t>
            </w:r>
            <w:r w:rsidRPr="00402ED5">
              <w:rPr>
                <w:rFonts w:asciiTheme="minorHAnsi" w:hAnsiTheme="minorHAnsi" w:cstheme="minorHAnsi"/>
                <w:szCs w:val="24"/>
                <w:lang w:val="en-AU"/>
              </w:rPr>
              <w:t>to contribute to the best possible clinical outcomes for patients awaiting transplant.</w:t>
            </w:r>
            <w:r w:rsidRPr="00402ED5">
              <w:rPr>
                <w:rFonts w:asciiTheme="minorHAnsi" w:hAnsiTheme="minorHAnsi" w:cstheme="minorHAnsi"/>
                <w:szCs w:val="24"/>
              </w:rPr>
              <w:t xml:space="preserve">  </w:t>
            </w:r>
          </w:p>
        </w:tc>
      </w:tr>
      <w:tr w:rsidR="00BC3E2C" w:rsidRPr="00402ED5" w14:paraId="0C7C7AEB" w14:textId="77777777" w:rsidTr="00AD6DE4">
        <w:trPr>
          <w:cantSplit/>
        </w:trPr>
        <w:tc>
          <w:tcPr>
            <w:tcW w:w="1831" w:type="dxa"/>
          </w:tcPr>
          <w:p w14:paraId="01F6DF6B" w14:textId="77777777" w:rsidR="00BC3E2C" w:rsidRPr="00402ED5" w:rsidRDefault="00BC3E2C" w:rsidP="002921EB">
            <w:pPr>
              <w:keepLines/>
              <w:spacing w:after="120"/>
              <w:rPr>
                <w:rFonts w:asciiTheme="minorHAnsi" w:hAnsiTheme="minorHAnsi" w:cstheme="minorHAnsi"/>
                <w:b/>
                <w:szCs w:val="24"/>
              </w:rPr>
            </w:pPr>
            <w:r w:rsidRPr="00402ED5">
              <w:rPr>
                <w:rFonts w:asciiTheme="minorHAnsi" w:hAnsiTheme="minorHAnsi" w:cstheme="minorHAnsi"/>
                <w:b/>
                <w:szCs w:val="24"/>
              </w:rPr>
              <w:t xml:space="preserve">Rationale for early action </w:t>
            </w:r>
          </w:p>
        </w:tc>
        <w:tc>
          <w:tcPr>
            <w:tcW w:w="7185" w:type="dxa"/>
          </w:tcPr>
          <w:p w14:paraId="76E5C8B6" w14:textId="2335ECF5" w:rsidR="00BC3E2C" w:rsidRPr="00402ED5" w:rsidRDefault="00BC3E2C" w:rsidP="002921EB">
            <w:pPr>
              <w:keepLines/>
              <w:spacing w:after="120"/>
              <w:rPr>
                <w:rFonts w:asciiTheme="minorHAnsi" w:hAnsiTheme="minorHAnsi" w:cstheme="minorHAnsi"/>
                <w:szCs w:val="24"/>
                <w:lang w:val="en-AU"/>
              </w:rPr>
            </w:pPr>
            <w:r w:rsidRPr="00402ED5">
              <w:rPr>
                <w:rFonts w:asciiTheme="minorHAnsi" w:hAnsiTheme="minorHAnsi" w:cstheme="minorHAnsi"/>
                <w:szCs w:val="24"/>
                <w:lang w:val="en-AU"/>
              </w:rPr>
              <w:t xml:space="preserve">The </w:t>
            </w:r>
            <w:r w:rsidR="00926064">
              <w:rPr>
                <w:rFonts w:asciiTheme="minorHAnsi" w:hAnsiTheme="minorHAnsi" w:cstheme="minorHAnsi"/>
                <w:szCs w:val="24"/>
                <w:lang w:val="en-AU"/>
              </w:rPr>
              <w:t xml:space="preserve">Australian Government funded </w:t>
            </w:r>
            <w:r w:rsidRPr="00402ED5">
              <w:rPr>
                <w:rFonts w:asciiTheme="minorHAnsi" w:hAnsiTheme="minorHAnsi" w:cstheme="minorHAnsi"/>
                <w:szCs w:val="24"/>
                <w:lang w:val="en-AU"/>
              </w:rPr>
              <w:t xml:space="preserve">national </w:t>
            </w:r>
            <w:proofErr w:type="spellStart"/>
            <w:r w:rsidRPr="00402ED5">
              <w:rPr>
                <w:rFonts w:asciiTheme="minorHAnsi" w:hAnsiTheme="minorHAnsi" w:cstheme="minorHAnsi"/>
                <w:szCs w:val="24"/>
                <w:lang w:val="en-AU"/>
              </w:rPr>
              <w:t>OrganMatch</w:t>
            </w:r>
            <w:proofErr w:type="spellEnd"/>
            <w:r w:rsidRPr="00402ED5">
              <w:rPr>
                <w:rFonts w:asciiTheme="minorHAnsi" w:hAnsiTheme="minorHAnsi" w:cstheme="minorHAnsi"/>
                <w:szCs w:val="24"/>
                <w:lang w:val="en-AU"/>
              </w:rPr>
              <w:t xml:space="preserve"> system went live in April 2019, replacing the outdated National Organ Matching System (NOMS)</w:t>
            </w:r>
            <w:r w:rsidR="00763577" w:rsidRPr="00402ED5">
              <w:rPr>
                <w:rFonts w:asciiTheme="minorHAnsi" w:hAnsiTheme="minorHAnsi" w:cstheme="minorHAnsi"/>
                <w:szCs w:val="24"/>
                <w:lang w:val="en-AU"/>
              </w:rPr>
              <w:t xml:space="preserve"> that had been in operation since the 1990s</w:t>
            </w:r>
            <w:r w:rsidRPr="00402ED5">
              <w:rPr>
                <w:rFonts w:asciiTheme="minorHAnsi" w:hAnsiTheme="minorHAnsi" w:cstheme="minorHAnsi"/>
                <w:szCs w:val="24"/>
                <w:lang w:val="en-AU"/>
              </w:rPr>
              <w:t xml:space="preserve">. </w:t>
            </w:r>
          </w:p>
          <w:p w14:paraId="6851DAD7" w14:textId="77777777" w:rsidR="00BC3E2C" w:rsidRPr="00402ED5" w:rsidRDefault="00BC3E2C" w:rsidP="002921EB">
            <w:pPr>
              <w:keepLines/>
              <w:spacing w:after="120"/>
              <w:rPr>
                <w:rFonts w:asciiTheme="minorHAnsi" w:hAnsiTheme="minorHAnsi" w:cstheme="minorHAnsi"/>
                <w:szCs w:val="24"/>
                <w:lang w:val="en-AU"/>
              </w:rPr>
            </w:pPr>
            <w:proofErr w:type="spellStart"/>
            <w:r w:rsidRPr="00402ED5">
              <w:rPr>
                <w:rFonts w:asciiTheme="minorHAnsi" w:hAnsiTheme="minorHAnsi" w:cstheme="minorHAnsi"/>
                <w:szCs w:val="24"/>
                <w:lang w:val="en-AU"/>
              </w:rPr>
              <w:t>OrganMatch</w:t>
            </w:r>
            <w:proofErr w:type="spellEnd"/>
            <w:r w:rsidRPr="00402ED5">
              <w:rPr>
                <w:rFonts w:asciiTheme="minorHAnsi" w:hAnsiTheme="minorHAnsi" w:cstheme="minorHAnsi"/>
                <w:szCs w:val="24"/>
                <w:lang w:val="en-AU"/>
              </w:rPr>
              <w:t xml:space="preserve"> is a world-class system that supports patient waitlisting, optimal immunological </w:t>
            </w:r>
            <w:proofErr w:type="gramStart"/>
            <w:r w:rsidRPr="00402ED5">
              <w:rPr>
                <w:rFonts w:asciiTheme="minorHAnsi" w:hAnsiTheme="minorHAnsi" w:cstheme="minorHAnsi"/>
                <w:szCs w:val="24"/>
                <w:lang w:val="en-AU"/>
              </w:rPr>
              <w:t>matching</w:t>
            </w:r>
            <w:proofErr w:type="gramEnd"/>
            <w:r w:rsidRPr="00402ED5">
              <w:rPr>
                <w:rFonts w:asciiTheme="minorHAnsi" w:hAnsiTheme="minorHAnsi" w:cstheme="minorHAnsi"/>
                <w:szCs w:val="24"/>
                <w:lang w:val="en-AU"/>
              </w:rPr>
              <w:t xml:space="preserve"> and organ allocation, with functionality that goes far beyond what NOMS could offer. </w:t>
            </w:r>
          </w:p>
          <w:p w14:paraId="27454A17" w14:textId="66E74524" w:rsidR="00BC3E2C" w:rsidRPr="00402ED5" w:rsidRDefault="00BC3E2C" w:rsidP="002921EB">
            <w:pPr>
              <w:keepLines/>
              <w:spacing w:after="120"/>
              <w:rPr>
                <w:rFonts w:asciiTheme="minorHAnsi" w:hAnsiTheme="minorHAnsi" w:cstheme="minorHAnsi"/>
                <w:szCs w:val="24"/>
                <w:lang w:val="en-AU"/>
              </w:rPr>
            </w:pPr>
            <w:r w:rsidRPr="00402ED5">
              <w:rPr>
                <w:rFonts w:asciiTheme="minorHAnsi" w:hAnsiTheme="minorHAnsi" w:cstheme="minorHAnsi"/>
                <w:szCs w:val="24"/>
                <w:lang w:val="en-AU"/>
              </w:rPr>
              <w:t xml:space="preserve">Ongoing support for </w:t>
            </w:r>
            <w:proofErr w:type="spellStart"/>
            <w:r w:rsidRPr="00402ED5">
              <w:rPr>
                <w:rFonts w:asciiTheme="minorHAnsi" w:hAnsiTheme="minorHAnsi" w:cstheme="minorHAnsi"/>
                <w:szCs w:val="24"/>
                <w:lang w:val="en-AU"/>
              </w:rPr>
              <w:t>OrganMatch</w:t>
            </w:r>
            <w:proofErr w:type="spellEnd"/>
            <w:r w:rsidRPr="00402ED5">
              <w:rPr>
                <w:rFonts w:asciiTheme="minorHAnsi" w:hAnsiTheme="minorHAnsi" w:cstheme="minorHAnsi"/>
                <w:szCs w:val="24"/>
                <w:lang w:val="en-AU"/>
              </w:rPr>
              <w:t xml:space="preserve"> is required to </w:t>
            </w:r>
            <w:r w:rsidR="0030630F" w:rsidRPr="00402ED5">
              <w:rPr>
                <w:rFonts w:asciiTheme="minorHAnsi" w:hAnsiTheme="minorHAnsi" w:cstheme="minorHAnsi"/>
                <w:szCs w:val="24"/>
                <w:lang w:val="en-AU"/>
              </w:rPr>
              <w:t xml:space="preserve">continue its use and provide for ongoing enhancements that will </w:t>
            </w:r>
            <w:r w:rsidR="0030630F" w:rsidRPr="00402ED5">
              <w:rPr>
                <w:rFonts w:asciiTheme="minorHAnsi" w:hAnsiTheme="minorHAnsi" w:cstheme="minorHAnsi"/>
                <w:szCs w:val="24"/>
                <w:lang w:val="en-GB"/>
              </w:rPr>
              <w:t xml:space="preserve">improve the efficiency and effectiveness of </w:t>
            </w:r>
            <w:r w:rsidR="0030630F" w:rsidRPr="00402ED5">
              <w:rPr>
                <w:rFonts w:asciiTheme="minorHAnsi" w:hAnsiTheme="minorHAnsi" w:cstheme="minorHAnsi"/>
                <w:szCs w:val="24"/>
                <w:lang w:val="en-AU"/>
              </w:rPr>
              <w:t>clinical service delivery.</w:t>
            </w:r>
            <w:r w:rsidRPr="00402ED5">
              <w:rPr>
                <w:rFonts w:asciiTheme="minorHAnsi" w:hAnsiTheme="minorHAnsi" w:cstheme="minorHAnsi"/>
                <w:szCs w:val="24"/>
                <w:lang w:val="en-AU"/>
              </w:rPr>
              <w:t xml:space="preserve"> To support </w:t>
            </w:r>
            <w:r w:rsidR="00685BB8" w:rsidRPr="00402ED5">
              <w:rPr>
                <w:rFonts w:asciiTheme="minorHAnsi" w:hAnsiTheme="minorHAnsi" w:cstheme="minorHAnsi"/>
                <w:szCs w:val="24"/>
                <w:lang w:val="en-AU"/>
              </w:rPr>
              <w:t xml:space="preserve">equitable and </w:t>
            </w:r>
            <w:r w:rsidRPr="00402ED5">
              <w:rPr>
                <w:rFonts w:asciiTheme="minorHAnsi" w:hAnsiTheme="minorHAnsi" w:cstheme="minorHAnsi"/>
                <w:szCs w:val="24"/>
                <w:lang w:val="en-AU"/>
              </w:rPr>
              <w:t xml:space="preserve">optimal patient outcomes, </w:t>
            </w:r>
            <w:proofErr w:type="spellStart"/>
            <w:r w:rsidRPr="00402ED5">
              <w:rPr>
                <w:rFonts w:asciiTheme="minorHAnsi" w:hAnsiTheme="minorHAnsi" w:cstheme="minorHAnsi"/>
                <w:szCs w:val="24"/>
                <w:lang w:val="en-AU"/>
              </w:rPr>
              <w:t>OrganMatch</w:t>
            </w:r>
            <w:proofErr w:type="spellEnd"/>
            <w:r w:rsidRPr="00402ED5">
              <w:rPr>
                <w:rFonts w:asciiTheme="minorHAnsi" w:hAnsiTheme="minorHAnsi" w:cstheme="minorHAnsi"/>
                <w:szCs w:val="24"/>
                <w:lang w:val="en-AU"/>
              </w:rPr>
              <w:t xml:space="preserve"> should be the single national system for real time waitlisting of patients waiting for transplantation.</w:t>
            </w:r>
          </w:p>
          <w:p w14:paraId="283821FC" w14:textId="62EE9EBB" w:rsidR="00BC3E2C" w:rsidRPr="00402ED5" w:rsidRDefault="00BC3E2C" w:rsidP="002921EB">
            <w:pPr>
              <w:keepLines/>
              <w:spacing w:after="120"/>
              <w:rPr>
                <w:rFonts w:asciiTheme="minorHAnsi" w:hAnsiTheme="minorHAnsi" w:cstheme="minorHAnsi"/>
                <w:szCs w:val="24"/>
                <w:lang w:val="en-AU"/>
              </w:rPr>
            </w:pPr>
            <w:r w:rsidRPr="00402ED5">
              <w:rPr>
                <w:rFonts w:asciiTheme="minorHAnsi" w:hAnsiTheme="minorHAnsi" w:cstheme="minorHAnsi"/>
                <w:szCs w:val="24"/>
                <w:lang w:val="en-AU"/>
              </w:rPr>
              <w:t xml:space="preserve">Enhanced </w:t>
            </w:r>
            <w:proofErr w:type="spellStart"/>
            <w:r w:rsidRPr="00402ED5">
              <w:rPr>
                <w:rFonts w:asciiTheme="minorHAnsi" w:hAnsiTheme="minorHAnsi" w:cstheme="minorHAnsi"/>
                <w:szCs w:val="24"/>
                <w:lang w:val="en-AU"/>
              </w:rPr>
              <w:t>OrganMatch</w:t>
            </w:r>
            <w:proofErr w:type="spellEnd"/>
            <w:r w:rsidRPr="00402ED5">
              <w:rPr>
                <w:rFonts w:asciiTheme="minorHAnsi" w:hAnsiTheme="minorHAnsi" w:cstheme="minorHAnsi"/>
                <w:szCs w:val="24"/>
                <w:lang w:val="en-AU"/>
              </w:rPr>
              <w:t xml:space="preserve"> functionality will support other actions in the Strategy that enable optimal matching of donors and recipients; benefit patients and clinicians living and working in rural and remote areas; and support equitable access to transplantation for Aboriginal and Torres Strait Islanders.</w:t>
            </w:r>
          </w:p>
        </w:tc>
      </w:tr>
      <w:tr w:rsidR="00BC3E2C" w:rsidRPr="00402ED5" w14:paraId="679F025F" w14:textId="77777777" w:rsidTr="00AD6DE4">
        <w:trPr>
          <w:cantSplit/>
        </w:trPr>
        <w:tc>
          <w:tcPr>
            <w:tcW w:w="1831" w:type="dxa"/>
          </w:tcPr>
          <w:p w14:paraId="1E844FF5" w14:textId="77777777" w:rsidR="00BC3E2C" w:rsidRPr="00402ED5" w:rsidRDefault="00BC3E2C" w:rsidP="002921EB">
            <w:pPr>
              <w:keepLines/>
              <w:spacing w:after="120"/>
              <w:rPr>
                <w:rFonts w:asciiTheme="minorHAnsi" w:hAnsiTheme="minorHAnsi" w:cstheme="minorHAnsi"/>
                <w:b/>
                <w:szCs w:val="24"/>
              </w:rPr>
            </w:pPr>
            <w:r w:rsidRPr="00402ED5">
              <w:rPr>
                <w:rFonts w:asciiTheme="minorHAnsi" w:hAnsiTheme="minorHAnsi" w:cstheme="minorHAnsi"/>
                <w:b/>
                <w:szCs w:val="24"/>
              </w:rPr>
              <w:t>Implementation</w:t>
            </w:r>
          </w:p>
        </w:tc>
        <w:tc>
          <w:tcPr>
            <w:tcW w:w="7185" w:type="dxa"/>
          </w:tcPr>
          <w:p w14:paraId="54FC2186" w14:textId="52FD97DD" w:rsidR="00EC3201" w:rsidRPr="00402ED5" w:rsidRDefault="00BC3E2C" w:rsidP="002921EB">
            <w:pPr>
              <w:keepLines/>
              <w:spacing w:after="120"/>
              <w:rPr>
                <w:rFonts w:asciiTheme="minorHAnsi" w:hAnsiTheme="minorHAnsi" w:cstheme="minorHAnsi"/>
                <w:bCs/>
                <w:iCs/>
                <w:szCs w:val="24"/>
              </w:rPr>
            </w:pPr>
            <w:bookmarkStart w:id="0" w:name="_Hlk90368937"/>
            <w:r w:rsidRPr="00402ED5">
              <w:rPr>
                <w:rFonts w:asciiTheme="minorHAnsi" w:hAnsiTheme="minorHAnsi" w:cstheme="minorHAnsi"/>
                <w:bCs/>
                <w:iCs/>
                <w:szCs w:val="24"/>
              </w:rPr>
              <w:t>The Commonwealth fund</w:t>
            </w:r>
            <w:r w:rsidR="00E03AC0">
              <w:rPr>
                <w:rFonts w:asciiTheme="minorHAnsi" w:hAnsiTheme="minorHAnsi" w:cstheme="minorHAnsi"/>
                <w:bCs/>
                <w:iCs/>
                <w:szCs w:val="24"/>
              </w:rPr>
              <w:t>s</w:t>
            </w:r>
            <w:r w:rsidRPr="00402ED5">
              <w:rPr>
                <w:rFonts w:asciiTheme="minorHAnsi" w:hAnsiTheme="minorHAnsi" w:cstheme="minorHAnsi"/>
                <w:bCs/>
                <w:iCs/>
                <w:szCs w:val="24"/>
              </w:rPr>
              <w:t xml:space="preserve"> </w:t>
            </w:r>
            <w:proofErr w:type="spellStart"/>
            <w:r w:rsidRPr="00402ED5">
              <w:rPr>
                <w:rFonts w:asciiTheme="minorHAnsi" w:hAnsiTheme="minorHAnsi" w:cstheme="minorHAnsi"/>
                <w:bCs/>
                <w:iCs/>
                <w:szCs w:val="24"/>
              </w:rPr>
              <w:t>OrganMatch</w:t>
            </w:r>
            <w:proofErr w:type="spellEnd"/>
            <w:r w:rsidR="001A2647" w:rsidRPr="00402ED5">
              <w:rPr>
                <w:rFonts w:asciiTheme="minorHAnsi" w:hAnsiTheme="minorHAnsi" w:cstheme="minorHAnsi"/>
                <w:bCs/>
                <w:iCs/>
                <w:szCs w:val="24"/>
              </w:rPr>
              <w:t>. Future funding arrangements will be negotiated and agreed with governments.</w:t>
            </w:r>
            <w:r w:rsidRPr="00402ED5">
              <w:rPr>
                <w:rFonts w:asciiTheme="minorHAnsi" w:hAnsiTheme="minorHAnsi" w:cstheme="minorHAnsi"/>
                <w:bCs/>
                <w:iCs/>
                <w:szCs w:val="24"/>
              </w:rPr>
              <w:t xml:space="preserve"> </w:t>
            </w:r>
            <w:bookmarkEnd w:id="0"/>
          </w:p>
        </w:tc>
      </w:tr>
    </w:tbl>
    <w:p w14:paraId="389BD1F4" w14:textId="77777777" w:rsidR="00BC3E2C" w:rsidRPr="00402ED5" w:rsidRDefault="00BC3E2C" w:rsidP="003A342E">
      <w:pPr>
        <w:widowControl/>
        <w:spacing w:after="160" w:line="276" w:lineRule="auto"/>
        <w:rPr>
          <w:rFonts w:asciiTheme="minorHAnsi" w:hAnsiTheme="minorHAnsi" w:cstheme="minorHAnsi"/>
          <w:sz w:val="22"/>
          <w:szCs w:val="22"/>
        </w:rPr>
      </w:pPr>
    </w:p>
    <w:p w14:paraId="4CD24B0B" w14:textId="77777777" w:rsidR="00BC3E2C" w:rsidRPr="00FF18A1" w:rsidRDefault="00BC3E2C" w:rsidP="003A342E">
      <w:pPr>
        <w:pStyle w:val="Heading2"/>
        <w:spacing w:line="276" w:lineRule="auto"/>
        <w:rPr>
          <w:rFonts w:asciiTheme="minorHAnsi" w:eastAsia="Times New Roman" w:hAnsiTheme="minorHAnsi" w:cstheme="minorHAnsi"/>
          <w:bCs/>
          <w:iCs/>
          <w:color w:val="358189"/>
          <w:sz w:val="28"/>
          <w:szCs w:val="28"/>
        </w:rPr>
      </w:pPr>
      <w:r w:rsidRPr="00FF18A1">
        <w:rPr>
          <w:rFonts w:asciiTheme="minorHAnsi" w:eastAsia="Times New Roman" w:hAnsiTheme="minorHAnsi" w:cstheme="minorHAnsi"/>
          <w:bCs/>
          <w:iCs/>
          <w:color w:val="358189"/>
          <w:sz w:val="28"/>
          <w:szCs w:val="28"/>
        </w:rPr>
        <w:lastRenderedPageBreak/>
        <w:t>4.</w:t>
      </w:r>
      <w:r w:rsidR="006B5D7D" w:rsidRPr="00FF18A1">
        <w:rPr>
          <w:rFonts w:asciiTheme="minorHAnsi" w:eastAsia="Times New Roman" w:hAnsiTheme="minorHAnsi" w:cstheme="minorHAnsi"/>
          <w:bCs/>
          <w:iCs/>
          <w:color w:val="358189"/>
          <w:sz w:val="28"/>
          <w:szCs w:val="28"/>
        </w:rPr>
        <w:t>4</w:t>
      </w:r>
      <w:r w:rsidRPr="00FF18A1">
        <w:rPr>
          <w:rFonts w:asciiTheme="minorHAnsi" w:eastAsia="Times New Roman" w:hAnsiTheme="minorHAnsi" w:cstheme="minorHAnsi"/>
          <w:bCs/>
          <w:iCs/>
          <w:color w:val="358189"/>
          <w:sz w:val="28"/>
          <w:szCs w:val="28"/>
        </w:rPr>
        <w:t xml:space="preserve"> Facilitate eye and tissue sector collaboration</w:t>
      </w:r>
    </w:p>
    <w:tbl>
      <w:tblPr>
        <w:tblStyle w:val="TableGrid"/>
        <w:tblW w:w="0" w:type="auto"/>
        <w:tblLook w:val="04A0" w:firstRow="1" w:lastRow="0" w:firstColumn="1" w:lastColumn="0" w:noHBand="0" w:noVBand="1"/>
      </w:tblPr>
      <w:tblGrid>
        <w:gridCol w:w="1831"/>
        <w:gridCol w:w="7185"/>
      </w:tblGrid>
      <w:tr w:rsidR="00BC3E2C" w:rsidRPr="00402ED5" w14:paraId="65860757" w14:textId="77777777" w:rsidTr="00AD6DE4">
        <w:trPr>
          <w:trHeight w:val="916"/>
        </w:trPr>
        <w:tc>
          <w:tcPr>
            <w:tcW w:w="1831" w:type="dxa"/>
            <w:shd w:val="clear" w:color="auto" w:fill="B3ECEB"/>
          </w:tcPr>
          <w:p w14:paraId="3A95B0D3" w14:textId="77777777" w:rsidR="00BC3E2C" w:rsidRPr="00402ED5" w:rsidRDefault="00BC3E2C" w:rsidP="00ED66DC">
            <w:pPr>
              <w:keepNext/>
              <w:spacing w:after="120"/>
              <w:rPr>
                <w:rFonts w:asciiTheme="minorHAnsi" w:hAnsiTheme="minorHAnsi" w:cstheme="minorHAnsi"/>
                <w:b/>
                <w:szCs w:val="24"/>
              </w:rPr>
            </w:pPr>
            <w:r w:rsidRPr="00402ED5">
              <w:rPr>
                <w:rFonts w:asciiTheme="minorHAnsi" w:hAnsiTheme="minorHAnsi" w:cstheme="minorHAnsi"/>
                <w:b/>
                <w:szCs w:val="24"/>
              </w:rPr>
              <w:t>Action</w:t>
            </w:r>
          </w:p>
        </w:tc>
        <w:tc>
          <w:tcPr>
            <w:tcW w:w="7185" w:type="dxa"/>
            <w:shd w:val="clear" w:color="auto" w:fill="B3ECEB"/>
          </w:tcPr>
          <w:p w14:paraId="1BAD619A" w14:textId="77777777" w:rsidR="00BC3E2C" w:rsidRPr="00402ED5" w:rsidRDefault="00BC3E2C" w:rsidP="00ED66DC">
            <w:pPr>
              <w:keepNext/>
              <w:spacing w:after="120"/>
              <w:rPr>
                <w:rFonts w:asciiTheme="minorHAnsi" w:hAnsiTheme="minorHAnsi" w:cstheme="minorHAnsi"/>
                <w:szCs w:val="24"/>
              </w:rPr>
            </w:pPr>
            <w:r w:rsidRPr="00402ED5">
              <w:rPr>
                <w:rFonts w:asciiTheme="minorHAnsi" w:hAnsiTheme="minorHAnsi" w:cstheme="minorHAnsi"/>
                <w:szCs w:val="24"/>
              </w:rPr>
              <w:t xml:space="preserve">Support further effective engagement between Australian eye and tissue sector stakeholders to collaborate on clinical practice guidelines, professional </w:t>
            </w:r>
            <w:proofErr w:type="gramStart"/>
            <w:r w:rsidRPr="00402ED5">
              <w:rPr>
                <w:rFonts w:asciiTheme="minorHAnsi" w:hAnsiTheme="minorHAnsi" w:cstheme="minorHAnsi"/>
                <w:szCs w:val="24"/>
              </w:rPr>
              <w:t>education</w:t>
            </w:r>
            <w:proofErr w:type="gramEnd"/>
            <w:r w:rsidRPr="00402ED5">
              <w:rPr>
                <w:rFonts w:asciiTheme="minorHAnsi" w:hAnsiTheme="minorHAnsi" w:cstheme="minorHAnsi"/>
                <w:szCs w:val="24"/>
              </w:rPr>
              <w:t xml:space="preserve"> and community awareness initiatives.</w:t>
            </w:r>
          </w:p>
        </w:tc>
      </w:tr>
      <w:tr w:rsidR="00BC3E2C" w:rsidRPr="00402ED5" w14:paraId="1CB5660A" w14:textId="77777777" w:rsidTr="00AD6DE4">
        <w:tc>
          <w:tcPr>
            <w:tcW w:w="1831" w:type="dxa"/>
          </w:tcPr>
          <w:p w14:paraId="61D48FDC" w14:textId="77777777" w:rsidR="00BC3E2C" w:rsidRPr="00402ED5" w:rsidRDefault="00BC3E2C" w:rsidP="00ED66DC">
            <w:pPr>
              <w:keepNext/>
              <w:spacing w:after="120"/>
              <w:rPr>
                <w:rFonts w:asciiTheme="minorHAnsi" w:hAnsiTheme="minorHAnsi" w:cstheme="minorHAnsi"/>
                <w:b/>
                <w:szCs w:val="24"/>
              </w:rPr>
            </w:pPr>
            <w:r w:rsidRPr="00402ED5">
              <w:rPr>
                <w:rFonts w:asciiTheme="minorHAnsi" w:hAnsiTheme="minorHAnsi" w:cstheme="minorHAnsi"/>
                <w:b/>
                <w:szCs w:val="24"/>
              </w:rPr>
              <w:t xml:space="preserve">Rationale for early action </w:t>
            </w:r>
          </w:p>
        </w:tc>
        <w:tc>
          <w:tcPr>
            <w:tcW w:w="7185" w:type="dxa"/>
          </w:tcPr>
          <w:p w14:paraId="329FE368" w14:textId="77777777" w:rsidR="00BC3E2C" w:rsidRPr="00402ED5" w:rsidRDefault="00BC3E2C" w:rsidP="00ED66DC">
            <w:pPr>
              <w:keepNext/>
              <w:spacing w:after="120"/>
              <w:rPr>
                <w:rFonts w:asciiTheme="minorHAnsi" w:hAnsiTheme="minorHAnsi" w:cstheme="minorHAnsi"/>
                <w:szCs w:val="24"/>
                <w:lang w:val="en-AU"/>
              </w:rPr>
            </w:pPr>
            <w:r w:rsidRPr="00402ED5">
              <w:rPr>
                <w:rFonts w:asciiTheme="minorHAnsi" w:hAnsiTheme="minorHAnsi" w:cstheme="minorHAnsi"/>
                <w:szCs w:val="24"/>
                <w:lang w:val="en-AU"/>
              </w:rPr>
              <w:t>All Australian governments recognise that engagement between Australian eye</w:t>
            </w:r>
            <w:r w:rsidR="006D0BA2" w:rsidRPr="00402ED5">
              <w:rPr>
                <w:rFonts w:asciiTheme="minorHAnsi" w:hAnsiTheme="minorHAnsi" w:cstheme="minorHAnsi"/>
                <w:szCs w:val="24"/>
                <w:lang w:val="en-AU"/>
              </w:rPr>
              <w:t xml:space="preserve"> and tissue sector stakeholders</w:t>
            </w:r>
            <w:r w:rsidRPr="00402ED5">
              <w:rPr>
                <w:rFonts w:asciiTheme="minorHAnsi" w:hAnsiTheme="minorHAnsi" w:cstheme="minorHAnsi"/>
                <w:szCs w:val="24"/>
                <w:lang w:val="en-AU"/>
              </w:rPr>
              <w:t xml:space="preserve"> is vital to the ongoing viability and sustainability of the sector, </w:t>
            </w:r>
            <w:r w:rsidR="00690B9B" w:rsidRPr="00402ED5">
              <w:rPr>
                <w:rFonts w:asciiTheme="minorHAnsi" w:hAnsiTheme="minorHAnsi" w:cstheme="minorHAnsi"/>
                <w:szCs w:val="24"/>
                <w:lang w:val="en-AU"/>
              </w:rPr>
              <w:t>so</w:t>
            </w:r>
            <w:r w:rsidRPr="00402ED5">
              <w:rPr>
                <w:rFonts w:asciiTheme="minorHAnsi" w:hAnsiTheme="minorHAnsi" w:cstheme="minorHAnsi"/>
                <w:szCs w:val="24"/>
                <w:lang w:val="en-AU"/>
              </w:rPr>
              <w:t xml:space="preserve"> that Australians have access to </w:t>
            </w:r>
            <w:proofErr w:type="gramStart"/>
            <w:r w:rsidRPr="00402ED5">
              <w:rPr>
                <w:rFonts w:asciiTheme="minorHAnsi" w:hAnsiTheme="minorHAnsi" w:cstheme="minorHAnsi"/>
                <w:szCs w:val="24"/>
                <w:lang w:val="en-AU"/>
              </w:rPr>
              <w:t>clinically-appropriate</w:t>
            </w:r>
            <w:proofErr w:type="gramEnd"/>
            <w:r w:rsidRPr="00402ED5">
              <w:rPr>
                <w:rFonts w:asciiTheme="minorHAnsi" w:hAnsiTheme="minorHAnsi" w:cstheme="minorHAnsi"/>
                <w:szCs w:val="24"/>
                <w:lang w:val="en-AU"/>
              </w:rPr>
              <w:t xml:space="preserve"> tissue and tissue-based products.  </w:t>
            </w:r>
          </w:p>
          <w:p w14:paraId="3AE3E99E" w14:textId="774473A1" w:rsidR="00BC3E2C" w:rsidRPr="00402ED5" w:rsidRDefault="00BC3E2C" w:rsidP="00ED66DC">
            <w:pPr>
              <w:keepNext/>
              <w:spacing w:after="120"/>
              <w:rPr>
                <w:rFonts w:asciiTheme="minorHAnsi" w:hAnsiTheme="minorHAnsi" w:cstheme="minorHAnsi"/>
                <w:szCs w:val="24"/>
                <w:lang w:val="en-AU"/>
              </w:rPr>
            </w:pPr>
            <w:r w:rsidRPr="00402ED5">
              <w:rPr>
                <w:rFonts w:asciiTheme="minorHAnsi" w:hAnsiTheme="minorHAnsi" w:cstheme="minorHAnsi"/>
                <w:szCs w:val="24"/>
                <w:lang w:val="en-AU"/>
              </w:rPr>
              <w:t xml:space="preserve">The OTA’s </w:t>
            </w:r>
            <w:r w:rsidRPr="00402ED5">
              <w:rPr>
                <w:rFonts w:asciiTheme="minorHAnsi" w:hAnsiTheme="minorHAnsi" w:cstheme="minorHAnsi"/>
                <w:szCs w:val="24"/>
              </w:rPr>
              <w:t xml:space="preserve">Eye and Tissue Advisory Committee (ETAC) </w:t>
            </w:r>
            <w:r w:rsidRPr="00402ED5">
              <w:rPr>
                <w:rFonts w:asciiTheme="minorHAnsi" w:hAnsiTheme="minorHAnsi" w:cstheme="minorHAnsi"/>
                <w:szCs w:val="24"/>
                <w:lang w:val="en-AU"/>
              </w:rPr>
              <w:t>comprises all Australian eye and tissue banks</w:t>
            </w:r>
            <w:r w:rsidR="00002BA0" w:rsidRPr="00402ED5">
              <w:rPr>
                <w:rFonts w:asciiTheme="minorHAnsi" w:hAnsiTheme="minorHAnsi" w:cstheme="minorHAnsi"/>
                <w:szCs w:val="24"/>
                <w:lang w:val="en-AU"/>
              </w:rPr>
              <w:t xml:space="preserve">, </w:t>
            </w:r>
            <w:proofErr w:type="gramStart"/>
            <w:r w:rsidR="00002BA0" w:rsidRPr="00402ED5">
              <w:rPr>
                <w:rFonts w:asciiTheme="minorHAnsi" w:hAnsiTheme="minorHAnsi" w:cstheme="minorHAnsi"/>
                <w:szCs w:val="24"/>
                <w:lang w:val="en-AU"/>
              </w:rPr>
              <w:t>professionals</w:t>
            </w:r>
            <w:proofErr w:type="gramEnd"/>
            <w:r w:rsidR="00002BA0" w:rsidRPr="00402ED5">
              <w:rPr>
                <w:rFonts w:asciiTheme="minorHAnsi" w:hAnsiTheme="minorHAnsi" w:cstheme="minorHAnsi"/>
                <w:szCs w:val="24"/>
                <w:lang w:val="en-AU"/>
              </w:rPr>
              <w:t xml:space="preserve"> associations</w:t>
            </w:r>
            <w:r w:rsidRPr="00402ED5">
              <w:rPr>
                <w:rFonts w:asciiTheme="minorHAnsi" w:hAnsiTheme="minorHAnsi" w:cstheme="minorHAnsi"/>
                <w:szCs w:val="24"/>
                <w:lang w:val="en-AU"/>
              </w:rPr>
              <w:t xml:space="preserve"> and representatives of the Commonwealth Department of Health</w:t>
            </w:r>
            <w:r w:rsidR="00144889" w:rsidRPr="00402ED5">
              <w:rPr>
                <w:rFonts w:asciiTheme="minorHAnsi" w:hAnsiTheme="minorHAnsi" w:cstheme="minorHAnsi"/>
                <w:szCs w:val="24"/>
                <w:lang w:val="en-AU"/>
              </w:rPr>
              <w:t>, including the Therapeutic Goods Administration (TGA)</w:t>
            </w:r>
            <w:r w:rsidR="00275643" w:rsidRPr="00402ED5">
              <w:rPr>
                <w:rFonts w:asciiTheme="minorHAnsi" w:hAnsiTheme="minorHAnsi" w:cstheme="minorHAnsi"/>
                <w:szCs w:val="24"/>
                <w:lang w:val="en-AU"/>
              </w:rPr>
              <w:t xml:space="preserve"> </w:t>
            </w:r>
            <w:r w:rsidR="00EF5D0E" w:rsidRPr="00402ED5">
              <w:rPr>
                <w:rFonts w:asciiTheme="minorHAnsi" w:hAnsiTheme="minorHAnsi" w:cstheme="minorHAnsi"/>
                <w:szCs w:val="24"/>
                <w:lang w:val="en-AU"/>
              </w:rPr>
              <w:t>who have responsibility for the safety, quality and efficacy of the Australian eye and tissue banking sector under the Regulatory Framework for Biologicals</w:t>
            </w:r>
            <w:r w:rsidR="000D27C4" w:rsidRPr="00402ED5">
              <w:rPr>
                <w:rFonts w:asciiTheme="minorHAnsi" w:hAnsiTheme="minorHAnsi" w:cstheme="minorHAnsi"/>
                <w:szCs w:val="24"/>
                <w:lang w:val="en-AU"/>
              </w:rPr>
              <w:t>.</w:t>
            </w:r>
          </w:p>
          <w:p w14:paraId="54862E42" w14:textId="77777777" w:rsidR="00BC3E2C" w:rsidRPr="00402ED5" w:rsidRDefault="00BC3E2C" w:rsidP="00ED66DC">
            <w:pPr>
              <w:keepNext/>
              <w:spacing w:after="120"/>
              <w:rPr>
                <w:rFonts w:asciiTheme="minorHAnsi" w:hAnsiTheme="minorHAnsi" w:cstheme="minorHAnsi"/>
                <w:szCs w:val="24"/>
              </w:rPr>
            </w:pPr>
            <w:r w:rsidRPr="00402ED5">
              <w:rPr>
                <w:rFonts w:asciiTheme="minorHAnsi" w:hAnsiTheme="minorHAnsi" w:cstheme="minorHAnsi"/>
                <w:szCs w:val="24"/>
                <w:lang w:val="en-AU"/>
              </w:rPr>
              <w:t xml:space="preserve">The ETAC is well established and facilitates collaboration and advice on new and emerging issues in the eye and tissue sector. Continued support for the ETAC will enable </w:t>
            </w:r>
            <w:r w:rsidR="0005713E" w:rsidRPr="00402ED5">
              <w:rPr>
                <w:rFonts w:asciiTheme="minorHAnsi" w:hAnsiTheme="minorHAnsi" w:cstheme="minorHAnsi"/>
                <w:szCs w:val="24"/>
                <w:lang w:val="en-AU"/>
              </w:rPr>
              <w:t xml:space="preserve">ongoing </w:t>
            </w:r>
            <w:r w:rsidRPr="00402ED5">
              <w:rPr>
                <w:rFonts w:asciiTheme="minorHAnsi" w:hAnsiTheme="minorHAnsi" w:cstheme="minorHAnsi"/>
                <w:szCs w:val="24"/>
                <w:lang w:val="en-AU"/>
              </w:rPr>
              <w:t xml:space="preserve">sector collaboration and advice in the development, review and delivery of clinical practice guidelines, professional </w:t>
            </w:r>
            <w:proofErr w:type="gramStart"/>
            <w:r w:rsidRPr="00402ED5">
              <w:rPr>
                <w:rFonts w:asciiTheme="minorHAnsi" w:hAnsiTheme="minorHAnsi" w:cstheme="minorHAnsi"/>
                <w:szCs w:val="24"/>
                <w:lang w:val="en-AU"/>
              </w:rPr>
              <w:t>education</w:t>
            </w:r>
            <w:proofErr w:type="gramEnd"/>
            <w:r w:rsidRPr="00402ED5">
              <w:rPr>
                <w:rFonts w:asciiTheme="minorHAnsi" w:hAnsiTheme="minorHAnsi" w:cstheme="minorHAnsi"/>
                <w:szCs w:val="24"/>
                <w:lang w:val="en-AU"/>
              </w:rPr>
              <w:t xml:space="preserve"> and community awareness. </w:t>
            </w:r>
          </w:p>
          <w:p w14:paraId="3AA98E57" w14:textId="77777777" w:rsidR="00BC3E2C" w:rsidRPr="00402ED5" w:rsidRDefault="00BC3E2C" w:rsidP="00ED66DC">
            <w:pPr>
              <w:keepNext/>
              <w:spacing w:after="120"/>
              <w:rPr>
                <w:rFonts w:asciiTheme="minorHAnsi" w:hAnsiTheme="minorHAnsi" w:cstheme="minorHAnsi"/>
                <w:szCs w:val="24"/>
              </w:rPr>
            </w:pPr>
            <w:r w:rsidRPr="00402ED5">
              <w:rPr>
                <w:rFonts w:asciiTheme="minorHAnsi" w:hAnsiTheme="minorHAnsi" w:cstheme="minorHAnsi"/>
                <w:szCs w:val="24"/>
              </w:rPr>
              <w:t xml:space="preserve">Key future areas to be progressed with the ETAC include: </w:t>
            </w:r>
          </w:p>
          <w:p w14:paraId="15C67CD2" w14:textId="77777777" w:rsidR="00BC3E2C" w:rsidRPr="00402ED5" w:rsidRDefault="00BC3E2C" w:rsidP="00ED66DC">
            <w:pPr>
              <w:pStyle w:val="ListParagraph"/>
              <w:keepNext/>
              <w:numPr>
                <w:ilvl w:val="0"/>
                <w:numId w:val="26"/>
              </w:numPr>
              <w:spacing w:after="120"/>
              <w:rPr>
                <w:rFonts w:asciiTheme="minorHAnsi" w:hAnsiTheme="minorHAnsi" w:cstheme="minorHAnsi"/>
                <w:sz w:val="24"/>
                <w:szCs w:val="24"/>
              </w:rPr>
            </w:pPr>
            <w:r w:rsidRPr="00402ED5">
              <w:rPr>
                <w:rFonts w:asciiTheme="minorHAnsi" w:hAnsiTheme="minorHAnsi" w:cstheme="minorHAnsi"/>
                <w:sz w:val="24"/>
                <w:szCs w:val="24"/>
              </w:rPr>
              <w:t xml:space="preserve">Supporting the TGA to review the Therapeutic Good Orders with a view to increasing the number of eye and tissue donations </w:t>
            </w:r>
          </w:p>
          <w:p w14:paraId="7AAF3643" w14:textId="5083269B" w:rsidR="00BC3E2C" w:rsidRPr="00402ED5" w:rsidRDefault="0005713E" w:rsidP="00ED66DC">
            <w:pPr>
              <w:pStyle w:val="ListParagraph"/>
              <w:numPr>
                <w:ilvl w:val="0"/>
                <w:numId w:val="26"/>
              </w:numPr>
              <w:spacing w:after="120"/>
              <w:rPr>
                <w:rFonts w:asciiTheme="minorHAnsi" w:hAnsiTheme="minorHAnsi" w:cstheme="minorHAnsi"/>
                <w:sz w:val="24"/>
                <w:szCs w:val="24"/>
              </w:rPr>
            </w:pPr>
            <w:r w:rsidRPr="00402ED5">
              <w:rPr>
                <w:rFonts w:asciiTheme="minorHAnsi" w:hAnsiTheme="minorHAnsi" w:cstheme="minorHAnsi"/>
                <w:sz w:val="24"/>
                <w:szCs w:val="24"/>
              </w:rPr>
              <w:t xml:space="preserve">Providing advice on </w:t>
            </w:r>
            <w:r w:rsidR="00BC3E2C" w:rsidRPr="00402ED5">
              <w:rPr>
                <w:rFonts w:asciiTheme="minorHAnsi" w:hAnsiTheme="minorHAnsi" w:cstheme="minorHAnsi"/>
                <w:sz w:val="24"/>
                <w:szCs w:val="24"/>
              </w:rPr>
              <w:t>national arrangements</w:t>
            </w:r>
            <w:r w:rsidR="007A3C8F" w:rsidRPr="00402ED5">
              <w:rPr>
                <w:rFonts w:asciiTheme="minorHAnsi" w:hAnsiTheme="minorHAnsi" w:cstheme="minorHAnsi"/>
                <w:sz w:val="24"/>
                <w:szCs w:val="24"/>
              </w:rPr>
              <w:t xml:space="preserve"> </w:t>
            </w:r>
            <w:r w:rsidRPr="00402ED5">
              <w:rPr>
                <w:rFonts w:asciiTheme="minorHAnsi" w:hAnsiTheme="minorHAnsi" w:cstheme="minorHAnsi"/>
                <w:sz w:val="24"/>
                <w:szCs w:val="24"/>
              </w:rPr>
              <w:t>to</w:t>
            </w:r>
            <w:r w:rsidR="00E03AC0">
              <w:rPr>
                <w:rFonts w:asciiTheme="minorHAnsi" w:hAnsiTheme="minorHAnsi" w:cstheme="minorHAnsi"/>
                <w:sz w:val="24"/>
                <w:szCs w:val="24"/>
              </w:rPr>
              <w:t xml:space="preserve"> the </w:t>
            </w:r>
            <w:r w:rsidR="007A3C8F" w:rsidRPr="00402ED5">
              <w:rPr>
                <w:rFonts w:asciiTheme="minorHAnsi" w:hAnsiTheme="minorHAnsi" w:cstheme="minorHAnsi"/>
                <w:sz w:val="24"/>
                <w:szCs w:val="24"/>
              </w:rPr>
              <w:t xml:space="preserve">National </w:t>
            </w:r>
            <w:r w:rsidR="00E03AC0">
              <w:rPr>
                <w:rFonts w:asciiTheme="minorHAnsi" w:hAnsiTheme="minorHAnsi" w:cstheme="minorHAnsi"/>
                <w:sz w:val="24"/>
                <w:szCs w:val="24"/>
              </w:rPr>
              <w:t>Incident Room on</w:t>
            </w:r>
            <w:r w:rsidR="00BC3E2C" w:rsidRPr="00402ED5">
              <w:rPr>
                <w:rFonts w:asciiTheme="minorHAnsi" w:hAnsiTheme="minorHAnsi" w:cstheme="minorHAnsi"/>
                <w:sz w:val="24"/>
                <w:szCs w:val="24"/>
              </w:rPr>
              <w:t xml:space="preserve"> skin supply in Australia </w:t>
            </w:r>
            <w:r w:rsidR="00E03AC0">
              <w:rPr>
                <w:rFonts w:asciiTheme="minorHAnsi" w:hAnsiTheme="minorHAnsi" w:cstheme="minorHAnsi"/>
                <w:sz w:val="24"/>
                <w:szCs w:val="24"/>
              </w:rPr>
              <w:t>for</w:t>
            </w:r>
            <w:r w:rsidR="00BC3E2C" w:rsidRPr="00402ED5">
              <w:rPr>
                <w:rFonts w:asciiTheme="minorHAnsi" w:hAnsiTheme="minorHAnsi" w:cstheme="minorHAnsi"/>
                <w:sz w:val="24"/>
                <w:szCs w:val="24"/>
              </w:rPr>
              <w:t xml:space="preserve"> extraordinary and emergency supply</w:t>
            </w:r>
            <w:r w:rsidR="00E03AC0">
              <w:rPr>
                <w:rFonts w:asciiTheme="minorHAnsi" w:hAnsiTheme="minorHAnsi" w:cstheme="minorHAnsi"/>
                <w:sz w:val="24"/>
                <w:szCs w:val="24"/>
              </w:rPr>
              <w:t xml:space="preserve"> (significant events and disasters).</w:t>
            </w:r>
            <w:r w:rsidR="00BC3E2C" w:rsidRPr="00402ED5">
              <w:rPr>
                <w:rFonts w:asciiTheme="minorHAnsi" w:hAnsiTheme="minorHAnsi" w:cstheme="minorHAnsi"/>
                <w:sz w:val="24"/>
                <w:szCs w:val="24"/>
              </w:rPr>
              <w:t xml:space="preserve"> </w:t>
            </w:r>
          </w:p>
          <w:p w14:paraId="574EC41A" w14:textId="1262139B" w:rsidR="00BC3E2C" w:rsidRPr="00402ED5" w:rsidRDefault="00BC3E2C" w:rsidP="00ED66DC">
            <w:pPr>
              <w:pStyle w:val="ListParagraph"/>
              <w:numPr>
                <w:ilvl w:val="0"/>
                <w:numId w:val="26"/>
              </w:numPr>
              <w:spacing w:after="120"/>
              <w:rPr>
                <w:rFonts w:asciiTheme="minorHAnsi" w:hAnsiTheme="minorHAnsi" w:cstheme="minorHAnsi"/>
                <w:sz w:val="24"/>
                <w:szCs w:val="24"/>
              </w:rPr>
            </w:pPr>
            <w:r w:rsidRPr="00402ED5">
              <w:rPr>
                <w:rFonts w:asciiTheme="minorHAnsi" w:hAnsiTheme="minorHAnsi" w:cstheme="minorHAnsi"/>
                <w:sz w:val="24"/>
                <w:szCs w:val="24"/>
              </w:rPr>
              <w:t xml:space="preserve">Review the ‘Emerging, Re-emerging and Emerged Infectious Diseases (EREEID) Program’ for the eye and tissue sector </w:t>
            </w:r>
          </w:p>
          <w:p w14:paraId="03C5EE1E" w14:textId="77777777" w:rsidR="00BC3E2C" w:rsidRPr="00402ED5" w:rsidRDefault="00BC3E2C" w:rsidP="00ED66DC">
            <w:pPr>
              <w:pStyle w:val="ListParagraph"/>
              <w:keepNext/>
              <w:numPr>
                <w:ilvl w:val="0"/>
                <w:numId w:val="26"/>
              </w:numPr>
              <w:spacing w:after="120"/>
              <w:rPr>
                <w:rFonts w:asciiTheme="minorHAnsi" w:hAnsiTheme="minorHAnsi" w:cstheme="minorHAnsi"/>
                <w:sz w:val="24"/>
                <w:szCs w:val="24"/>
              </w:rPr>
            </w:pPr>
            <w:r w:rsidRPr="00402ED5">
              <w:rPr>
                <w:rFonts w:asciiTheme="minorHAnsi" w:hAnsiTheme="minorHAnsi" w:cstheme="minorHAnsi"/>
                <w:sz w:val="24"/>
                <w:szCs w:val="24"/>
              </w:rPr>
              <w:t xml:space="preserve">Increasing awareness of eye and tissue donation in the community </w:t>
            </w:r>
          </w:p>
          <w:p w14:paraId="2859EBBC" w14:textId="4572A0BC" w:rsidR="00BC3E2C" w:rsidRPr="005F2438" w:rsidRDefault="00BC3E2C" w:rsidP="005F2438">
            <w:pPr>
              <w:pStyle w:val="ListParagraph"/>
              <w:keepNext/>
              <w:numPr>
                <w:ilvl w:val="0"/>
                <w:numId w:val="26"/>
              </w:numPr>
              <w:spacing w:after="120"/>
              <w:rPr>
                <w:rFonts w:asciiTheme="minorHAnsi" w:hAnsiTheme="minorHAnsi" w:cstheme="minorHAnsi"/>
                <w:sz w:val="24"/>
                <w:szCs w:val="24"/>
              </w:rPr>
            </w:pPr>
            <w:r w:rsidRPr="00402ED5">
              <w:rPr>
                <w:rFonts w:asciiTheme="minorHAnsi" w:hAnsiTheme="minorHAnsi" w:cstheme="minorHAnsi"/>
                <w:sz w:val="24"/>
                <w:szCs w:val="24"/>
                <w:lang w:val="en-US"/>
              </w:rPr>
              <w:t xml:space="preserve">Providing </w:t>
            </w:r>
            <w:r w:rsidR="00DF34A5" w:rsidRPr="00402ED5">
              <w:rPr>
                <w:rFonts w:asciiTheme="minorHAnsi" w:hAnsiTheme="minorHAnsi" w:cstheme="minorHAnsi"/>
                <w:sz w:val="24"/>
                <w:szCs w:val="24"/>
                <w:lang w:val="en-US"/>
              </w:rPr>
              <w:t xml:space="preserve">advice on </w:t>
            </w:r>
            <w:r w:rsidRPr="00402ED5">
              <w:rPr>
                <w:rFonts w:asciiTheme="minorHAnsi" w:hAnsiTheme="minorHAnsi" w:cstheme="minorHAnsi"/>
                <w:sz w:val="24"/>
                <w:szCs w:val="24"/>
                <w:lang w:val="en-US"/>
              </w:rPr>
              <w:t xml:space="preserve">education and training </w:t>
            </w:r>
            <w:r w:rsidR="008D2634">
              <w:rPr>
                <w:rFonts w:asciiTheme="minorHAnsi" w:hAnsiTheme="minorHAnsi" w:cstheme="minorHAnsi"/>
                <w:sz w:val="24"/>
                <w:szCs w:val="24"/>
                <w:lang w:val="en-US"/>
              </w:rPr>
              <w:t xml:space="preserve">for the </w:t>
            </w:r>
            <w:proofErr w:type="spellStart"/>
            <w:r w:rsidR="008D2634">
              <w:rPr>
                <w:rFonts w:asciiTheme="minorHAnsi" w:hAnsiTheme="minorHAnsi" w:cstheme="minorHAnsi"/>
                <w:sz w:val="24"/>
                <w:szCs w:val="24"/>
                <w:lang w:val="en-US"/>
              </w:rPr>
              <w:t>DonateLife</w:t>
            </w:r>
            <w:proofErr w:type="spellEnd"/>
            <w:r w:rsidR="008D2634">
              <w:rPr>
                <w:rFonts w:asciiTheme="minorHAnsi" w:hAnsiTheme="minorHAnsi" w:cstheme="minorHAnsi"/>
                <w:sz w:val="24"/>
                <w:szCs w:val="24"/>
                <w:lang w:val="en-US"/>
              </w:rPr>
              <w:t xml:space="preserve"> network </w:t>
            </w:r>
            <w:r w:rsidRPr="00402ED5">
              <w:rPr>
                <w:rFonts w:asciiTheme="minorHAnsi" w:hAnsiTheme="minorHAnsi" w:cstheme="minorHAnsi"/>
                <w:sz w:val="24"/>
                <w:szCs w:val="24"/>
                <w:lang w:val="en-US"/>
              </w:rPr>
              <w:t>to support clinical best practice eye and tissue donation services</w:t>
            </w:r>
            <w:r w:rsidR="007B2EB5" w:rsidRPr="00402ED5">
              <w:rPr>
                <w:rFonts w:asciiTheme="minorHAnsi" w:hAnsiTheme="minorHAnsi" w:cstheme="minorHAnsi"/>
                <w:sz w:val="24"/>
                <w:szCs w:val="24"/>
                <w:lang w:val="en-US"/>
              </w:rPr>
              <w:t xml:space="preserve"> for deceased donors</w:t>
            </w:r>
            <w:r w:rsidR="008D2634">
              <w:rPr>
                <w:rFonts w:asciiTheme="minorHAnsi" w:hAnsiTheme="minorHAnsi" w:cstheme="minorHAnsi"/>
                <w:sz w:val="24"/>
                <w:szCs w:val="24"/>
                <w:lang w:val="en-US"/>
              </w:rPr>
              <w:t xml:space="preserve"> in hospitals.</w:t>
            </w:r>
          </w:p>
        </w:tc>
      </w:tr>
      <w:tr w:rsidR="00BC3E2C" w:rsidRPr="00402ED5" w14:paraId="44284FCB" w14:textId="77777777" w:rsidTr="00AD6DE4">
        <w:tc>
          <w:tcPr>
            <w:tcW w:w="1831" w:type="dxa"/>
          </w:tcPr>
          <w:p w14:paraId="76183FD5" w14:textId="145287DC" w:rsidR="00BC3E2C" w:rsidRPr="00402ED5" w:rsidRDefault="00BC3E2C" w:rsidP="003A342E">
            <w:pPr>
              <w:spacing w:after="120" w:line="276" w:lineRule="auto"/>
              <w:rPr>
                <w:rFonts w:asciiTheme="minorHAnsi" w:hAnsiTheme="minorHAnsi" w:cstheme="minorHAnsi"/>
                <w:b/>
                <w:szCs w:val="24"/>
              </w:rPr>
            </w:pPr>
            <w:r w:rsidRPr="00402ED5">
              <w:rPr>
                <w:rFonts w:asciiTheme="minorHAnsi" w:hAnsiTheme="minorHAnsi" w:cstheme="minorHAnsi"/>
                <w:b/>
                <w:szCs w:val="24"/>
              </w:rPr>
              <w:t>Implementation</w:t>
            </w:r>
          </w:p>
        </w:tc>
        <w:tc>
          <w:tcPr>
            <w:tcW w:w="7185" w:type="dxa"/>
          </w:tcPr>
          <w:p w14:paraId="1B55C30B" w14:textId="649FBC29" w:rsidR="00BC3E2C" w:rsidRPr="00402ED5" w:rsidRDefault="00BC3E2C" w:rsidP="0035617C">
            <w:pPr>
              <w:spacing w:after="120"/>
              <w:rPr>
                <w:rFonts w:asciiTheme="minorHAnsi" w:hAnsiTheme="minorHAnsi" w:cstheme="minorHAnsi"/>
                <w:szCs w:val="24"/>
              </w:rPr>
            </w:pPr>
            <w:r w:rsidRPr="00402ED5">
              <w:rPr>
                <w:rFonts w:asciiTheme="minorHAnsi" w:hAnsiTheme="minorHAnsi" w:cstheme="minorHAnsi"/>
                <w:szCs w:val="24"/>
              </w:rPr>
              <w:t>The OTA will continue</w:t>
            </w:r>
            <w:r w:rsidR="00690B9B" w:rsidRPr="00402ED5">
              <w:rPr>
                <w:rFonts w:asciiTheme="minorHAnsi" w:hAnsiTheme="minorHAnsi" w:cstheme="minorHAnsi"/>
                <w:szCs w:val="24"/>
              </w:rPr>
              <w:t xml:space="preserve"> to</w:t>
            </w:r>
            <w:r w:rsidRPr="00402ED5">
              <w:rPr>
                <w:rFonts w:asciiTheme="minorHAnsi" w:hAnsiTheme="minorHAnsi" w:cstheme="minorHAnsi"/>
                <w:szCs w:val="24"/>
              </w:rPr>
              <w:t xml:space="preserve"> support the ETAC to progress </w:t>
            </w:r>
            <w:r w:rsidR="001E7119" w:rsidRPr="00402ED5">
              <w:rPr>
                <w:rFonts w:asciiTheme="minorHAnsi" w:hAnsiTheme="minorHAnsi" w:cstheme="minorHAnsi"/>
                <w:szCs w:val="24"/>
              </w:rPr>
              <w:t xml:space="preserve">relevant elements of the </w:t>
            </w:r>
            <w:r w:rsidRPr="00402ED5">
              <w:rPr>
                <w:rFonts w:asciiTheme="minorHAnsi" w:hAnsiTheme="minorHAnsi" w:cstheme="minorHAnsi"/>
                <w:szCs w:val="24"/>
              </w:rPr>
              <w:t xml:space="preserve">Framework and provide the national forum for collaboration and consultation on key issues for the sector. </w:t>
            </w:r>
          </w:p>
        </w:tc>
      </w:tr>
    </w:tbl>
    <w:p w14:paraId="1B6BD72D" w14:textId="77777777" w:rsidR="00BC3E2C" w:rsidRPr="00402ED5" w:rsidRDefault="00BC3E2C" w:rsidP="00ED66DC">
      <w:pPr>
        <w:spacing w:line="276" w:lineRule="auto"/>
        <w:rPr>
          <w:rFonts w:asciiTheme="minorHAnsi" w:hAnsiTheme="minorHAnsi" w:cstheme="minorHAnsi"/>
          <w:sz w:val="22"/>
          <w:szCs w:val="22"/>
        </w:rPr>
      </w:pPr>
    </w:p>
    <w:sectPr w:rsidR="00BC3E2C" w:rsidRPr="00402ED5" w:rsidSect="000C3598">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E6B18" w14:textId="77777777" w:rsidR="00D76A40" w:rsidRDefault="00D76A40" w:rsidP="00931CA8">
      <w:r>
        <w:separator/>
      </w:r>
    </w:p>
  </w:endnote>
  <w:endnote w:type="continuationSeparator" w:id="0">
    <w:p w14:paraId="6DC099F0" w14:textId="77777777" w:rsidR="00D76A40" w:rsidRDefault="00D76A40" w:rsidP="00931CA8">
      <w:r>
        <w:continuationSeparator/>
      </w:r>
    </w:p>
  </w:endnote>
  <w:endnote w:type="continuationNotice" w:id="1">
    <w:p w14:paraId="450A46A8" w14:textId="77777777" w:rsidR="00D76A40" w:rsidRDefault="00D76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880614"/>
      <w:docPartObj>
        <w:docPartGallery w:val="Page Numbers (Bottom of Page)"/>
        <w:docPartUnique/>
      </w:docPartObj>
    </w:sdtPr>
    <w:sdtEndPr>
      <w:rPr>
        <w:noProof/>
      </w:rPr>
    </w:sdtEndPr>
    <w:sdtContent>
      <w:p w14:paraId="034EDA10" w14:textId="6AC5F8E1" w:rsidR="00AD6DE4" w:rsidRDefault="00AD6DE4">
        <w:pPr>
          <w:pStyle w:val="Footer"/>
          <w:jc w:val="right"/>
        </w:pPr>
        <w:r>
          <w:fldChar w:fldCharType="begin"/>
        </w:r>
        <w:r>
          <w:instrText xml:space="preserve"> PAGE   \* MERGEFORMAT </w:instrText>
        </w:r>
        <w:r>
          <w:fldChar w:fldCharType="separate"/>
        </w:r>
        <w:r w:rsidR="00B953D0">
          <w:rPr>
            <w:noProof/>
          </w:rPr>
          <w:t>6</w:t>
        </w:r>
        <w:r>
          <w:rPr>
            <w:noProof/>
          </w:rPr>
          <w:fldChar w:fldCharType="end"/>
        </w:r>
      </w:p>
    </w:sdtContent>
  </w:sdt>
  <w:p w14:paraId="031059C1" w14:textId="77777777" w:rsidR="00AD6DE4" w:rsidRDefault="00AD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2A7B6" w14:textId="77777777" w:rsidR="00D76A40" w:rsidRDefault="00D76A40" w:rsidP="00931CA8">
      <w:r>
        <w:separator/>
      </w:r>
    </w:p>
  </w:footnote>
  <w:footnote w:type="continuationSeparator" w:id="0">
    <w:p w14:paraId="47617E01" w14:textId="77777777" w:rsidR="00D76A40" w:rsidRDefault="00D76A40" w:rsidP="00931CA8">
      <w:r>
        <w:continuationSeparator/>
      </w:r>
    </w:p>
  </w:footnote>
  <w:footnote w:type="continuationNotice" w:id="1">
    <w:p w14:paraId="646275E5" w14:textId="77777777" w:rsidR="00D76A40" w:rsidRDefault="00D76A40"/>
  </w:footnote>
  <w:footnote w:id="2">
    <w:p w14:paraId="1F874A11" w14:textId="77777777" w:rsidR="007A7BB2" w:rsidRPr="008C729B" w:rsidRDefault="007A7BB2" w:rsidP="007A7BB2">
      <w:pPr>
        <w:pStyle w:val="Default"/>
        <w:rPr>
          <w:rFonts w:asciiTheme="minorHAnsi" w:hAnsiTheme="minorHAnsi" w:cstheme="minorHAnsi"/>
          <w:sz w:val="20"/>
          <w:szCs w:val="20"/>
        </w:rPr>
      </w:pPr>
      <w:r w:rsidRPr="008C729B">
        <w:rPr>
          <w:rStyle w:val="FootnoteReference"/>
          <w:rFonts w:asciiTheme="minorHAnsi" w:hAnsiTheme="minorHAnsi" w:cstheme="minorHAnsi"/>
          <w:sz w:val="20"/>
          <w:szCs w:val="20"/>
        </w:rPr>
        <w:footnoteRef/>
      </w:r>
      <w:r w:rsidRPr="008C729B">
        <w:rPr>
          <w:rFonts w:asciiTheme="minorHAnsi" w:hAnsiTheme="minorHAnsi" w:cstheme="minorHAnsi"/>
          <w:sz w:val="20"/>
          <w:szCs w:val="20"/>
        </w:rPr>
        <w:t xml:space="preserve"> For example, Lawton P et al, 2017, ‘Organ Transplantation in Australia: Inequities in Access and Outcome for Indigenous Australians’ </w:t>
      </w:r>
      <w:r w:rsidRPr="008C729B">
        <w:rPr>
          <w:rFonts w:asciiTheme="minorHAnsi" w:hAnsiTheme="minorHAnsi" w:cstheme="minorHAnsi"/>
          <w:i/>
          <w:iCs/>
          <w:sz w:val="20"/>
          <w:szCs w:val="20"/>
        </w:rPr>
        <w:t>The Official Journal of the Transplantation Society and the International Liver Transplantation Society</w:t>
      </w:r>
      <w:r w:rsidRPr="008C729B">
        <w:rPr>
          <w:rFonts w:asciiTheme="minorHAnsi" w:hAnsiTheme="minorHAnsi" w:cstheme="minorHAnsi"/>
          <w:sz w:val="20"/>
          <w:szCs w:val="20"/>
        </w:rPr>
        <w:t xml:space="preserve">, Vol: 101 Issue: 11, pp. 345-346; </w:t>
      </w:r>
      <w:r w:rsidRPr="008C729B">
        <w:rPr>
          <w:rFonts w:asciiTheme="minorHAnsi" w:hAnsiTheme="minorHAnsi" w:cstheme="minorHAnsi"/>
          <w:i/>
          <w:iCs/>
          <w:sz w:val="20"/>
          <w:szCs w:val="20"/>
        </w:rPr>
        <w:t xml:space="preserve">Organ transplant system tipped towards non-Indigenous patients, </w:t>
      </w:r>
      <w:r w:rsidRPr="008C729B">
        <w:rPr>
          <w:rFonts w:asciiTheme="minorHAnsi" w:hAnsiTheme="minorHAnsi" w:cstheme="minorHAnsi"/>
          <w:sz w:val="20"/>
          <w:szCs w:val="20"/>
        </w:rPr>
        <w:t xml:space="preserve">2017, radio program, ABC Radio, Sydney 14 December 2017.  </w:t>
      </w:r>
    </w:p>
  </w:footnote>
  <w:footnote w:id="3">
    <w:p w14:paraId="261ECC94" w14:textId="2140E721" w:rsidR="008C729B" w:rsidRPr="008C729B" w:rsidRDefault="00AD6DE4" w:rsidP="00BC3E2C">
      <w:pPr>
        <w:pStyle w:val="FootnoteText"/>
        <w:rPr>
          <w:rFonts w:asciiTheme="minorHAnsi" w:hAnsiTheme="minorHAnsi" w:cstheme="minorHAnsi"/>
          <w:i/>
          <w:lang w:eastAsia="en-AU"/>
        </w:rPr>
      </w:pPr>
      <w:r w:rsidRPr="008C729B">
        <w:rPr>
          <w:rStyle w:val="FootnoteReference"/>
          <w:rFonts w:asciiTheme="minorHAnsi" w:hAnsiTheme="minorHAnsi" w:cstheme="minorHAnsi"/>
        </w:rPr>
        <w:footnoteRef/>
      </w:r>
      <w:r w:rsidRPr="008C729B">
        <w:rPr>
          <w:rFonts w:asciiTheme="minorHAnsi" w:hAnsiTheme="minorHAnsi" w:cstheme="minorHAnsi"/>
        </w:rPr>
        <w:t xml:space="preserve"> Review of the Australian organ donation, retrieval and transplantation system Final Report</w:t>
      </w:r>
      <w:r w:rsidRPr="008C729B">
        <w:rPr>
          <w:rFonts w:asciiTheme="minorHAnsi" w:hAnsiTheme="minorHAnsi" w:cstheme="minorHAnsi"/>
          <w:i/>
          <w:lang w:eastAsia="en-AU"/>
        </w:rPr>
        <w:t xml:space="preserve"> </w:t>
      </w:r>
      <w:hyperlink r:id="rId1" w:history="1">
        <w:r w:rsidR="008C729B" w:rsidRPr="00127303">
          <w:rPr>
            <w:rStyle w:val="Hyperlink"/>
            <w:rFonts w:asciiTheme="minorHAnsi" w:hAnsiTheme="minorHAnsi" w:cstheme="minorHAnsi"/>
            <w:iCs/>
            <w:lang w:eastAsia="en-AU"/>
          </w:rPr>
          <w:t>https://www.health.gov.au/resources/publications/review-of-the-organ-donation-retrieval-and-transplantation-system-final-report</w:t>
        </w:r>
      </w:hyperlink>
    </w:p>
  </w:footnote>
  <w:footnote w:id="4">
    <w:p w14:paraId="69A11088" w14:textId="7972166E" w:rsidR="00D209A6" w:rsidRPr="008C729B" w:rsidRDefault="00AD6DE4" w:rsidP="00BC3E2C">
      <w:pPr>
        <w:pStyle w:val="FootnoteText"/>
        <w:rPr>
          <w:rFonts w:asciiTheme="minorHAnsi" w:hAnsiTheme="minorHAnsi" w:cstheme="minorHAnsi"/>
          <w:i/>
        </w:rPr>
      </w:pPr>
      <w:r w:rsidRPr="008C729B">
        <w:rPr>
          <w:rStyle w:val="FootnoteReference"/>
          <w:rFonts w:asciiTheme="minorHAnsi" w:hAnsiTheme="minorHAnsi" w:cstheme="minorHAnsi"/>
        </w:rPr>
        <w:footnoteRef/>
      </w:r>
      <w:r w:rsidRPr="008C729B">
        <w:rPr>
          <w:rFonts w:asciiTheme="minorHAnsi" w:hAnsiTheme="minorHAnsi" w:cstheme="minorHAnsi"/>
        </w:rPr>
        <w:t xml:space="preserve"> PricewaterhouseCoopers Report: </w:t>
      </w:r>
      <w:r w:rsidRPr="008C729B">
        <w:rPr>
          <w:rFonts w:asciiTheme="minorHAnsi" w:hAnsiTheme="minorHAnsi" w:cstheme="minorHAnsi"/>
          <w:i/>
        </w:rPr>
        <w:t xml:space="preserve">Analysis of the Australian Tissue Sector (2016) </w:t>
      </w:r>
      <w:hyperlink r:id="rId2" w:history="1">
        <w:r w:rsidR="00D209A6" w:rsidRPr="00D209A6">
          <w:rPr>
            <w:rStyle w:val="Hyperlink"/>
            <w:rFonts w:asciiTheme="minorHAnsi" w:hAnsiTheme="minorHAnsi" w:cstheme="minorHAnsi"/>
          </w:rPr>
          <w:t>https://www.donatelife.gov.au/about-us/corporate-transparency/government-reports</w:t>
        </w:r>
      </w:hyperlink>
    </w:p>
  </w:footnote>
  <w:footnote w:id="5">
    <w:p w14:paraId="6031B01E" w14:textId="51EFA49E" w:rsidR="00AD6DE4" w:rsidRDefault="00AD6DE4" w:rsidP="00BC3E2C">
      <w:pPr>
        <w:pStyle w:val="FootnoteText"/>
      </w:pPr>
      <w:r w:rsidRPr="008C729B">
        <w:rPr>
          <w:rStyle w:val="FootnoteReference"/>
          <w:rFonts w:asciiTheme="minorHAnsi" w:hAnsiTheme="minorHAnsi" w:cstheme="minorHAnsi"/>
        </w:rPr>
        <w:footnoteRef/>
      </w:r>
      <w:r w:rsidRPr="008C729B">
        <w:rPr>
          <w:rFonts w:asciiTheme="minorHAnsi" w:hAnsiTheme="minorHAnsi" w:cstheme="minorHAnsi"/>
        </w:rPr>
        <w:t xml:space="preserve"> Within the Framework, ‘Australians’ or ‘Australian patients’ refers to Australian residents who are eligible to access health services in Australia.</w:t>
      </w:r>
    </w:p>
  </w:footnote>
  <w:footnote w:id="6">
    <w:p w14:paraId="6D3E5985" w14:textId="7A7C30C4" w:rsidR="00AD6DE4" w:rsidRPr="002842E7" w:rsidRDefault="00AD6DE4" w:rsidP="00BC3E2C">
      <w:pPr>
        <w:pStyle w:val="FootnoteText"/>
        <w:rPr>
          <w:lang w:val="en-AU"/>
        </w:rPr>
      </w:pPr>
      <w:r>
        <w:rPr>
          <w:rStyle w:val="FootnoteReference"/>
        </w:rPr>
        <w:footnoteRef/>
      </w:r>
      <w:r>
        <w:t xml:space="preserve"> </w:t>
      </w:r>
      <w:r>
        <w:rPr>
          <w:rFonts w:asciiTheme="minorHAnsi" w:hAnsiTheme="minorHAnsi" w:cstheme="minorHAnsi"/>
        </w:rPr>
        <w:t xml:space="preserve">This document outlines the principles, </w:t>
      </w:r>
      <w:proofErr w:type="gramStart"/>
      <w:r>
        <w:rPr>
          <w:rFonts w:asciiTheme="minorHAnsi" w:hAnsiTheme="minorHAnsi" w:cstheme="minorHAnsi"/>
        </w:rPr>
        <w:t>scope</w:t>
      </w:r>
      <w:proofErr w:type="gramEnd"/>
      <w:r>
        <w:rPr>
          <w:rFonts w:asciiTheme="minorHAnsi" w:hAnsiTheme="minorHAnsi" w:cstheme="minorHAnsi"/>
        </w:rPr>
        <w:t xml:space="preserve"> and methodology to be adopted by IHPA in the setting of the national efficient price and national efficient cost for public hospital services in </w:t>
      </w:r>
      <w:r w:rsidR="00CB3D3A">
        <w:rPr>
          <w:rFonts w:asciiTheme="minorHAnsi" w:hAnsiTheme="minorHAnsi" w:cstheme="minorHAnsi"/>
        </w:rPr>
        <w:t>202</w:t>
      </w:r>
      <w:r w:rsidR="00E054B4">
        <w:rPr>
          <w:rFonts w:asciiTheme="minorHAnsi" w:hAnsiTheme="minorHAnsi" w:cstheme="minorHAnsi"/>
        </w:rPr>
        <w:t>2</w:t>
      </w:r>
      <w:r w:rsidR="00CB3D3A">
        <w:rPr>
          <w:rFonts w:asciiTheme="minorHAnsi" w:hAnsiTheme="minorHAnsi" w:cstheme="minorHAnsi"/>
        </w:rPr>
        <w:t>-2</w:t>
      </w:r>
      <w:r w:rsidR="00E054B4">
        <w:rPr>
          <w:rFonts w:asciiTheme="minorHAnsi" w:hAnsiTheme="minorHAnsi" w:cstheme="minorHAnsi"/>
        </w:rPr>
        <w:t>3</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137E0" w14:textId="77777777" w:rsidR="00AD6DE4" w:rsidRDefault="00AD6DE4" w:rsidP="00931C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5138"/>
    <w:multiLevelType w:val="hybridMultilevel"/>
    <w:tmpl w:val="3AAA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B41F0"/>
    <w:multiLevelType w:val="hybridMultilevel"/>
    <w:tmpl w:val="3EF6D6B2"/>
    <w:lvl w:ilvl="0" w:tplc="1F067DD8">
      <w:numFmt w:val="bullet"/>
      <w:lvlText w:val="•"/>
      <w:lvlJc w:val="left"/>
      <w:pPr>
        <w:ind w:left="1185" w:hanging="825"/>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12687"/>
    <w:multiLevelType w:val="hybridMultilevel"/>
    <w:tmpl w:val="5F4ED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F17E5"/>
    <w:multiLevelType w:val="hybridMultilevel"/>
    <w:tmpl w:val="B19C436C"/>
    <w:lvl w:ilvl="0" w:tplc="D5C690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B169B"/>
    <w:multiLevelType w:val="hybridMultilevel"/>
    <w:tmpl w:val="728A739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040574"/>
    <w:multiLevelType w:val="hybridMultilevel"/>
    <w:tmpl w:val="A954A4FE"/>
    <w:lvl w:ilvl="0" w:tplc="4086E88A">
      <w:start w:val="1"/>
      <w:numFmt w:val="bullet"/>
      <w:lvlText w:val=""/>
      <w:lvlJc w:val="left"/>
      <w:pPr>
        <w:ind w:left="360" w:hanging="360"/>
      </w:pPr>
      <w:rPr>
        <w:rFonts w:ascii="Symbol" w:eastAsiaTheme="minorHAnsi"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6D5480"/>
    <w:multiLevelType w:val="hybridMultilevel"/>
    <w:tmpl w:val="3DC2AE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E005D0"/>
    <w:multiLevelType w:val="hybridMultilevel"/>
    <w:tmpl w:val="D6A63B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1C7B4C29"/>
    <w:multiLevelType w:val="hybridMultilevel"/>
    <w:tmpl w:val="E62A8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79CC"/>
    <w:multiLevelType w:val="hybridMultilevel"/>
    <w:tmpl w:val="CE30A990"/>
    <w:lvl w:ilvl="0" w:tplc="6102E48E">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B35DFF"/>
    <w:multiLevelType w:val="hybridMultilevel"/>
    <w:tmpl w:val="664CDA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331" w:hanging="360"/>
      </w:pPr>
    </w:lvl>
    <w:lvl w:ilvl="2" w:tplc="0C09001B" w:tentative="1">
      <w:start w:val="1"/>
      <w:numFmt w:val="lowerRoman"/>
      <w:lvlText w:val="%3."/>
      <w:lvlJc w:val="right"/>
      <w:pPr>
        <w:ind w:left="-611" w:hanging="180"/>
      </w:pPr>
    </w:lvl>
    <w:lvl w:ilvl="3" w:tplc="0C09000F" w:tentative="1">
      <w:start w:val="1"/>
      <w:numFmt w:val="decimal"/>
      <w:lvlText w:val="%4."/>
      <w:lvlJc w:val="left"/>
      <w:pPr>
        <w:ind w:left="109" w:hanging="360"/>
      </w:pPr>
    </w:lvl>
    <w:lvl w:ilvl="4" w:tplc="0C090019" w:tentative="1">
      <w:start w:val="1"/>
      <w:numFmt w:val="lowerLetter"/>
      <w:lvlText w:val="%5."/>
      <w:lvlJc w:val="left"/>
      <w:pPr>
        <w:ind w:left="829" w:hanging="360"/>
      </w:pPr>
    </w:lvl>
    <w:lvl w:ilvl="5" w:tplc="0C09001B" w:tentative="1">
      <w:start w:val="1"/>
      <w:numFmt w:val="lowerRoman"/>
      <w:lvlText w:val="%6."/>
      <w:lvlJc w:val="right"/>
      <w:pPr>
        <w:ind w:left="1549" w:hanging="180"/>
      </w:pPr>
    </w:lvl>
    <w:lvl w:ilvl="6" w:tplc="0C09000F" w:tentative="1">
      <w:start w:val="1"/>
      <w:numFmt w:val="decimal"/>
      <w:lvlText w:val="%7."/>
      <w:lvlJc w:val="left"/>
      <w:pPr>
        <w:ind w:left="2269" w:hanging="360"/>
      </w:pPr>
    </w:lvl>
    <w:lvl w:ilvl="7" w:tplc="0C090019" w:tentative="1">
      <w:start w:val="1"/>
      <w:numFmt w:val="lowerLetter"/>
      <w:lvlText w:val="%8."/>
      <w:lvlJc w:val="left"/>
      <w:pPr>
        <w:ind w:left="2989" w:hanging="360"/>
      </w:pPr>
    </w:lvl>
    <w:lvl w:ilvl="8" w:tplc="0C09001B" w:tentative="1">
      <w:start w:val="1"/>
      <w:numFmt w:val="lowerRoman"/>
      <w:lvlText w:val="%9."/>
      <w:lvlJc w:val="right"/>
      <w:pPr>
        <w:ind w:left="3709" w:hanging="180"/>
      </w:pPr>
    </w:lvl>
  </w:abstractNum>
  <w:abstractNum w:abstractNumId="11" w15:restartNumberingAfterBreak="0">
    <w:nsid w:val="20D4221F"/>
    <w:multiLevelType w:val="hybridMultilevel"/>
    <w:tmpl w:val="BEF4112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403E24"/>
    <w:multiLevelType w:val="hybridMultilevel"/>
    <w:tmpl w:val="3EC8D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2100B6"/>
    <w:multiLevelType w:val="hybridMultilevel"/>
    <w:tmpl w:val="282A452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1324C4"/>
    <w:multiLevelType w:val="hybridMultilevel"/>
    <w:tmpl w:val="4D9273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387597"/>
    <w:multiLevelType w:val="hybridMultilevel"/>
    <w:tmpl w:val="CCC2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AD691D"/>
    <w:multiLevelType w:val="hybridMultilevel"/>
    <w:tmpl w:val="932EC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81128"/>
    <w:multiLevelType w:val="hybridMultilevel"/>
    <w:tmpl w:val="C760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5D5FBB"/>
    <w:multiLevelType w:val="hybridMultilevel"/>
    <w:tmpl w:val="86783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9B1AE2"/>
    <w:multiLevelType w:val="hybridMultilevel"/>
    <w:tmpl w:val="402EB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0D25AE"/>
    <w:multiLevelType w:val="hybridMultilevel"/>
    <w:tmpl w:val="B794162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DB6790"/>
    <w:multiLevelType w:val="multilevel"/>
    <w:tmpl w:val="6DACFD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AD7EBF"/>
    <w:multiLevelType w:val="hybridMultilevel"/>
    <w:tmpl w:val="921E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242EF5"/>
    <w:multiLevelType w:val="hybridMultilevel"/>
    <w:tmpl w:val="4EB29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F6D3A"/>
    <w:multiLevelType w:val="hybridMultilevel"/>
    <w:tmpl w:val="1A84C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5745BA"/>
    <w:multiLevelType w:val="hybridMultilevel"/>
    <w:tmpl w:val="45D8D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2C7FBE"/>
    <w:multiLevelType w:val="hybridMultilevel"/>
    <w:tmpl w:val="BFAEF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5D0CBE"/>
    <w:multiLevelType w:val="hybridMultilevel"/>
    <w:tmpl w:val="1A36EE4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3F1E12"/>
    <w:multiLevelType w:val="hybridMultilevel"/>
    <w:tmpl w:val="448AEF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6CE0EE5"/>
    <w:multiLevelType w:val="hybridMultilevel"/>
    <w:tmpl w:val="29922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3A4AD2"/>
    <w:multiLevelType w:val="hybridMultilevel"/>
    <w:tmpl w:val="34AC04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94111F6"/>
    <w:multiLevelType w:val="hybridMultilevel"/>
    <w:tmpl w:val="858A5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D476CF3"/>
    <w:multiLevelType w:val="hybridMultilevel"/>
    <w:tmpl w:val="0C72D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D916A0A"/>
    <w:multiLevelType w:val="hybridMultilevel"/>
    <w:tmpl w:val="DAA0E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8045BC"/>
    <w:multiLevelType w:val="hybridMultilevel"/>
    <w:tmpl w:val="1A36EE4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4113A4"/>
    <w:multiLevelType w:val="hybridMultilevel"/>
    <w:tmpl w:val="D182E70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3483786"/>
    <w:multiLevelType w:val="hybridMultilevel"/>
    <w:tmpl w:val="A444367E"/>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FF76DE"/>
    <w:multiLevelType w:val="hybridMultilevel"/>
    <w:tmpl w:val="F35CB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5D9234E"/>
    <w:multiLevelType w:val="hybridMultilevel"/>
    <w:tmpl w:val="35B0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370354"/>
    <w:multiLevelType w:val="hybridMultilevel"/>
    <w:tmpl w:val="D3A05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9263F2D"/>
    <w:multiLevelType w:val="hybridMultilevel"/>
    <w:tmpl w:val="DA7C6448"/>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41" w15:restartNumberingAfterBreak="0">
    <w:nsid w:val="5A7F11B7"/>
    <w:multiLevelType w:val="hybridMultilevel"/>
    <w:tmpl w:val="48DEDA0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5EE4192A"/>
    <w:multiLevelType w:val="hybridMultilevel"/>
    <w:tmpl w:val="3DE29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4863D2"/>
    <w:multiLevelType w:val="hybridMultilevel"/>
    <w:tmpl w:val="BCB6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A878BC"/>
    <w:multiLevelType w:val="hybridMultilevel"/>
    <w:tmpl w:val="476ED2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C44610"/>
    <w:multiLevelType w:val="hybridMultilevel"/>
    <w:tmpl w:val="4AC03F6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6" w15:restartNumberingAfterBreak="0">
    <w:nsid w:val="74E5350D"/>
    <w:multiLevelType w:val="hybridMultilevel"/>
    <w:tmpl w:val="6C08FC84"/>
    <w:lvl w:ilvl="0" w:tplc="F2CE8268">
      <w:start w:val="1"/>
      <w:numFmt w:val="decimal"/>
      <w:lvlText w:val="%1."/>
      <w:lvlJc w:val="left"/>
      <w:pPr>
        <w:ind w:left="720" w:hanging="360"/>
      </w:pPr>
      <w:rPr>
        <w:rFonts w:ascii="Calibri" w:hAnsi="Calibri"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7D806A7B"/>
    <w:multiLevelType w:val="hybridMultilevel"/>
    <w:tmpl w:val="1A36EE4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DC11F48"/>
    <w:multiLevelType w:val="hybridMultilevel"/>
    <w:tmpl w:val="945E5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3874CB"/>
    <w:multiLevelType w:val="hybridMultilevel"/>
    <w:tmpl w:val="E0AE3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EF41B94"/>
    <w:multiLevelType w:val="hybridMultilevel"/>
    <w:tmpl w:val="1A36EE4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3"/>
  </w:num>
  <w:num w:numId="2">
    <w:abstractNumId w:val="14"/>
  </w:num>
  <w:num w:numId="3">
    <w:abstractNumId w:val="23"/>
  </w:num>
  <w:num w:numId="4">
    <w:abstractNumId w:val="13"/>
  </w:num>
  <w:num w:numId="5">
    <w:abstractNumId w:val="22"/>
  </w:num>
  <w:num w:numId="6">
    <w:abstractNumId w:val="28"/>
  </w:num>
  <w:num w:numId="7">
    <w:abstractNumId w:val="9"/>
  </w:num>
  <w:num w:numId="8">
    <w:abstractNumId w:val="30"/>
  </w:num>
  <w:num w:numId="9">
    <w:abstractNumId w:val="10"/>
  </w:num>
  <w:num w:numId="10">
    <w:abstractNumId w:val="24"/>
  </w:num>
  <w:num w:numId="11">
    <w:abstractNumId w:val="16"/>
  </w:num>
  <w:num w:numId="12">
    <w:abstractNumId w:val="1"/>
  </w:num>
  <w:num w:numId="13">
    <w:abstractNumId w:val="3"/>
  </w:num>
  <w:num w:numId="14">
    <w:abstractNumId w:val="48"/>
  </w:num>
  <w:num w:numId="15">
    <w:abstractNumId w:val="2"/>
  </w:num>
  <w:num w:numId="16">
    <w:abstractNumId w:val="15"/>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6"/>
  </w:num>
  <w:num w:numId="20">
    <w:abstractNumId w:val="31"/>
  </w:num>
  <w:num w:numId="21">
    <w:abstractNumId w:val="12"/>
  </w:num>
  <w:num w:numId="22">
    <w:abstractNumId w:val="49"/>
  </w:num>
  <w:num w:numId="23">
    <w:abstractNumId w:val="26"/>
  </w:num>
  <w:num w:numId="24">
    <w:abstractNumId w:val="37"/>
  </w:num>
  <w:num w:numId="25">
    <w:abstractNumId w:val="38"/>
  </w:num>
  <w:num w:numId="26">
    <w:abstractNumId w:val="25"/>
  </w:num>
  <w:num w:numId="27">
    <w:abstractNumId w:val="18"/>
  </w:num>
  <w:num w:numId="28">
    <w:abstractNumId w:val="17"/>
  </w:num>
  <w:num w:numId="29">
    <w:abstractNumId w:val="5"/>
  </w:num>
  <w:num w:numId="30">
    <w:abstractNumId w:val="8"/>
  </w:num>
  <w:num w:numId="31">
    <w:abstractNumId w:val="32"/>
  </w:num>
  <w:num w:numId="32">
    <w:abstractNumId w:val="29"/>
  </w:num>
  <w:num w:numId="33">
    <w:abstractNumId w:val="0"/>
  </w:num>
  <w:num w:numId="34">
    <w:abstractNumId w:val="19"/>
  </w:num>
  <w:num w:numId="35">
    <w:abstractNumId w:val="11"/>
  </w:num>
  <w:num w:numId="36">
    <w:abstractNumId w:val="35"/>
  </w:num>
  <w:num w:numId="37">
    <w:abstractNumId w:val="36"/>
  </w:num>
  <w:num w:numId="38">
    <w:abstractNumId w:val="21"/>
  </w:num>
  <w:num w:numId="39">
    <w:abstractNumId w:val="27"/>
  </w:num>
  <w:num w:numId="40">
    <w:abstractNumId w:val="41"/>
  </w:num>
  <w:num w:numId="41">
    <w:abstractNumId w:val="44"/>
  </w:num>
  <w:num w:numId="42">
    <w:abstractNumId w:val="20"/>
  </w:num>
  <w:num w:numId="43">
    <w:abstractNumId w:val="50"/>
  </w:num>
  <w:num w:numId="44">
    <w:abstractNumId w:val="47"/>
  </w:num>
  <w:num w:numId="45">
    <w:abstractNumId w:val="34"/>
  </w:num>
  <w:num w:numId="46">
    <w:abstractNumId w:val="40"/>
  </w:num>
  <w:num w:numId="47">
    <w:abstractNumId w:val="42"/>
  </w:num>
  <w:num w:numId="48">
    <w:abstractNumId w:val="45"/>
  </w:num>
  <w:num w:numId="49">
    <w:abstractNumId w:val="4"/>
  </w:num>
  <w:num w:numId="50">
    <w:abstractNumId w:val="7"/>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A8"/>
    <w:rsid w:val="00002177"/>
    <w:rsid w:val="00002B8A"/>
    <w:rsid w:val="00002BA0"/>
    <w:rsid w:val="00002CE4"/>
    <w:rsid w:val="00007790"/>
    <w:rsid w:val="00013C70"/>
    <w:rsid w:val="00014417"/>
    <w:rsid w:val="00025B15"/>
    <w:rsid w:val="00025DB4"/>
    <w:rsid w:val="0002779C"/>
    <w:rsid w:val="00033E8F"/>
    <w:rsid w:val="00036924"/>
    <w:rsid w:val="0003744B"/>
    <w:rsid w:val="00037CB6"/>
    <w:rsid w:val="00043EE5"/>
    <w:rsid w:val="000509F0"/>
    <w:rsid w:val="000543ED"/>
    <w:rsid w:val="0005713E"/>
    <w:rsid w:val="00057909"/>
    <w:rsid w:val="00061A02"/>
    <w:rsid w:val="00063157"/>
    <w:rsid w:val="00063DC9"/>
    <w:rsid w:val="000646CC"/>
    <w:rsid w:val="00075F16"/>
    <w:rsid w:val="00077648"/>
    <w:rsid w:val="000822CE"/>
    <w:rsid w:val="000906B4"/>
    <w:rsid w:val="000912BD"/>
    <w:rsid w:val="000940C0"/>
    <w:rsid w:val="000A4172"/>
    <w:rsid w:val="000A69B4"/>
    <w:rsid w:val="000B1B7C"/>
    <w:rsid w:val="000B595E"/>
    <w:rsid w:val="000C238D"/>
    <w:rsid w:val="000C32EF"/>
    <w:rsid w:val="000C3598"/>
    <w:rsid w:val="000C6851"/>
    <w:rsid w:val="000D15DB"/>
    <w:rsid w:val="000D27C4"/>
    <w:rsid w:val="000D3771"/>
    <w:rsid w:val="000D6620"/>
    <w:rsid w:val="000E35D7"/>
    <w:rsid w:val="000F0FC4"/>
    <w:rsid w:val="000F5C7B"/>
    <w:rsid w:val="001009D1"/>
    <w:rsid w:val="0011395F"/>
    <w:rsid w:val="0012305D"/>
    <w:rsid w:val="0012326B"/>
    <w:rsid w:val="0012475B"/>
    <w:rsid w:val="00127303"/>
    <w:rsid w:val="001348B2"/>
    <w:rsid w:val="00144066"/>
    <w:rsid w:val="00144889"/>
    <w:rsid w:val="0015041A"/>
    <w:rsid w:val="00161E54"/>
    <w:rsid w:val="00162ED6"/>
    <w:rsid w:val="00171B4B"/>
    <w:rsid w:val="00171BEF"/>
    <w:rsid w:val="00176197"/>
    <w:rsid w:val="00177B01"/>
    <w:rsid w:val="00180FEB"/>
    <w:rsid w:val="001867AC"/>
    <w:rsid w:val="001926D9"/>
    <w:rsid w:val="00194C39"/>
    <w:rsid w:val="00195782"/>
    <w:rsid w:val="001A1AD8"/>
    <w:rsid w:val="001A2647"/>
    <w:rsid w:val="001A790F"/>
    <w:rsid w:val="001A7C5B"/>
    <w:rsid w:val="001C002A"/>
    <w:rsid w:val="001C3D4E"/>
    <w:rsid w:val="001C5455"/>
    <w:rsid w:val="001D1F8A"/>
    <w:rsid w:val="001D284A"/>
    <w:rsid w:val="001D31FF"/>
    <w:rsid w:val="001D44A0"/>
    <w:rsid w:val="001D762B"/>
    <w:rsid w:val="001E1DD8"/>
    <w:rsid w:val="001E7119"/>
    <w:rsid w:val="001F1B4E"/>
    <w:rsid w:val="001F3C25"/>
    <w:rsid w:val="0021414E"/>
    <w:rsid w:val="00217913"/>
    <w:rsid w:val="002220DF"/>
    <w:rsid w:val="00223009"/>
    <w:rsid w:val="002273D3"/>
    <w:rsid w:val="00234459"/>
    <w:rsid w:val="00234E51"/>
    <w:rsid w:val="002450E1"/>
    <w:rsid w:val="00245DEA"/>
    <w:rsid w:val="002462E0"/>
    <w:rsid w:val="00246CD6"/>
    <w:rsid w:val="00250042"/>
    <w:rsid w:val="00255C4B"/>
    <w:rsid w:val="00256843"/>
    <w:rsid w:val="00256935"/>
    <w:rsid w:val="00257BD1"/>
    <w:rsid w:val="0026529C"/>
    <w:rsid w:val="0026633B"/>
    <w:rsid w:val="00271E4A"/>
    <w:rsid w:val="002732FB"/>
    <w:rsid w:val="00274E4C"/>
    <w:rsid w:val="00275643"/>
    <w:rsid w:val="00276A8D"/>
    <w:rsid w:val="0027709C"/>
    <w:rsid w:val="00280050"/>
    <w:rsid w:val="00280745"/>
    <w:rsid w:val="00281659"/>
    <w:rsid w:val="002859AD"/>
    <w:rsid w:val="00291A3F"/>
    <w:rsid w:val="002921EB"/>
    <w:rsid w:val="0029454B"/>
    <w:rsid w:val="00296E53"/>
    <w:rsid w:val="002A599A"/>
    <w:rsid w:val="002B4676"/>
    <w:rsid w:val="002C2AE5"/>
    <w:rsid w:val="002C65B0"/>
    <w:rsid w:val="002C6CE2"/>
    <w:rsid w:val="002D2FDB"/>
    <w:rsid w:val="002E4D8B"/>
    <w:rsid w:val="002E50FA"/>
    <w:rsid w:val="002E526D"/>
    <w:rsid w:val="002E6639"/>
    <w:rsid w:val="002F5BE5"/>
    <w:rsid w:val="002F5F80"/>
    <w:rsid w:val="00302CF5"/>
    <w:rsid w:val="00304B36"/>
    <w:rsid w:val="00305304"/>
    <w:rsid w:val="003054F6"/>
    <w:rsid w:val="0030630F"/>
    <w:rsid w:val="0031797C"/>
    <w:rsid w:val="00321B33"/>
    <w:rsid w:val="003338F7"/>
    <w:rsid w:val="003361BE"/>
    <w:rsid w:val="0034564A"/>
    <w:rsid w:val="003456D9"/>
    <w:rsid w:val="003549B2"/>
    <w:rsid w:val="0035617C"/>
    <w:rsid w:val="003607E9"/>
    <w:rsid w:val="0036493E"/>
    <w:rsid w:val="003701B7"/>
    <w:rsid w:val="00372E60"/>
    <w:rsid w:val="00372F94"/>
    <w:rsid w:val="00386976"/>
    <w:rsid w:val="003907A5"/>
    <w:rsid w:val="00394D0E"/>
    <w:rsid w:val="003A1673"/>
    <w:rsid w:val="003A342E"/>
    <w:rsid w:val="003A6279"/>
    <w:rsid w:val="003B06B1"/>
    <w:rsid w:val="003B0C9E"/>
    <w:rsid w:val="003B11EB"/>
    <w:rsid w:val="003B51B3"/>
    <w:rsid w:val="003B53B5"/>
    <w:rsid w:val="003C4071"/>
    <w:rsid w:val="003C55B0"/>
    <w:rsid w:val="003C74F1"/>
    <w:rsid w:val="003C772D"/>
    <w:rsid w:val="003D428A"/>
    <w:rsid w:val="003D7BEE"/>
    <w:rsid w:val="003F43FB"/>
    <w:rsid w:val="003F6041"/>
    <w:rsid w:val="00402ED5"/>
    <w:rsid w:val="00407DA7"/>
    <w:rsid w:val="00410BC5"/>
    <w:rsid w:val="00412247"/>
    <w:rsid w:val="00412507"/>
    <w:rsid w:val="00415C1C"/>
    <w:rsid w:val="00425B9C"/>
    <w:rsid w:val="00431D94"/>
    <w:rsid w:val="00433E36"/>
    <w:rsid w:val="00436074"/>
    <w:rsid w:val="004371E5"/>
    <w:rsid w:val="004372C3"/>
    <w:rsid w:val="00444504"/>
    <w:rsid w:val="00444507"/>
    <w:rsid w:val="00447AF7"/>
    <w:rsid w:val="004515EB"/>
    <w:rsid w:val="0045495F"/>
    <w:rsid w:val="00454FD1"/>
    <w:rsid w:val="00455975"/>
    <w:rsid w:val="00457425"/>
    <w:rsid w:val="00461847"/>
    <w:rsid w:val="00461B6D"/>
    <w:rsid w:val="004623B0"/>
    <w:rsid w:val="0047617A"/>
    <w:rsid w:val="00480BA1"/>
    <w:rsid w:val="00483C2E"/>
    <w:rsid w:val="00485832"/>
    <w:rsid w:val="00487C50"/>
    <w:rsid w:val="00492E54"/>
    <w:rsid w:val="00493CD0"/>
    <w:rsid w:val="00495D9E"/>
    <w:rsid w:val="0049686A"/>
    <w:rsid w:val="0049750A"/>
    <w:rsid w:val="004A1A91"/>
    <w:rsid w:val="004A47C6"/>
    <w:rsid w:val="004A59E9"/>
    <w:rsid w:val="004A7CDA"/>
    <w:rsid w:val="004B0A31"/>
    <w:rsid w:val="004B67AC"/>
    <w:rsid w:val="004B699E"/>
    <w:rsid w:val="004D64EC"/>
    <w:rsid w:val="004D7715"/>
    <w:rsid w:val="004E5110"/>
    <w:rsid w:val="004E691E"/>
    <w:rsid w:val="004F438E"/>
    <w:rsid w:val="004F7AD3"/>
    <w:rsid w:val="005005F1"/>
    <w:rsid w:val="005031BC"/>
    <w:rsid w:val="00503774"/>
    <w:rsid w:val="00507047"/>
    <w:rsid w:val="005132C3"/>
    <w:rsid w:val="00522EF1"/>
    <w:rsid w:val="00524222"/>
    <w:rsid w:val="0052508E"/>
    <w:rsid w:val="00526425"/>
    <w:rsid w:val="0053619C"/>
    <w:rsid w:val="00537DCB"/>
    <w:rsid w:val="005468C9"/>
    <w:rsid w:val="005512BD"/>
    <w:rsid w:val="00560742"/>
    <w:rsid w:val="00566278"/>
    <w:rsid w:val="00570457"/>
    <w:rsid w:val="00572BCE"/>
    <w:rsid w:val="005751EB"/>
    <w:rsid w:val="00577BD6"/>
    <w:rsid w:val="00580BA6"/>
    <w:rsid w:val="00581186"/>
    <w:rsid w:val="005842F7"/>
    <w:rsid w:val="00584C10"/>
    <w:rsid w:val="00584C20"/>
    <w:rsid w:val="00587AEF"/>
    <w:rsid w:val="005925CC"/>
    <w:rsid w:val="00593A28"/>
    <w:rsid w:val="00594ADD"/>
    <w:rsid w:val="005A0092"/>
    <w:rsid w:val="005A3AA9"/>
    <w:rsid w:val="005B4272"/>
    <w:rsid w:val="005B6DF7"/>
    <w:rsid w:val="005B7F9D"/>
    <w:rsid w:val="005C1BD8"/>
    <w:rsid w:val="005C69F6"/>
    <w:rsid w:val="005D02D5"/>
    <w:rsid w:val="005D3D76"/>
    <w:rsid w:val="005E1F2B"/>
    <w:rsid w:val="005E5A39"/>
    <w:rsid w:val="005E5DED"/>
    <w:rsid w:val="005E5FBA"/>
    <w:rsid w:val="005E6151"/>
    <w:rsid w:val="005F1463"/>
    <w:rsid w:val="005F2438"/>
    <w:rsid w:val="005F469E"/>
    <w:rsid w:val="005F4E4B"/>
    <w:rsid w:val="00606E27"/>
    <w:rsid w:val="00607F5B"/>
    <w:rsid w:val="00610E26"/>
    <w:rsid w:val="0061381A"/>
    <w:rsid w:val="00613E18"/>
    <w:rsid w:val="00620F56"/>
    <w:rsid w:val="00625D47"/>
    <w:rsid w:val="00627436"/>
    <w:rsid w:val="00632E3D"/>
    <w:rsid w:val="00640707"/>
    <w:rsid w:val="00651E2F"/>
    <w:rsid w:val="0065248C"/>
    <w:rsid w:val="006528FA"/>
    <w:rsid w:val="00653E0D"/>
    <w:rsid w:val="00656420"/>
    <w:rsid w:val="00660B11"/>
    <w:rsid w:val="00664447"/>
    <w:rsid w:val="00676585"/>
    <w:rsid w:val="00682765"/>
    <w:rsid w:val="006849D5"/>
    <w:rsid w:val="006854D1"/>
    <w:rsid w:val="00685BB8"/>
    <w:rsid w:val="00690B9B"/>
    <w:rsid w:val="0069218C"/>
    <w:rsid w:val="0069585E"/>
    <w:rsid w:val="006965AC"/>
    <w:rsid w:val="006976C4"/>
    <w:rsid w:val="006A07F0"/>
    <w:rsid w:val="006A2C71"/>
    <w:rsid w:val="006A5702"/>
    <w:rsid w:val="006B008D"/>
    <w:rsid w:val="006B1B5D"/>
    <w:rsid w:val="006B5D7D"/>
    <w:rsid w:val="006B62E1"/>
    <w:rsid w:val="006B7E8C"/>
    <w:rsid w:val="006C0C60"/>
    <w:rsid w:val="006C4A8A"/>
    <w:rsid w:val="006C555D"/>
    <w:rsid w:val="006C641C"/>
    <w:rsid w:val="006D0228"/>
    <w:rsid w:val="006D0BA2"/>
    <w:rsid w:val="006D4BE2"/>
    <w:rsid w:val="006D7D14"/>
    <w:rsid w:val="006E2632"/>
    <w:rsid w:val="006E3A4F"/>
    <w:rsid w:val="006E4D3F"/>
    <w:rsid w:val="006E508F"/>
    <w:rsid w:val="006F136C"/>
    <w:rsid w:val="006F512B"/>
    <w:rsid w:val="00702D29"/>
    <w:rsid w:val="00706A39"/>
    <w:rsid w:val="0071610F"/>
    <w:rsid w:val="0071613B"/>
    <w:rsid w:val="00725899"/>
    <w:rsid w:val="00731079"/>
    <w:rsid w:val="00747B2E"/>
    <w:rsid w:val="00752E59"/>
    <w:rsid w:val="00754BB2"/>
    <w:rsid w:val="00754E89"/>
    <w:rsid w:val="00763577"/>
    <w:rsid w:val="00764ABD"/>
    <w:rsid w:val="00775755"/>
    <w:rsid w:val="00776F2C"/>
    <w:rsid w:val="0077728C"/>
    <w:rsid w:val="00780003"/>
    <w:rsid w:val="007851AC"/>
    <w:rsid w:val="00786CAF"/>
    <w:rsid w:val="00790A20"/>
    <w:rsid w:val="00790AEA"/>
    <w:rsid w:val="00793C1C"/>
    <w:rsid w:val="00794230"/>
    <w:rsid w:val="007951F7"/>
    <w:rsid w:val="007979FD"/>
    <w:rsid w:val="007A29EC"/>
    <w:rsid w:val="007A3366"/>
    <w:rsid w:val="007A3C8F"/>
    <w:rsid w:val="007A7685"/>
    <w:rsid w:val="007A7BB2"/>
    <w:rsid w:val="007B04E4"/>
    <w:rsid w:val="007B2EB5"/>
    <w:rsid w:val="007B348A"/>
    <w:rsid w:val="007B4D57"/>
    <w:rsid w:val="007C54D6"/>
    <w:rsid w:val="007C5678"/>
    <w:rsid w:val="007C77F9"/>
    <w:rsid w:val="007D14AD"/>
    <w:rsid w:val="007D5EB3"/>
    <w:rsid w:val="007D6914"/>
    <w:rsid w:val="007E2EB6"/>
    <w:rsid w:val="007E5046"/>
    <w:rsid w:val="007F1ABC"/>
    <w:rsid w:val="007F3101"/>
    <w:rsid w:val="007F55C7"/>
    <w:rsid w:val="007F70DC"/>
    <w:rsid w:val="007F751A"/>
    <w:rsid w:val="008000DC"/>
    <w:rsid w:val="00800905"/>
    <w:rsid w:val="00802CEE"/>
    <w:rsid w:val="00807E1A"/>
    <w:rsid w:val="00815E6F"/>
    <w:rsid w:val="008173AC"/>
    <w:rsid w:val="00822ACF"/>
    <w:rsid w:val="008236FC"/>
    <w:rsid w:val="00824175"/>
    <w:rsid w:val="00825FEC"/>
    <w:rsid w:val="00830AD5"/>
    <w:rsid w:val="0083110B"/>
    <w:rsid w:val="008359B5"/>
    <w:rsid w:val="0084037A"/>
    <w:rsid w:val="00843B35"/>
    <w:rsid w:val="00844307"/>
    <w:rsid w:val="0085732F"/>
    <w:rsid w:val="00857FC5"/>
    <w:rsid w:val="00863B95"/>
    <w:rsid w:val="008652D7"/>
    <w:rsid w:val="00867D06"/>
    <w:rsid w:val="00870DE4"/>
    <w:rsid w:val="0087240D"/>
    <w:rsid w:val="00885FFC"/>
    <w:rsid w:val="00886F6A"/>
    <w:rsid w:val="00891017"/>
    <w:rsid w:val="00892767"/>
    <w:rsid w:val="00895699"/>
    <w:rsid w:val="008956F6"/>
    <w:rsid w:val="008A1AA6"/>
    <w:rsid w:val="008A46E4"/>
    <w:rsid w:val="008B51C3"/>
    <w:rsid w:val="008C1D20"/>
    <w:rsid w:val="008C20B3"/>
    <w:rsid w:val="008C3888"/>
    <w:rsid w:val="008C729B"/>
    <w:rsid w:val="008D0C7D"/>
    <w:rsid w:val="008D2634"/>
    <w:rsid w:val="008E2983"/>
    <w:rsid w:val="008E5F90"/>
    <w:rsid w:val="008E73A6"/>
    <w:rsid w:val="008F081C"/>
    <w:rsid w:val="008F2808"/>
    <w:rsid w:val="008F4C46"/>
    <w:rsid w:val="00901B1F"/>
    <w:rsid w:val="00903F08"/>
    <w:rsid w:val="009056F1"/>
    <w:rsid w:val="00910155"/>
    <w:rsid w:val="0091285D"/>
    <w:rsid w:val="00914958"/>
    <w:rsid w:val="00917B6A"/>
    <w:rsid w:val="00920494"/>
    <w:rsid w:val="00921577"/>
    <w:rsid w:val="00922DFF"/>
    <w:rsid w:val="009256C3"/>
    <w:rsid w:val="00926064"/>
    <w:rsid w:val="00926C6F"/>
    <w:rsid w:val="00930055"/>
    <w:rsid w:val="00931CA8"/>
    <w:rsid w:val="00932E0F"/>
    <w:rsid w:val="00933F62"/>
    <w:rsid w:val="00943DF6"/>
    <w:rsid w:val="00946F21"/>
    <w:rsid w:val="009477A1"/>
    <w:rsid w:val="00954347"/>
    <w:rsid w:val="009577F1"/>
    <w:rsid w:val="009610C4"/>
    <w:rsid w:val="00965F13"/>
    <w:rsid w:val="0096687F"/>
    <w:rsid w:val="0097267F"/>
    <w:rsid w:val="00975299"/>
    <w:rsid w:val="009763F7"/>
    <w:rsid w:val="009766F0"/>
    <w:rsid w:val="009817AF"/>
    <w:rsid w:val="009817D5"/>
    <w:rsid w:val="009819FB"/>
    <w:rsid w:val="0099038D"/>
    <w:rsid w:val="009A217B"/>
    <w:rsid w:val="009B0248"/>
    <w:rsid w:val="009B19E8"/>
    <w:rsid w:val="009B4129"/>
    <w:rsid w:val="009C2217"/>
    <w:rsid w:val="009C5691"/>
    <w:rsid w:val="009E376D"/>
    <w:rsid w:val="009E7EF0"/>
    <w:rsid w:val="009F5E69"/>
    <w:rsid w:val="009F7160"/>
    <w:rsid w:val="00A00F32"/>
    <w:rsid w:val="00A0352A"/>
    <w:rsid w:val="00A12260"/>
    <w:rsid w:val="00A127F8"/>
    <w:rsid w:val="00A14C75"/>
    <w:rsid w:val="00A22E03"/>
    <w:rsid w:val="00A24AB2"/>
    <w:rsid w:val="00A2548D"/>
    <w:rsid w:val="00A264D1"/>
    <w:rsid w:val="00A31CBF"/>
    <w:rsid w:val="00A42E05"/>
    <w:rsid w:val="00A43810"/>
    <w:rsid w:val="00A479B6"/>
    <w:rsid w:val="00A50CE9"/>
    <w:rsid w:val="00A55198"/>
    <w:rsid w:val="00A551EF"/>
    <w:rsid w:val="00A5522A"/>
    <w:rsid w:val="00A623A5"/>
    <w:rsid w:val="00A634A9"/>
    <w:rsid w:val="00A63BEA"/>
    <w:rsid w:val="00A6407D"/>
    <w:rsid w:val="00A65613"/>
    <w:rsid w:val="00A6671F"/>
    <w:rsid w:val="00A67A3C"/>
    <w:rsid w:val="00A753E7"/>
    <w:rsid w:val="00A75D02"/>
    <w:rsid w:val="00A803FE"/>
    <w:rsid w:val="00A83EA4"/>
    <w:rsid w:val="00A84E16"/>
    <w:rsid w:val="00A8747D"/>
    <w:rsid w:val="00A93E17"/>
    <w:rsid w:val="00A95BF7"/>
    <w:rsid w:val="00A97C0D"/>
    <w:rsid w:val="00A97E6C"/>
    <w:rsid w:val="00A97ED5"/>
    <w:rsid w:val="00AA2624"/>
    <w:rsid w:val="00AA5D9A"/>
    <w:rsid w:val="00AB07AD"/>
    <w:rsid w:val="00AB0F4F"/>
    <w:rsid w:val="00AB29F8"/>
    <w:rsid w:val="00AB3270"/>
    <w:rsid w:val="00AB4348"/>
    <w:rsid w:val="00AB53DE"/>
    <w:rsid w:val="00AC5B62"/>
    <w:rsid w:val="00AD17D0"/>
    <w:rsid w:val="00AD1977"/>
    <w:rsid w:val="00AD381A"/>
    <w:rsid w:val="00AD6DE4"/>
    <w:rsid w:val="00AE0DAD"/>
    <w:rsid w:val="00AE0FDC"/>
    <w:rsid w:val="00AE353C"/>
    <w:rsid w:val="00AE3DC8"/>
    <w:rsid w:val="00AF4161"/>
    <w:rsid w:val="00AF5A3D"/>
    <w:rsid w:val="00B07B1E"/>
    <w:rsid w:val="00B13290"/>
    <w:rsid w:val="00B13F40"/>
    <w:rsid w:val="00B15424"/>
    <w:rsid w:val="00B218BD"/>
    <w:rsid w:val="00B243D4"/>
    <w:rsid w:val="00B31E08"/>
    <w:rsid w:val="00B35775"/>
    <w:rsid w:val="00B47604"/>
    <w:rsid w:val="00B711E6"/>
    <w:rsid w:val="00B74BF0"/>
    <w:rsid w:val="00B74CA8"/>
    <w:rsid w:val="00B800AD"/>
    <w:rsid w:val="00B8055E"/>
    <w:rsid w:val="00B814F7"/>
    <w:rsid w:val="00B854F6"/>
    <w:rsid w:val="00B92DFB"/>
    <w:rsid w:val="00B930BB"/>
    <w:rsid w:val="00B931F4"/>
    <w:rsid w:val="00B953D0"/>
    <w:rsid w:val="00BA1210"/>
    <w:rsid w:val="00BA5BC0"/>
    <w:rsid w:val="00BB3B99"/>
    <w:rsid w:val="00BB69E7"/>
    <w:rsid w:val="00BB710D"/>
    <w:rsid w:val="00BB7E0F"/>
    <w:rsid w:val="00BC3793"/>
    <w:rsid w:val="00BC3E2C"/>
    <w:rsid w:val="00BC51C9"/>
    <w:rsid w:val="00BD2AAC"/>
    <w:rsid w:val="00BD3795"/>
    <w:rsid w:val="00BD3EDD"/>
    <w:rsid w:val="00BD5B2F"/>
    <w:rsid w:val="00BD76F3"/>
    <w:rsid w:val="00BE7B25"/>
    <w:rsid w:val="00BF20F4"/>
    <w:rsid w:val="00BF21CB"/>
    <w:rsid w:val="00BF56FA"/>
    <w:rsid w:val="00BF5CBD"/>
    <w:rsid w:val="00BF7645"/>
    <w:rsid w:val="00C00DAF"/>
    <w:rsid w:val="00C0309F"/>
    <w:rsid w:val="00C0360B"/>
    <w:rsid w:val="00C03DBD"/>
    <w:rsid w:val="00C066BB"/>
    <w:rsid w:val="00C1008E"/>
    <w:rsid w:val="00C125E0"/>
    <w:rsid w:val="00C12DD1"/>
    <w:rsid w:val="00C16660"/>
    <w:rsid w:val="00C16BDA"/>
    <w:rsid w:val="00C173FD"/>
    <w:rsid w:val="00C22134"/>
    <w:rsid w:val="00C2289A"/>
    <w:rsid w:val="00C3314C"/>
    <w:rsid w:val="00C34039"/>
    <w:rsid w:val="00C34191"/>
    <w:rsid w:val="00C37F87"/>
    <w:rsid w:val="00C40A41"/>
    <w:rsid w:val="00C4276D"/>
    <w:rsid w:val="00C4516D"/>
    <w:rsid w:val="00C45916"/>
    <w:rsid w:val="00C525D6"/>
    <w:rsid w:val="00C6096A"/>
    <w:rsid w:val="00C60D76"/>
    <w:rsid w:val="00C70566"/>
    <w:rsid w:val="00C7171A"/>
    <w:rsid w:val="00C87858"/>
    <w:rsid w:val="00C9072B"/>
    <w:rsid w:val="00C92112"/>
    <w:rsid w:val="00C94FAD"/>
    <w:rsid w:val="00C950A1"/>
    <w:rsid w:val="00C957AE"/>
    <w:rsid w:val="00C96CBA"/>
    <w:rsid w:val="00CA1AD9"/>
    <w:rsid w:val="00CA7B56"/>
    <w:rsid w:val="00CA7DC3"/>
    <w:rsid w:val="00CB1DA1"/>
    <w:rsid w:val="00CB3D3A"/>
    <w:rsid w:val="00CB7A13"/>
    <w:rsid w:val="00CC1D4F"/>
    <w:rsid w:val="00CC3A37"/>
    <w:rsid w:val="00CD22A7"/>
    <w:rsid w:val="00CD2C6C"/>
    <w:rsid w:val="00CD319F"/>
    <w:rsid w:val="00CD3F91"/>
    <w:rsid w:val="00CE1A56"/>
    <w:rsid w:val="00CE2220"/>
    <w:rsid w:val="00CE277C"/>
    <w:rsid w:val="00CF0685"/>
    <w:rsid w:val="00CF1767"/>
    <w:rsid w:val="00CF1FA9"/>
    <w:rsid w:val="00CF2EFC"/>
    <w:rsid w:val="00D02CA6"/>
    <w:rsid w:val="00D045E0"/>
    <w:rsid w:val="00D04718"/>
    <w:rsid w:val="00D052BF"/>
    <w:rsid w:val="00D07BB5"/>
    <w:rsid w:val="00D116CE"/>
    <w:rsid w:val="00D13E84"/>
    <w:rsid w:val="00D158FA"/>
    <w:rsid w:val="00D17064"/>
    <w:rsid w:val="00D209A6"/>
    <w:rsid w:val="00D21878"/>
    <w:rsid w:val="00D24C3D"/>
    <w:rsid w:val="00D326BF"/>
    <w:rsid w:val="00D333A9"/>
    <w:rsid w:val="00D43B59"/>
    <w:rsid w:val="00D602CD"/>
    <w:rsid w:val="00D6059A"/>
    <w:rsid w:val="00D7054E"/>
    <w:rsid w:val="00D76A40"/>
    <w:rsid w:val="00D81DA6"/>
    <w:rsid w:val="00D82A47"/>
    <w:rsid w:val="00D873A3"/>
    <w:rsid w:val="00D87BEE"/>
    <w:rsid w:val="00D90CF0"/>
    <w:rsid w:val="00DA1747"/>
    <w:rsid w:val="00DA1871"/>
    <w:rsid w:val="00DA35C1"/>
    <w:rsid w:val="00DA6095"/>
    <w:rsid w:val="00DA6DE1"/>
    <w:rsid w:val="00DB5D01"/>
    <w:rsid w:val="00DB74F4"/>
    <w:rsid w:val="00DB7C49"/>
    <w:rsid w:val="00DC00C5"/>
    <w:rsid w:val="00DC3A3E"/>
    <w:rsid w:val="00DC41F0"/>
    <w:rsid w:val="00DD02A4"/>
    <w:rsid w:val="00DD4098"/>
    <w:rsid w:val="00DE12E4"/>
    <w:rsid w:val="00DE172C"/>
    <w:rsid w:val="00DE2FB5"/>
    <w:rsid w:val="00DE354C"/>
    <w:rsid w:val="00DE5E36"/>
    <w:rsid w:val="00DF34A5"/>
    <w:rsid w:val="00DF6B98"/>
    <w:rsid w:val="00DF7FEA"/>
    <w:rsid w:val="00E037B9"/>
    <w:rsid w:val="00E03AC0"/>
    <w:rsid w:val="00E054B4"/>
    <w:rsid w:val="00E06C57"/>
    <w:rsid w:val="00E144CE"/>
    <w:rsid w:val="00E14DAF"/>
    <w:rsid w:val="00E165AD"/>
    <w:rsid w:val="00E2160C"/>
    <w:rsid w:val="00E2181F"/>
    <w:rsid w:val="00E21EC6"/>
    <w:rsid w:val="00E21F4C"/>
    <w:rsid w:val="00E2326B"/>
    <w:rsid w:val="00E3216E"/>
    <w:rsid w:val="00E35AB9"/>
    <w:rsid w:val="00E35D74"/>
    <w:rsid w:val="00E361FE"/>
    <w:rsid w:val="00E46945"/>
    <w:rsid w:val="00E50163"/>
    <w:rsid w:val="00E54652"/>
    <w:rsid w:val="00E63D5A"/>
    <w:rsid w:val="00E65857"/>
    <w:rsid w:val="00E67594"/>
    <w:rsid w:val="00E77EC8"/>
    <w:rsid w:val="00E81934"/>
    <w:rsid w:val="00E8572E"/>
    <w:rsid w:val="00E92104"/>
    <w:rsid w:val="00E96E15"/>
    <w:rsid w:val="00EA0825"/>
    <w:rsid w:val="00EA0E3A"/>
    <w:rsid w:val="00EA40E0"/>
    <w:rsid w:val="00EA6B5E"/>
    <w:rsid w:val="00EB34F9"/>
    <w:rsid w:val="00EB448D"/>
    <w:rsid w:val="00EC10C2"/>
    <w:rsid w:val="00EC3201"/>
    <w:rsid w:val="00EC4F01"/>
    <w:rsid w:val="00EC7723"/>
    <w:rsid w:val="00ED37B3"/>
    <w:rsid w:val="00ED66DC"/>
    <w:rsid w:val="00ED7558"/>
    <w:rsid w:val="00EE0639"/>
    <w:rsid w:val="00EE43A5"/>
    <w:rsid w:val="00EE46CA"/>
    <w:rsid w:val="00EF2454"/>
    <w:rsid w:val="00EF381C"/>
    <w:rsid w:val="00EF3A76"/>
    <w:rsid w:val="00EF5D0E"/>
    <w:rsid w:val="00F00125"/>
    <w:rsid w:val="00F05EF4"/>
    <w:rsid w:val="00F114F6"/>
    <w:rsid w:val="00F13329"/>
    <w:rsid w:val="00F14D6C"/>
    <w:rsid w:val="00F2129D"/>
    <w:rsid w:val="00F2494F"/>
    <w:rsid w:val="00F27FEA"/>
    <w:rsid w:val="00F30F2C"/>
    <w:rsid w:val="00F32EC7"/>
    <w:rsid w:val="00F4000E"/>
    <w:rsid w:val="00F40CC4"/>
    <w:rsid w:val="00F6051F"/>
    <w:rsid w:val="00F607C8"/>
    <w:rsid w:val="00F64369"/>
    <w:rsid w:val="00F67430"/>
    <w:rsid w:val="00F70A32"/>
    <w:rsid w:val="00F7401C"/>
    <w:rsid w:val="00F76C23"/>
    <w:rsid w:val="00F85785"/>
    <w:rsid w:val="00F91DDC"/>
    <w:rsid w:val="00F92AA1"/>
    <w:rsid w:val="00F93941"/>
    <w:rsid w:val="00F961F2"/>
    <w:rsid w:val="00FA01A7"/>
    <w:rsid w:val="00FA6C43"/>
    <w:rsid w:val="00FB1C00"/>
    <w:rsid w:val="00FB3921"/>
    <w:rsid w:val="00FB4348"/>
    <w:rsid w:val="00FC0A67"/>
    <w:rsid w:val="00FC0B65"/>
    <w:rsid w:val="00FD3C6E"/>
    <w:rsid w:val="00FF04CA"/>
    <w:rsid w:val="00FF18A1"/>
    <w:rsid w:val="00FF52B4"/>
    <w:rsid w:val="00FF71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E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A8"/>
    <w:pPr>
      <w:widowControl w:val="0"/>
      <w:spacing w:after="0" w:line="240" w:lineRule="auto"/>
    </w:pPr>
    <w:rPr>
      <w:rFonts w:eastAsia="Times New Roman"/>
      <w:snapToGrid w:val="0"/>
      <w:szCs w:val="20"/>
      <w:lang w:val="en-US"/>
    </w:rPr>
  </w:style>
  <w:style w:type="paragraph" w:styleId="Heading1">
    <w:name w:val="heading 1"/>
    <w:basedOn w:val="Normal"/>
    <w:next w:val="Normal"/>
    <w:link w:val="Heading1Char"/>
    <w:uiPriority w:val="9"/>
    <w:qFormat/>
    <w:rsid w:val="00F60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1CA8"/>
    <w:pPr>
      <w:keepNext/>
      <w:keepLines/>
      <w:widowControl/>
      <w:spacing w:before="40" w:line="259" w:lineRule="auto"/>
      <w:outlineLvl w:val="1"/>
    </w:pPr>
    <w:rPr>
      <w:rFonts w:asciiTheme="majorHAnsi" w:eastAsiaTheme="majorEastAsia" w:hAnsiTheme="majorHAnsi" w:cstheme="majorBidi"/>
      <w:snapToGrid/>
      <w:color w:val="2E74B5" w:themeColor="accent1" w:themeShade="BF"/>
      <w:sz w:val="26"/>
      <w:szCs w:val="26"/>
      <w:lang w:val="en-AU"/>
    </w:rPr>
  </w:style>
  <w:style w:type="paragraph" w:styleId="Heading3">
    <w:name w:val="heading 3"/>
    <w:basedOn w:val="Normal"/>
    <w:next w:val="Normal"/>
    <w:link w:val="Heading3Char"/>
    <w:uiPriority w:val="9"/>
    <w:unhideWhenUsed/>
    <w:qFormat/>
    <w:rsid w:val="00931CA8"/>
    <w:pPr>
      <w:keepNext/>
      <w:keepLines/>
      <w:widowControl/>
      <w:spacing w:before="40" w:line="259" w:lineRule="auto"/>
      <w:outlineLvl w:val="2"/>
    </w:pPr>
    <w:rPr>
      <w:rFonts w:asciiTheme="majorHAnsi" w:eastAsiaTheme="majorEastAsia" w:hAnsiTheme="majorHAnsi" w:cstheme="majorBidi"/>
      <w:snapToGrid/>
      <w:color w:val="1F4D78" w:themeColor="accent1" w:themeShade="7F"/>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1C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31CA8"/>
    <w:rPr>
      <w:rFonts w:asciiTheme="majorHAnsi" w:eastAsiaTheme="majorEastAsia" w:hAnsiTheme="majorHAnsi" w:cstheme="majorBidi"/>
      <w:color w:val="1F4D78" w:themeColor="accent1" w:themeShade="7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931CA8"/>
    <w:pPr>
      <w:widowControl/>
      <w:ind w:left="720"/>
    </w:pPr>
    <w:rPr>
      <w:rFonts w:ascii="Calibri" w:eastAsiaTheme="minorHAnsi" w:hAnsi="Calibri" w:cs="Calibri"/>
      <w:snapToGrid/>
      <w:sz w:val="22"/>
      <w:szCs w:val="22"/>
      <w:lang w:val="en-AU"/>
    </w:rPr>
  </w:style>
  <w:style w:type="character" w:styleId="CommentReference">
    <w:name w:val="annotation reference"/>
    <w:basedOn w:val="DefaultParagraphFont"/>
    <w:uiPriority w:val="99"/>
    <w:semiHidden/>
    <w:unhideWhenUsed/>
    <w:rsid w:val="00931CA8"/>
    <w:rPr>
      <w:sz w:val="16"/>
      <w:szCs w:val="16"/>
    </w:rPr>
  </w:style>
  <w:style w:type="paragraph" w:styleId="CommentText">
    <w:name w:val="annotation text"/>
    <w:basedOn w:val="Normal"/>
    <w:link w:val="CommentTextChar"/>
    <w:uiPriority w:val="99"/>
    <w:unhideWhenUsed/>
    <w:rsid w:val="00931CA8"/>
    <w:rPr>
      <w:sz w:val="20"/>
    </w:rPr>
  </w:style>
  <w:style w:type="character" w:customStyle="1" w:styleId="CommentTextChar">
    <w:name w:val="Comment Text Char"/>
    <w:basedOn w:val="DefaultParagraphFont"/>
    <w:link w:val="CommentText"/>
    <w:uiPriority w:val="99"/>
    <w:rsid w:val="00931CA8"/>
    <w:rPr>
      <w:rFonts w:eastAsia="Times New Roman"/>
      <w:snapToGrid w:val="0"/>
      <w:sz w:val="20"/>
      <w:szCs w:val="20"/>
      <w:lang w:val="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931CA8"/>
    <w:rPr>
      <w:rFonts w:ascii="Calibri" w:hAnsi="Calibri" w:cs="Calibri"/>
      <w:sz w:val="22"/>
      <w:szCs w:val="22"/>
    </w:rPr>
  </w:style>
  <w:style w:type="character" w:styleId="Hyperlink">
    <w:name w:val="Hyperlink"/>
    <w:basedOn w:val="DefaultParagraphFont"/>
    <w:uiPriority w:val="99"/>
    <w:unhideWhenUsed/>
    <w:qFormat/>
    <w:rsid w:val="00931CA8"/>
    <w:rPr>
      <w:color w:val="0563C1" w:themeColor="hyperlink"/>
      <w:u w:val="single"/>
    </w:rPr>
  </w:style>
  <w:style w:type="table" w:styleId="TableGrid">
    <w:name w:val="Table Grid"/>
    <w:basedOn w:val="TableNormal"/>
    <w:uiPriority w:val="39"/>
    <w:rsid w:val="0093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31CA8"/>
    <w:rPr>
      <w:sz w:val="20"/>
    </w:rPr>
  </w:style>
  <w:style w:type="character" w:customStyle="1" w:styleId="FootnoteTextChar">
    <w:name w:val="Footnote Text Char"/>
    <w:basedOn w:val="DefaultParagraphFont"/>
    <w:link w:val="FootnoteText"/>
    <w:uiPriority w:val="99"/>
    <w:rsid w:val="00931CA8"/>
    <w:rPr>
      <w:rFonts w:eastAsia="Times New Roman"/>
      <w:snapToGrid w:val="0"/>
      <w:sz w:val="20"/>
      <w:szCs w:val="20"/>
      <w:lang w:val="en-US"/>
    </w:rPr>
  </w:style>
  <w:style w:type="character" w:styleId="FootnoteReference">
    <w:name w:val="footnote reference"/>
    <w:basedOn w:val="DefaultParagraphFont"/>
    <w:uiPriority w:val="99"/>
    <w:unhideWhenUsed/>
    <w:rsid w:val="00931CA8"/>
    <w:rPr>
      <w:vertAlign w:val="superscript"/>
    </w:rPr>
  </w:style>
  <w:style w:type="paragraph" w:styleId="BalloonText">
    <w:name w:val="Balloon Text"/>
    <w:basedOn w:val="Normal"/>
    <w:link w:val="BalloonTextChar"/>
    <w:uiPriority w:val="99"/>
    <w:semiHidden/>
    <w:unhideWhenUsed/>
    <w:rsid w:val="00931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CA8"/>
    <w:rPr>
      <w:rFonts w:ascii="Segoe UI" w:eastAsia="Times New Roman" w:hAnsi="Segoe UI" w:cs="Segoe UI"/>
      <w:snapToGrid w:val="0"/>
      <w:sz w:val="18"/>
      <w:szCs w:val="18"/>
      <w:lang w:val="en-US"/>
    </w:rPr>
  </w:style>
  <w:style w:type="paragraph" w:styleId="Header">
    <w:name w:val="header"/>
    <w:basedOn w:val="Normal"/>
    <w:link w:val="HeaderChar"/>
    <w:uiPriority w:val="99"/>
    <w:unhideWhenUsed/>
    <w:rsid w:val="00931CA8"/>
    <w:pPr>
      <w:tabs>
        <w:tab w:val="center" w:pos="4513"/>
        <w:tab w:val="right" w:pos="9026"/>
      </w:tabs>
    </w:pPr>
  </w:style>
  <w:style w:type="character" w:customStyle="1" w:styleId="HeaderChar">
    <w:name w:val="Header Char"/>
    <w:basedOn w:val="DefaultParagraphFont"/>
    <w:link w:val="Header"/>
    <w:uiPriority w:val="99"/>
    <w:rsid w:val="00931CA8"/>
    <w:rPr>
      <w:rFonts w:eastAsia="Times New Roman"/>
      <w:snapToGrid w:val="0"/>
      <w:szCs w:val="20"/>
      <w:lang w:val="en-US"/>
    </w:rPr>
  </w:style>
  <w:style w:type="paragraph" w:styleId="Footer">
    <w:name w:val="footer"/>
    <w:basedOn w:val="Normal"/>
    <w:link w:val="FooterChar"/>
    <w:uiPriority w:val="99"/>
    <w:unhideWhenUsed/>
    <w:rsid w:val="00931CA8"/>
    <w:pPr>
      <w:tabs>
        <w:tab w:val="center" w:pos="4513"/>
        <w:tab w:val="right" w:pos="9026"/>
      </w:tabs>
    </w:pPr>
  </w:style>
  <w:style w:type="character" w:customStyle="1" w:styleId="FooterChar">
    <w:name w:val="Footer Char"/>
    <w:basedOn w:val="DefaultParagraphFont"/>
    <w:link w:val="Footer"/>
    <w:uiPriority w:val="99"/>
    <w:rsid w:val="00931CA8"/>
    <w:rPr>
      <w:rFonts w:eastAsia="Times New Roman"/>
      <w:snapToGrid w:val="0"/>
      <w:szCs w:val="20"/>
      <w:lang w:val="en-US"/>
    </w:rPr>
  </w:style>
  <w:style w:type="paragraph" w:styleId="CommentSubject">
    <w:name w:val="annotation subject"/>
    <w:basedOn w:val="CommentText"/>
    <w:next w:val="CommentText"/>
    <w:link w:val="CommentSubjectChar"/>
    <w:uiPriority w:val="99"/>
    <w:semiHidden/>
    <w:unhideWhenUsed/>
    <w:rsid w:val="00B47604"/>
    <w:rPr>
      <w:b/>
      <w:bCs/>
    </w:rPr>
  </w:style>
  <w:style w:type="character" w:customStyle="1" w:styleId="CommentSubjectChar">
    <w:name w:val="Comment Subject Char"/>
    <w:basedOn w:val="CommentTextChar"/>
    <w:link w:val="CommentSubject"/>
    <w:uiPriority w:val="99"/>
    <w:semiHidden/>
    <w:rsid w:val="00B47604"/>
    <w:rPr>
      <w:rFonts w:eastAsia="Times New Roman"/>
      <w:b/>
      <w:bCs/>
      <w:snapToGrid w:val="0"/>
      <w:sz w:val="20"/>
      <w:szCs w:val="20"/>
      <w:lang w:val="en-US"/>
    </w:rPr>
  </w:style>
  <w:style w:type="paragraph" w:styleId="Revision">
    <w:name w:val="Revision"/>
    <w:hidden/>
    <w:uiPriority w:val="99"/>
    <w:semiHidden/>
    <w:rsid w:val="00A97E6C"/>
    <w:pPr>
      <w:spacing w:after="0" w:line="240" w:lineRule="auto"/>
    </w:pPr>
    <w:rPr>
      <w:rFonts w:eastAsia="Times New Roman"/>
      <w:snapToGrid w:val="0"/>
      <w:szCs w:val="20"/>
      <w:lang w:val="en-US"/>
    </w:rPr>
  </w:style>
  <w:style w:type="paragraph" w:styleId="BodyText">
    <w:name w:val="Body Text"/>
    <w:basedOn w:val="Normal"/>
    <w:link w:val="BodyTextChar"/>
    <w:unhideWhenUsed/>
    <w:rsid w:val="00A97C0D"/>
    <w:pPr>
      <w:widowControl/>
      <w:spacing w:after="120"/>
    </w:pPr>
    <w:rPr>
      <w:rFonts w:ascii="Arial" w:hAnsi="Arial"/>
      <w:snapToGrid/>
      <w:sz w:val="22"/>
      <w:szCs w:val="24"/>
      <w:lang w:val="en-AU"/>
    </w:rPr>
  </w:style>
  <w:style w:type="character" w:customStyle="1" w:styleId="BodyTextChar">
    <w:name w:val="Body Text Char"/>
    <w:basedOn w:val="DefaultParagraphFont"/>
    <w:link w:val="BodyText"/>
    <w:rsid w:val="00A97C0D"/>
    <w:rPr>
      <w:rFonts w:ascii="Arial" w:eastAsia="Times New Roman" w:hAnsi="Arial"/>
      <w:sz w:val="22"/>
    </w:rPr>
  </w:style>
  <w:style w:type="character" w:styleId="Emphasis">
    <w:name w:val="Emphasis"/>
    <w:basedOn w:val="DefaultParagraphFont"/>
    <w:uiPriority w:val="20"/>
    <w:qFormat/>
    <w:rsid w:val="001348B2"/>
    <w:rPr>
      <w:b/>
      <w:bCs/>
      <w:i w:val="0"/>
      <w:iCs w:val="0"/>
    </w:rPr>
  </w:style>
  <w:style w:type="character" w:customStyle="1" w:styleId="st1">
    <w:name w:val="st1"/>
    <w:basedOn w:val="DefaultParagraphFont"/>
    <w:rsid w:val="001348B2"/>
  </w:style>
  <w:style w:type="paragraph" w:styleId="Title">
    <w:name w:val="Title"/>
    <w:basedOn w:val="Normal"/>
    <w:next w:val="Normal"/>
    <w:link w:val="TitleChar"/>
    <w:uiPriority w:val="10"/>
    <w:qFormat/>
    <w:rsid w:val="00F607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7C8"/>
    <w:rPr>
      <w:rFonts w:asciiTheme="majorHAnsi" w:eastAsiaTheme="majorEastAsia" w:hAnsiTheme="majorHAnsi" w:cstheme="majorBidi"/>
      <w:snapToGrid w:val="0"/>
      <w:spacing w:val="-10"/>
      <w:kern w:val="28"/>
      <w:sz w:val="56"/>
      <w:szCs w:val="56"/>
      <w:lang w:val="en-US"/>
    </w:rPr>
  </w:style>
  <w:style w:type="character" w:customStyle="1" w:styleId="Heading1Char">
    <w:name w:val="Heading 1 Char"/>
    <w:basedOn w:val="DefaultParagraphFont"/>
    <w:link w:val="Heading1"/>
    <w:uiPriority w:val="9"/>
    <w:rsid w:val="00F607C8"/>
    <w:rPr>
      <w:rFonts w:asciiTheme="majorHAnsi" w:eastAsiaTheme="majorEastAsia" w:hAnsiTheme="majorHAnsi" w:cstheme="majorBidi"/>
      <w:snapToGrid w:val="0"/>
      <w:color w:val="2E74B5" w:themeColor="accent1" w:themeShade="BF"/>
      <w:sz w:val="32"/>
      <w:szCs w:val="32"/>
      <w:lang w:val="en-US"/>
    </w:rPr>
  </w:style>
  <w:style w:type="paragraph" w:customStyle="1" w:styleId="Default">
    <w:name w:val="Default"/>
    <w:rsid w:val="00AD6DE4"/>
    <w:pPr>
      <w:autoSpaceDE w:val="0"/>
      <w:autoSpaceDN w:val="0"/>
      <w:adjustRightInd w:val="0"/>
      <w:spacing w:after="0" w:line="240" w:lineRule="auto"/>
    </w:pPr>
    <w:rPr>
      <w:rFonts w:ascii="Roboto Light" w:hAnsi="Roboto Light" w:cs="Roboto Light"/>
      <w:color w:val="000000"/>
    </w:rPr>
  </w:style>
  <w:style w:type="character" w:styleId="FollowedHyperlink">
    <w:name w:val="FollowedHyperlink"/>
    <w:basedOn w:val="DefaultParagraphFont"/>
    <w:uiPriority w:val="99"/>
    <w:semiHidden/>
    <w:unhideWhenUsed/>
    <w:rsid w:val="0031797C"/>
    <w:rPr>
      <w:color w:val="954F72" w:themeColor="followedHyperlink"/>
      <w:u w:val="single"/>
    </w:rPr>
  </w:style>
  <w:style w:type="character" w:styleId="UnresolvedMention">
    <w:name w:val="Unresolved Mention"/>
    <w:basedOn w:val="DefaultParagraphFont"/>
    <w:uiPriority w:val="99"/>
    <w:semiHidden/>
    <w:unhideWhenUsed/>
    <w:rsid w:val="008C729B"/>
    <w:rPr>
      <w:color w:val="605E5C"/>
      <w:shd w:val="clear" w:color="auto" w:fill="E1DFDD"/>
    </w:rPr>
  </w:style>
  <w:style w:type="paragraph" w:styleId="Subtitle">
    <w:name w:val="Subtitle"/>
    <w:next w:val="Normal"/>
    <w:link w:val="SubtitleChar"/>
    <w:qFormat/>
    <w:rsid w:val="00063157"/>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063157"/>
    <w:rPr>
      <w:rFonts w:ascii="Arial" w:eastAsiaTheme="majorEastAsia" w:hAnsi="Arial" w:cstheme="majorBidi"/>
      <w:iCs/>
      <w:color w:val="3F4A75"/>
      <w:spacing w:val="1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23647">
      <w:bodyDiv w:val="1"/>
      <w:marLeft w:val="0"/>
      <w:marRight w:val="0"/>
      <w:marTop w:val="0"/>
      <w:marBottom w:val="0"/>
      <w:divBdr>
        <w:top w:val="none" w:sz="0" w:space="0" w:color="auto"/>
        <w:left w:val="none" w:sz="0" w:space="0" w:color="auto"/>
        <w:bottom w:val="none" w:sz="0" w:space="0" w:color="auto"/>
        <w:right w:val="none" w:sz="0" w:space="0" w:color="auto"/>
      </w:divBdr>
    </w:div>
    <w:div w:id="288248785">
      <w:bodyDiv w:val="1"/>
      <w:marLeft w:val="0"/>
      <w:marRight w:val="0"/>
      <w:marTop w:val="0"/>
      <w:marBottom w:val="0"/>
      <w:divBdr>
        <w:top w:val="none" w:sz="0" w:space="0" w:color="auto"/>
        <w:left w:val="none" w:sz="0" w:space="0" w:color="auto"/>
        <w:bottom w:val="none" w:sz="0" w:space="0" w:color="auto"/>
        <w:right w:val="none" w:sz="0" w:space="0" w:color="auto"/>
      </w:divBdr>
    </w:div>
    <w:div w:id="304894203">
      <w:bodyDiv w:val="1"/>
      <w:marLeft w:val="0"/>
      <w:marRight w:val="0"/>
      <w:marTop w:val="0"/>
      <w:marBottom w:val="0"/>
      <w:divBdr>
        <w:top w:val="none" w:sz="0" w:space="0" w:color="auto"/>
        <w:left w:val="none" w:sz="0" w:space="0" w:color="auto"/>
        <w:bottom w:val="none" w:sz="0" w:space="0" w:color="auto"/>
        <w:right w:val="none" w:sz="0" w:space="0" w:color="auto"/>
      </w:divBdr>
    </w:div>
    <w:div w:id="484857754">
      <w:bodyDiv w:val="1"/>
      <w:marLeft w:val="0"/>
      <w:marRight w:val="0"/>
      <w:marTop w:val="0"/>
      <w:marBottom w:val="0"/>
      <w:divBdr>
        <w:top w:val="none" w:sz="0" w:space="0" w:color="auto"/>
        <w:left w:val="none" w:sz="0" w:space="0" w:color="auto"/>
        <w:bottom w:val="none" w:sz="0" w:space="0" w:color="auto"/>
        <w:right w:val="none" w:sz="0" w:space="0" w:color="auto"/>
      </w:divBdr>
    </w:div>
    <w:div w:id="520704259">
      <w:bodyDiv w:val="1"/>
      <w:marLeft w:val="0"/>
      <w:marRight w:val="0"/>
      <w:marTop w:val="0"/>
      <w:marBottom w:val="0"/>
      <w:divBdr>
        <w:top w:val="none" w:sz="0" w:space="0" w:color="auto"/>
        <w:left w:val="none" w:sz="0" w:space="0" w:color="auto"/>
        <w:bottom w:val="none" w:sz="0" w:space="0" w:color="auto"/>
        <w:right w:val="none" w:sz="0" w:space="0" w:color="auto"/>
      </w:divBdr>
    </w:div>
    <w:div w:id="848105606">
      <w:bodyDiv w:val="1"/>
      <w:marLeft w:val="0"/>
      <w:marRight w:val="0"/>
      <w:marTop w:val="0"/>
      <w:marBottom w:val="0"/>
      <w:divBdr>
        <w:top w:val="none" w:sz="0" w:space="0" w:color="auto"/>
        <w:left w:val="none" w:sz="0" w:space="0" w:color="auto"/>
        <w:bottom w:val="none" w:sz="0" w:space="0" w:color="auto"/>
        <w:right w:val="none" w:sz="0" w:space="0" w:color="auto"/>
      </w:divBdr>
    </w:div>
    <w:div w:id="851726474">
      <w:bodyDiv w:val="1"/>
      <w:marLeft w:val="0"/>
      <w:marRight w:val="0"/>
      <w:marTop w:val="0"/>
      <w:marBottom w:val="0"/>
      <w:divBdr>
        <w:top w:val="none" w:sz="0" w:space="0" w:color="auto"/>
        <w:left w:val="none" w:sz="0" w:space="0" w:color="auto"/>
        <w:bottom w:val="none" w:sz="0" w:space="0" w:color="auto"/>
        <w:right w:val="none" w:sz="0" w:space="0" w:color="auto"/>
      </w:divBdr>
    </w:div>
    <w:div w:id="853694216">
      <w:bodyDiv w:val="1"/>
      <w:marLeft w:val="0"/>
      <w:marRight w:val="0"/>
      <w:marTop w:val="0"/>
      <w:marBottom w:val="0"/>
      <w:divBdr>
        <w:top w:val="none" w:sz="0" w:space="0" w:color="auto"/>
        <w:left w:val="none" w:sz="0" w:space="0" w:color="auto"/>
        <w:bottom w:val="none" w:sz="0" w:space="0" w:color="auto"/>
        <w:right w:val="none" w:sz="0" w:space="0" w:color="auto"/>
      </w:divBdr>
    </w:div>
    <w:div w:id="999042811">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374959558">
      <w:bodyDiv w:val="1"/>
      <w:marLeft w:val="0"/>
      <w:marRight w:val="0"/>
      <w:marTop w:val="0"/>
      <w:marBottom w:val="0"/>
      <w:divBdr>
        <w:top w:val="none" w:sz="0" w:space="0" w:color="auto"/>
        <w:left w:val="none" w:sz="0" w:space="0" w:color="auto"/>
        <w:bottom w:val="none" w:sz="0" w:space="0" w:color="auto"/>
        <w:right w:val="none" w:sz="0" w:space="0" w:color="auto"/>
      </w:divBdr>
    </w:div>
    <w:div w:id="1382435234">
      <w:bodyDiv w:val="1"/>
      <w:marLeft w:val="0"/>
      <w:marRight w:val="0"/>
      <w:marTop w:val="0"/>
      <w:marBottom w:val="0"/>
      <w:divBdr>
        <w:top w:val="none" w:sz="0" w:space="0" w:color="auto"/>
        <w:left w:val="none" w:sz="0" w:space="0" w:color="auto"/>
        <w:bottom w:val="none" w:sz="0" w:space="0" w:color="auto"/>
        <w:right w:val="none" w:sz="0" w:space="0" w:color="auto"/>
      </w:divBdr>
    </w:div>
    <w:div w:id="1546334213">
      <w:bodyDiv w:val="1"/>
      <w:marLeft w:val="0"/>
      <w:marRight w:val="0"/>
      <w:marTop w:val="0"/>
      <w:marBottom w:val="0"/>
      <w:divBdr>
        <w:top w:val="none" w:sz="0" w:space="0" w:color="auto"/>
        <w:left w:val="none" w:sz="0" w:space="0" w:color="auto"/>
        <w:bottom w:val="none" w:sz="0" w:space="0" w:color="auto"/>
        <w:right w:val="none" w:sz="0" w:space="0" w:color="auto"/>
      </w:divBdr>
    </w:div>
    <w:div w:id="1665275747">
      <w:bodyDiv w:val="1"/>
      <w:marLeft w:val="0"/>
      <w:marRight w:val="0"/>
      <w:marTop w:val="0"/>
      <w:marBottom w:val="0"/>
      <w:divBdr>
        <w:top w:val="none" w:sz="0" w:space="0" w:color="auto"/>
        <w:left w:val="none" w:sz="0" w:space="0" w:color="auto"/>
        <w:bottom w:val="none" w:sz="0" w:space="0" w:color="auto"/>
        <w:right w:val="none" w:sz="0" w:space="0" w:color="auto"/>
      </w:divBdr>
    </w:div>
    <w:div w:id="1940486224">
      <w:bodyDiv w:val="1"/>
      <w:marLeft w:val="0"/>
      <w:marRight w:val="0"/>
      <w:marTop w:val="0"/>
      <w:marBottom w:val="0"/>
      <w:divBdr>
        <w:top w:val="none" w:sz="0" w:space="0" w:color="auto"/>
        <w:left w:val="none" w:sz="0" w:space="0" w:color="auto"/>
        <w:bottom w:val="none" w:sz="0" w:space="0" w:color="auto"/>
        <w:right w:val="none" w:sz="0" w:space="0" w:color="auto"/>
      </w:divBdr>
    </w:div>
    <w:div w:id="2038655703">
      <w:bodyDiv w:val="1"/>
      <w:marLeft w:val="0"/>
      <w:marRight w:val="0"/>
      <w:marTop w:val="0"/>
      <w:marBottom w:val="0"/>
      <w:divBdr>
        <w:top w:val="none" w:sz="0" w:space="0" w:color="auto"/>
        <w:left w:val="none" w:sz="0" w:space="0" w:color="auto"/>
        <w:bottom w:val="none" w:sz="0" w:space="0" w:color="auto"/>
        <w:right w:val="none" w:sz="0" w:space="0" w:color="auto"/>
      </w:divBdr>
    </w:div>
    <w:div w:id="2108696532">
      <w:bodyDiv w:val="1"/>
      <w:marLeft w:val="0"/>
      <w:marRight w:val="0"/>
      <w:marTop w:val="0"/>
      <w:marBottom w:val="0"/>
      <w:divBdr>
        <w:top w:val="none" w:sz="0" w:space="0" w:color="auto"/>
        <w:left w:val="none" w:sz="0" w:space="0" w:color="auto"/>
        <w:bottom w:val="none" w:sz="0" w:space="0" w:color="auto"/>
        <w:right w:val="none" w:sz="0" w:space="0" w:color="auto"/>
      </w:divBdr>
    </w:div>
    <w:div w:id="21125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natelife.gov.au/about-us/corporate-transparency/government-reports" TargetMode="External"/><Relationship Id="rId1" Type="http://schemas.openxmlformats.org/officeDocument/2006/relationships/hyperlink" Target="https://www.health.gov.au/resources/publications/review-of-the-organ-donation-retrieval-and-transplantation-system-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28820-AEED-4B59-8268-A6842F1D9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154B4-49CA-45EE-8998-4681A2E4ABE1}">
  <ds:schemaRefs>
    <ds:schemaRef ds:uri="http://schemas.openxmlformats.org/officeDocument/2006/bibliography"/>
  </ds:schemaRefs>
</ds:datastoreItem>
</file>

<file path=customXml/itemProps3.xml><?xml version="1.0" encoding="utf-8"?>
<ds:datastoreItem xmlns:ds="http://schemas.openxmlformats.org/officeDocument/2006/customXml" ds:itemID="{E91305B0-73B0-49B3-AEA6-12376F1B26A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93AF2D8-2509-41D6-BA06-7AC2DF3B4174"/>
    <ds:schemaRef ds:uri="http://www.w3.org/XML/1998/namespace"/>
  </ds:schemaRefs>
</ds:datastoreItem>
</file>

<file path=customXml/itemProps4.xml><?xml version="1.0" encoding="utf-8"?>
<ds:datastoreItem xmlns:ds="http://schemas.openxmlformats.org/officeDocument/2006/customXml" ds:itemID="{06A9E464-4B1C-459E-9260-8E7F55BE7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3634</Words>
  <Characters>20715</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Action Plan</dc:title>
  <dc:subject/>
  <dc:creator/>
  <cp:keywords>Organ and tissue donation</cp:keywords>
  <dc:description/>
  <cp:lastModifiedBy/>
  <cp:revision>1</cp:revision>
  <dcterms:created xsi:type="dcterms:W3CDTF">2022-08-10T23:05:00Z</dcterms:created>
  <dcterms:modified xsi:type="dcterms:W3CDTF">2022-08-10T23:05:00Z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0x010100266966F133664895A6EE3632470D45F50096CAB00AEEFA494F8855472756C40A7A</vt:lpwstr>
  </property>
</Properties>
</file>