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56AAE" w14:textId="505E2C5D" w:rsidR="004F4163" w:rsidRPr="00567F93" w:rsidRDefault="00DB6834" w:rsidP="00567F93">
      <w:pPr>
        <w:pStyle w:val="Title"/>
      </w:pPr>
      <w:bookmarkStart w:id="0" w:name="_Hlk110932297"/>
      <w:r w:rsidRPr="00567F93">
        <w:t xml:space="preserve">Third </w:t>
      </w:r>
      <w:r w:rsidR="004F4163" w:rsidRPr="00567F93">
        <w:t xml:space="preserve">report on the operation and effectiveness of COVIDSafe and the National COVIDSafe </w:t>
      </w:r>
      <w:r w:rsidR="006422AC">
        <w:t>D</w:t>
      </w:r>
      <w:r w:rsidR="004F4163" w:rsidRPr="00567F93">
        <w:t>ata Store</w:t>
      </w:r>
    </w:p>
    <w:bookmarkEnd w:id="0"/>
    <w:p w14:paraId="5A72318F" w14:textId="4A30520A" w:rsidR="00520303" w:rsidRPr="003A4302" w:rsidRDefault="00520303" w:rsidP="003A4302">
      <w:pPr>
        <w:pStyle w:val="Subtitle"/>
      </w:pPr>
      <w:r w:rsidRPr="003A4302">
        <w:t>16 November 2021 to 15 May 2022</w:t>
      </w:r>
    </w:p>
    <w:p w14:paraId="4488389D" w14:textId="323077E0" w:rsidR="00520303" w:rsidRPr="003A4302" w:rsidRDefault="00225ACF" w:rsidP="003A4302">
      <w:pPr>
        <w:pStyle w:val="Subtitle"/>
      </w:pPr>
      <w:r>
        <w:t>July/</w:t>
      </w:r>
      <w:r w:rsidR="00CD7460">
        <w:t>August</w:t>
      </w:r>
      <w:r w:rsidR="00520303" w:rsidRPr="003A4302">
        <w:t xml:space="preserve"> 2022</w:t>
      </w:r>
    </w:p>
    <w:p w14:paraId="393DA81D" w14:textId="14F33FF0" w:rsidR="004F4163" w:rsidRDefault="004F4163" w:rsidP="004F4163">
      <w:pPr>
        <w:rPr>
          <w:rFonts w:ascii="Times New Roman" w:eastAsia="Calibri" w:hAnsi="Times New Roman" w:cs="Times New Roman"/>
          <w:sz w:val="24"/>
          <w:szCs w:val="24"/>
        </w:rPr>
      </w:pPr>
      <w:r w:rsidRPr="004F4163">
        <w:rPr>
          <w:rFonts w:ascii="Times New Roman" w:eastAsia="Calibri" w:hAnsi="Times New Roman" w:cs="Times New Roman"/>
          <w:sz w:val="24"/>
          <w:szCs w:val="24"/>
        </w:rPr>
        <w:br w:type="page"/>
      </w:r>
    </w:p>
    <w:p w14:paraId="102B651B" w14:textId="551E90DA" w:rsidR="007402EF" w:rsidRPr="00DC5875" w:rsidRDefault="007402EF" w:rsidP="007402EF">
      <w:pPr>
        <w:pBdr>
          <w:top w:val="single" w:sz="4" w:space="1" w:color="auto"/>
          <w:bottom w:val="single" w:sz="4" w:space="1" w:color="auto"/>
        </w:pBdr>
        <w:spacing w:after="60"/>
        <w:jc w:val="both"/>
        <w:rPr>
          <w:rFonts w:ascii="Arial" w:hAnsi="Arial" w:cs="Arial"/>
          <w:sz w:val="20"/>
          <w:szCs w:val="20"/>
          <w:lang w:eastAsia="en-AU"/>
        </w:rPr>
      </w:pPr>
      <w:r w:rsidRPr="00DC5875">
        <w:rPr>
          <w:rFonts w:ascii="Arial" w:hAnsi="Arial" w:cs="Arial"/>
          <w:sz w:val="20"/>
          <w:szCs w:val="20"/>
          <w:lang w:eastAsia="en-AU"/>
        </w:rPr>
        <w:lastRenderedPageBreak/>
        <w:t xml:space="preserve">Title: </w:t>
      </w:r>
      <w:r w:rsidRPr="007402EF">
        <w:rPr>
          <w:rFonts w:ascii="Arial" w:hAnsi="Arial" w:cs="Arial"/>
          <w:sz w:val="20"/>
          <w:szCs w:val="20"/>
          <w:lang w:eastAsia="en-AU"/>
        </w:rPr>
        <w:t>Third report on the operation and effectiveness of COVIDSafe and the National COVIDSafe data Store</w:t>
      </w:r>
      <w:r w:rsidRPr="00DC5875">
        <w:rPr>
          <w:rFonts w:ascii="Arial" w:hAnsi="Arial" w:cs="Arial"/>
          <w:sz w:val="20"/>
          <w:szCs w:val="20"/>
          <w:lang w:eastAsia="en-AU"/>
        </w:rPr>
        <w:t xml:space="preserve">  </w:t>
      </w:r>
    </w:p>
    <w:p w14:paraId="6BD26A4A" w14:textId="6B7FAFC1" w:rsidR="007402EF" w:rsidRPr="00DC5875" w:rsidRDefault="007402EF" w:rsidP="007402EF">
      <w:pPr>
        <w:pBdr>
          <w:top w:val="single" w:sz="4" w:space="1" w:color="auto"/>
          <w:bottom w:val="single" w:sz="4" w:space="1" w:color="auto"/>
        </w:pBdr>
        <w:spacing w:after="60"/>
        <w:jc w:val="both"/>
        <w:rPr>
          <w:rFonts w:ascii="Arial" w:hAnsi="Arial" w:cs="Arial"/>
          <w:sz w:val="20"/>
          <w:szCs w:val="20"/>
          <w:lang w:eastAsia="en-AU"/>
        </w:rPr>
      </w:pPr>
      <w:r w:rsidRPr="00DC5875">
        <w:rPr>
          <w:rFonts w:ascii="Arial" w:hAnsi="Arial" w:cs="Arial"/>
          <w:sz w:val="20"/>
          <w:szCs w:val="20"/>
          <w:lang w:eastAsia="en-AU"/>
        </w:rPr>
        <w:t xml:space="preserve">ISBN: </w:t>
      </w:r>
      <w:r w:rsidR="0088438A" w:rsidRPr="0088438A">
        <w:rPr>
          <w:rFonts w:ascii="Arial" w:hAnsi="Arial" w:cs="Arial"/>
          <w:sz w:val="20"/>
          <w:szCs w:val="20"/>
          <w:lang w:eastAsia="en-AU"/>
        </w:rPr>
        <w:t>978-1-76007-475-3</w:t>
      </w:r>
    </w:p>
    <w:p w14:paraId="02447C8B" w14:textId="37C7CE78" w:rsidR="007402EF" w:rsidRPr="00DC5875" w:rsidRDefault="007402EF" w:rsidP="007402EF">
      <w:pPr>
        <w:pBdr>
          <w:top w:val="single" w:sz="4" w:space="1" w:color="auto"/>
          <w:bottom w:val="single" w:sz="4" w:space="1" w:color="auto"/>
        </w:pBdr>
        <w:spacing w:after="60"/>
        <w:jc w:val="both"/>
        <w:rPr>
          <w:rFonts w:ascii="Arial" w:hAnsi="Arial" w:cs="Arial"/>
          <w:sz w:val="20"/>
          <w:szCs w:val="20"/>
          <w:lang w:eastAsia="en-AU"/>
        </w:rPr>
      </w:pPr>
      <w:r w:rsidRPr="00DC5875">
        <w:rPr>
          <w:rFonts w:ascii="Arial" w:hAnsi="Arial" w:cs="Arial"/>
          <w:sz w:val="20"/>
          <w:szCs w:val="20"/>
          <w:lang w:eastAsia="en-AU"/>
        </w:rPr>
        <w:t xml:space="preserve">Online ISBN: </w:t>
      </w:r>
      <w:r w:rsidR="0088438A" w:rsidRPr="0088438A">
        <w:rPr>
          <w:rFonts w:ascii="Arial" w:hAnsi="Arial" w:cs="Arial"/>
          <w:sz w:val="20"/>
          <w:szCs w:val="20"/>
          <w:lang w:eastAsia="en-AU"/>
        </w:rPr>
        <w:t>978-1-76007-476-0            </w:t>
      </w:r>
    </w:p>
    <w:p w14:paraId="186A8417" w14:textId="45DC1F2A" w:rsidR="007402EF" w:rsidRDefault="007402EF" w:rsidP="007402EF">
      <w:pPr>
        <w:pBdr>
          <w:top w:val="single" w:sz="4" w:space="1" w:color="auto"/>
          <w:bottom w:val="single" w:sz="4" w:space="1" w:color="auto"/>
        </w:pBdr>
        <w:spacing w:after="60"/>
        <w:jc w:val="both"/>
        <w:rPr>
          <w:rFonts w:ascii="Arial" w:eastAsia="Calibri" w:hAnsi="Arial" w:cs="Arial"/>
          <w:sz w:val="18"/>
          <w:szCs w:val="18"/>
        </w:rPr>
      </w:pPr>
      <w:r w:rsidRPr="00DC5875">
        <w:rPr>
          <w:rFonts w:ascii="Arial" w:hAnsi="Arial" w:cs="Arial"/>
          <w:sz w:val="20"/>
          <w:szCs w:val="20"/>
          <w:lang w:eastAsia="en-AU"/>
        </w:rPr>
        <w:t>Publications Number:</w:t>
      </w:r>
      <w:r w:rsidR="0088438A">
        <w:rPr>
          <w:rFonts w:ascii="Arial" w:hAnsi="Arial" w:cs="Arial"/>
          <w:sz w:val="20"/>
          <w:szCs w:val="20"/>
          <w:lang w:eastAsia="en-AU"/>
        </w:rPr>
        <w:t xml:space="preserve"> </w:t>
      </w:r>
      <w:r w:rsidR="0088438A" w:rsidRPr="00A5478D">
        <w:rPr>
          <w:rFonts w:ascii="Arial" w:hAnsi="Arial" w:cs="Arial"/>
          <w:sz w:val="20"/>
          <w:szCs w:val="20"/>
          <w:lang w:eastAsia="en-AU"/>
        </w:rPr>
        <w:t>DT0003108</w:t>
      </w:r>
    </w:p>
    <w:p w14:paraId="28A477AF" w14:textId="77777777" w:rsidR="0088438A" w:rsidRPr="00DC5875" w:rsidRDefault="0088438A" w:rsidP="007402EF">
      <w:pPr>
        <w:pBdr>
          <w:top w:val="single" w:sz="4" w:space="1" w:color="auto"/>
          <w:bottom w:val="single" w:sz="4" w:space="1" w:color="auto"/>
        </w:pBdr>
        <w:spacing w:after="60"/>
        <w:jc w:val="both"/>
        <w:rPr>
          <w:rFonts w:ascii="Arial" w:hAnsi="Arial" w:cs="Arial"/>
          <w:sz w:val="20"/>
          <w:szCs w:val="20"/>
          <w:lang w:eastAsia="en-AU"/>
        </w:rPr>
      </w:pPr>
    </w:p>
    <w:p w14:paraId="2238F690" w14:textId="77777777" w:rsidR="007402EF" w:rsidRPr="00DC5875" w:rsidRDefault="007402EF" w:rsidP="007402EF">
      <w:pPr>
        <w:autoSpaceDE w:val="0"/>
        <w:autoSpaceDN w:val="0"/>
        <w:adjustRightInd w:val="0"/>
        <w:spacing w:before="240" w:after="240"/>
        <w:rPr>
          <w:rFonts w:ascii="Arial" w:hAnsi="Arial" w:cs="Arial"/>
          <w:b/>
          <w:color w:val="000000"/>
          <w:sz w:val="20"/>
          <w:szCs w:val="20"/>
        </w:rPr>
      </w:pPr>
      <w:r w:rsidRPr="00DC5875">
        <w:rPr>
          <w:rFonts w:ascii="Arial" w:hAnsi="Arial" w:cs="Arial"/>
          <w:b/>
          <w:color w:val="000000"/>
          <w:sz w:val="20"/>
          <w:szCs w:val="20"/>
        </w:rPr>
        <w:t xml:space="preserve">Copyright </w:t>
      </w:r>
    </w:p>
    <w:p w14:paraId="7E57B4C5" w14:textId="11D30993" w:rsidR="007402EF" w:rsidRPr="00DC5875" w:rsidRDefault="007402EF" w:rsidP="007402EF">
      <w:pPr>
        <w:autoSpaceDE w:val="0"/>
        <w:autoSpaceDN w:val="0"/>
        <w:adjustRightInd w:val="0"/>
        <w:spacing w:after="240"/>
        <w:rPr>
          <w:rFonts w:ascii="Arial" w:hAnsi="Arial" w:cs="Arial"/>
          <w:sz w:val="20"/>
          <w:szCs w:val="20"/>
        </w:rPr>
      </w:pPr>
      <w:r w:rsidRPr="00DC5875">
        <w:rPr>
          <w:rFonts w:ascii="Arial" w:hAnsi="Arial" w:cs="Arial"/>
          <w:sz w:val="20"/>
          <w:szCs w:val="20"/>
        </w:rPr>
        <w:t>© 20</w:t>
      </w:r>
      <w:r>
        <w:rPr>
          <w:rFonts w:ascii="Arial" w:hAnsi="Arial" w:cs="Arial"/>
          <w:sz w:val="20"/>
          <w:szCs w:val="20"/>
        </w:rPr>
        <w:t>22</w:t>
      </w:r>
      <w:r w:rsidRPr="00DC5875">
        <w:rPr>
          <w:rFonts w:ascii="Arial" w:hAnsi="Arial" w:cs="Arial"/>
          <w:sz w:val="20"/>
          <w:szCs w:val="20"/>
        </w:rPr>
        <w:t xml:space="preserve"> Commonwealth of Australia as represented by the Department of Health </w:t>
      </w:r>
      <w:r>
        <w:rPr>
          <w:rFonts w:ascii="Arial" w:hAnsi="Arial" w:cs="Arial"/>
          <w:sz w:val="20"/>
          <w:szCs w:val="20"/>
        </w:rPr>
        <w:t>and Aged Care.</w:t>
      </w:r>
    </w:p>
    <w:p w14:paraId="05BEEE32" w14:textId="77777777" w:rsidR="007402EF" w:rsidRPr="00DC5875" w:rsidRDefault="007402EF" w:rsidP="007402EF">
      <w:pPr>
        <w:autoSpaceDE w:val="0"/>
        <w:autoSpaceDN w:val="0"/>
        <w:adjustRightInd w:val="0"/>
        <w:spacing w:after="240"/>
        <w:jc w:val="both"/>
        <w:rPr>
          <w:rFonts w:ascii="Arial" w:hAnsi="Arial" w:cs="Arial"/>
          <w:sz w:val="20"/>
          <w:szCs w:val="20"/>
          <w:lang w:eastAsia="en-AU"/>
        </w:rPr>
      </w:pPr>
      <w:r w:rsidRPr="00DC5875">
        <w:rPr>
          <w:rFonts w:ascii="Arial" w:hAnsi="Arial" w:cs="Arial"/>
          <w:sz w:val="20"/>
          <w:szCs w:val="20"/>
          <w:lang w:eastAsia="en-AU"/>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08C494C3" w14:textId="77777777" w:rsidR="007402EF" w:rsidRPr="00DC5875" w:rsidRDefault="007402EF" w:rsidP="007402EF">
      <w:pPr>
        <w:numPr>
          <w:ilvl w:val="0"/>
          <w:numId w:val="18"/>
        </w:numPr>
        <w:autoSpaceDE w:val="0"/>
        <w:autoSpaceDN w:val="0"/>
        <w:adjustRightInd w:val="0"/>
        <w:spacing w:before="0" w:after="240"/>
        <w:ind w:hanging="720"/>
        <w:jc w:val="both"/>
        <w:rPr>
          <w:rFonts w:ascii="Arial" w:hAnsi="Arial" w:cs="Arial"/>
          <w:sz w:val="20"/>
          <w:szCs w:val="20"/>
          <w:lang w:eastAsia="en-AU"/>
        </w:rPr>
      </w:pPr>
      <w:r w:rsidRPr="00DC5875">
        <w:rPr>
          <w:rFonts w:ascii="Arial" w:hAnsi="Arial" w:cs="Arial"/>
          <w:sz w:val="20"/>
          <w:szCs w:val="20"/>
          <w:lang w:eastAsia="en-AU"/>
        </w:rPr>
        <w:t>do not use the copy or reproduction for any commercial purpose; and</w:t>
      </w:r>
    </w:p>
    <w:p w14:paraId="788BB0D6" w14:textId="77777777" w:rsidR="007402EF" w:rsidRPr="00DC5875" w:rsidRDefault="007402EF" w:rsidP="007402EF">
      <w:pPr>
        <w:numPr>
          <w:ilvl w:val="0"/>
          <w:numId w:val="18"/>
        </w:numPr>
        <w:autoSpaceDE w:val="0"/>
        <w:autoSpaceDN w:val="0"/>
        <w:adjustRightInd w:val="0"/>
        <w:spacing w:before="0" w:after="240"/>
        <w:ind w:hanging="720"/>
        <w:jc w:val="both"/>
        <w:rPr>
          <w:rFonts w:ascii="Arial" w:hAnsi="Arial" w:cs="Arial"/>
          <w:sz w:val="20"/>
          <w:szCs w:val="20"/>
          <w:lang w:eastAsia="en-AU"/>
        </w:rPr>
      </w:pPr>
      <w:r w:rsidRPr="00DC5875">
        <w:rPr>
          <w:rFonts w:ascii="Arial" w:hAnsi="Arial" w:cs="Arial"/>
          <w:sz w:val="20"/>
          <w:szCs w:val="20"/>
          <w:lang w:eastAsia="en-AU"/>
        </w:rPr>
        <w:t>retain this copyright notice and all disclaimer notices as part of that copy or reproduction.</w:t>
      </w:r>
    </w:p>
    <w:p w14:paraId="220C0432" w14:textId="77777777" w:rsidR="007402EF" w:rsidRPr="00DC5875" w:rsidRDefault="007402EF" w:rsidP="007402EF">
      <w:pPr>
        <w:autoSpaceDE w:val="0"/>
        <w:autoSpaceDN w:val="0"/>
        <w:adjustRightInd w:val="0"/>
        <w:spacing w:after="240"/>
        <w:jc w:val="both"/>
        <w:rPr>
          <w:rFonts w:ascii="Arial" w:hAnsi="Arial" w:cs="Arial"/>
          <w:sz w:val="20"/>
          <w:szCs w:val="20"/>
          <w:lang w:eastAsia="en-AU"/>
        </w:rPr>
      </w:pPr>
      <w:r w:rsidRPr="00DC5875">
        <w:rPr>
          <w:rFonts w:ascii="Arial" w:hAnsi="Arial" w:cs="Arial"/>
          <w:sz w:val="20"/>
          <w:szCs w:val="20"/>
          <w:lang w:eastAsia="en-AU"/>
        </w:rPr>
        <w:t xml:space="preserve">Apart from rights as permitted by the </w:t>
      </w:r>
      <w:r w:rsidRPr="00DC5875">
        <w:rPr>
          <w:rFonts w:ascii="Arial" w:hAnsi="Arial" w:cs="Arial"/>
          <w:i/>
          <w:iCs/>
          <w:sz w:val="20"/>
          <w:szCs w:val="20"/>
          <w:lang w:eastAsia="en-AU"/>
        </w:rPr>
        <w:t xml:space="preserve">Copyright Act 1968 </w:t>
      </w:r>
      <w:r w:rsidRPr="00DC5875">
        <w:rPr>
          <w:rFonts w:ascii="Arial" w:hAnsi="Arial" w:cs="Arial"/>
          <w:iCs/>
          <w:sz w:val="20"/>
          <w:szCs w:val="20"/>
          <w:lang w:eastAsia="en-AU"/>
        </w:rPr>
        <w:t>(Cth)</w:t>
      </w:r>
      <w:r w:rsidRPr="00DC5875">
        <w:rPr>
          <w:rFonts w:ascii="Arial" w:hAnsi="Arial" w:cs="Arial"/>
          <w:i/>
          <w:iCs/>
          <w:sz w:val="20"/>
          <w:szCs w:val="20"/>
          <w:lang w:eastAsia="en-AU"/>
        </w:rPr>
        <w:t xml:space="preserve"> </w:t>
      </w:r>
      <w:r w:rsidRPr="00DC5875">
        <w:rPr>
          <w:rFonts w:ascii="Arial" w:hAnsi="Arial" w:cs="Arial"/>
          <w:sz w:val="20"/>
          <w:szCs w:val="20"/>
          <w:lang w:eastAsia="en-AU"/>
        </w:rPr>
        <w:t>or allowed by this copyright notice</w:t>
      </w:r>
      <w:r w:rsidRPr="00DC5875">
        <w:rPr>
          <w:rFonts w:ascii="Arial" w:hAnsi="Arial" w:cs="Arial"/>
          <w:i/>
          <w:iCs/>
          <w:sz w:val="20"/>
          <w:szCs w:val="20"/>
          <w:lang w:eastAsia="en-AU"/>
        </w:rPr>
        <w:t xml:space="preserve">, </w:t>
      </w:r>
      <w:r w:rsidRPr="00DC5875">
        <w:rPr>
          <w:rFonts w:ascii="Arial" w:hAnsi="Arial" w:cs="Arial"/>
          <w:sz w:val="20"/>
          <w:szCs w:val="20"/>
          <w:lang w:eastAsia="en-AU"/>
        </w:rPr>
        <w:t>all other rights are reserved, including (but not limited to) all commercial rights.</w:t>
      </w:r>
    </w:p>
    <w:p w14:paraId="4209AEC8" w14:textId="77777777" w:rsidR="007402EF" w:rsidRPr="00DC5875" w:rsidRDefault="007402EF" w:rsidP="007402EF">
      <w:pPr>
        <w:autoSpaceDE w:val="0"/>
        <w:autoSpaceDN w:val="0"/>
        <w:adjustRightInd w:val="0"/>
        <w:spacing w:after="240"/>
        <w:jc w:val="both"/>
        <w:rPr>
          <w:rFonts w:ascii="Arial" w:hAnsi="Arial" w:cs="Arial"/>
          <w:sz w:val="20"/>
          <w:szCs w:val="20"/>
        </w:rPr>
      </w:pPr>
      <w:r w:rsidRPr="00DC5875">
        <w:rPr>
          <w:rFonts w:ascii="Arial" w:hAnsi="Arial" w:cs="Arial"/>
          <w:sz w:val="20"/>
          <w:szCs w:val="20"/>
          <w:lang w:eastAsia="en-AU"/>
        </w:rPr>
        <w:t>Requests and inquiries concerning reproduction and other rights to use are to be sent to the Communication</w:t>
      </w:r>
      <w:r>
        <w:rPr>
          <w:rFonts w:ascii="Arial" w:hAnsi="Arial" w:cs="Arial"/>
          <w:sz w:val="20"/>
          <w:szCs w:val="20"/>
          <w:lang w:eastAsia="en-AU"/>
        </w:rPr>
        <w:t xml:space="preserve"> and Change</w:t>
      </w:r>
      <w:r w:rsidRPr="00DC5875">
        <w:rPr>
          <w:rFonts w:ascii="Arial" w:hAnsi="Arial" w:cs="Arial"/>
          <w:sz w:val="20"/>
          <w:szCs w:val="20"/>
          <w:lang w:eastAsia="en-AU"/>
        </w:rPr>
        <w:t xml:space="preserve"> Branch, Department of Health</w:t>
      </w:r>
      <w:r>
        <w:rPr>
          <w:rFonts w:ascii="Arial" w:hAnsi="Arial" w:cs="Arial"/>
          <w:sz w:val="20"/>
          <w:szCs w:val="20"/>
          <w:lang w:eastAsia="en-AU"/>
        </w:rPr>
        <w:t xml:space="preserve"> and Aged Care</w:t>
      </w:r>
      <w:r w:rsidRPr="00DC5875">
        <w:rPr>
          <w:rFonts w:ascii="Arial" w:hAnsi="Arial" w:cs="Arial"/>
          <w:sz w:val="20"/>
          <w:szCs w:val="20"/>
          <w:lang w:eastAsia="en-AU"/>
        </w:rPr>
        <w:t xml:space="preserve">, GPO Box 9848, Canberra ACT </w:t>
      </w:r>
      <w:proofErr w:type="gramStart"/>
      <w:r w:rsidRPr="00DC5875">
        <w:rPr>
          <w:rFonts w:ascii="Arial" w:hAnsi="Arial" w:cs="Arial"/>
          <w:sz w:val="20"/>
          <w:szCs w:val="20"/>
          <w:lang w:eastAsia="en-AU"/>
        </w:rPr>
        <w:t>2601,via</w:t>
      </w:r>
      <w:proofErr w:type="gramEnd"/>
      <w:r w:rsidRPr="00DC5875">
        <w:rPr>
          <w:rFonts w:ascii="Arial" w:hAnsi="Arial" w:cs="Arial"/>
          <w:sz w:val="20"/>
          <w:szCs w:val="20"/>
          <w:lang w:eastAsia="en-AU"/>
        </w:rPr>
        <w:t xml:space="preserve"> e-mail to </w:t>
      </w:r>
      <w:r>
        <w:rPr>
          <w:rFonts w:ascii="Arial" w:hAnsi="Arial" w:cs="Arial"/>
          <w:sz w:val="20"/>
          <w:szCs w:val="20"/>
          <w:lang w:eastAsia="en-AU"/>
        </w:rPr>
        <w:t>copyright</w:t>
      </w:r>
      <w:r w:rsidRPr="00DC5875">
        <w:rPr>
          <w:rFonts w:ascii="Arial" w:hAnsi="Arial" w:cs="Arial"/>
          <w:sz w:val="20"/>
          <w:szCs w:val="20"/>
          <w:lang w:eastAsia="en-AU"/>
        </w:rPr>
        <w:t>@health.gov.au.</w:t>
      </w:r>
      <w:r w:rsidRPr="00DC5875">
        <w:rPr>
          <w:rFonts w:ascii="Arial" w:hAnsi="Arial" w:cs="Arial"/>
          <w:sz w:val="20"/>
          <w:szCs w:val="20"/>
        </w:rPr>
        <w:t xml:space="preserve"> </w:t>
      </w:r>
    </w:p>
    <w:p w14:paraId="52E89E12" w14:textId="089A123E" w:rsidR="007402EF" w:rsidRDefault="007402EF">
      <w:pPr>
        <w:spacing w:before="0"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D6721BA" w14:textId="5338D919" w:rsidR="004F4163" w:rsidRPr="003A4302" w:rsidRDefault="004F4163" w:rsidP="003A4302">
      <w:pPr>
        <w:pStyle w:val="Heading1"/>
      </w:pPr>
      <w:bookmarkStart w:id="1" w:name="_Toc87258870"/>
      <w:r w:rsidRPr="003A4302">
        <w:lastRenderedPageBreak/>
        <w:t>Minister’s Foreword</w:t>
      </w:r>
      <w:bookmarkEnd w:id="1"/>
    </w:p>
    <w:p w14:paraId="12D4F112" w14:textId="639D23D7" w:rsidR="0061701E" w:rsidRPr="003A4302" w:rsidRDefault="004F4163" w:rsidP="004F4163">
      <w:pPr>
        <w:spacing w:after="0"/>
        <w:textAlignment w:val="center"/>
      </w:pPr>
      <w:r w:rsidRPr="004F4163">
        <w:rPr>
          <w:rFonts w:ascii="Calibri" w:eastAsia="Times New Roman" w:hAnsi="Calibri" w:cs="Calibri"/>
          <w:lang w:eastAsia="en-AU"/>
        </w:rPr>
        <w:t>I present this</w:t>
      </w:r>
      <w:r w:rsidR="00DB6834" w:rsidRPr="00DE14E3">
        <w:rPr>
          <w:rFonts w:ascii="Calibri" w:eastAsia="Times New Roman" w:hAnsi="Calibri" w:cs="Calibri"/>
          <w:lang w:eastAsia="en-AU"/>
        </w:rPr>
        <w:t xml:space="preserve"> </w:t>
      </w:r>
      <w:r w:rsidRPr="00DE14E3">
        <w:rPr>
          <w:rFonts w:ascii="Calibri" w:eastAsia="Times New Roman" w:hAnsi="Calibri" w:cs="Calibri"/>
          <w:lang w:eastAsia="en-AU"/>
        </w:rPr>
        <w:t xml:space="preserve">report on the operation and effectiveness of COVIDSafe and the </w:t>
      </w:r>
      <w:r w:rsidR="0088438A">
        <w:rPr>
          <w:rFonts w:ascii="Calibri" w:eastAsia="Times New Roman" w:hAnsi="Calibri" w:cs="Calibri"/>
          <w:lang w:eastAsia="en-AU"/>
        </w:rPr>
        <w:br/>
      </w:r>
      <w:r w:rsidRPr="00DE14E3">
        <w:rPr>
          <w:rFonts w:ascii="Calibri" w:eastAsia="Times New Roman" w:hAnsi="Calibri" w:cs="Calibri"/>
          <w:lang w:eastAsia="en-AU"/>
        </w:rPr>
        <w:t xml:space="preserve">National COVIDSafe Data Store (NCDS), to both Houses of Parliament as required under </w:t>
      </w:r>
      <w:r w:rsidR="0088438A">
        <w:rPr>
          <w:rFonts w:ascii="Calibri" w:eastAsia="Times New Roman" w:hAnsi="Calibri" w:cs="Calibri"/>
          <w:lang w:eastAsia="en-AU"/>
        </w:rPr>
        <w:br/>
      </w:r>
      <w:r w:rsidRPr="00DE14E3">
        <w:rPr>
          <w:rFonts w:ascii="Calibri" w:eastAsia="Times New Roman" w:hAnsi="Calibri" w:cs="Calibri"/>
          <w:lang w:eastAsia="en-AU"/>
        </w:rPr>
        <w:t xml:space="preserve">section 94ZA of the </w:t>
      </w:r>
      <w:r w:rsidRPr="003A4302">
        <w:rPr>
          <w:rStyle w:val="Emphasis"/>
        </w:rPr>
        <w:t>Privacy Act 1988</w:t>
      </w:r>
      <w:r w:rsidRPr="00DE14E3">
        <w:rPr>
          <w:rFonts w:ascii="Calibri" w:eastAsia="Times New Roman" w:hAnsi="Calibri" w:cs="Calibri"/>
          <w:lang w:eastAsia="en-AU"/>
        </w:rPr>
        <w:t xml:space="preserve">. This report covers the period </w:t>
      </w:r>
      <w:r w:rsidR="0061701E" w:rsidRPr="00DE14E3">
        <w:rPr>
          <w:rFonts w:ascii="Calibri" w:eastAsia="Calibri" w:hAnsi="Calibri" w:cs="Times New Roman"/>
        </w:rPr>
        <w:t xml:space="preserve">16 November 2021 to </w:t>
      </w:r>
      <w:r w:rsidR="0088438A">
        <w:rPr>
          <w:rFonts w:ascii="Calibri" w:eastAsia="Calibri" w:hAnsi="Calibri" w:cs="Times New Roman"/>
        </w:rPr>
        <w:br/>
      </w:r>
      <w:r w:rsidR="0061701E" w:rsidRPr="00DE14E3">
        <w:rPr>
          <w:rFonts w:ascii="Calibri" w:eastAsia="Calibri" w:hAnsi="Calibri" w:cs="Times New Roman"/>
        </w:rPr>
        <w:t>15 May 2022</w:t>
      </w:r>
      <w:r w:rsidR="00233F3A" w:rsidRPr="003A4302">
        <w:t>.</w:t>
      </w:r>
    </w:p>
    <w:p w14:paraId="667F1C82" w14:textId="48903DDB" w:rsidR="00390A42" w:rsidRPr="00DE14E3" w:rsidRDefault="00390A42" w:rsidP="00390A42">
      <w:pPr>
        <w:spacing w:after="0"/>
        <w:textAlignment w:val="center"/>
        <w:rPr>
          <w:rFonts w:ascii="Calibri" w:eastAsia="Times New Roman" w:hAnsi="Calibri" w:cs="Calibri"/>
          <w:lang w:eastAsia="en-AU"/>
        </w:rPr>
      </w:pPr>
      <w:r w:rsidRPr="00DE14E3">
        <w:rPr>
          <w:rFonts w:ascii="Calibri" w:eastAsia="Times New Roman" w:hAnsi="Calibri" w:cs="Calibri"/>
          <w:lang w:eastAsia="en-AU"/>
        </w:rPr>
        <w:t xml:space="preserve">From 26 April 2020 to 15 May 2022, over 7.9 million people have registered to use the COVIDSafe app. For the period of this report, </w:t>
      </w:r>
      <w:r w:rsidR="00FD3A16" w:rsidRPr="00DE14E3">
        <w:rPr>
          <w:rFonts w:ascii="Calibri" w:eastAsia="Times New Roman" w:hAnsi="Calibri" w:cs="Calibri"/>
          <w:lang w:eastAsia="en-AU"/>
        </w:rPr>
        <w:t xml:space="preserve">149,972 </w:t>
      </w:r>
      <w:r w:rsidRPr="00DE14E3">
        <w:rPr>
          <w:rFonts w:ascii="Calibri" w:eastAsia="Times New Roman" w:hAnsi="Calibri" w:cs="Calibri"/>
          <w:lang w:eastAsia="en-AU"/>
        </w:rPr>
        <w:t xml:space="preserve">people have registered for the COVIDSafe app </w:t>
      </w:r>
      <w:r w:rsidR="0088438A">
        <w:rPr>
          <w:rFonts w:ascii="Calibri" w:eastAsia="Times New Roman" w:hAnsi="Calibri" w:cs="Calibri"/>
          <w:lang w:eastAsia="en-AU"/>
        </w:rPr>
        <w:br/>
      </w:r>
      <w:r w:rsidRPr="00DE14E3">
        <w:rPr>
          <w:rFonts w:ascii="Calibri" w:eastAsia="Times New Roman" w:hAnsi="Calibri" w:cs="Calibri"/>
          <w:lang w:eastAsia="en-AU"/>
        </w:rPr>
        <w:t>(</w:t>
      </w:r>
      <w:proofErr w:type="gramStart"/>
      <w:r w:rsidRPr="00DE14E3">
        <w:rPr>
          <w:rFonts w:ascii="Calibri" w:eastAsia="Times New Roman" w:hAnsi="Calibri" w:cs="Calibri"/>
          <w:lang w:eastAsia="en-AU"/>
        </w:rPr>
        <w:t>at</w:t>
      </w:r>
      <w:proofErr w:type="gramEnd"/>
      <w:r w:rsidRPr="00DE14E3">
        <w:rPr>
          <w:rFonts w:ascii="Calibri" w:eastAsia="Times New Roman" w:hAnsi="Calibri" w:cs="Calibri"/>
          <w:lang w:eastAsia="en-AU"/>
        </w:rPr>
        <w:t xml:space="preserve"> 15 May 2022).</w:t>
      </w:r>
    </w:p>
    <w:p w14:paraId="713F2356" w14:textId="1E74E93E" w:rsidR="000120EC" w:rsidRPr="004251D3" w:rsidRDefault="00E57782">
      <w:bookmarkStart w:id="2" w:name="_Hlk101519779"/>
      <w:r w:rsidRPr="004251D3">
        <w:rPr>
          <w:rFonts w:ascii="Calibri" w:eastAsia="Times New Roman" w:hAnsi="Calibri" w:cs="Calibri"/>
          <w:lang w:eastAsia="en-AU"/>
        </w:rPr>
        <w:t>During</w:t>
      </w:r>
      <w:r w:rsidR="00940260" w:rsidRPr="004251D3">
        <w:rPr>
          <w:rFonts w:ascii="Calibri" w:eastAsia="Times New Roman" w:hAnsi="Calibri" w:cs="Calibri"/>
          <w:lang w:eastAsia="en-AU"/>
        </w:rPr>
        <w:t xml:space="preserve"> the period of this report</w:t>
      </w:r>
      <w:r w:rsidR="00DD6F51" w:rsidRPr="004251D3">
        <w:t xml:space="preserve">, </w:t>
      </w:r>
      <w:r w:rsidRPr="00DE14E3">
        <w:rPr>
          <w:rFonts w:ascii="Calibri" w:eastAsia="Times New Roman" w:hAnsi="Calibri" w:cs="Calibri"/>
          <w:lang w:eastAsia="en-AU"/>
        </w:rPr>
        <w:t xml:space="preserve">the </w:t>
      </w:r>
      <w:r w:rsidRPr="004251D3">
        <w:rPr>
          <w:rFonts w:ascii="Calibri" w:eastAsia="Times New Roman" w:hAnsi="Calibri" w:cs="Calibri"/>
          <w:lang w:eastAsia="en-AU"/>
        </w:rPr>
        <w:t xml:space="preserve">Commonwealth continued to maintain COVIDSafe </w:t>
      </w:r>
      <w:r w:rsidRPr="00DE14E3">
        <w:rPr>
          <w:rFonts w:ascii="Calibri" w:eastAsia="Times New Roman" w:hAnsi="Calibri" w:cs="Calibri"/>
          <w:lang w:eastAsia="en-AU"/>
        </w:rPr>
        <w:t xml:space="preserve">for </w:t>
      </w:r>
      <w:r w:rsidR="0088438A">
        <w:rPr>
          <w:rFonts w:ascii="Calibri" w:eastAsia="Times New Roman" w:hAnsi="Calibri" w:cs="Calibri"/>
          <w:lang w:eastAsia="en-AU"/>
        </w:rPr>
        <w:br/>
      </w:r>
      <w:r w:rsidRPr="00DE14E3">
        <w:rPr>
          <w:rFonts w:ascii="Calibri" w:eastAsia="Times New Roman" w:hAnsi="Calibri" w:cs="Calibri"/>
          <w:lang w:eastAsia="en-AU"/>
        </w:rPr>
        <w:t xml:space="preserve">Public Health Officials (PHOs) to support contact tracing. </w:t>
      </w:r>
      <w:r w:rsidR="000120EC" w:rsidRPr="00DE14E3">
        <w:rPr>
          <w:rFonts w:ascii="Calibri" w:eastAsia="Times New Roman" w:hAnsi="Calibri" w:cs="Calibri"/>
          <w:lang w:eastAsia="en-AU"/>
        </w:rPr>
        <w:t>However,</w:t>
      </w:r>
      <w:r w:rsidRPr="00DE14E3">
        <w:rPr>
          <w:rFonts w:ascii="Calibri" w:eastAsia="Times New Roman" w:hAnsi="Calibri" w:cs="Calibri"/>
          <w:lang w:eastAsia="en-AU"/>
        </w:rPr>
        <w:t xml:space="preserve"> j</w:t>
      </w:r>
      <w:r w:rsidR="00DD6F51" w:rsidRPr="004251D3">
        <w:t xml:space="preserve">urisdictions </w:t>
      </w:r>
      <w:r w:rsidRPr="004251D3">
        <w:t xml:space="preserve">continued to </w:t>
      </w:r>
      <w:r w:rsidR="00DD6F51" w:rsidRPr="004251D3">
        <w:t>shift their focus away from intensive contact tracing</w:t>
      </w:r>
      <w:r w:rsidR="000120EC" w:rsidRPr="004251D3">
        <w:t>.</w:t>
      </w:r>
    </w:p>
    <w:p w14:paraId="4942C13B" w14:textId="46ED69BA" w:rsidR="009E2E87" w:rsidRDefault="000120EC">
      <w:pPr>
        <w:rPr>
          <w:rFonts w:ascii="Calibri" w:eastAsia="Times New Roman" w:hAnsi="Calibri" w:cs="Calibri"/>
          <w:lang w:eastAsia="en-AU"/>
        </w:rPr>
      </w:pPr>
      <w:r w:rsidRPr="004251D3">
        <w:t>T</w:t>
      </w:r>
      <w:r w:rsidR="00E57782" w:rsidRPr="004251D3">
        <w:t>here w</w:t>
      </w:r>
      <w:r w:rsidRPr="004251D3">
        <w:t>ere no new uploads of data to the NCDS</w:t>
      </w:r>
      <w:r w:rsidR="00BC684C" w:rsidRPr="004251D3">
        <w:t>,</w:t>
      </w:r>
      <w:r w:rsidRPr="004251D3">
        <w:t xml:space="preserve"> and access to COVIDSafe data by PHOs was minimal</w:t>
      </w:r>
      <w:r w:rsidR="00BC684C" w:rsidRPr="004251D3">
        <w:t xml:space="preserve"> for this reporting period</w:t>
      </w:r>
      <w:r w:rsidRPr="004251D3">
        <w:t>.</w:t>
      </w:r>
      <w:bookmarkEnd w:id="2"/>
      <w:r w:rsidR="009567CB">
        <w:rPr>
          <w:rFonts w:ascii="Calibri" w:eastAsia="Times New Roman" w:hAnsi="Calibri" w:cs="Calibri"/>
          <w:lang w:eastAsia="en-AU"/>
        </w:rPr>
        <w:br w:type="page"/>
      </w:r>
    </w:p>
    <w:p w14:paraId="0D91C5F2" w14:textId="77777777" w:rsidR="004F4163" w:rsidRPr="004F4163" w:rsidRDefault="004F4163" w:rsidP="003A4302">
      <w:pPr>
        <w:pStyle w:val="Heading1"/>
        <w:rPr>
          <w:rFonts w:eastAsia="Times New Roman"/>
          <w:lang w:eastAsia="en-AU"/>
        </w:rPr>
      </w:pPr>
      <w:bookmarkStart w:id="3" w:name="_Toc87258871"/>
      <w:r w:rsidRPr="004F4163">
        <w:rPr>
          <w:rFonts w:eastAsia="Times New Roman"/>
          <w:lang w:eastAsia="en-AU"/>
        </w:rPr>
        <w:lastRenderedPageBreak/>
        <w:t>Purpose of this Report</w:t>
      </w:r>
      <w:bookmarkEnd w:id="3"/>
    </w:p>
    <w:p w14:paraId="2C7F3A94" w14:textId="661B268D" w:rsidR="0061701E" w:rsidRPr="00567F93" w:rsidRDefault="004F4163" w:rsidP="004F4163">
      <w:pPr>
        <w:spacing w:after="0"/>
        <w:textAlignment w:val="center"/>
      </w:pPr>
      <w:r w:rsidRPr="004F4163">
        <w:rPr>
          <w:rFonts w:ascii="Calibri" w:eastAsia="Times New Roman" w:hAnsi="Calibri" w:cs="Calibri"/>
          <w:lang w:eastAsia="en-AU"/>
        </w:rPr>
        <w:t xml:space="preserve">This report discusses the operation and effectiveness of COVIDSafe and the NCDS, for the period </w:t>
      </w:r>
      <w:r w:rsidR="0088438A">
        <w:rPr>
          <w:rFonts w:ascii="Calibri" w:eastAsia="Times New Roman" w:hAnsi="Calibri" w:cs="Calibri"/>
          <w:lang w:eastAsia="en-AU"/>
        </w:rPr>
        <w:br/>
      </w:r>
      <w:r w:rsidR="0061701E" w:rsidRPr="009567CB">
        <w:rPr>
          <w:rFonts w:ascii="Calibri" w:eastAsia="Calibri" w:hAnsi="Calibri" w:cs="Times New Roman"/>
        </w:rPr>
        <w:t>16 November 2021 to 15 May 2022</w:t>
      </w:r>
      <w:r w:rsidR="00233F3A" w:rsidRPr="009567CB">
        <w:rPr>
          <w:rFonts w:ascii="Calibri" w:eastAsia="Calibri" w:hAnsi="Calibri" w:cs="Times New Roman"/>
        </w:rPr>
        <w:t>.</w:t>
      </w:r>
    </w:p>
    <w:p w14:paraId="656D8259" w14:textId="3AA2DA4C" w:rsidR="004F4163" w:rsidRPr="004F4163" w:rsidRDefault="004F4163" w:rsidP="004F4163">
      <w:pPr>
        <w:spacing w:after="0"/>
        <w:textAlignment w:val="center"/>
        <w:rPr>
          <w:rFonts w:ascii="Calibri" w:eastAsia="Times New Roman" w:hAnsi="Calibri" w:cs="Calibri"/>
          <w:lang w:eastAsia="en-AU"/>
        </w:rPr>
      </w:pPr>
      <w:r w:rsidRPr="004F4163">
        <w:rPr>
          <w:rFonts w:ascii="Calibri" w:eastAsia="Times New Roman" w:hAnsi="Calibri" w:cs="Calibri"/>
          <w:lang w:eastAsia="en-AU"/>
        </w:rPr>
        <w:t xml:space="preserve">The report is delivered to Parliament by the Minister for Health in accordance with section </w:t>
      </w:r>
      <w:r w:rsidR="0088438A">
        <w:rPr>
          <w:rFonts w:ascii="Calibri" w:eastAsia="Times New Roman" w:hAnsi="Calibri" w:cs="Calibri"/>
          <w:lang w:eastAsia="en-AU"/>
        </w:rPr>
        <w:br/>
      </w:r>
      <w:r w:rsidRPr="004F4163">
        <w:rPr>
          <w:rFonts w:ascii="Calibri" w:eastAsia="Times New Roman" w:hAnsi="Calibri" w:cs="Calibri"/>
          <w:lang w:eastAsia="en-AU"/>
        </w:rPr>
        <w:t xml:space="preserve">94ZA of the </w:t>
      </w:r>
      <w:r w:rsidRPr="00567F93">
        <w:rPr>
          <w:rStyle w:val="Emphasis"/>
        </w:rPr>
        <w:t>Privacy Act 1988</w:t>
      </w:r>
      <w:r w:rsidRPr="004F4163">
        <w:rPr>
          <w:rFonts w:ascii="Calibri" w:eastAsia="Times New Roman" w:hAnsi="Calibri" w:cs="Calibri"/>
          <w:lang w:eastAsia="en-AU"/>
        </w:rPr>
        <w:t xml:space="preserve"> (</w:t>
      </w:r>
      <w:r w:rsidR="006245C8">
        <w:rPr>
          <w:rFonts w:ascii="Calibri" w:eastAsia="Times New Roman" w:hAnsi="Calibri" w:cs="Calibri"/>
          <w:lang w:eastAsia="en-AU"/>
        </w:rPr>
        <w:t xml:space="preserve">the </w:t>
      </w:r>
      <w:r w:rsidRPr="004F4163">
        <w:rPr>
          <w:rFonts w:ascii="Calibri" w:eastAsia="Times New Roman" w:hAnsi="Calibri" w:cs="Calibri"/>
          <w:lang w:eastAsia="en-AU"/>
        </w:rPr>
        <w:t>Act).</w:t>
      </w:r>
    </w:p>
    <w:p w14:paraId="352E71BB" w14:textId="77777777" w:rsidR="004F4163" w:rsidRPr="004F4163" w:rsidRDefault="004F4163" w:rsidP="003A4302">
      <w:pPr>
        <w:pStyle w:val="Heading1"/>
        <w:rPr>
          <w:rFonts w:eastAsia="Times New Roman"/>
          <w:lang w:eastAsia="en-AU"/>
        </w:rPr>
      </w:pPr>
      <w:bookmarkStart w:id="4" w:name="_Toc87258872"/>
      <w:r w:rsidRPr="004F4163">
        <w:rPr>
          <w:rFonts w:eastAsia="Times New Roman"/>
          <w:lang w:eastAsia="en-AU"/>
        </w:rPr>
        <w:t>Operation of the COVIDSafe app and the National COVIDSafe Data Store</w:t>
      </w:r>
      <w:bookmarkEnd w:id="4"/>
    </w:p>
    <w:p w14:paraId="627A4B30" w14:textId="1CFDCFA7" w:rsidR="004F4163" w:rsidRPr="004F4163" w:rsidRDefault="009E2E87" w:rsidP="004F4163">
      <w:pPr>
        <w:spacing w:after="0"/>
        <w:textAlignment w:val="center"/>
        <w:rPr>
          <w:rFonts w:ascii="Calibri" w:eastAsia="Times New Roman" w:hAnsi="Calibri" w:cs="Calibri"/>
          <w:lang w:eastAsia="en-AU"/>
        </w:rPr>
      </w:pPr>
      <w:r w:rsidRPr="002F7A38">
        <w:rPr>
          <w:rFonts w:ascii="Calibri" w:eastAsia="Times New Roman" w:hAnsi="Calibri" w:cs="Calibri"/>
          <w:lang w:eastAsia="en-AU"/>
        </w:rPr>
        <w:t xml:space="preserve">During this reporting period, </w:t>
      </w:r>
      <w:r w:rsidR="00864FF1">
        <w:rPr>
          <w:rFonts w:ascii="Calibri" w:eastAsia="Times New Roman" w:hAnsi="Calibri" w:cs="Calibri"/>
          <w:lang w:eastAsia="en-AU"/>
        </w:rPr>
        <w:t xml:space="preserve">maintenance of </w:t>
      </w:r>
      <w:r w:rsidRPr="002F7A38">
        <w:rPr>
          <w:rFonts w:ascii="Calibri" w:eastAsia="Times New Roman" w:hAnsi="Calibri" w:cs="Calibri"/>
          <w:lang w:eastAsia="en-AU"/>
        </w:rPr>
        <w:t xml:space="preserve">the technical operation of the COVIDSafe app and </w:t>
      </w:r>
      <w:r w:rsidR="002F7A38">
        <w:rPr>
          <w:rFonts w:ascii="Calibri" w:eastAsia="Times New Roman" w:hAnsi="Calibri" w:cs="Calibri"/>
          <w:lang w:eastAsia="en-AU"/>
        </w:rPr>
        <w:t xml:space="preserve">NCDS </w:t>
      </w:r>
      <w:r w:rsidRPr="002F7A38">
        <w:rPr>
          <w:rFonts w:ascii="Calibri" w:eastAsia="Times New Roman" w:hAnsi="Calibri" w:cs="Calibri"/>
          <w:lang w:eastAsia="en-AU"/>
        </w:rPr>
        <w:t>continued.</w:t>
      </w:r>
      <w:r w:rsidR="004F4163" w:rsidRPr="002F7A38">
        <w:rPr>
          <w:rFonts w:ascii="Calibri" w:eastAsia="Times New Roman" w:hAnsi="Calibri" w:cs="Calibri"/>
          <w:lang w:eastAsia="en-AU"/>
        </w:rPr>
        <w:t xml:space="preserve"> </w:t>
      </w:r>
      <w:r w:rsidRPr="00A474FA">
        <w:rPr>
          <w:rFonts w:ascii="Calibri" w:eastAsia="Times New Roman" w:hAnsi="Calibri" w:cs="Calibri"/>
          <w:lang w:eastAsia="en-AU"/>
        </w:rPr>
        <w:t>M</w:t>
      </w:r>
      <w:r w:rsidR="004F4163" w:rsidRPr="00A474FA">
        <w:rPr>
          <w:rFonts w:ascii="Calibri" w:eastAsia="Times New Roman" w:hAnsi="Calibri" w:cs="Calibri"/>
          <w:lang w:eastAsia="en-AU"/>
        </w:rPr>
        <w:t>onitoring of the operation and performance of the app’s hosting environment</w:t>
      </w:r>
      <w:r w:rsidRPr="00A474FA">
        <w:rPr>
          <w:rFonts w:ascii="Calibri" w:eastAsia="Times New Roman" w:hAnsi="Calibri" w:cs="Calibri"/>
          <w:lang w:eastAsia="en-AU"/>
        </w:rPr>
        <w:t xml:space="preserve"> </w:t>
      </w:r>
      <w:r w:rsidR="003B3C06">
        <w:rPr>
          <w:rFonts w:ascii="Calibri" w:eastAsia="Times New Roman" w:hAnsi="Calibri" w:cs="Calibri"/>
          <w:lang w:eastAsia="en-AU"/>
        </w:rPr>
        <w:t>remained a priority,</w:t>
      </w:r>
      <w:r w:rsidRPr="00A474FA">
        <w:rPr>
          <w:rFonts w:ascii="Calibri" w:eastAsia="Times New Roman" w:hAnsi="Calibri" w:cs="Calibri"/>
          <w:lang w:eastAsia="en-AU"/>
        </w:rPr>
        <w:t xml:space="preserve"> ensur</w:t>
      </w:r>
      <w:r w:rsidR="004D131F">
        <w:rPr>
          <w:rFonts w:ascii="Calibri" w:eastAsia="Times New Roman" w:hAnsi="Calibri" w:cs="Calibri"/>
          <w:lang w:eastAsia="en-AU"/>
        </w:rPr>
        <w:t>ing</w:t>
      </w:r>
      <w:r w:rsidR="00A474FA" w:rsidRPr="00A474FA">
        <w:rPr>
          <w:rFonts w:ascii="Calibri" w:eastAsia="Times New Roman" w:hAnsi="Calibri" w:cs="Calibri"/>
          <w:lang w:eastAsia="en-AU"/>
        </w:rPr>
        <w:t xml:space="preserve"> the app function</w:t>
      </w:r>
      <w:r w:rsidR="00864FF1">
        <w:rPr>
          <w:rFonts w:ascii="Calibri" w:eastAsia="Times New Roman" w:hAnsi="Calibri" w:cs="Calibri"/>
          <w:lang w:eastAsia="en-AU"/>
        </w:rPr>
        <w:t>ed</w:t>
      </w:r>
      <w:r w:rsidR="00A474FA" w:rsidRPr="00A474FA">
        <w:rPr>
          <w:rFonts w:ascii="Calibri" w:eastAsia="Times New Roman" w:hAnsi="Calibri" w:cs="Calibri"/>
          <w:lang w:eastAsia="en-AU"/>
        </w:rPr>
        <w:t xml:space="preserve"> effectively</w:t>
      </w:r>
      <w:r w:rsidR="004F4163" w:rsidRPr="00A474FA">
        <w:rPr>
          <w:rFonts w:ascii="Calibri" w:eastAsia="Times New Roman" w:hAnsi="Calibri" w:cs="Calibri"/>
          <w:lang w:eastAsia="en-AU"/>
        </w:rPr>
        <w:t>.</w:t>
      </w:r>
    </w:p>
    <w:p w14:paraId="5B9086B2" w14:textId="50E4D107" w:rsidR="00C847DB" w:rsidRPr="000A4C27" w:rsidRDefault="000A4C27" w:rsidP="009567CB">
      <w:pPr>
        <w:spacing w:after="0"/>
        <w:textAlignment w:val="center"/>
        <w:rPr>
          <w:rFonts w:ascii="Calibri" w:eastAsia="Times New Roman" w:hAnsi="Calibri" w:cs="Calibri"/>
          <w:lang w:eastAsia="en-AU"/>
        </w:rPr>
      </w:pPr>
      <w:r w:rsidRPr="000A4C27">
        <w:rPr>
          <w:rFonts w:ascii="Calibri" w:eastAsia="Times New Roman" w:hAnsi="Calibri" w:cs="Calibri"/>
          <w:lang w:eastAsia="en-AU"/>
        </w:rPr>
        <w:t xml:space="preserve">On </w:t>
      </w:r>
      <w:r w:rsidR="00B541EB" w:rsidRPr="000A4C27">
        <w:rPr>
          <w:rFonts w:ascii="Calibri" w:eastAsia="Times New Roman" w:hAnsi="Calibri" w:cs="Calibri"/>
          <w:lang w:eastAsia="en-AU"/>
        </w:rPr>
        <w:t>22 December 2021</w:t>
      </w:r>
      <w:r w:rsidR="00864FF1">
        <w:rPr>
          <w:rFonts w:ascii="Calibri" w:eastAsia="Times New Roman" w:hAnsi="Calibri" w:cs="Calibri"/>
          <w:lang w:eastAsia="en-AU"/>
        </w:rPr>
        <w:t>,</w:t>
      </w:r>
      <w:r w:rsidRPr="000A4C27">
        <w:rPr>
          <w:rFonts w:ascii="Calibri" w:eastAsia="Times New Roman" w:hAnsi="Calibri" w:cs="Calibri"/>
          <w:lang w:eastAsia="en-AU"/>
        </w:rPr>
        <w:t xml:space="preserve"> </w:t>
      </w:r>
      <w:r w:rsidR="009E2E87">
        <w:rPr>
          <w:rFonts w:ascii="Calibri" w:eastAsia="Times New Roman" w:hAnsi="Calibri" w:cs="Calibri"/>
          <w:lang w:eastAsia="en-AU"/>
        </w:rPr>
        <w:t xml:space="preserve">updates to </w:t>
      </w:r>
      <w:r w:rsidR="00B541EB" w:rsidRPr="000A4C27">
        <w:rPr>
          <w:rFonts w:ascii="Calibri" w:eastAsia="Times New Roman" w:hAnsi="Calibri" w:cs="Calibri"/>
          <w:lang w:eastAsia="en-AU"/>
        </w:rPr>
        <w:t xml:space="preserve">translations </w:t>
      </w:r>
      <w:r w:rsidR="009E2E87">
        <w:rPr>
          <w:rFonts w:ascii="Calibri" w:eastAsia="Times New Roman" w:hAnsi="Calibri" w:cs="Calibri"/>
          <w:lang w:eastAsia="en-AU"/>
        </w:rPr>
        <w:t>of</w:t>
      </w:r>
      <w:r w:rsidR="00B541EB" w:rsidRPr="000A4C27">
        <w:rPr>
          <w:rFonts w:ascii="Calibri" w:eastAsia="Times New Roman" w:hAnsi="Calibri" w:cs="Calibri"/>
          <w:lang w:eastAsia="en-AU"/>
        </w:rPr>
        <w:t xml:space="preserve"> the </w:t>
      </w:r>
      <w:r w:rsidR="006245C8">
        <w:rPr>
          <w:rFonts w:ascii="Calibri" w:eastAsia="Times New Roman" w:hAnsi="Calibri" w:cs="Calibri"/>
          <w:lang w:eastAsia="en-AU"/>
        </w:rPr>
        <w:t>p</w:t>
      </w:r>
      <w:r w:rsidR="006245C8" w:rsidRPr="000A4C27">
        <w:rPr>
          <w:rFonts w:ascii="Calibri" w:eastAsia="Times New Roman" w:hAnsi="Calibri" w:cs="Calibri"/>
          <w:lang w:eastAsia="en-AU"/>
        </w:rPr>
        <w:t xml:space="preserve">rivacy </w:t>
      </w:r>
      <w:r w:rsidR="006245C8">
        <w:rPr>
          <w:rFonts w:ascii="Calibri" w:eastAsia="Times New Roman" w:hAnsi="Calibri" w:cs="Calibri"/>
          <w:lang w:eastAsia="en-AU"/>
        </w:rPr>
        <w:t>p</w:t>
      </w:r>
      <w:r w:rsidR="006245C8" w:rsidRPr="000A4C27">
        <w:rPr>
          <w:rFonts w:ascii="Calibri" w:eastAsia="Times New Roman" w:hAnsi="Calibri" w:cs="Calibri"/>
          <w:lang w:eastAsia="en-AU"/>
        </w:rPr>
        <w:t xml:space="preserve">olicy </w:t>
      </w:r>
      <w:r w:rsidRPr="000A4C27">
        <w:rPr>
          <w:rFonts w:ascii="Calibri" w:eastAsia="Times New Roman" w:hAnsi="Calibri" w:cs="Calibri"/>
          <w:lang w:eastAsia="en-AU"/>
        </w:rPr>
        <w:t>were made</w:t>
      </w:r>
      <w:r w:rsidR="00390A42">
        <w:rPr>
          <w:rFonts w:ascii="Calibri" w:eastAsia="Times New Roman" w:hAnsi="Calibri" w:cs="Calibri"/>
          <w:lang w:eastAsia="en-AU"/>
        </w:rPr>
        <w:t xml:space="preserve"> to the COVIDSafe app and COVIDSafe.gov.au. These were</w:t>
      </w:r>
      <w:r w:rsidRPr="000A4C27">
        <w:rPr>
          <w:rFonts w:ascii="Calibri" w:eastAsia="Times New Roman" w:hAnsi="Calibri" w:cs="Calibri"/>
          <w:lang w:eastAsia="en-AU"/>
        </w:rPr>
        <w:t xml:space="preserve"> </w:t>
      </w:r>
      <w:r w:rsidR="00B541EB" w:rsidRPr="000A4C27">
        <w:rPr>
          <w:rFonts w:ascii="Calibri" w:eastAsia="Times New Roman" w:hAnsi="Calibri" w:cs="Calibri"/>
          <w:lang w:eastAsia="en-AU"/>
        </w:rPr>
        <w:t>in response to recommendations by the O</w:t>
      </w:r>
      <w:r w:rsidR="00864FF1">
        <w:rPr>
          <w:rFonts w:ascii="Calibri" w:eastAsia="Times New Roman" w:hAnsi="Calibri" w:cs="Calibri"/>
          <w:lang w:eastAsia="en-AU"/>
        </w:rPr>
        <w:t xml:space="preserve">ffice of the </w:t>
      </w:r>
      <w:r w:rsidR="00B541EB" w:rsidRPr="000A4C27">
        <w:rPr>
          <w:rFonts w:ascii="Calibri" w:eastAsia="Times New Roman" w:hAnsi="Calibri" w:cs="Calibri"/>
          <w:lang w:eastAsia="en-AU"/>
        </w:rPr>
        <w:t>A</w:t>
      </w:r>
      <w:r w:rsidR="00864FF1">
        <w:rPr>
          <w:rFonts w:ascii="Calibri" w:eastAsia="Times New Roman" w:hAnsi="Calibri" w:cs="Calibri"/>
          <w:lang w:eastAsia="en-AU"/>
        </w:rPr>
        <w:t xml:space="preserve">ustralian </w:t>
      </w:r>
      <w:r w:rsidR="00B541EB" w:rsidRPr="000A4C27">
        <w:rPr>
          <w:rFonts w:ascii="Calibri" w:eastAsia="Times New Roman" w:hAnsi="Calibri" w:cs="Calibri"/>
          <w:lang w:eastAsia="en-AU"/>
        </w:rPr>
        <w:t>I</w:t>
      </w:r>
      <w:r w:rsidR="00864FF1">
        <w:rPr>
          <w:rFonts w:ascii="Calibri" w:eastAsia="Times New Roman" w:hAnsi="Calibri" w:cs="Calibri"/>
          <w:lang w:eastAsia="en-AU"/>
        </w:rPr>
        <w:t xml:space="preserve">nformation </w:t>
      </w:r>
      <w:r w:rsidR="00B541EB" w:rsidRPr="000A4C27">
        <w:rPr>
          <w:rFonts w:ascii="Calibri" w:eastAsia="Times New Roman" w:hAnsi="Calibri" w:cs="Calibri"/>
          <w:lang w:eastAsia="en-AU"/>
        </w:rPr>
        <w:t>C</w:t>
      </w:r>
      <w:r w:rsidR="00864FF1">
        <w:rPr>
          <w:rFonts w:ascii="Calibri" w:eastAsia="Times New Roman" w:hAnsi="Calibri" w:cs="Calibri"/>
          <w:lang w:eastAsia="en-AU"/>
        </w:rPr>
        <w:t>ommission’s (OAIC’s)</w:t>
      </w:r>
      <w:r w:rsidR="00B541EB" w:rsidRPr="000A4C27">
        <w:rPr>
          <w:rFonts w:ascii="Calibri" w:eastAsia="Times New Roman" w:hAnsi="Calibri" w:cs="Calibri"/>
          <w:lang w:eastAsia="en-AU"/>
        </w:rPr>
        <w:t xml:space="preserve"> COVIDSafe </w:t>
      </w:r>
      <w:r w:rsidR="00D913D4">
        <w:rPr>
          <w:rFonts w:ascii="Calibri" w:eastAsia="Times New Roman" w:hAnsi="Calibri" w:cs="Calibri"/>
          <w:lang w:eastAsia="en-AU"/>
        </w:rPr>
        <w:t>A</w:t>
      </w:r>
      <w:r w:rsidR="00B541EB" w:rsidRPr="000A4C27">
        <w:rPr>
          <w:rFonts w:ascii="Calibri" w:eastAsia="Times New Roman" w:hAnsi="Calibri" w:cs="Calibri"/>
          <w:lang w:eastAsia="en-AU"/>
        </w:rPr>
        <w:t xml:space="preserve">ssessment </w:t>
      </w:r>
      <w:r w:rsidR="00D913D4">
        <w:rPr>
          <w:rFonts w:ascii="Calibri" w:eastAsia="Times New Roman" w:hAnsi="Calibri" w:cs="Calibri"/>
          <w:lang w:eastAsia="en-AU"/>
        </w:rPr>
        <w:t>R</w:t>
      </w:r>
      <w:r w:rsidR="00B541EB" w:rsidRPr="000A4C27">
        <w:rPr>
          <w:rFonts w:ascii="Calibri" w:eastAsia="Times New Roman" w:hAnsi="Calibri" w:cs="Calibri"/>
          <w:lang w:eastAsia="en-AU"/>
        </w:rPr>
        <w:t>eport</w:t>
      </w:r>
      <w:r w:rsidR="00864FF1">
        <w:rPr>
          <w:rFonts w:ascii="Calibri" w:eastAsia="Times New Roman" w:hAnsi="Calibri" w:cs="Calibri"/>
          <w:lang w:eastAsia="en-AU"/>
        </w:rPr>
        <w:t xml:space="preserve"> </w:t>
      </w:r>
      <w:r w:rsidR="00D913D4">
        <w:rPr>
          <w:rFonts w:ascii="Calibri" w:eastAsia="Times New Roman" w:hAnsi="Calibri" w:cs="Calibri"/>
          <w:lang w:eastAsia="en-AU"/>
        </w:rPr>
        <w:t>N</w:t>
      </w:r>
      <w:r w:rsidR="00864FF1">
        <w:rPr>
          <w:rFonts w:ascii="Calibri" w:eastAsia="Times New Roman" w:hAnsi="Calibri" w:cs="Calibri"/>
          <w:lang w:eastAsia="en-AU"/>
        </w:rPr>
        <w:t xml:space="preserve">umber </w:t>
      </w:r>
      <w:r w:rsidR="006245C8">
        <w:rPr>
          <w:rFonts w:ascii="Calibri" w:eastAsia="Times New Roman" w:hAnsi="Calibri" w:cs="Calibri"/>
          <w:lang w:eastAsia="en-AU"/>
        </w:rPr>
        <w:t>3</w:t>
      </w:r>
      <w:r w:rsidR="00BC684C">
        <w:rPr>
          <w:rFonts w:ascii="Calibri" w:eastAsia="Times New Roman" w:hAnsi="Calibri" w:cs="Calibri"/>
          <w:lang w:eastAsia="en-AU"/>
        </w:rPr>
        <w:t>,</w:t>
      </w:r>
      <w:r w:rsidR="002F7A38">
        <w:rPr>
          <w:rFonts w:ascii="Calibri" w:eastAsia="Times New Roman" w:hAnsi="Calibri" w:cs="Calibri"/>
          <w:lang w:eastAsia="en-AU"/>
        </w:rPr>
        <w:t xml:space="preserve"> </w:t>
      </w:r>
      <w:r w:rsidR="000120EC">
        <w:rPr>
          <w:rFonts w:ascii="Calibri" w:eastAsia="Times New Roman" w:hAnsi="Calibri" w:cs="Calibri"/>
          <w:lang w:eastAsia="en-AU"/>
        </w:rPr>
        <w:t xml:space="preserve">to </w:t>
      </w:r>
      <w:r w:rsidR="002F7A38">
        <w:rPr>
          <w:rFonts w:ascii="Calibri" w:eastAsia="Times New Roman" w:hAnsi="Calibri" w:cs="Calibri"/>
          <w:lang w:eastAsia="en-AU"/>
        </w:rPr>
        <w:t xml:space="preserve">ensure users </w:t>
      </w:r>
      <w:r w:rsidR="00BC684C">
        <w:rPr>
          <w:rFonts w:ascii="Calibri" w:eastAsia="Times New Roman" w:hAnsi="Calibri" w:cs="Calibri"/>
          <w:lang w:eastAsia="en-AU"/>
        </w:rPr>
        <w:t xml:space="preserve">continued to be </w:t>
      </w:r>
      <w:r w:rsidR="002F7A38">
        <w:rPr>
          <w:rFonts w:ascii="Calibri" w:eastAsia="Times New Roman" w:hAnsi="Calibri" w:cs="Calibri"/>
          <w:lang w:eastAsia="en-AU"/>
        </w:rPr>
        <w:t xml:space="preserve">provided </w:t>
      </w:r>
      <w:r w:rsidR="00A474FA">
        <w:rPr>
          <w:rFonts w:ascii="Calibri" w:eastAsia="Times New Roman" w:hAnsi="Calibri" w:cs="Calibri"/>
          <w:lang w:eastAsia="en-AU"/>
        </w:rPr>
        <w:t xml:space="preserve">clear and </w:t>
      </w:r>
      <w:r w:rsidR="002F7A38">
        <w:rPr>
          <w:rFonts w:ascii="Calibri" w:eastAsia="Times New Roman" w:hAnsi="Calibri" w:cs="Calibri"/>
          <w:lang w:eastAsia="en-AU"/>
        </w:rPr>
        <w:t>accurate</w:t>
      </w:r>
      <w:r w:rsidR="00A474FA">
        <w:rPr>
          <w:rFonts w:ascii="Calibri" w:eastAsia="Times New Roman" w:hAnsi="Calibri" w:cs="Calibri"/>
          <w:lang w:eastAsia="en-AU"/>
        </w:rPr>
        <w:t xml:space="preserve"> </w:t>
      </w:r>
      <w:r w:rsidR="00864FF1">
        <w:rPr>
          <w:rFonts w:ascii="Calibri" w:eastAsia="Times New Roman" w:hAnsi="Calibri" w:cs="Calibri"/>
          <w:lang w:eastAsia="en-AU"/>
        </w:rPr>
        <w:t xml:space="preserve">information regarding </w:t>
      </w:r>
      <w:r w:rsidR="00690EDC" w:rsidRPr="00690EDC">
        <w:rPr>
          <w:rFonts w:ascii="Calibri" w:eastAsia="Times New Roman" w:hAnsi="Calibri" w:cs="Calibri"/>
          <w:lang w:eastAsia="en-AU"/>
        </w:rPr>
        <w:t>COVIDSafe</w:t>
      </w:r>
      <w:r w:rsidR="00BC684C">
        <w:rPr>
          <w:rFonts w:ascii="Calibri" w:eastAsia="Times New Roman" w:hAnsi="Calibri" w:cs="Calibri"/>
          <w:lang w:eastAsia="en-AU"/>
        </w:rPr>
        <w:t xml:space="preserve"> privacy</w:t>
      </w:r>
      <w:r w:rsidR="00690EDC">
        <w:rPr>
          <w:rFonts w:ascii="Calibri" w:eastAsia="Times New Roman" w:hAnsi="Calibri" w:cs="Calibri"/>
          <w:lang w:eastAsia="en-AU"/>
        </w:rPr>
        <w:t>.</w:t>
      </w:r>
    </w:p>
    <w:p w14:paraId="60DE19AA" w14:textId="5B0FA093" w:rsidR="004F4163" w:rsidRDefault="004F4163" w:rsidP="003A4302">
      <w:pPr>
        <w:pStyle w:val="Heading1"/>
        <w:rPr>
          <w:rFonts w:eastAsia="Times New Roman"/>
          <w:lang w:eastAsia="en-AU"/>
        </w:rPr>
      </w:pPr>
      <w:bookmarkStart w:id="5" w:name="_Toc87258875"/>
      <w:r w:rsidRPr="004F4163">
        <w:rPr>
          <w:rFonts w:eastAsia="Times New Roman"/>
          <w:lang w:eastAsia="en-AU"/>
        </w:rPr>
        <w:t>Effectiveness of the COVIDSafe app and the National COVIDSafe Data Store</w:t>
      </w:r>
      <w:bookmarkEnd w:id="5"/>
    </w:p>
    <w:p w14:paraId="438B7616" w14:textId="66C7C7D2" w:rsidR="004F4163" w:rsidRPr="004F4163" w:rsidRDefault="004F4163" w:rsidP="004F4163">
      <w:pPr>
        <w:rPr>
          <w:rFonts w:ascii="Calibri" w:eastAsia="Times New Roman" w:hAnsi="Calibri" w:cs="Calibri"/>
          <w:lang w:eastAsia="en-AU"/>
        </w:rPr>
      </w:pPr>
      <w:r w:rsidRPr="004F4163">
        <w:rPr>
          <w:rFonts w:ascii="Calibri" w:eastAsia="Times New Roman" w:hAnsi="Calibri" w:cs="Calibri"/>
          <w:lang w:eastAsia="en-AU"/>
        </w:rPr>
        <w:t xml:space="preserve">Since the commencement of COVIDSafe </w:t>
      </w:r>
      <w:r w:rsidR="002A0605" w:rsidRPr="00233F3A">
        <w:rPr>
          <w:rFonts w:ascii="Calibri" w:eastAsia="Calibri" w:hAnsi="Calibri" w:cs="Times New Roman"/>
        </w:rPr>
        <w:t>to 15 May 2022</w:t>
      </w:r>
      <w:r w:rsidRPr="004F4163">
        <w:rPr>
          <w:rFonts w:ascii="Calibri" w:eastAsia="Times New Roman" w:hAnsi="Calibri" w:cs="Calibri"/>
          <w:lang w:eastAsia="en-AU"/>
        </w:rPr>
        <w:t>, COVIDSafe has reported:</w:t>
      </w:r>
    </w:p>
    <w:p w14:paraId="583DEFF9" w14:textId="7F210921" w:rsidR="004F4163" w:rsidRPr="00567F93" w:rsidRDefault="004F4163" w:rsidP="00567F93">
      <w:pPr>
        <w:pStyle w:val="ListBullet"/>
      </w:pPr>
      <w:r w:rsidRPr="00567F93">
        <w:t>792 uploads</w:t>
      </w:r>
      <w:r w:rsidR="004D131F" w:rsidRPr="00567F93">
        <w:t>.</w:t>
      </w:r>
    </w:p>
    <w:p w14:paraId="5B2C1652" w14:textId="77777777" w:rsidR="004F4163" w:rsidRPr="00567F93" w:rsidRDefault="004F4163" w:rsidP="00567F93">
      <w:pPr>
        <w:pStyle w:val="ListBullet"/>
      </w:pPr>
      <w:r w:rsidRPr="00567F93">
        <w:t>1.654 million handshakes.</w:t>
      </w:r>
    </w:p>
    <w:p w14:paraId="45613316" w14:textId="77777777" w:rsidR="004F4163" w:rsidRPr="00567F93" w:rsidRDefault="004F4163" w:rsidP="00567F93">
      <w:pPr>
        <w:pStyle w:val="ListBullet"/>
      </w:pPr>
      <w:r w:rsidRPr="00567F93">
        <w:t xml:space="preserve">37,677 encounters; and </w:t>
      </w:r>
    </w:p>
    <w:p w14:paraId="6F0FE190" w14:textId="54047CC3" w:rsidR="004F4163" w:rsidRPr="00567F93" w:rsidRDefault="004F4163" w:rsidP="00567F93">
      <w:pPr>
        <w:pStyle w:val="ListBullet"/>
      </w:pPr>
      <w:r w:rsidRPr="00567F93">
        <w:t>2,829 potential close contacts.</w:t>
      </w:r>
      <w:bookmarkStart w:id="6" w:name="_Hlk86902398"/>
    </w:p>
    <w:p w14:paraId="4E620593" w14:textId="7533C9A3" w:rsidR="000A4C27" w:rsidRDefault="000A4C27" w:rsidP="006245C8">
      <w:pPr>
        <w:widowControl w:val="0"/>
        <w:spacing w:after="0"/>
        <w:ind w:right="-284"/>
        <w:rPr>
          <w:rFonts w:ascii="Calibri" w:hAnsi="Calibri" w:cs="Calibri"/>
          <w:lang w:eastAsia="en-AU"/>
        </w:rPr>
      </w:pPr>
      <w:r>
        <w:rPr>
          <w:rFonts w:ascii="Calibri" w:hAnsi="Calibri" w:cs="Calibri"/>
          <w:lang w:eastAsia="en-AU"/>
        </w:rPr>
        <w:t>During the period 16 November 2021 to 1</w:t>
      </w:r>
      <w:r w:rsidR="00823D81">
        <w:rPr>
          <w:rFonts w:ascii="Calibri" w:hAnsi="Calibri" w:cs="Calibri"/>
          <w:lang w:eastAsia="en-AU"/>
        </w:rPr>
        <w:t>5</w:t>
      </w:r>
      <w:r>
        <w:rPr>
          <w:rFonts w:ascii="Calibri" w:hAnsi="Calibri" w:cs="Calibri"/>
          <w:lang w:eastAsia="en-AU"/>
        </w:rPr>
        <w:t xml:space="preserve"> May 2022, n</w:t>
      </w:r>
      <w:r w:rsidRPr="000A4C27">
        <w:rPr>
          <w:rFonts w:ascii="Calibri" w:hAnsi="Calibri" w:cs="Calibri"/>
          <w:lang w:eastAsia="en-AU"/>
        </w:rPr>
        <w:t xml:space="preserve">o </w:t>
      </w:r>
      <w:r w:rsidR="002F7A38">
        <w:rPr>
          <w:rFonts w:ascii="Calibri" w:hAnsi="Calibri" w:cs="Calibri"/>
          <w:lang w:eastAsia="en-AU"/>
        </w:rPr>
        <w:t xml:space="preserve">additional </w:t>
      </w:r>
      <w:r w:rsidRPr="000A4C27">
        <w:rPr>
          <w:rFonts w:ascii="Calibri" w:hAnsi="Calibri" w:cs="Calibri"/>
          <w:lang w:eastAsia="en-AU"/>
        </w:rPr>
        <w:t xml:space="preserve">uploads of data from COVID positive cases </w:t>
      </w:r>
      <w:r w:rsidR="00390A42">
        <w:rPr>
          <w:rFonts w:ascii="Calibri" w:hAnsi="Calibri" w:cs="Calibri"/>
          <w:lang w:eastAsia="en-AU"/>
        </w:rPr>
        <w:t>were</w:t>
      </w:r>
      <w:r w:rsidRPr="000A4C27">
        <w:rPr>
          <w:rFonts w:ascii="Calibri" w:hAnsi="Calibri" w:cs="Calibri"/>
          <w:lang w:eastAsia="en-AU"/>
        </w:rPr>
        <w:t xml:space="preserve"> made to the</w:t>
      </w:r>
      <w:r w:rsidR="00DD6F51">
        <w:rPr>
          <w:rFonts w:ascii="Calibri" w:hAnsi="Calibri" w:cs="Calibri"/>
          <w:lang w:eastAsia="en-AU"/>
        </w:rPr>
        <w:t xml:space="preserve"> NCDS</w:t>
      </w:r>
      <w:r w:rsidRPr="000A4C27">
        <w:rPr>
          <w:rFonts w:ascii="Calibri" w:hAnsi="Calibri" w:cs="Calibri"/>
          <w:lang w:eastAsia="en-AU"/>
        </w:rPr>
        <w:t xml:space="preserve"> </w:t>
      </w:r>
      <w:r w:rsidR="00DF2AD7">
        <w:rPr>
          <w:rFonts w:ascii="Calibri" w:hAnsi="Calibri" w:cs="Calibri"/>
          <w:lang w:eastAsia="en-AU"/>
        </w:rPr>
        <w:t xml:space="preserve">and subsequently no additional </w:t>
      </w:r>
      <w:r w:rsidR="000120EC">
        <w:rPr>
          <w:rFonts w:ascii="Calibri" w:hAnsi="Calibri" w:cs="Calibri"/>
          <w:lang w:eastAsia="en-AU"/>
        </w:rPr>
        <w:t xml:space="preserve">handshakes, </w:t>
      </w:r>
      <w:r w:rsidR="00DF2AD7">
        <w:rPr>
          <w:rFonts w:ascii="Calibri" w:hAnsi="Calibri" w:cs="Calibri"/>
          <w:lang w:eastAsia="en-AU"/>
        </w:rPr>
        <w:t xml:space="preserve">encounters or close contacts </w:t>
      </w:r>
      <w:r w:rsidR="00823D81">
        <w:rPr>
          <w:rFonts w:ascii="Calibri" w:hAnsi="Calibri" w:cs="Calibri"/>
          <w:lang w:eastAsia="en-AU"/>
        </w:rPr>
        <w:t xml:space="preserve">were </w:t>
      </w:r>
      <w:r w:rsidR="00DF2AD7">
        <w:rPr>
          <w:rFonts w:ascii="Calibri" w:hAnsi="Calibri" w:cs="Calibri"/>
          <w:lang w:eastAsia="en-AU"/>
        </w:rPr>
        <w:t>identified.</w:t>
      </w:r>
    </w:p>
    <w:p w14:paraId="6BE27F04" w14:textId="149D5EBE" w:rsidR="004F4163" w:rsidRPr="004639E8" w:rsidRDefault="004F4163" w:rsidP="006245C8">
      <w:pPr>
        <w:spacing w:after="0"/>
        <w:textAlignment w:val="center"/>
        <w:rPr>
          <w:rFonts w:ascii="Calibri" w:eastAsia="Times New Roman" w:hAnsi="Calibri" w:cs="Calibri"/>
          <w:lang w:eastAsia="en-AU"/>
        </w:rPr>
      </w:pPr>
      <w:r w:rsidRPr="004F4163">
        <w:rPr>
          <w:rFonts w:ascii="Calibri" w:eastAsia="Times New Roman" w:hAnsi="Calibri" w:cs="Calibri"/>
          <w:lang w:eastAsia="en-AU"/>
        </w:rPr>
        <w:t>COVIDSafe remain</w:t>
      </w:r>
      <w:r w:rsidR="000120EC">
        <w:rPr>
          <w:rFonts w:ascii="Calibri" w:eastAsia="Times New Roman" w:hAnsi="Calibri" w:cs="Calibri"/>
          <w:lang w:eastAsia="en-AU"/>
        </w:rPr>
        <w:t>ed</w:t>
      </w:r>
      <w:r w:rsidRPr="004F4163">
        <w:rPr>
          <w:rFonts w:ascii="Calibri" w:eastAsia="Times New Roman" w:hAnsi="Calibri" w:cs="Calibri"/>
          <w:lang w:eastAsia="en-AU"/>
        </w:rPr>
        <w:t xml:space="preserve"> available for </w:t>
      </w:r>
      <w:r w:rsidR="000120EC">
        <w:rPr>
          <w:rFonts w:ascii="Calibri" w:eastAsia="Times New Roman" w:hAnsi="Calibri" w:cs="Calibri"/>
          <w:lang w:eastAsia="en-AU"/>
        </w:rPr>
        <w:t>PHOs</w:t>
      </w:r>
      <w:r w:rsidRPr="004F4163">
        <w:rPr>
          <w:rFonts w:ascii="Calibri" w:eastAsia="Times New Roman" w:hAnsi="Calibri" w:cs="Calibri"/>
          <w:lang w:eastAsia="en-AU"/>
        </w:rPr>
        <w:t xml:space="preserve"> to identify close contacts. </w:t>
      </w:r>
      <w:bookmarkStart w:id="7" w:name="_Hlk86154961"/>
      <w:bookmarkEnd w:id="6"/>
      <w:r w:rsidR="00D913D4">
        <w:rPr>
          <w:rFonts w:ascii="Calibri" w:eastAsia="Times New Roman" w:hAnsi="Calibri" w:cs="Calibri"/>
          <w:lang w:eastAsia="en-AU"/>
        </w:rPr>
        <w:t>My</w:t>
      </w:r>
      <w:r w:rsidRPr="004F4163">
        <w:rPr>
          <w:rFonts w:ascii="Calibri" w:eastAsia="Times New Roman" w:hAnsi="Calibri" w:cs="Calibri"/>
          <w:lang w:eastAsia="en-AU"/>
        </w:rPr>
        <w:t xml:space="preserve"> department continu</w:t>
      </w:r>
      <w:r w:rsidR="00D913D4">
        <w:rPr>
          <w:rFonts w:ascii="Calibri" w:eastAsia="Times New Roman" w:hAnsi="Calibri" w:cs="Calibri"/>
          <w:lang w:eastAsia="en-AU"/>
        </w:rPr>
        <w:t>ed</w:t>
      </w:r>
      <w:r w:rsidRPr="004F4163">
        <w:rPr>
          <w:rFonts w:ascii="Calibri" w:eastAsia="Times New Roman" w:hAnsi="Calibri" w:cs="Calibri"/>
          <w:lang w:eastAsia="en-AU"/>
        </w:rPr>
        <w:t xml:space="preserve"> </w:t>
      </w:r>
      <w:r w:rsidR="0088438A">
        <w:rPr>
          <w:rFonts w:ascii="Calibri" w:eastAsia="Times New Roman" w:hAnsi="Calibri" w:cs="Calibri"/>
          <w:lang w:eastAsia="en-AU"/>
        </w:rPr>
        <w:br/>
      </w:r>
      <w:r w:rsidRPr="004F4163">
        <w:rPr>
          <w:rFonts w:ascii="Calibri" w:eastAsia="Times New Roman" w:hAnsi="Calibri" w:cs="Calibri"/>
          <w:lang w:eastAsia="en-AU"/>
        </w:rPr>
        <w:t xml:space="preserve">to engage </w:t>
      </w:r>
      <w:r w:rsidR="00864FF1">
        <w:rPr>
          <w:rFonts w:ascii="Calibri" w:eastAsia="Times New Roman" w:hAnsi="Calibri" w:cs="Calibri"/>
          <w:lang w:eastAsia="en-AU"/>
        </w:rPr>
        <w:t>with</w:t>
      </w:r>
      <w:r w:rsidR="00D913D4">
        <w:rPr>
          <w:rFonts w:ascii="Calibri" w:eastAsia="Times New Roman" w:hAnsi="Calibri" w:cs="Calibri"/>
          <w:lang w:eastAsia="en-AU"/>
        </w:rPr>
        <w:t>,</w:t>
      </w:r>
      <w:r w:rsidR="00864FF1">
        <w:rPr>
          <w:rFonts w:ascii="Calibri" w:eastAsia="Times New Roman" w:hAnsi="Calibri" w:cs="Calibri"/>
          <w:lang w:eastAsia="en-AU"/>
        </w:rPr>
        <w:t xml:space="preserve"> </w:t>
      </w:r>
      <w:r w:rsidRPr="004F4163">
        <w:rPr>
          <w:rFonts w:ascii="Calibri" w:eastAsia="Times New Roman" w:hAnsi="Calibri" w:cs="Calibri"/>
          <w:lang w:eastAsia="en-AU"/>
        </w:rPr>
        <w:t xml:space="preserve">and </w:t>
      </w:r>
      <w:r w:rsidR="00867DFF">
        <w:rPr>
          <w:rFonts w:ascii="Calibri" w:eastAsia="Times New Roman" w:hAnsi="Calibri" w:cs="Calibri"/>
          <w:lang w:eastAsia="en-AU"/>
        </w:rPr>
        <w:t xml:space="preserve">provide support </w:t>
      </w:r>
      <w:r w:rsidR="002F7A38">
        <w:rPr>
          <w:rFonts w:ascii="Calibri" w:eastAsia="Times New Roman" w:hAnsi="Calibri" w:cs="Calibri"/>
          <w:lang w:eastAsia="en-AU"/>
        </w:rPr>
        <w:t>to</w:t>
      </w:r>
      <w:r w:rsidR="00D913D4">
        <w:rPr>
          <w:rFonts w:ascii="Calibri" w:eastAsia="Times New Roman" w:hAnsi="Calibri" w:cs="Calibri"/>
          <w:lang w:eastAsia="en-AU"/>
        </w:rPr>
        <w:t>,</w:t>
      </w:r>
      <w:r w:rsidR="002F7A38">
        <w:rPr>
          <w:rFonts w:ascii="Calibri" w:eastAsia="Times New Roman" w:hAnsi="Calibri" w:cs="Calibri"/>
          <w:lang w:eastAsia="en-AU"/>
        </w:rPr>
        <w:t xml:space="preserve"> </w:t>
      </w:r>
      <w:r w:rsidRPr="004F4163">
        <w:rPr>
          <w:rFonts w:ascii="Calibri" w:eastAsia="Times New Roman" w:hAnsi="Calibri" w:cs="Calibri"/>
          <w:lang w:eastAsia="en-AU"/>
        </w:rPr>
        <w:t>state and territory officials through the Implementation Management Committee</w:t>
      </w:r>
      <w:r w:rsidR="00057F74">
        <w:rPr>
          <w:rFonts w:ascii="Calibri" w:eastAsia="Times New Roman" w:hAnsi="Calibri" w:cs="Calibri"/>
          <w:lang w:eastAsia="en-AU"/>
        </w:rPr>
        <w:t xml:space="preserve"> </w:t>
      </w:r>
      <w:r w:rsidR="00130393">
        <w:rPr>
          <w:rFonts w:ascii="Calibri" w:eastAsia="Times New Roman" w:hAnsi="Calibri" w:cs="Calibri"/>
          <w:lang w:eastAsia="en-AU"/>
        </w:rPr>
        <w:t>(IMC).</w:t>
      </w:r>
      <w:bookmarkEnd w:id="7"/>
    </w:p>
    <w:p w14:paraId="6B2FAFC4" w14:textId="54E46F56" w:rsidR="004F4163" w:rsidRPr="004F4163" w:rsidRDefault="004F4163" w:rsidP="003A4302">
      <w:pPr>
        <w:pStyle w:val="Heading1"/>
        <w:rPr>
          <w:rFonts w:eastAsia="Times New Roman"/>
          <w:lang w:eastAsia="en-AU"/>
        </w:rPr>
      </w:pPr>
      <w:bookmarkStart w:id="8" w:name="_Toc87258876"/>
      <w:r w:rsidRPr="004F4163">
        <w:rPr>
          <w:rFonts w:eastAsia="Times New Roman"/>
          <w:lang w:eastAsia="en-AU"/>
        </w:rPr>
        <w:t>Privacy</w:t>
      </w:r>
      <w:bookmarkEnd w:id="8"/>
    </w:p>
    <w:p w14:paraId="362C93FE" w14:textId="1D72A81F" w:rsidR="006245C8" w:rsidRPr="00567F93" w:rsidRDefault="00D913D4">
      <w:bookmarkStart w:id="9" w:name="_Hlk86134637"/>
      <w:bookmarkStart w:id="10" w:name="_Hlk85791849"/>
      <w:r>
        <w:rPr>
          <w:rFonts w:ascii="Calibri" w:eastAsia="Times New Roman" w:hAnsi="Calibri" w:cs="Calibri"/>
          <w:lang w:eastAsia="en-AU"/>
        </w:rPr>
        <w:t>My</w:t>
      </w:r>
      <w:r w:rsidR="004F4163" w:rsidRPr="004F4163">
        <w:rPr>
          <w:rFonts w:ascii="Calibri" w:eastAsia="Times New Roman" w:hAnsi="Calibri" w:cs="Calibri"/>
          <w:lang w:eastAsia="en-AU"/>
        </w:rPr>
        <w:t xml:space="preserve"> department</w:t>
      </w:r>
      <w:r w:rsidR="00D21BE9">
        <w:rPr>
          <w:rFonts w:ascii="Calibri" w:eastAsia="Times New Roman" w:hAnsi="Calibri" w:cs="Calibri"/>
          <w:lang w:eastAsia="en-AU"/>
        </w:rPr>
        <w:t xml:space="preserve"> continued to </w:t>
      </w:r>
      <w:r w:rsidR="004F4163" w:rsidRPr="004F4163">
        <w:rPr>
          <w:rFonts w:ascii="Calibri" w:eastAsia="Times New Roman" w:hAnsi="Calibri" w:cs="Calibri"/>
          <w:lang w:eastAsia="en-AU"/>
        </w:rPr>
        <w:t>monitor the effectiveness of the privacy controls, ensur</w:t>
      </w:r>
      <w:r w:rsidR="00130393">
        <w:rPr>
          <w:rFonts w:ascii="Calibri" w:eastAsia="Times New Roman" w:hAnsi="Calibri" w:cs="Calibri"/>
          <w:lang w:eastAsia="en-AU"/>
        </w:rPr>
        <w:t>ing</w:t>
      </w:r>
      <w:r w:rsidR="004F4163" w:rsidRPr="004F4163">
        <w:rPr>
          <w:rFonts w:ascii="Calibri" w:eastAsia="Times New Roman" w:hAnsi="Calibri" w:cs="Calibri"/>
          <w:lang w:eastAsia="en-AU"/>
        </w:rPr>
        <w:t xml:space="preserve"> privacy risks </w:t>
      </w:r>
      <w:r>
        <w:rPr>
          <w:rFonts w:ascii="Calibri" w:eastAsia="Times New Roman" w:hAnsi="Calibri" w:cs="Calibri"/>
          <w:lang w:eastAsia="en-AU"/>
        </w:rPr>
        <w:t>were</w:t>
      </w:r>
      <w:r w:rsidRPr="004F4163">
        <w:rPr>
          <w:rFonts w:ascii="Calibri" w:eastAsia="Times New Roman" w:hAnsi="Calibri" w:cs="Calibri"/>
          <w:lang w:eastAsia="en-AU"/>
        </w:rPr>
        <w:t xml:space="preserve"> </w:t>
      </w:r>
      <w:r w:rsidR="004F4163" w:rsidRPr="004F4163">
        <w:rPr>
          <w:rFonts w:ascii="Calibri" w:eastAsia="Times New Roman" w:hAnsi="Calibri" w:cs="Calibri"/>
          <w:lang w:eastAsia="en-AU"/>
        </w:rPr>
        <w:t>addressed.</w:t>
      </w:r>
      <w:bookmarkEnd w:id="9"/>
      <w:bookmarkEnd w:id="10"/>
      <w:r w:rsidR="009E2E87">
        <w:rPr>
          <w:rFonts w:ascii="Calibri" w:eastAsia="Times New Roman" w:hAnsi="Calibri" w:cs="Calibri"/>
          <w:lang w:eastAsia="en-AU"/>
        </w:rPr>
        <w:t xml:space="preserve"> </w:t>
      </w:r>
      <w:r w:rsidR="00867DFF" w:rsidRPr="00867DFF">
        <w:rPr>
          <w:rFonts w:ascii="Calibri" w:eastAsia="Times New Roman" w:hAnsi="Calibri" w:cs="Calibri"/>
          <w:lang w:eastAsia="en-AU"/>
        </w:rPr>
        <w:t>During the reporting period</w:t>
      </w:r>
      <w:r>
        <w:rPr>
          <w:rFonts w:ascii="Calibri" w:eastAsia="Times New Roman" w:hAnsi="Calibri" w:cs="Calibri"/>
          <w:lang w:eastAsia="en-AU"/>
        </w:rPr>
        <w:t>, the d</w:t>
      </w:r>
      <w:r w:rsidR="00867DFF">
        <w:rPr>
          <w:rFonts w:ascii="Calibri" w:eastAsia="Times New Roman" w:hAnsi="Calibri" w:cs="Calibri"/>
          <w:lang w:eastAsia="en-AU"/>
        </w:rPr>
        <w:t xml:space="preserve">epartment considered and addressed all recommendations from Assessment </w:t>
      </w:r>
      <w:r w:rsidR="006245C8">
        <w:rPr>
          <w:rFonts w:ascii="Calibri" w:eastAsia="Times New Roman" w:hAnsi="Calibri" w:cs="Calibri"/>
          <w:lang w:eastAsia="en-AU"/>
        </w:rPr>
        <w:t xml:space="preserve">3 </w:t>
      </w:r>
      <w:r w:rsidR="00A474FA">
        <w:rPr>
          <w:rFonts w:ascii="Calibri" w:eastAsia="Times New Roman" w:hAnsi="Calibri" w:cs="Calibri"/>
          <w:lang w:eastAsia="en-AU"/>
        </w:rPr>
        <w:t>by</w:t>
      </w:r>
      <w:r w:rsidR="00867DFF">
        <w:rPr>
          <w:rFonts w:ascii="Calibri" w:eastAsia="Times New Roman" w:hAnsi="Calibri" w:cs="Calibri"/>
          <w:lang w:eastAsia="en-AU"/>
        </w:rPr>
        <w:t xml:space="preserve"> the </w:t>
      </w:r>
      <w:r w:rsidR="00817B77">
        <w:rPr>
          <w:rFonts w:ascii="Calibri" w:eastAsia="Times New Roman" w:hAnsi="Calibri" w:cs="Calibri"/>
          <w:lang w:eastAsia="en-AU"/>
        </w:rPr>
        <w:t>OAIC</w:t>
      </w:r>
      <w:r w:rsidR="00130393">
        <w:rPr>
          <w:rFonts w:ascii="Calibri" w:eastAsia="Times New Roman" w:hAnsi="Calibri" w:cs="Calibri"/>
          <w:lang w:eastAsia="en-AU"/>
        </w:rPr>
        <w:t>,</w:t>
      </w:r>
      <w:r w:rsidR="00817B77">
        <w:rPr>
          <w:rFonts w:ascii="Calibri" w:eastAsia="Times New Roman" w:hAnsi="Calibri" w:cs="Calibri"/>
          <w:lang w:eastAsia="en-AU"/>
        </w:rPr>
        <w:t xml:space="preserve"> </w:t>
      </w:r>
      <w:r w:rsidR="00867DFF">
        <w:rPr>
          <w:rFonts w:ascii="Calibri" w:eastAsia="Times New Roman" w:hAnsi="Calibri" w:cs="Calibri"/>
          <w:lang w:eastAsia="en-AU"/>
        </w:rPr>
        <w:t>cover</w:t>
      </w:r>
      <w:r w:rsidR="00130393">
        <w:rPr>
          <w:rFonts w:ascii="Calibri" w:eastAsia="Times New Roman" w:hAnsi="Calibri" w:cs="Calibri"/>
          <w:lang w:eastAsia="en-AU"/>
        </w:rPr>
        <w:t>ing the</w:t>
      </w:r>
      <w:r w:rsidR="00057F74">
        <w:rPr>
          <w:rFonts w:ascii="Calibri" w:eastAsia="Times New Roman" w:hAnsi="Calibri" w:cs="Calibri"/>
          <w:lang w:eastAsia="en-AU"/>
        </w:rPr>
        <w:t xml:space="preserve"> </w:t>
      </w:r>
      <w:r w:rsidR="00867DFF" w:rsidRPr="00867DFF">
        <w:rPr>
          <w:rFonts w:ascii="Calibri" w:eastAsia="Times New Roman" w:hAnsi="Calibri" w:cs="Calibri"/>
          <w:lang w:eastAsia="en-AU"/>
        </w:rPr>
        <w:t>COVIDSafe application functionality, privacy policy and collection notices</w:t>
      </w:r>
      <w:r w:rsidR="00E45A74">
        <w:rPr>
          <w:rFonts w:ascii="Calibri" w:eastAsia="Times New Roman" w:hAnsi="Calibri" w:cs="Calibri"/>
          <w:lang w:eastAsia="en-AU"/>
        </w:rPr>
        <w:t>.</w:t>
      </w:r>
      <w:r w:rsidR="00DD6F51" w:rsidRPr="00DD6F51">
        <w:t xml:space="preserve"> </w:t>
      </w:r>
      <w:r>
        <w:t>The</w:t>
      </w:r>
      <w:r w:rsidR="00DD6F51">
        <w:t xml:space="preserve"> </w:t>
      </w:r>
      <w:r>
        <w:t>d</w:t>
      </w:r>
      <w:r w:rsidR="00DD6F51">
        <w:t xml:space="preserve">epartment </w:t>
      </w:r>
      <w:r>
        <w:t xml:space="preserve">also </w:t>
      </w:r>
      <w:r w:rsidR="00DD6F51">
        <w:t xml:space="preserve">responded to the OAIC recommendations and suggestions contained in </w:t>
      </w:r>
      <w:r w:rsidR="00057FD8">
        <w:t xml:space="preserve">Assessment </w:t>
      </w:r>
      <w:r w:rsidR="006245C8">
        <w:t>4</w:t>
      </w:r>
      <w:r>
        <w:t>.</w:t>
      </w:r>
      <w:bookmarkStart w:id="11" w:name="_Toc87258877"/>
    </w:p>
    <w:p w14:paraId="7DB6F27A" w14:textId="6DDB9C0C" w:rsidR="004F4163" w:rsidRPr="004F4163" w:rsidRDefault="004F4163" w:rsidP="003A4302">
      <w:pPr>
        <w:pStyle w:val="Heading1"/>
        <w:rPr>
          <w:rFonts w:eastAsia="Times New Roman"/>
          <w:lang w:eastAsia="en-AU"/>
        </w:rPr>
      </w:pPr>
      <w:r w:rsidRPr="004639E8">
        <w:rPr>
          <w:rFonts w:eastAsia="Times New Roman"/>
          <w:lang w:eastAsia="en-AU"/>
        </w:rPr>
        <w:t>Conclusion</w:t>
      </w:r>
      <w:bookmarkEnd w:id="11"/>
    </w:p>
    <w:p w14:paraId="6D22F45C" w14:textId="0BC660D3" w:rsidR="004F4163" w:rsidRDefault="00D913D4" w:rsidP="006245C8">
      <w:pPr>
        <w:spacing w:after="0"/>
        <w:textAlignment w:val="center"/>
        <w:rPr>
          <w:rFonts w:ascii="Calibri" w:eastAsia="Times New Roman" w:hAnsi="Calibri" w:cs="Calibri"/>
          <w:lang w:eastAsia="en-AU"/>
        </w:rPr>
      </w:pPr>
      <w:r>
        <w:rPr>
          <w:rFonts w:ascii="Calibri" w:eastAsia="Times New Roman" w:hAnsi="Calibri" w:cs="Calibri"/>
          <w:lang w:eastAsia="en-AU"/>
        </w:rPr>
        <w:t>Throughout this reporting period, t</w:t>
      </w:r>
      <w:r w:rsidR="004F4163" w:rsidRPr="004F4163">
        <w:rPr>
          <w:rFonts w:ascii="Calibri" w:eastAsia="Times New Roman" w:hAnsi="Calibri" w:cs="Calibri"/>
          <w:lang w:eastAsia="en-AU"/>
        </w:rPr>
        <w:t xml:space="preserve">he COVIDSafe app </w:t>
      </w:r>
      <w:r w:rsidR="001A7432">
        <w:rPr>
          <w:rFonts w:ascii="Calibri" w:eastAsia="Times New Roman" w:hAnsi="Calibri" w:cs="Calibri"/>
          <w:lang w:eastAsia="en-AU"/>
        </w:rPr>
        <w:t>and NCDS</w:t>
      </w:r>
      <w:r w:rsidR="00A243A0">
        <w:rPr>
          <w:rFonts w:ascii="Calibri" w:eastAsia="Times New Roman" w:hAnsi="Calibri" w:cs="Calibri"/>
          <w:lang w:eastAsia="en-AU"/>
        </w:rPr>
        <w:t xml:space="preserve"> remained operational, and were updated and </w:t>
      </w:r>
      <w:r w:rsidR="001A7432">
        <w:rPr>
          <w:rFonts w:ascii="Calibri" w:eastAsia="Times New Roman" w:hAnsi="Calibri" w:cs="Calibri"/>
          <w:lang w:eastAsia="en-AU"/>
        </w:rPr>
        <w:t xml:space="preserve">maintained </w:t>
      </w:r>
      <w:r w:rsidR="00034F6D">
        <w:rPr>
          <w:rFonts w:ascii="Calibri" w:eastAsia="Times New Roman" w:hAnsi="Calibri" w:cs="Calibri"/>
          <w:lang w:eastAsia="en-AU"/>
        </w:rPr>
        <w:t xml:space="preserve">for use by state and territory PHO’s </w:t>
      </w:r>
      <w:r>
        <w:rPr>
          <w:rFonts w:ascii="Calibri" w:eastAsia="Times New Roman" w:hAnsi="Calibri" w:cs="Calibri"/>
          <w:lang w:eastAsia="en-AU"/>
        </w:rPr>
        <w:t xml:space="preserve">for </w:t>
      </w:r>
      <w:r w:rsidR="00034F6D">
        <w:rPr>
          <w:rFonts w:ascii="Calibri" w:eastAsia="Times New Roman" w:hAnsi="Calibri" w:cs="Calibri"/>
          <w:lang w:eastAsia="en-AU"/>
        </w:rPr>
        <w:t>contact tracing</w:t>
      </w:r>
      <w:r w:rsidR="00A243A0">
        <w:rPr>
          <w:rFonts w:ascii="Calibri" w:eastAsia="Times New Roman" w:hAnsi="Calibri" w:cs="Calibri"/>
          <w:lang w:eastAsia="en-AU"/>
        </w:rPr>
        <w:t>.</w:t>
      </w:r>
    </w:p>
    <w:p w14:paraId="7D0354B8" w14:textId="16925AFE" w:rsidR="004F4163" w:rsidRPr="003A4302" w:rsidRDefault="004F4163" w:rsidP="003A4302">
      <w:pPr>
        <w:pStyle w:val="Heading1"/>
      </w:pPr>
      <w:bookmarkStart w:id="12" w:name="_Toc87258878"/>
      <w:r w:rsidRPr="003A4302">
        <w:lastRenderedPageBreak/>
        <w:t>Attachments</w:t>
      </w:r>
      <w:bookmarkStart w:id="13" w:name="_Toc87258879"/>
      <w:bookmarkEnd w:id="12"/>
      <w:r w:rsidR="003A4302" w:rsidRPr="003A4302">
        <w:t xml:space="preserve"> </w:t>
      </w:r>
      <w:r w:rsidRPr="003A4302">
        <w:t>A</w:t>
      </w:r>
      <w:r w:rsidR="003A4302">
        <w:t xml:space="preserve"> </w:t>
      </w:r>
      <w:r w:rsidR="007E0712" w:rsidRPr="003A4302">
        <w:t>-</w:t>
      </w:r>
      <w:r w:rsidRPr="003A4302">
        <w:t xml:space="preserve"> COVIDSafe app activity statistics</w:t>
      </w:r>
      <w:bookmarkEnd w:id="13"/>
    </w:p>
    <w:p w14:paraId="04DF2434" w14:textId="4DBEA7DF" w:rsidR="004F4163" w:rsidRPr="00E1729B" w:rsidRDefault="004F4163" w:rsidP="003A4302">
      <w:pPr>
        <w:pStyle w:val="Heading2"/>
        <w:rPr>
          <w:rFonts w:eastAsia="Times New Roman"/>
          <w:b w:val="0"/>
          <w:lang w:eastAsia="en-AU"/>
        </w:rPr>
      </w:pPr>
      <w:r w:rsidRPr="00E1729B">
        <w:rPr>
          <w:rFonts w:eastAsia="Times New Roman"/>
          <w:lang w:eastAsia="en-AU"/>
        </w:rPr>
        <w:t xml:space="preserve">Reporting Period - Cumulative from </w:t>
      </w:r>
      <w:r w:rsidR="00F406E7">
        <w:rPr>
          <w:rFonts w:eastAsia="Times New Roman"/>
          <w:lang w:eastAsia="en-AU"/>
        </w:rPr>
        <w:t xml:space="preserve">16 </w:t>
      </w:r>
      <w:r w:rsidR="00F406E7" w:rsidRPr="004639E8">
        <w:rPr>
          <w:rFonts w:eastAsia="Times New Roman"/>
          <w:lang w:eastAsia="en-AU"/>
        </w:rPr>
        <w:t>November 2021 to 15 May 2022</w:t>
      </w:r>
    </w:p>
    <w:p w14:paraId="66DA4AE8" w14:textId="01F6A8B0" w:rsidR="004F4163" w:rsidRPr="004F4163" w:rsidRDefault="004F4163" w:rsidP="003A4302">
      <w:pPr>
        <w:rPr>
          <w:lang w:eastAsia="en-AU"/>
        </w:rPr>
      </w:pPr>
      <w:r w:rsidRPr="004F4163">
        <w:rPr>
          <w:lang w:eastAsia="en-AU"/>
        </w:rPr>
        <w:t xml:space="preserve">For the purposes of this report encounters are defined as interactions that are within 1.5 metres </w:t>
      </w:r>
      <w:r w:rsidR="00DF7D57">
        <w:rPr>
          <w:lang w:eastAsia="en-AU"/>
        </w:rPr>
        <w:br/>
      </w:r>
      <w:r w:rsidRPr="004F4163">
        <w:rPr>
          <w:lang w:eastAsia="en-AU"/>
        </w:rPr>
        <w:t>for 15 minutes or more. Encounters of 1 minute or more in duration are not included in this report.</w:t>
      </w:r>
    </w:p>
    <w:tbl>
      <w:tblPr>
        <w:tblStyle w:val="GridTable4-Accent1"/>
        <w:tblW w:w="0" w:type="auto"/>
        <w:tblLook w:val="04A0" w:firstRow="1" w:lastRow="0" w:firstColumn="1" w:lastColumn="0" w:noHBand="0" w:noVBand="1"/>
        <w:tblDescription w:val="This table list the COVIDSafe app activities statistics for the reporting period cumulative from 16 November 2021 to 15 May 2022."/>
      </w:tblPr>
      <w:tblGrid>
        <w:gridCol w:w="3810"/>
        <w:gridCol w:w="665"/>
        <w:gridCol w:w="522"/>
        <w:gridCol w:w="599"/>
        <w:gridCol w:w="454"/>
        <w:gridCol w:w="549"/>
        <w:gridCol w:w="563"/>
        <w:gridCol w:w="470"/>
        <w:gridCol w:w="575"/>
        <w:gridCol w:w="809"/>
      </w:tblGrid>
      <w:tr w:rsidR="003A4302" w:rsidRPr="003A4302" w14:paraId="66CEA9A2" w14:textId="77777777" w:rsidTr="003A43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319AC01A" w14:textId="77777777" w:rsidR="004F4163" w:rsidRPr="003A4302" w:rsidRDefault="004F4163" w:rsidP="003A4302">
            <w:bookmarkStart w:id="14" w:name="_Hlk85806760"/>
          </w:p>
        </w:tc>
        <w:tc>
          <w:tcPr>
            <w:tcW w:w="0" w:type="auto"/>
          </w:tcPr>
          <w:p w14:paraId="18C869DC"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NSW</w:t>
            </w:r>
          </w:p>
        </w:tc>
        <w:tc>
          <w:tcPr>
            <w:tcW w:w="0" w:type="auto"/>
          </w:tcPr>
          <w:p w14:paraId="5B91CA2D"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VIC</w:t>
            </w:r>
          </w:p>
        </w:tc>
        <w:tc>
          <w:tcPr>
            <w:tcW w:w="0" w:type="auto"/>
          </w:tcPr>
          <w:p w14:paraId="03061577"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QLD</w:t>
            </w:r>
          </w:p>
        </w:tc>
        <w:tc>
          <w:tcPr>
            <w:tcW w:w="0" w:type="auto"/>
          </w:tcPr>
          <w:p w14:paraId="1B72260A"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SA</w:t>
            </w:r>
          </w:p>
        </w:tc>
        <w:tc>
          <w:tcPr>
            <w:tcW w:w="0" w:type="auto"/>
          </w:tcPr>
          <w:p w14:paraId="0529FCC5"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WA</w:t>
            </w:r>
          </w:p>
        </w:tc>
        <w:tc>
          <w:tcPr>
            <w:tcW w:w="0" w:type="auto"/>
          </w:tcPr>
          <w:p w14:paraId="36D2BF59"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TAS</w:t>
            </w:r>
          </w:p>
        </w:tc>
        <w:tc>
          <w:tcPr>
            <w:tcW w:w="0" w:type="auto"/>
          </w:tcPr>
          <w:p w14:paraId="4E03927F"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NT</w:t>
            </w:r>
          </w:p>
        </w:tc>
        <w:tc>
          <w:tcPr>
            <w:tcW w:w="0" w:type="auto"/>
          </w:tcPr>
          <w:p w14:paraId="7A17F1D1"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ACT</w:t>
            </w:r>
          </w:p>
        </w:tc>
        <w:tc>
          <w:tcPr>
            <w:tcW w:w="0" w:type="auto"/>
          </w:tcPr>
          <w:p w14:paraId="03A4DD69"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TOTAL</w:t>
            </w:r>
          </w:p>
        </w:tc>
      </w:tr>
      <w:tr w:rsidR="003A4302" w:rsidRPr="003A4302" w14:paraId="72F9D7E0" w14:textId="77777777" w:rsidTr="003A4302">
        <w:tc>
          <w:tcPr>
            <w:cnfStyle w:val="001000000000" w:firstRow="0" w:lastRow="0" w:firstColumn="1" w:lastColumn="0" w:oddVBand="0" w:evenVBand="0" w:oddHBand="0" w:evenHBand="0" w:firstRowFirstColumn="0" w:firstRowLastColumn="0" w:lastRowFirstColumn="0" w:lastRowLastColumn="0"/>
            <w:tcW w:w="0" w:type="auto"/>
          </w:tcPr>
          <w:p w14:paraId="214E974D" w14:textId="77777777" w:rsidR="004F4163" w:rsidRPr="003A4302" w:rsidRDefault="004F4163" w:rsidP="003A4302">
            <w:r w:rsidRPr="003A4302">
              <w:t>Uploads by COVIDSafe users who tested positive to COVID-19</w:t>
            </w:r>
          </w:p>
        </w:tc>
        <w:tc>
          <w:tcPr>
            <w:tcW w:w="0" w:type="auto"/>
          </w:tcPr>
          <w:p w14:paraId="5F0F2A94" w14:textId="68F4517D"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63E16627" w14:textId="7FE7053E"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5918BFB5" w14:textId="5CC11DBF"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257F5EEB" w14:textId="779F1CE6"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226920E2" w14:textId="2E248EB4"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361F4AD4" w14:textId="4B835FA3"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698680DA" w14:textId="09F8DEAA"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680A233A" w14:textId="2B82C932"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67F667D2" w14:textId="536D47CC" w:rsidR="004F4163" w:rsidRPr="003A4302" w:rsidRDefault="006245C8" w:rsidP="003A4302">
            <w:pPr>
              <w:cnfStyle w:val="000000000000" w:firstRow="0" w:lastRow="0" w:firstColumn="0" w:lastColumn="0" w:oddVBand="0" w:evenVBand="0" w:oddHBand="0" w:evenHBand="0" w:firstRowFirstColumn="0" w:firstRowLastColumn="0" w:lastRowFirstColumn="0" w:lastRowLastColumn="0"/>
            </w:pPr>
            <w:r w:rsidRPr="003A4302">
              <w:t xml:space="preserve">np </w:t>
            </w:r>
          </w:p>
        </w:tc>
      </w:tr>
      <w:tr w:rsidR="004F4163" w:rsidRPr="003A4302" w14:paraId="37572791" w14:textId="77777777" w:rsidTr="003A4302">
        <w:tc>
          <w:tcPr>
            <w:cnfStyle w:val="001000000000" w:firstRow="0" w:lastRow="0" w:firstColumn="1" w:lastColumn="0" w:oddVBand="0" w:evenVBand="0" w:oddHBand="0" w:evenHBand="0" w:firstRowFirstColumn="0" w:firstRowLastColumn="0" w:lastRowFirstColumn="0" w:lastRowLastColumn="0"/>
            <w:tcW w:w="0" w:type="auto"/>
          </w:tcPr>
          <w:p w14:paraId="75DB9E7D" w14:textId="77777777" w:rsidR="004F4163" w:rsidRPr="003A4302" w:rsidRDefault="004F4163" w:rsidP="003A4302">
            <w:r w:rsidRPr="003A4302">
              <w:t>Handshakes contained in the uploads</w:t>
            </w:r>
          </w:p>
        </w:tc>
        <w:tc>
          <w:tcPr>
            <w:tcW w:w="0" w:type="auto"/>
          </w:tcPr>
          <w:p w14:paraId="055C13D4" w14:textId="226845A3"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38716D94" w14:textId="1544409B"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72859E21" w14:textId="766F2B3C"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0B105040" w14:textId="21DA8E17"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0BE36F42" w14:textId="5889D468"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2F2FFFCF" w14:textId="3AA681A2"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5F7570F4" w14:textId="20C7F440"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377B28CB" w14:textId="31F21145"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0AD8B9A8" w14:textId="2E8D4BA0" w:rsidR="004F4163" w:rsidRPr="003A4302" w:rsidRDefault="006245C8" w:rsidP="003A4302">
            <w:pPr>
              <w:cnfStyle w:val="000000000000" w:firstRow="0" w:lastRow="0" w:firstColumn="0" w:lastColumn="0" w:oddVBand="0" w:evenVBand="0" w:oddHBand="0" w:evenHBand="0" w:firstRowFirstColumn="0" w:firstRowLastColumn="0" w:lastRowFirstColumn="0" w:lastRowLastColumn="0"/>
            </w:pPr>
            <w:r w:rsidRPr="003A4302">
              <w:t xml:space="preserve">np </w:t>
            </w:r>
          </w:p>
        </w:tc>
      </w:tr>
      <w:tr w:rsidR="003A4302" w:rsidRPr="003A4302" w14:paraId="7C5AEF99" w14:textId="77777777" w:rsidTr="003A4302">
        <w:tc>
          <w:tcPr>
            <w:cnfStyle w:val="001000000000" w:firstRow="0" w:lastRow="0" w:firstColumn="1" w:lastColumn="0" w:oddVBand="0" w:evenVBand="0" w:oddHBand="0" w:evenHBand="0" w:firstRowFirstColumn="0" w:firstRowLastColumn="0" w:lastRowFirstColumn="0" w:lastRowLastColumn="0"/>
            <w:tcW w:w="0" w:type="auto"/>
          </w:tcPr>
          <w:p w14:paraId="2595AEBC" w14:textId="77777777" w:rsidR="004F4163" w:rsidRPr="003A4302" w:rsidRDefault="004F4163" w:rsidP="003A4302">
            <w:r w:rsidRPr="003A4302">
              <w:t>Encounters contained in the uploads that are within 1.5 metres for 15 minutes or more</w:t>
            </w:r>
          </w:p>
        </w:tc>
        <w:tc>
          <w:tcPr>
            <w:tcW w:w="0" w:type="auto"/>
          </w:tcPr>
          <w:p w14:paraId="7A5D1997" w14:textId="7D9AFE81"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60ABB801" w14:textId="3E22A2B5" w:rsidR="004F4163" w:rsidRPr="003A4302" w:rsidRDefault="006245C8"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36BEEBD6" w14:textId="51C8DFBB"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556A32AE" w14:textId="223BEAF1"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6627110E" w14:textId="6FB0E981"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03C629BF" w14:textId="70FADE6A"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643C27D3" w14:textId="63337FB8"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72D0C6A1" w14:textId="49B78F62"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4E610DCA" w14:textId="22047EC4"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r>
      <w:tr w:rsidR="004F4163" w:rsidRPr="003A4302" w14:paraId="132012F0" w14:textId="77777777" w:rsidTr="003A4302">
        <w:tc>
          <w:tcPr>
            <w:cnfStyle w:val="001000000000" w:firstRow="0" w:lastRow="0" w:firstColumn="1" w:lastColumn="0" w:oddVBand="0" w:evenVBand="0" w:oddHBand="0" w:evenHBand="0" w:firstRowFirstColumn="0" w:firstRowLastColumn="0" w:lastRowFirstColumn="0" w:lastRowLastColumn="0"/>
            <w:tcW w:w="0" w:type="auto"/>
          </w:tcPr>
          <w:p w14:paraId="47A6AC07" w14:textId="77777777" w:rsidR="004F4163" w:rsidRPr="003A4302" w:rsidRDefault="004F4163" w:rsidP="003A4302">
            <w:r w:rsidRPr="003A4302">
              <w:t>Unique potential close contacts generating the uploaded handshakes within 1.5 metres for 15 minutes or more</w:t>
            </w:r>
          </w:p>
        </w:tc>
        <w:tc>
          <w:tcPr>
            <w:tcW w:w="0" w:type="auto"/>
          </w:tcPr>
          <w:p w14:paraId="602274AA" w14:textId="217FE8B7"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24E27BB8" w14:textId="430F8135"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1FB11325" w14:textId="44DCA818"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673828FD" w14:textId="60297264"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708954BD" w14:textId="31163FB8"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5F84C6E7" w14:textId="3D974412"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03CF69A8" w14:textId="6F1B324A"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47150E6C" w14:textId="0165333A"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0DD72E83" w14:textId="226AF2BE" w:rsidR="004F4163" w:rsidRPr="003A4302" w:rsidRDefault="00740E3F" w:rsidP="003A4302">
            <w:pPr>
              <w:cnfStyle w:val="000000000000" w:firstRow="0" w:lastRow="0" w:firstColumn="0" w:lastColumn="0" w:oddVBand="0" w:evenVBand="0" w:oddHBand="0" w:evenHBand="0" w:firstRowFirstColumn="0" w:firstRowLastColumn="0" w:lastRowFirstColumn="0" w:lastRowLastColumn="0"/>
            </w:pPr>
            <w:r w:rsidRPr="003A4302">
              <w:t>np</w:t>
            </w:r>
          </w:p>
        </w:tc>
      </w:tr>
      <w:tr w:rsidR="004F4163" w:rsidRPr="003A4302" w14:paraId="5C898452" w14:textId="77777777" w:rsidTr="003A4302">
        <w:tc>
          <w:tcPr>
            <w:cnfStyle w:val="001000000000" w:firstRow="0" w:lastRow="0" w:firstColumn="1" w:lastColumn="0" w:oddVBand="0" w:evenVBand="0" w:oddHBand="0" w:evenHBand="0" w:firstRowFirstColumn="0" w:firstRowLastColumn="0" w:lastRowFirstColumn="0" w:lastRowLastColumn="0"/>
            <w:tcW w:w="0" w:type="auto"/>
            <w:gridSpan w:val="10"/>
          </w:tcPr>
          <w:p w14:paraId="03C2A03A" w14:textId="44DC0D4C" w:rsidR="004F4163" w:rsidRPr="003A4302" w:rsidRDefault="004F4163" w:rsidP="003A4302">
            <w:r w:rsidRPr="003A4302">
              <w:t>Note: np - not published as these relate to a very small number of uploads.</w:t>
            </w:r>
          </w:p>
        </w:tc>
      </w:tr>
    </w:tbl>
    <w:bookmarkEnd w:id="14"/>
    <w:p w14:paraId="5A49BD1F" w14:textId="76FB97C6" w:rsidR="004F4163" w:rsidRPr="004F4163" w:rsidRDefault="004F4163" w:rsidP="003A4302">
      <w:pPr>
        <w:pStyle w:val="Heading2"/>
        <w:rPr>
          <w:rFonts w:eastAsia="Times New Roman"/>
          <w:lang w:eastAsia="en-AU"/>
        </w:rPr>
      </w:pPr>
      <w:r w:rsidRPr="00E1729B">
        <w:rPr>
          <w:rFonts w:eastAsia="Times New Roman"/>
          <w:lang w:eastAsia="en-AU"/>
        </w:rPr>
        <w:t>Reporting Period - Cumulative from</w:t>
      </w:r>
      <w:r w:rsidR="00F406E7">
        <w:rPr>
          <w:rFonts w:eastAsia="Times New Roman"/>
          <w:lang w:eastAsia="en-AU"/>
        </w:rPr>
        <w:t xml:space="preserve"> </w:t>
      </w:r>
      <w:r w:rsidR="00554CBE">
        <w:rPr>
          <w:rFonts w:eastAsia="Times New Roman"/>
          <w:lang w:eastAsia="en-AU"/>
        </w:rPr>
        <w:t>2</w:t>
      </w:r>
      <w:r w:rsidR="005110FA">
        <w:rPr>
          <w:rFonts w:eastAsia="Times New Roman"/>
          <w:lang w:eastAsia="en-AU"/>
        </w:rPr>
        <w:t>6</w:t>
      </w:r>
      <w:r w:rsidR="00554CBE">
        <w:rPr>
          <w:rFonts w:eastAsia="Times New Roman"/>
          <w:lang w:eastAsia="en-AU"/>
        </w:rPr>
        <w:t xml:space="preserve"> April 2020</w:t>
      </w:r>
      <w:r w:rsidR="00F406E7" w:rsidRPr="00057F74">
        <w:rPr>
          <w:rFonts w:eastAsia="Times New Roman"/>
          <w:lang w:eastAsia="en-AU"/>
        </w:rPr>
        <w:t xml:space="preserve"> to 15 May 2022</w:t>
      </w:r>
    </w:p>
    <w:tbl>
      <w:tblPr>
        <w:tblStyle w:val="GridTable4-Accent1"/>
        <w:tblW w:w="0" w:type="auto"/>
        <w:tblLook w:val="04A0" w:firstRow="1" w:lastRow="0" w:firstColumn="1" w:lastColumn="0" w:noHBand="0" w:noVBand="1"/>
        <w:tblDescription w:val="This table list the COVIDSafe app activities statistics for the reporting period cumulative from 26 April 2020 to 15 May 2022."/>
      </w:tblPr>
      <w:tblGrid>
        <w:gridCol w:w="2378"/>
        <w:gridCol w:w="940"/>
        <w:gridCol w:w="1107"/>
        <w:gridCol w:w="717"/>
        <w:gridCol w:w="454"/>
        <w:gridCol w:w="551"/>
        <w:gridCol w:w="717"/>
        <w:gridCol w:w="470"/>
        <w:gridCol w:w="575"/>
        <w:gridCol w:w="1107"/>
      </w:tblGrid>
      <w:tr w:rsidR="004F4163" w:rsidRPr="003A4302" w14:paraId="02CECFC6" w14:textId="77777777" w:rsidTr="003A43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648B52E3" w14:textId="77777777" w:rsidR="004F4163" w:rsidRPr="003A4302" w:rsidRDefault="004F4163" w:rsidP="003A4302"/>
        </w:tc>
        <w:tc>
          <w:tcPr>
            <w:tcW w:w="0" w:type="auto"/>
          </w:tcPr>
          <w:p w14:paraId="4FF7B1E5"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NSW</w:t>
            </w:r>
          </w:p>
        </w:tc>
        <w:tc>
          <w:tcPr>
            <w:tcW w:w="0" w:type="auto"/>
          </w:tcPr>
          <w:p w14:paraId="6C707974"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VIC</w:t>
            </w:r>
          </w:p>
        </w:tc>
        <w:tc>
          <w:tcPr>
            <w:tcW w:w="0" w:type="auto"/>
          </w:tcPr>
          <w:p w14:paraId="31F03A1F"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QLD</w:t>
            </w:r>
          </w:p>
        </w:tc>
        <w:tc>
          <w:tcPr>
            <w:tcW w:w="0" w:type="auto"/>
          </w:tcPr>
          <w:p w14:paraId="67F28F27"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SA</w:t>
            </w:r>
          </w:p>
        </w:tc>
        <w:tc>
          <w:tcPr>
            <w:tcW w:w="0" w:type="auto"/>
          </w:tcPr>
          <w:p w14:paraId="5F6AA77A"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WA</w:t>
            </w:r>
          </w:p>
        </w:tc>
        <w:tc>
          <w:tcPr>
            <w:tcW w:w="0" w:type="auto"/>
          </w:tcPr>
          <w:p w14:paraId="19A7EB22"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TAS</w:t>
            </w:r>
          </w:p>
        </w:tc>
        <w:tc>
          <w:tcPr>
            <w:tcW w:w="0" w:type="auto"/>
          </w:tcPr>
          <w:p w14:paraId="59F43BD6"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NT</w:t>
            </w:r>
          </w:p>
        </w:tc>
        <w:tc>
          <w:tcPr>
            <w:tcW w:w="0" w:type="auto"/>
          </w:tcPr>
          <w:p w14:paraId="09A85B56"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ACT</w:t>
            </w:r>
          </w:p>
        </w:tc>
        <w:tc>
          <w:tcPr>
            <w:tcW w:w="0" w:type="auto"/>
          </w:tcPr>
          <w:p w14:paraId="1AC49683" w14:textId="77777777" w:rsidR="004F4163" w:rsidRPr="003A4302" w:rsidRDefault="004F4163" w:rsidP="003A4302">
            <w:pPr>
              <w:cnfStyle w:val="100000000000" w:firstRow="1" w:lastRow="0" w:firstColumn="0" w:lastColumn="0" w:oddVBand="0" w:evenVBand="0" w:oddHBand="0" w:evenHBand="0" w:firstRowFirstColumn="0" w:firstRowLastColumn="0" w:lastRowFirstColumn="0" w:lastRowLastColumn="0"/>
            </w:pPr>
            <w:r w:rsidRPr="003A4302">
              <w:t>TOTAL</w:t>
            </w:r>
          </w:p>
        </w:tc>
      </w:tr>
      <w:tr w:rsidR="004F4163" w:rsidRPr="003A4302" w14:paraId="20497210" w14:textId="77777777" w:rsidTr="003A4302">
        <w:tc>
          <w:tcPr>
            <w:cnfStyle w:val="001000000000" w:firstRow="0" w:lastRow="0" w:firstColumn="1" w:lastColumn="0" w:oddVBand="0" w:evenVBand="0" w:oddHBand="0" w:evenHBand="0" w:firstRowFirstColumn="0" w:firstRowLastColumn="0" w:lastRowFirstColumn="0" w:lastRowLastColumn="0"/>
            <w:tcW w:w="0" w:type="auto"/>
          </w:tcPr>
          <w:p w14:paraId="53058A8A" w14:textId="77777777" w:rsidR="004F4163" w:rsidRPr="003A4302" w:rsidRDefault="004F4163" w:rsidP="003A4302">
            <w:r w:rsidRPr="003A4302">
              <w:t>Uploads by COVIDSafe users who tested positive to COVID-19</w:t>
            </w:r>
          </w:p>
        </w:tc>
        <w:tc>
          <w:tcPr>
            <w:tcW w:w="0" w:type="auto"/>
          </w:tcPr>
          <w:p w14:paraId="16A09F0A"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125</w:t>
            </w:r>
          </w:p>
        </w:tc>
        <w:tc>
          <w:tcPr>
            <w:tcW w:w="0" w:type="auto"/>
          </w:tcPr>
          <w:p w14:paraId="2B01F104"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661</w:t>
            </w:r>
          </w:p>
        </w:tc>
        <w:tc>
          <w:tcPr>
            <w:tcW w:w="0" w:type="auto"/>
          </w:tcPr>
          <w:p w14:paraId="0487EAA4"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6D41544A"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7E4B9C5B"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35BA4A77"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46C7975D"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7206A658"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04287CD4"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792</w:t>
            </w:r>
          </w:p>
        </w:tc>
      </w:tr>
      <w:tr w:rsidR="004F4163" w:rsidRPr="003A4302" w14:paraId="0BA13968" w14:textId="77777777" w:rsidTr="003A4302">
        <w:tc>
          <w:tcPr>
            <w:cnfStyle w:val="001000000000" w:firstRow="0" w:lastRow="0" w:firstColumn="1" w:lastColumn="0" w:oddVBand="0" w:evenVBand="0" w:oddHBand="0" w:evenHBand="0" w:firstRowFirstColumn="0" w:firstRowLastColumn="0" w:lastRowFirstColumn="0" w:lastRowLastColumn="0"/>
            <w:tcW w:w="0" w:type="auto"/>
          </w:tcPr>
          <w:p w14:paraId="3CA98743" w14:textId="77777777" w:rsidR="004F4163" w:rsidRPr="003A4302" w:rsidRDefault="004F4163" w:rsidP="003A4302">
            <w:r w:rsidRPr="003A4302">
              <w:t>Handshakes contained in the uploads</w:t>
            </w:r>
          </w:p>
        </w:tc>
        <w:tc>
          <w:tcPr>
            <w:tcW w:w="0" w:type="auto"/>
          </w:tcPr>
          <w:p w14:paraId="4EB6D8B3"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251,153</w:t>
            </w:r>
          </w:p>
        </w:tc>
        <w:tc>
          <w:tcPr>
            <w:tcW w:w="0" w:type="auto"/>
          </w:tcPr>
          <w:p w14:paraId="57A4302E"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1,396,574</w:t>
            </w:r>
          </w:p>
        </w:tc>
        <w:tc>
          <w:tcPr>
            <w:tcW w:w="0" w:type="auto"/>
          </w:tcPr>
          <w:p w14:paraId="50D936CB"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3,293</w:t>
            </w:r>
          </w:p>
        </w:tc>
        <w:tc>
          <w:tcPr>
            <w:tcW w:w="0" w:type="auto"/>
          </w:tcPr>
          <w:p w14:paraId="3817DAAB"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062CB28F"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955</w:t>
            </w:r>
          </w:p>
        </w:tc>
        <w:tc>
          <w:tcPr>
            <w:tcW w:w="0" w:type="auto"/>
          </w:tcPr>
          <w:p w14:paraId="7BCAC2A8"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2,026</w:t>
            </w:r>
          </w:p>
        </w:tc>
        <w:tc>
          <w:tcPr>
            <w:tcW w:w="0" w:type="auto"/>
          </w:tcPr>
          <w:p w14:paraId="2C9A9567"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41625953"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750994E0"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1,654,001</w:t>
            </w:r>
          </w:p>
        </w:tc>
      </w:tr>
      <w:tr w:rsidR="004F4163" w:rsidRPr="003A4302" w14:paraId="4C7AD774" w14:textId="77777777" w:rsidTr="003A4302">
        <w:tc>
          <w:tcPr>
            <w:cnfStyle w:val="001000000000" w:firstRow="0" w:lastRow="0" w:firstColumn="1" w:lastColumn="0" w:oddVBand="0" w:evenVBand="0" w:oddHBand="0" w:evenHBand="0" w:firstRowFirstColumn="0" w:firstRowLastColumn="0" w:lastRowFirstColumn="0" w:lastRowLastColumn="0"/>
            <w:tcW w:w="0" w:type="auto"/>
          </w:tcPr>
          <w:p w14:paraId="43241124" w14:textId="77777777" w:rsidR="004F4163" w:rsidRPr="003A4302" w:rsidRDefault="004F4163" w:rsidP="003A4302">
            <w:r w:rsidRPr="003A4302">
              <w:t>Encounters contained in the uploads that are within 1.5 metres for 15 minutes or more</w:t>
            </w:r>
          </w:p>
        </w:tc>
        <w:tc>
          <w:tcPr>
            <w:tcW w:w="0" w:type="auto"/>
          </w:tcPr>
          <w:p w14:paraId="59B25B0F"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10,792</w:t>
            </w:r>
          </w:p>
        </w:tc>
        <w:tc>
          <w:tcPr>
            <w:tcW w:w="0" w:type="auto"/>
          </w:tcPr>
          <w:p w14:paraId="2A5C2525"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26,414</w:t>
            </w:r>
          </w:p>
        </w:tc>
        <w:tc>
          <w:tcPr>
            <w:tcW w:w="0" w:type="auto"/>
          </w:tcPr>
          <w:p w14:paraId="2C09B5FD"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190</w:t>
            </w:r>
          </w:p>
        </w:tc>
        <w:tc>
          <w:tcPr>
            <w:tcW w:w="0" w:type="auto"/>
          </w:tcPr>
          <w:p w14:paraId="0B977192"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4BECAC87"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170</w:t>
            </w:r>
          </w:p>
        </w:tc>
        <w:tc>
          <w:tcPr>
            <w:tcW w:w="0" w:type="auto"/>
          </w:tcPr>
          <w:p w14:paraId="51A3A39D"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111</w:t>
            </w:r>
          </w:p>
        </w:tc>
        <w:tc>
          <w:tcPr>
            <w:tcW w:w="0" w:type="auto"/>
          </w:tcPr>
          <w:p w14:paraId="0DC89F72"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649990FC"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725BF2B4"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37,677</w:t>
            </w:r>
          </w:p>
        </w:tc>
      </w:tr>
      <w:tr w:rsidR="004F4163" w:rsidRPr="003A4302" w14:paraId="3095E3EE" w14:textId="77777777" w:rsidTr="003A4302">
        <w:tc>
          <w:tcPr>
            <w:cnfStyle w:val="001000000000" w:firstRow="0" w:lastRow="0" w:firstColumn="1" w:lastColumn="0" w:oddVBand="0" w:evenVBand="0" w:oddHBand="0" w:evenHBand="0" w:firstRowFirstColumn="0" w:firstRowLastColumn="0" w:lastRowFirstColumn="0" w:lastRowLastColumn="0"/>
            <w:tcW w:w="0" w:type="auto"/>
          </w:tcPr>
          <w:p w14:paraId="1FA864EB" w14:textId="77777777" w:rsidR="004F4163" w:rsidRPr="003A4302" w:rsidRDefault="004F4163" w:rsidP="003A4302">
            <w:r w:rsidRPr="003A4302">
              <w:t>Unique potential close contacts generating the uploaded handshakes within 1.5 metres for 15 minutes or more</w:t>
            </w:r>
          </w:p>
        </w:tc>
        <w:tc>
          <w:tcPr>
            <w:tcW w:w="0" w:type="auto"/>
          </w:tcPr>
          <w:p w14:paraId="1A3454CE"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1,041</w:t>
            </w:r>
          </w:p>
        </w:tc>
        <w:tc>
          <w:tcPr>
            <w:tcW w:w="0" w:type="auto"/>
          </w:tcPr>
          <w:p w14:paraId="64A6169C"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1,733</w:t>
            </w:r>
          </w:p>
        </w:tc>
        <w:tc>
          <w:tcPr>
            <w:tcW w:w="0" w:type="auto"/>
          </w:tcPr>
          <w:p w14:paraId="52BE4C37"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34</w:t>
            </w:r>
          </w:p>
        </w:tc>
        <w:tc>
          <w:tcPr>
            <w:tcW w:w="0" w:type="auto"/>
          </w:tcPr>
          <w:p w14:paraId="697EC93F"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3FFB6BF9"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12</w:t>
            </w:r>
          </w:p>
        </w:tc>
        <w:tc>
          <w:tcPr>
            <w:tcW w:w="0" w:type="auto"/>
          </w:tcPr>
          <w:p w14:paraId="2B6A137D"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9</w:t>
            </w:r>
          </w:p>
        </w:tc>
        <w:tc>
          <w:tcPr>
            <w:tcW w:w="0" w:type="auto"/>
          </w:tcPr>
          <w:p w14:paraId="1F7A68B2"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360F36AD"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00B165AA" w14:textId="77777777" w:rsidR="004F4163" w:rsidRPr="003A4302" w:rsidRDefault="004F4163" w:rsidP="003A4302">
            <w:pPr>
              <w:cnfStyle w:val="000000000000" w:firstRow="0" w:lastRow="0" w:firstColumn="0" w:lastColumn="0" w:oddVBand="0" w:evenVBand="0" w:oddHBand="0" w:evenHBand="0" w:firstRowFirstColumn="0" w:firstRowLastColumn="0" w:lastRowFirstColumn="0" w:lastRowLastColumn="0"/>
            </w:pPr>
            <w:r w:rsidRPr="003A4302">
              <w:t>2,829</w:t>
            </w:r>
          </w:p>
        </w:tc>
      </w:tr>
      <w:tr w:rsidR="004F4163" w:rsidRPr="003A4302" w14:paraId="33915B72" w14:textId="77777777" w:rsidTr="003A4302">
        <w:tc>
          <w:tcPr>
            <w:cnfStyle w:val="001000000000" w:firstRow="0" w:lastRow="0" w:firstColumn="1" w:lastColumn="0" w:oddVBand="0" w:evenVBand="0" w:oddHBand="0" w:evenHBand="0" w:firstRowFirstColumn="0" w:firstRowLastColumn="0" w:lastRowFirstColumn="0" w:lastRowLastColumn="0"/>
            <w:tcW w:w="0" w:type="auto"/>
            <w:gridSpan w:val="10"/>
          </w:tcPr>
          <w:p w14:paraId="568E7E55" w14:textId="2D27EAB8" w:rsidR="004F4163" w:rsidRPr="003A4302" w:rsidRDefault="004F4163" w:rsidP="003A4302">
            <w:r w:rsidRPr="003A4302">
              <w:lastRenderedPageBreak/>
              <w:t>Note: np - not published as these relate to a very small number of uploads.</w:t>
            </w:r>
          </w:p>
        </w:tc>
      </w:tr>
    </w:tbl>
    <w:p w14:paraId="17052934" w14:textId="77777777" w:rsidR="004F4163" w:rsidRPr="004F4163" w:rsidRDefault="004F4163" w:rsidP="003A4302">
      <w:pPr>
        <w:pStyle w:val="Heading2"/>
        <w:rPr>
          <w:rFonts w:eastAsia="Times New Roman"/>
          <w:lang w:eastAsia="en-AU"/>
        </w:rPr>
      </w:pPr>
      <w:r w:rsidRPr="004F4163">
        <w:rPr>
          <w:rFonts w:eastAsia="Times New Roman"/>
          <w:lang w:eastAsia="en-AU"/>
        </w:rPr>
        <w:t>Key Definitions</w:t>
      </w:r>
    </w:p>
    <w:p w14:paraId="78A0BBA4" w14:textId="77777777" w:rsidR="004F4163" w:rsidRPr="003A4302" w:rsidRDefault="004F4163" w:rsidP="003A4302">
      <w:r w:rsidRPr="003A4302">
        <w:t>Uploads: Number of unique people who have had their data uploaded to the NCDS.</w:t>
      </w:r>
    </w:p>
    <w:p w14:paraId="6F91D3A9" w14:textId="77777777" w:rsidR="004F4163" w:rsidRPr="003A4302" w:rsidRDefault="004F4163" w:rsidP="003A4302">
      <w:r w:rsidRPr="003A4302">
        <w:t>Handshake: A single Bluetooth exchange between two devices. Contact details such as date, duration, and proximity are collected around the handshake.</w:t>
      </w:r>
    </w:p>
    <w:p w14:paraId="56C47B78" w14:textId="6A7FA297" w:rsidR="004F4163" w:rsidRPr="003A4302" w:rsidRDefault="004F4163" w:rsidP="003A4302">
      <w:r w:rsidRPr="003A4302">
        <w:t xml:space="preserve">Encounter: An encounter is an interaction between two people who have the COVIDSafe app who have been in contact of within 1.5 metres for 15 minutes or more.  </w:t>
      </w:r>
      <w:bookmarkStart w:id="15" w:name="_Hlk86819321"/>
      <w:r w:rsidRPr="003A4302">
        <w:t>The algorithm change to one minute was implemented on 15 October</w:t>
      </w:r>
      <w:r w:rsidR="006E6859" w:rsidRPr="003A4302">
        <w:t xml:space="preserve"> 2021</w:t>
      </w:r>
      <w:r w:rsidRPr="003A4302">
        <w:t>, resulting data has not been included in this report.</w:t>
      </w:r>
      <w:bookmarkEnd w:id="15"/>
    </w:p>
    <w:p w14:paraId="379C9C38" w14:textId="158C2D01" w:rsidR="004F4163" w:rsidRPr="003A4302" w:rsidRDefault="004F4163" w:rsidP="003A4302">
      <w:r w:rsidRPr="003A4302">
        <w:t>Potential Close Contact: Number of potential close contacts identified after the data of a positive case has been uploaded.</w:t>
      </w:r>
    </w:p>
    <w:sectPr w:rsidR="004F4163" w:rsidRPr="003A4302" w:rsidSect="00BF53BA">
      <w:headerReference w:type="default" r:id="rId11"/>
      <w:footerReference w:type="default" r:id="rId12"/>
      <w:pgSz w:w="11906" w:h="16838"/>
      <w:pgMar w:top="2410" w:right="1440" w:bottom="709" w:left="1440" w:header="708"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3918A" w14:textId="77777777" w:rsidR="00774595" w:rsidRDefault="00774595" w:rsidP="004F4163">
      <w:pPr>
        <w:spacing w:after="0"/>
      </w:pPr>
      <w:r>
        <w:separator/>
      </w:r>
    </w:p>
  </w:endnote>
  <w:endnote w:type="continuationSeparator" w:id="0">
    <w:p w14:paraId="704488A8" w14:textId="77777777" w:rsidR="00774595" w:rsidRDefault="00774595" w:rsidP="004F41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DA81D" w14:textId="49594911" w:rsidR="003A4302" w:rsidRPr="003A4302" w:rsidRDefault="003A4302" w:rsidP="003A4302">
    <w:pPr>
      <w:pStyle w:val="Footer"/>
    </w:pPr>
    <w:r>
      <w:t xml:space="preserve">Department of Health and Aged Care – </w:t>
    </w:r>
    <w:r w:rsidR="00160413" w:rsidRPr="00160413">
      <w:t>Third report on the operation and effectiveness of COVIDSafe and the National COVIDSafe data Store</w:t>
    </w:r>
    <w:sdt>
      <w:sdtPr>
        <w:id w:val="-183903453"/>
        <w:docPartObj>
          <w:docPartGallery w:val="Page Numbers (Bottom of Page)"/>
          <w:docPartUnique/>
        </w:docPartObj>
      </w:sdtPr>
      <w:sdtEndPr/>
      <w:sdtContent>
        <w:r w:rsidR="00160413">
          <w:tab/>
        </w:r>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D4A26" w14:textId="77777777" w:rsidR="00774595" w:rsidRDefault="00774595" w:rsidP="004F4163">
      <w:pPr>
        <w:spacing w:after="0"/>
      </w:pPr>
      <w:r>
        <w:separator/>
      </w:r>
    </w:p>
  </w:footnote>
  <w:footnote w:type="continuationSeparator" w:id="0">
    <w:p w14:paraId="3B3C089F" w14:textId="77777777" w:rsidR="00774595" w:rsidRDefault="00774595" w:rsidP="004F41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440C6" w14:textId="221445CB" w:rsidR="00567F93" w:rsidRPr="00567F93" w:rsidRDefault="00567F93" w:rsidP="00567F93">
    <w:pPr>
      <w:pStyle w:val="Header"/>
    </w:pPr>
    <w:r>
      <w:rPr>
        <w:noProof/>
        <w:lang w:eastAsia="en-AU"/>
      </w:rPr>
      <w:drawing>
        <wp:inline distT="0" distB="0" distL="0" distR="0" wp14:anchorId="7EC63D41" wp14:editId="5A7AFE70">
          <wp:extent cx="5759450" cy="941705"/>
          <wp:effectExtent l="0" t="0" r="635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2A00F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D6B8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DC86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2CE6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C62A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DC6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B2CF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24E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3865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B0B1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029E7"/>
    <w:multiLevelType w:val="hybridMultilevel"/>
    <w:tmpl w:val="6D04D2D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AD77E5D"/>
    <w:multiLevelType w:val="hybridMultilevel"/>
    <w:tmpl w:val="02967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C459FE"/>
    <w:multiLevelType w:val="hybridMultilevel"/>
    <w:tmpl w:val="7CC2C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902845"/>
    <w:multiLevelType w:val="hybridMultilevel"/>
    <w:tmpl w:val="29E20A90"/>
    <w:lvl w:ilvl="0" w:tplc="0C090001">
      <w:start w:val="1"/>
      <w:numFmt w:val="bullet"/>
      <w:lvlText w:val=""/>
      <w:lvlJc w:val="left"/>
      <w:pPr>
        <w:ind w:left="3271" w:hanging="360"/>
      </w:pPr>
      <w:rPr>
        <w:rFonts w:ascii="Symbol" w:hAnsi="Symbol" w:hint="default"/>
      </w:rPr>
    </w:lvl>
    <w:lvl w:ilvl="1" w:tplc="0C090003" w:tentative="1">
      <w:start w:val="1"/>
      <w:numFmt w:val="bullet"/>
      <w:lvlText w:val="o"/>
      <w:lvlJc w:val="left"/>
      <w:pPr>
        <w:ind w:left="3991" w:hanging="360"/>
      </w:pPr>
      <w:rPr>
        <w:rFonts w:ascii="Courier New" w:hAnsi="Courier New" w:cs="Courier New" w:hint="default"/>
      </w:rPr>
    </w:lvl>
    <w:lvl w:ilvl="2" w:tplc="0C090005" w:tentative="1">
      <w:start w:val="1"/>
      <w:numFmt w:val="bullet"/>
      <w:lvlText w:val=""/>
      <w:lvlJc w:val="left"/>
      <w:pPr>
        <w:ind w:left="4711" w:hanging="360"/>
      </w:pPr>
      <w:rPr>
        <w:rFonts w:ascii="Wingdings" w:hAnsi="Wingdings" w:hint="default"/>
      </w:rPr>
    </w:lvl>
    <w:lvl w:ilvl="3" w:tplc="0C090001" w:tentative="1">
      <w:start w:val="1"/>
      <w:numFmt w:val="bullet"/>
      <w:lvlText w:val=""/>
      <w:lvlJc w:val="left"/>
      <w:pPr>
        <w:ind w:left="5431" w:hanging="360"/>
      </w:pPr>
      <w:rPr>
        <w:rFonts w:ascii="Symbol" w:hAnsi="Symbol" w:hint="default"/>
      </w:rPr>
    </w:lvl>
    <w:lvl w:ilvl="4" w:tplc="0C090003" w:tentative="1">
      <w:start w:val="1"/>
      <w:numFmt w:val="bullet"/>
      <w:lvlText w:val="o"/>
      <w:lvlJc w:val="left"/>
      <w:pPr>
        <w:ind w:left="6151" w:hanging="360"/>
      </w:pPr>
      <w:rPr>
        <w:rFonts w:ascii="Courier New" w:hAnsi="Courier New" w:cs="Courier New" w:hint="default"/>
      </w:rPr>
    </w:lvl>
    <w:lvl w:ilvl="5" w:tplc="0C090005" w:tentative="1">
      <w:start w:val="1"/>
      <w:numFmt w:val="bullet"/>
      <w:lvlText w:val=""/>
      <w:lvlJc w:val="left"/>
      <w:pPr>
        <w:ind w:left="6871" w:hanging="360"/>
      </w:pPr>
      <w:rPr>
        <w:rFonts w:ascii="Wingdings" w:hAnsi="Wingdings" w:hint="default"/>
      </w:rPr>
    </w:lvl>
    <w:lvl w:ilvl="6" w:tplc="0C090001" w:tentative="1">
      <w:start w:val="1"/>
      <w:numFmt w:val="bullet"/>
      <w:lvlText w:val=""/>
      <w:lvlJc w:val="left"/>
      <w:pPr>
        <w:ind w:left="7591" w:hanging="360"/>
      </w:pPr>
      <w:rPr>
        <w:rFonts w:ascii="Symbol" w:hAnsi="Symbol" w:hint="default"/>
      </w:rPr>
    </w:lvl>
    <w:lvl w:ilvl="7" w:tplc="0C090003" w:tentative="1">
      <w:start w:val="1"/>
      <w:numFmt w:val="bullet"/>
      <w:lvlText w:val="o"/>
      <w:lvlJc w:val="left"/>
      <w:pPr>
        <w:ind w:left="8311" w:hanging="360"/>
      </w:pPr>
      <w:rPr>
        <w:rFonts w:ascii="Courier New" w:hAnsi="Courier New" w:cs="Courier New" w:hint="default"/>
      </w:rPr>
    </w:lvl>
    <w:lvl w:ilvl="8" w:tplc="0C090005" w:tentative="1">
      <w:start w:val="1"/>
      <w:numFmt w:val="bullet"/>
      <w:lvlText w:val=""/>
      <w:lvlJc w:val="left"/>
      <w:pPr>
        <w:ind w:left="9031" w:hanging="360"/>
      </w:pPr>
      <w:rPr>
        <w:rFonts w:ascii="Wingdings" w:hAnsi="Wingdings" w:hint="default"/>
      </w:rPr>
    </w:lvl>
  </w:abstractNum>
  <w:abstractNum w:abstractNumId="14" w15:restartNumberingAfterBreak="0">
    <w:nsid w:val="3A883043"/>
    <w:multiLevelType w:val="hybridMultilevel"/>
    <w:tmpl w:val="4D6EF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694D54"/>
    <w:multiLevelType w:val="hybridMultilevel"/>
    <w:tmpl w:val="C2EC7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D4B041E"/>
    <w:multiLevelType w:val="hybridMultilevel"/>
    <w:tmpl w:val="7F2C5A70"/>
    <w:lvl w:ilvl="0" w:tplc="88C8C8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766100"/>
    <w:multiLevelType w:val="hybridMultilevel"/>
    <w:tmpl w:val="B6E029D8"/>
    <w:lvl w:ilvl="0" w:tplc="0DF6E9FE">
      <w:start w:val="1"/>
      <w:numFmt w:val="bullet"/>
      <w:lvlText w:val=""/>
      <w:lvlJc w:val="left"/>
      <w:pPr>
        <w:ind w:left="360" w:hanging="360"/>
      </w:pPr>
      <w:rPr>
        <w:rFonts w:ascii="Symbol" w:hAnsi="Symbol" w:hint="default"/>
        <w:color w:val="auto"/>
      </w:rPr>
    </w:lvl>
    <w:lvl w:ilvl="1" w:tplc="6A000CB8">
      <w:start w:val="1"/>
      <w:numFmt w:val="bullet"/>
      <w:lvlText w:val="o"/>
      <w:lvlJc w:val="left"/>
      <w:pPr>
        <w:ind w:left="1080" w:hanging="360"/>
      </w:pPr>
      <w:rPr>
        <w:rFonts w:ascii="Courier New" w:hAnsi="Courier New" w:cs="Courier New" w:hint="default"/>
      </w:rPr>
    </w:lvl>
    <w:lvl w:ilvl="2" w:tplc="609804E2">
      <w:start w:val="1"/>
      <w:numFmt w:val="bullet"/>
      <w:lvlText w:val=""/>
      <w:lvlJc w:val="left"/>
      <w:pPr>
        <w:ind w:left="1800" w:hanging="360"/>
      </w:pPr>
      <w:rPr>
        <w:rFonts w:ascii="Wingdings" w:hAnsi="Wingdings" w:hint="default"/>
      </w:rPr>
    </w:lvl>
    <w:lvl w:ilvl="3" w:tplc="CB389FA2" w:tentative="1">
      <w:start w:val="1"/>
      <w:numFmt w:val="bullet"/>
      <w:lvlText w:val=""/>
      <w:lvlJc w:val="left"/>
      <w:pPr>
        <w:ind w:left="2520" w:hanging="360"/>
      </w:pPr>
      <w:rPr>
        <w:rFonts w:ascii="Symbol" w:hAnsi="Symbol" w:hint="default"/>
      </w:rPr>
    </w:lvl>
    <w:lvl w:ilvl="4" w:tplc="A54CDDA2" w:tentative="1">
      <w:start w:val="1"/>
      <w:numFmt w:val="bullet"/>
      <w:lvlText w:val="o"/>
      <w:lvlJc w:val="left"/>
      <w:pPr>
        <w:ind w:left="3240" w:hanging="360"/>
      </w:pPr>
      <w:rPr>
        <w:rFonts w:ascii="Courier New" w:hAnsi="Courier New" w:cs="Courier New" w:hint="default"/>
      </w:rPr>
    </w:lvl>
    <w:lvl w:ilvl="5" w:tplc="304C26F6" w:tentative="1">
      <w:start w:val="1"/>
      <w:numFmt w:val="bullet"/>
      <w:lvlText w:val=""/>
      <w:lvlJc w:val="left"/>
      <w:pPr>
        <w:ind w:left="3960" w:hanging="360"/>
      </w:pPr>
      <w:rPr>
        <w:rFonts w:ascii="Wingdings" w:hAnsi="Wingdings" w:hint="default"/>
      </w:rPr>
    </w:lvl>
    <w:lvl w:ilvl="6" w:tplc="17B27890" w:tentative="1">
      <w:start w:val="1"/>
      <w:numFmt w:val="bullet"/>
      <w:lvlText w:val=""/>
      <w:lvlJc w:val="left"/>
      <w:pPr>
        <w:ind w:left="4680" w:hanging="360"/>
      </w:pPr>
      <w:rPr>
        <w:rFonts w:ascii="Symbol" w:hAnsi="Symbol" w:hint="default"/>
      </w:rPr>
    </w:lvl>
    <w:lvl w:ilvl="7" w:tplc="C4BCD48E" w:tentative="1">
      <w:start w:val="1"/>
      <w:numFmt w:val="bullet"/>
      <w:lvlText w:val="o"/>
      <w:lvlJc w:val="left"/>
      <w:pPr>
        <w:ind w:left="5400" w:hanging="360"/>
      </w:pPr>
      <w:rPr>
        <w:rFonts w:ascii="Courier New" w:hAnsi="Courier New" w:cs="Courier New" w:hint="default"/>
      </w:rPr>
    </w:lvl>
    <w:lvl w:ilvl="8" w:tplc="F00A3B04" w:tentative="1">
      <w:start w:val="1"/>
      <w:numFmt w:val="bullet"/>
      <w:lvlText w:val=""/>
      <w:lvlJc w:val="left"/>
      <w:pPr>
        <w:ind w:left="6120" w:hanging="360"/>
      </w:pPr>
      <w:rPr>
        <w:rFonts w:ascii="Wingdings" w:hAnsi="Wingdings" w:hint="default"/>
      </w:rPr>
    </w:lvl>
  </w:abstractNum>
  <w:num w:numId="1">
    <w:abstractNumId w:val="17"/>
  </w:num>
  <w:num w:numId="2">
    <w:abstractNumId w:val="14"/>
  </w:num>
  <w:num w:numId="3">
    <w:abstractNumId w:val="13"/>
  </w:num>
  <w:num w:numId="4">
    <w:abstractNumId w:val="12"/>
  </w:num>
  <w:num w:numId="5">
    <w:abstractNumId w:val="15"/>
  </w:num>
  <w:num w:numId="6">
    <w:abstractNumId w:val="11"/>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63"/>
    <w:rsid w:val="000120EC"/>
    <w:rsid w:val="00034F6D"/>
    <w:rsid w:val="0004649F"/>
    <w:rsid w:val="00057F74"/>
    <w:rsid w:val="00057FD8"/>
    <w:rsid w:val="000A4C27"/>
    <w:rsid w:val="00117F72"/>
    <w:rsid w:val="00130393"/>
    <w:rsid w:val="00140319"/>
    <w:rsid w:val="00155202"/>
    <w:rsid w:val="00160413"/>
    <w:rsid w:val="001A7432"/>
    <w:rsid w:val="00225ACF"/>
    <w:rsid w:val="00233F3A"/>
    <w:rsid w:val="00273ABF"/>
    <w:rsid w:val="002A0605"/>
    <w:rsid w:val="002F3562"/>
    <w:rsid w:val="002F7A38"/>
    <w:rsid w:val="00323583"/>
    <w:rsid w:val="00335F2B"/>
    <w:rsid w:val="00390A42"/>
    <w:rsid w:val="003A4302"/>
    <w:rsid w:val="003B3C06"/>
    <w:rsid w:val="003F5231"/>
    <w:rsid w:val="004251D3"/>
    <w:rsid w:val="00430FAA"/>
    <w:rsid w:val="004639E8"/>
    <w:rsid w:val="004B1628"/>
    <w:rsid w:val="004B68B5"/>
    <w:rsid w:val="004D131F"/>
    <w:rsid w:val="004E567C"/>
    <w:rsid w:val="004F4163"/>
    <w:rsid w:val="005110FA"/>
    <w:rsid w:val="00520303"/>
    <w:rsid w:val="005452D0"/>
    <w:rsid w:val="00554CBE"/>
    <w:rsid w:val="00567F93"/>
    <w:rsid w:val="005D62EB"/>
    <w:rsid w:val="0061701E"/>
    <w:rsid w:val="006245C8"/>
    <w:rsid w:val="006422AC"/>
    <w:rsid w:val="00666BC1"/>
    <w:rsid w:val="00690EDC"/>
    <w:rsid w:val="006D2434"/>
    <w:rsid w:val="006D7DF6"/>
    <w:rsid w:val="006E6859"/>
    <w:rsid w:val="00703683"/>
    <w:rsid w:val="007402EF"/>
    <w:rsid w:val="00740E3F"/>
    <w:rsid w:val="00742142"/>
    <w:rsid w:val="007673B2"/>
    <w:rsid w:val="00772686"/>
    <w:rsid w:val="00774595"/>
    <w:rsid w:val="007818E2"/>
    <w:rsid w:val="00783A36"/>
    <w:rsid w:val="007A56C5"/>
    <w:rsid w:val="007B788C"/>
    <w:rsid w:val="007E0712"/>
    <w:rsid w:val="007E2253"/>
    <w:rsid w:val="007F17CB"/>
    <w:rsid w:val="00817B77"/>
    <w:rsid w:val="00823D81"/>
    <w:rsid w:val="00864FF1"/>
    <w:rsid w:val="00867DFF"/>
    <w:rsid w:val="0088438A"/>
    <w:rsid w:val="008A6A65"/>
    <w:rsid w:val="00904625"/>
    <w:rsid w:val="00940260"/>
    <w:rsid w:val="009567CB"/>
    <w:rsid w:val="009E2E87"/>
    <w:rsid w:val="00A243A0"/>
    <w:rsid w:val="00A474FA"/>
    <w:rsid w:val="00A5478D"/>
    <w:rsid w:val="00A700AA"/>
    <w:rsid w:val="00A71A7D"/>
    <w:rsid w:val="00B541EB"/>
    <w:rsid w:val="00B96420"/>
    <w:rsid w:val="00BB4AD0"/>
    <w:rsid w:val="00BC684C"/>
    <w:rsid w:val="00BF0FF5"/>
    <w:rsid w:val="00BF53BA"/>
    <w:rsid w:val="00C112E0"/>
    <w:rsid w:val="00C26607"/>
    <w:rsid w:val="00C847DB"/>
    <w:rsid w:val="00CA43A8"/>
    <w:rsid w:val="00CB6A66"/>
    <w:rsid w:val="00CD7460"/>
    <w:rsid w:val="00D21BE9"/>
    <w:rsid w:val="00D90A24"/>
    <w:rsid w:val="00D913D4"/>
    <w:rsid w:val="00DA20F7"/>
    <w:rsid w:val="00DB6834"/>
    <w:rsid w:val="00DB6E2E"/>
    <w:rsid w:val="00DD6F51"/>
    <w:rsid w:val="00DE14E3"/>
    <w:rsid w:val="00DF2A05"/>
    <w:rsid w:val="00DF2AD7"/>
    <w:rsid w:val="00DF7D57"/>
    <w:rsid w:val="00E1729B"/>
    <w:rsid w:val="00E45A74"/>
    <w:rsid w:val="00E57782"/>
    <w:rsid w:val="00E87E19"/>
    <w:rsid w:val="00E94452"/>
    <w:rsid w:val="00EA4E29"/>
    <w:rsid w:val="00EC3316"/>
    <w:rsid w:val="00ED4469"/>
    <w:rsid w:val="00F406E7"/>
    <w:rsid w:val="00FB05D3"/>
    <w:rsid w:val="00FD3A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B21ACF"/>
  <w15:chartTrackingRefBased/>
  <w15:docId w15:val="{FE38208D-6125-4490-AD70-DA1F902E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3BA"/>
    <w:pPr>
      <w:spacing w:before="120" w:after="120" w:line="240" w:lineRule="auto"/>
    </w:pPr>
  </w:style>
  <w:style w:type="paragraph" w:styleId="Heading1">
    <w:name w:val="heading 1"/>
    <w:next w:val="Normal"/>
    <w:link w:val="Heading1Char"/>
    <w:uiPriority w:val="9"/>
    <w:qFormat/>
    <w:rsid w:val="00BF53BA"/>
    <w:pPr>
      <w:keepNext/>
      <w:spacing w:before="120" w:after="120" w:line="240" w:lineRule="auto"/>
      <w:outlineLvl w:val="0"/>
    </w:pPr>
    <w:rPr>
      <w:rFonts w:ascii="Arial" w:eastAsiaTheme="majorEastAsia" w:hAnsi="Arial" w:cstheme="majorBidi"/>
      <w:b/>
      <w:color w:val="2F5496" w:themeColor="accent1" w:themeShade="BF"/>
      <w:sz w:val="40"/>
      <w:szCs w:val="32"/>
    </w:rPr>
  </w:style>
  <w:style w:type="paragraph" w:styleId="Heading2">
    <w:name w:val="heading 2"/>
    <w:basedOn w:val="Heading1"/>
    <w:next w:val="Normal"/>
    <w:link w:val="Heading2Char"/>
    <w:uiPriority w:val="9"/>
    <w:unhideWhenUsed/>
    <w:qFormat/>
    <w:rsid w:val="00BF53BA"/>
    <w:pPr>
      <w:spacing w:line="360" w:lineRule="auto"/>
      <w:outlineLvl w:val="1"/>
    </w:pPr>
    <w:rPr>
      <w:color w:val="00999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16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F4163"/>
    <w:pPr>
      <w:spacing w:after="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F416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F4163"/>
    <w:rPr>
      <w:vertAlign w:val="superscript"/>
    </w:rPr>
  </w:style>
  <w:style w:type="character" w:styleId="CommentReference">
    <w:name w:val="annotation reference"/>
    <w:basedOn w:val="DefaultParagraphFont"/>
    <w:uiPriority w:val="99"/>
    <w:semiHidden/>
    <w:unhideWhenUsed/>
    <w:rsid w:val="00772686"/>
    <w:rPr>
      <w:sz w:val="16"/>
      <w:szCs w:val="16"/>
    </w:rPr>
  </w:style>
  <w:style w:type="paragraph" w:styleId="CommentText">
    <w:name w:val="annotation text"/>
    <w:basedOn w:val="Normal"/>
    <w:link w:val="CommentTextChar"/>
    <w:uiPriority w:val="99"/>
    <w:unhideWhenUsed/>
    <w:rsid w:val="00772686"/>
    <w:rPr>
      <w:sz w:val="20"/>
      <w:szCs w:val="20"/>
    </w:rPr>
  </w:style>
  <w:style w:type="character" w:customStyle="1" w:styleId="CommentTextChar">
    <w:name w:val="Comment Text Char"/>
    <w:basedOn w:val="DefaultParagraphFont"/>
    <w:link w:val="CommentText"/>
    <w:uiPriority w:val="99"/>
    <w:rsid w:val="00772686"/>
    <w:rPr>
      <w:sz w:val="20"/>
      <w:szCs w:val="20"/>
    </w:rPr>
  </w:style>
  <w:style w:type="paragraph" w:styleId="CommentSubject">
    <w:name w:val="annotation subject"/>
    <w:basedOn w:val="CommentText"/>
    <w:next w:val="CommentText"/>
    <w:link w:val="CommentSubjectChar"/>
    <w:uiPriority w:val="99"/>
    <w:semiHidden/>
    <w:unhideWhenUsed/>
    <w:rsid w:val="00772686"/>
    <w:rPr>
      <w:b/>
      <w:bCs/>
    </w:rPr>
  </w:style>
  <w:style w:type="character" w:customStyle="1" w:styleId="CommentSubjectChar">
    <w:name w:val="Comment Subject Char"/>
    <w:basedOn w:val="CommentTextChar"/>
    <w:link w:val="CommentSubject"/>
    <w:uiPriority w:val="99"/>
    <w:semiHidden/>
    <w:rsid w:val="00772686"/>
    <w:rPr>
      <w:b/>
      <w:bCs/>
      <w:sz w:val="20"/>
      <w:szCs w:val="20"/>
    </w:rPr>
  </w:style>
  <w:style w:type="paragraph" w:styleId="Title">
    <w:name w:val="Title"/>
    <w:next w:val="Normal"/>
    <w:link w:val="TitleChar"/>
    <w:uiPriority w:val="10"/>
    <w:qFormat/>
    <w:rsid w:val="00567F93"/>
    <w:pPr>
      <w:spacing w:before="600" w:after="120" w:line="240" w:lineRule="auto"/>
    </w:pPr>
    <w:rPr>
      <w:rFonts w:ascii="Arial" w:eastAsiaTheme="majorEastAsia" w:hAnsi="Arial" w:cstheme="majorBidi"/>
      <w:b/>
      <w:color w:val="1F3864" w:themeColor="accent1" w:themeShade="80"/>
      <w:spacing w:val="-10"/>
      <w:kern w:val="28"/>
      <w:sz w:val="48"/>
      <w:szCs w:val="56"/>
    </w:rPr>
  </w:style>
  <w:style w:type="character" w:customStyle="1" w:styleId="TitleChar">
    <w:name w:val="Title Char"/>
    <w:basedOn w:val="DefaultParagraphFont"/>
    <w:link w:val="Title"/>
    <w:uiPriority w:val="10"/>
    <w:rsid w:val="00567F93"/>
    <w:rPr>
      <w:rFonts w:ascii="Arial" w:eastAsiaTheme="majorEastAsia" w:hAnsi="Arial" w:cstheme="majorBidi"/>
      <w:b/>
      <w:color w:val="1F3864" w:themeColor="accent1" w:themeShade="80"/>
      <w:spacing w:val="-10"/>
      <w:kern w:val="28"/>
      <w:sz w:val="48"/>
      <w:szCs w:val="56"/>
    </w:rPr>
  </w:style>
  <w:style w:type="paragraph" w:styleId="Revision">
    <w:name w:val="Revision"/>
    <w:hidden/>
    <w:uiPriority w:val="99"/>
    <w:semiHidden/>
    <w:rsid w:val="00E94452"/>
    <w:pPr>
      <w:spacing w:after="0" w:line="240" w:lineRule="auto"/>
    </w:pPr>
  </w:style>
  <w:style w:type="character" w:customStyle="1" w:styleId="Heading1Char">
    <w:name w:val="Heading 1 Char"/>
    <w:basedOn w:val="DefaultParagraphFont"/>
    <w:link w:val="Heading1"/>
    <w:uiPriority w:val="9"/>
    <w:rsid w:val="00BF53BA"/>
    <w:rPr>
      <w:rFonts w:ascii="Arial" w:eastAsiaTheme="majorEastAsia" w:hAnsi="Arial" w:cstheme="majorBidi"/>
      <w:b/>
      <w:color w:val="2F5496" w:themeColor="accent1" w:themeShade="BF"/>
      <w:sz w:val="40"/>
      <w:szCs w:val="32"/>
    </w:rPr>
  </w:style>
  <w:style w:type="character" w:styleId="Emphasis">
    <w:name w:val="Emphasis"/>
    <w:basedOn w:val="DefaultParagraphFont"/>
    <w:uiPriority w:val="20"/>
    <w:qFormat/>
    <w:rsid w:val="00567F93"/>
    <w:rPr>
      <w:i/>
      <w:iCs/>
    </w:rPr>
  </w:style>
  <w:style w:type="paragraph" w:styleId="ListBullet">
    <w:name w:val="List Bullet"/>
    <w:basedOn w:val="Normal"/>
    <w:uiPriority w:val="99"/>
    <w:unhideWhenUsed/>
    <w:rsid w:val="00567F93"/>
    <w:pPr>
      <w:numPr>
        <w:numId w:val="8"/>
      </w:numPr>
      <w:contextualSpacing/>
    </w:pPr>
  </w:style>
  <w:style w:type="paragraph" w:styleId="Header">
    <w:name w:val="header"/>
    <w:basedOn w:val="Normal"/>
    <w:link w:val="HeaderChar"/>
    <w:uiPriority w:val="99"/>
    <w:unhideWhenUsed/>
    <w:rsid w:val="00567F93"/>
    <w:pPr>
      <w:tabs>
        <w:tab w:val="center" w:pos="4513"/>
        <w:tab w:val="right" w:pos="9026"/>
      </w:tabs>
      <w:spacing w:before="0" w:after="0"/>
    </w:pPr>
  </w:style>
  <w:style w:type="character" w:customStyle="1" w:styleId="HeaderChar">
    <w:name w:val="Header Char"/>
    <w:basedOn w:val="DefaultParagraphFont"/>
    <w:link w:val="Header"/>
    <w:uiPriority w:val="99"/>
    <w:rsid w:val="00567F93"/>
  </w:style>
  <w:style w:type="paragraph" w:styleId="Footer">
    <w:name w:val="footer"/>
    <w:basedOn w:val="Normal"/>
    <w:link w:val="FooterChar"/>
    <w:uiPriority w:val="99"/>
    <w:unhideWhenUsed/>
    <w:qFormat/>
    <w:rsid w:val="00567F93"/>
    <w:pPr>
      <w:tabs>
        <w:tab w:val="center" w:pos="4513"/>
        <w:tab w:val="right" w:pos="9026"/>
      </w:tabs>
      <w:spacing w:before="0" w:after="0"/>
    </w:pPr>
  </w:style>
  <w:style w:type="character" w:customStyle="1" w:styleId="FooterChar">
    <w:name w:val="Footer Char"/>
    <w:basedOn w:val="DefaultParagraphFont"/>
    <w:link w:val="Footer"/>
    <w:uiPriority w:val="99"/>
    <w:rsid w:val="00567F93"/>
  </w:style>
  <w:style w:type="paragraph" w:styleId="Subtitle">
    <w:name w:val="Subtitle"/>
    <w:basedOn w:val="Normal"/>
    <w:next w:val="Normal"/>
    <w:link w:val="SubtitleChar"/>
    <w:uiPriority w:val="11"/>
    <w:qFormat/>
    <w:rsid w:val="003A430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4302"/>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BF53BA"/>
    <w:rPr>
      <w:rFonts w:ascii="Arial" w:eastAsiaTheme="majorEastAsia" w:hAnsi="Arial" w:cstheme="majorBidi"/>
      <w:b/>
      <w:color w:val="009999"/>
      <w:sz w:val="28"/>
      <w:szCs w:val="26"/>
    </w:rPr>
  </w:style>
  <w:style w:type="table" w:styleId="GridTable4-Accent1">
    <w:name w:val="Grid Table 4 Accent 1"/>
    <w:basedOn w:val="TableNormal"/>
    <w:uiPriority w:val="49"/>
    <w:rsid w:val="003A4302"/>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F3864" w:themeFill="accent1" w:themeFillShade="80"/>
      </w:tcPr>
    </w:tblStylePr>
    <w:tblStylePr w:type="lastRow">
      <w:rPr>
        <w:b/>
        <w:bCs/>
      </w:rPr>
      <w:tblPr/>
      <w:tcPr>
        <w:tcBorders>
          <w:top w:val="double" w:sz="4" w:space="0" w:color="4472C4" w:themeColor="accent1"/>
        </w:tcBorders>
      </w:tcPr>
    </w:tblStylePr>
    <w:tblStylePr w:type="firstCol">
      <w:rPr>
        <w:b w:val="0"/>
        <w:bCs/>
      </w:rPr>
    </w:tblStylePr>
    <w:tblStylePr w:type="lastCol">
      <w:rPr>
        <w:b/>
        <w:bCs/>
      </w:rPr>
    </w:tblStylePr>
    <w:tblStylePr w:type="band1Vert">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4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750314F7B204FA4DD50E83A562493" ma:contentTypeVersion="" ma:contentTypeDescription="PDMS Document Site Content Type" ma:contentTypeScope="" ma:versionID="f3c860799217f56ca7547a746d491393">
  <xsd:schema xmlns:xsd="http://www.w3.org/2001/XMLSchema" xmlns:xs="http://www.w3.org/2001/XMLSchema" xmlns:p="http://schemas.microsoft.com/office/2006/metadata/properties" xmlns:ns2="9F719B23-D1DC-4D6A-A7A4-D93D33018A38" targetNamespace="http://schemas.microsoft.com/office/2006/metadata/properties" ma:root="true" ma:fieldsID="8da8b9625ee6b6a12d4935792b2b8b25" ns2:_="">
    <xsd:import namespace="9F719B23-D1DC-4D6A-A7A4-D93D33018A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19B23-D1DC-4D6A-A7A4-D93D33018A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F719B23-D1DC-4D6A-A7A4-D93D33018A3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716DB-52BE-44FA-B135-072100B8B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19B23-D1DC-4D6A-A7A4-D93D33018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FE3B3-7349-4B02-90DD-9580C8C1B1C2}">
  <ds:schemaRefs>
    <ds:schemaRef ds:uri="http://schemas.microsoft.com/office/2006/metadata/properties"/>
    <ds:schemaRef ds:uri="http://purl.org/dc/elements/1.1/"/>
    <ds:schemaRef ds:uri="9F719B23-D1DC-4D6A-A7A4-D93D33018A38"/>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E98C5CB-85E5-43D4-AF1B-AA55CC278BCD}">
  <ds:schemaRefs>
    <ds:schemaRef ds:uri="http://schemas.openxmlformats.org/officeDocument/2006/bibliography"/>
  </ds:schemaRefs>
</ds:datastoreItem>
</file>

<file path=customXml/itemProps4.xml><?xml version="1.0" encoding="utf-8"?>
<ds:datastoreItem xmlns:ds="http://schemas.openxmlformats.org/officeDocument/2006/customXml" ds:itemID="{4693E87B-98B7-46FB-8319-DC1582732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1065</Words>
  <Characters>5487</Characters>
  <Application>Microsoft Office Word</Application>
  <DocSecurity>0</DocSecurity>
  <Lines>211</Lines>
  <Paragraphs>172</Paragraphs>
  <ScaleCrop>false</ScaleCrop>
  <HeadingPairs>
    <vt:vector size="2" baseType="variant">
      <vt:variant>
        <vt:lpstr>Title</vt:lpstr>
      </vt:variant>
      <vt:variant>
        <vt:i4>1</vt:i4>
      </vt:variant>
    </vt:vector>
  </HeadingPairs>
  <TitlesOfParts>
    <vt:vector size="1" baseType="lpstr">
      <vt:lpstr>Third report on the operation and effectiveness of COVIDSafe and the National COVIDSafe data Store</vt:lpstr>
    </vt:vector>
  </TitlesOfParts>
  <Company>Australian Government Department of Health and Aged Care</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report on the operation and effectiveness of COVIDSafe and the National COVIDSafe data Store</dc:title>
  <dc:subject>COVID-19</dc:subject>
  <dc:creator>Australian Government Department of Health and Aged Care</dc:creator>
  <cp:keywords>COVID-19;  COVIDSafe; Data; </cp:keywords>
  <dc:description/>
  <cp:lastModifiedBy>JACOB, Reuben</cp:lastModifiedBy>
  <cp:revision>3</cp:revision>
  <dcterms:created xsi:type="dcterms:W3CDTF">2022-08-10T05:31:00Z</dcterms:created>
  <dcterms:modified xsi:type="dcterms:W3CDTF">2022-08-10T05:48:00Z</dcterms:modified>
</cp:coreProperties>
</file>