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DF91B" w14:textId="77777777" w:rsidR="0070783B" w:rsidRDefault="00B6163B" w:rsidP="00B6163B">
      <w:pPr>
        <w:pStyle w:val="Heading1"/>
      </w:pPr>
      <w:r>
        <w:t xml:space="preserve">Life Saving Drugs </w:t>
      </w:r>
      <w:r w:rsidRPr="0070783B">
        <w:t>Program</w:t>
      </w:r>
      <w:r>
        <w:t xml:space="preserve"> –</w:t>
      </w:r>
      <w:r w:rsidR="00874B1F">
        <w:t xml:space="preserve"> </w:t>
      </w:r>
      <w:proofErr w:type="spellStart"/>
      <w:r w:rsidR="00874B1F">
        <w:t>Avalglucosidase</w:t>
      </w:r>
      <w:proofErr w:type="spellEnd"/>
      <w:r w:rsidR="00874B1F">
        <w:t xml:space="preserve"> alfa (</w:t>
      </w:r>
      <w:proofErr w:type="spellStart"/>
      <w:r w:rsidR="00874B1F">
        <w:t>Nexviazyme</w:t>
      </w:r>
      <w:proofErr w:type="spellEnd"/>
      <w:r w:rsidR="008E7310" w:rsidRPr="0070783B">
        <w:rPr>
          <w:vertAlign w:val="superscript"/>
        </w:rPr>
        <w:t>®</w:t>
      </w:r>
      <w:r w:rsidR="008E7310">
        <w:t>)</w:t>
      </w:r>
      <w:r w:rsidR="008E7310" w:rsidRPr="00194FD5">
        <w:t xml:space="preserve"> </w:t>
      </w:r>
      <w:r w:rsidR="00594AB3">
        <w:t>o</w:t>
      </w:r>
      <w:r>
        <w:t xml:space="preserve">utcome </w:t>
      </w:r>
      <w:r w:rsidR="00594AB3">
        <w:t>s</w:t>
      </w:r>
      <w:r>
        <w:t>tatement</w:t>
      </w:r>
    </w:p>
    <w:p w14:paraId="494051EF" w14:textId="634C52D7" w:rsidR="00B6163B" w:rsidRDefault="00B6163B" w:rsidP="00A07A4E">
      <w:pPr>
        <w:pStyle w:val="Heading2"/>
      </w:pPr>
      <w:r w:rsidRPr="00194FD5">
        <w:t xml:space="preserve">Summary of the consideration of the application from </w:t>
      </w:r>
      <w:r w:rsidR="002D5901">
        <w:t>Sanofi</w:t>
      </w:r>
      <w:r w:rsidR="00594AB3">
        <w:t xml:space="preserve"> Pty Ltd </w:t>
      </w:r>
      <w:r w:rsidRPr="00194FD5">
        <w:t xml:space="preserve">for the inclusion of </w:t>
      </w:r>
      <w:proofErr w:type="spellStart"/>
      <w:r w:rsidR="002D5901" w:rsidRPr="002D5901">
        <w:t>avalglucosidase</w:t>
      </w:r>
      <w:proofErr w:type="spellEnd"/>
      <w:r w:rsidR="008E7310" w:rsidRPr="00194FD5">
        <w:t xml:space="preserve"> alfa </w:t>
      </w:r>
      <w:r w:rsidR="008E7310">
        <w:t>(</w:t>
      </w:r>
      <w:proofErr w:type="spellStart"/>
      <w:r w:rsidR="002D5901">
        <w:t>Nexviazyme</w:t>
      </w:r>
      <w:proofErr w:type="spellEnd"/>
      <w:r w:rsidRPr="0070783B">
        <w:rPr>
          <w:vertAlign w:val="superscript"/>
        </w:rPr>
        <w:t>®</w:t>
      </w:r>
      <w:r w:rsidR="008E7310">
        <w:t>)</w:t>
      </w:r>
      <w:r w:rsidRPr="00194FD5">
        <w:t xml:space="preserve"> on the Life Saving Drugs Program (LSDP) for the treatment of </w:t>
      </w:r>
      <w:proofErr w:type="spellStart"/>
      <w:r w:rsidR="002D5901">
        <w:t>Pompe</w:t>
      </w:r>
      <w:proofErr w:type="spellEnd"/>
      <w:r w:rsidR="002D5901">
        <w:t xml:space="preserve"> Disease</w:t>
      </w:r>
    </w:p>
    <w:p w14:paraId="43941FFB" w14:textId="77777777" w:rsidR="00B6163B" w:rsidRPr="00194FD5" w:rsidRDefault="00B6163B" w:rsidP="0070783B">
      <w:pPr>
        <w:pStyle w:val="Heading3"/>
      </w:pPr>
      <w:r w:rsidRPr="00194FD5">
        <w:t>Overview:</w:t>
      </w:r>
    </w:p>
    <w:p w14:paraId="249BB814" w14:textId="0122995B" w:rsidR="00B6163B" w:rsidRPr="00194FD5" w:rsidRDefault="00B6163B" w:rsidP="00B6163B">
      <w:pPr>
        <w:rPr>
          <w:sz w:val="21"/>
          <w:szCs w:val="21"/>
        </w:rPr>
      </w:pPr>
      <w:r w:rsidRPr="00194FD5">
        <w:rPr>
          <w:sz w:val="21"/>
          <w:szCs w:val="21"/>
        </w:rPr>
        <w:t xml:space="preserve">The LSDP Expert Panel (the Panel) advises the Chief Medical Officer (CMO) on new medicine applications to the LSDP. </w:t>
      </w:r>
      <w:proofErr w:type="spellStart"/>
      <w:r w:rsidR="004D0CB1">
        <w:rPr>
          <w:sz w:val="21"/>
          <w:szCs w:val="21"/>
        </w:rPr>
        <w:t>A</w:t>
      </w:r>
      <w:r w:rsidR="004D0CB1" w:rsidRPr="004D0CB1">
        <w:rPr>
          <w:sz w:val="21"/>
          <w:szCs w:val="21"/>
        </w:rPr>
        <w:t>valglucosidase</w:t>
      </w:r>
      <w:proofErr w:type="spellEnd"/>
      <w:r w:rsidRPr="00194FD5">
        <w:rPr>
          <w:sz w:val="21"/>
          <w:szCs w:val="21"/>
        </w:rPr>
        <w:t xml:space="preserve"> alfa</w:t>
      </w:r>
      <w:r w:rsidR="00447ECD">
        <w:rPr>
          <w:sz w:val="21"/>
          <w:szCs w:val="21"/>
        </w:rPr>
        <w:t xml:space="preserve"> </w:t>
      </w:r>
      <w:r w:rsidRPr="00194FD5">
        <w:rPr>
          <w:sz w:val="21"/>
          <w:szCs w:val="21"/>
        </w:rPr>
        <w:t>was considered for listing on the LSDP at the Panel’s meeting on 1</w:t>
      </w:r>
      <w:r w:rsidR="004D0CB1">
        <w:rPr>
          <w:sz w:val="21"/>
          <w:szCs w:val="21"/>
        </w:rPr>
        <w:t>8</w:t>
      </w:r>
      <w:r w:rsidRPr="00194FD5">
        <w:rPr>
          <w:sz w:val="21"/>
          <w:szCs w:val="21"/>
        </w:rPr>
        <w:t xml:space="preserve"> </w:t>
      </w:r>
      <w:r w:rsidR="004D0CB1">
        <w:rPr>
          <w:sz w:val="21"/>
          <w:szCs w:val="21"/>
        </w:rPr>
        <w:t>February</w:t>
      </w:r>
      <w:r w:rsidRPr="00194FD5">
        <w:rPr>
          <w:sz w:val="21"/>
          <w:szCs w:val="21"/>
        </w:rPr>
        <w:t xml:space="preserve"> 202</w:t>
      </w:r>
      <w:r w:rsidR="004D0CB1">
        <w:rPr>
          <w:sz w:val="21"/>
          <w:szCs w:val="21"/>
        </w:rPr>
        <w:t>2</w:t>
      </w:r>
      <w:r w:rsidR="005C67C8">
        <w:rPr>
          <w:sz w:val="21"/>
          <w:szCs w:val="21"/>
        </w:rPr>
        <w:t>, with further discussion at the Panel’s meeting of 24</w:t>
      </w:r>
      <w:r w:rsidR="00A07A4E">
        <w:rPr>
          <w:sz w:val="21"/>
          <w:szCs w:val="21"/>
        </w:rPr>
        <w:t> </w:t>
      </w:r>
      <w:r w:rsidR="005C67C8">
        <w:rPr>
          <w:sz w:val="21"/>
          <w:szCs w:val="21"/>
        </w:rPr>
        <w:t>June</w:t>
      </w:r>
      <w:r w:rsidR="00A07A4E">
        <w:rPr>
          <w:sz w:val="21"/>
          <w:szCs w:val="21"/>
        </w:rPr>
        <w:t> </w:t>
      </w:r>
      <w:r w:rsidR="005C67C8">
        <w:rPr>
          <w:sz w:val="21"/>
          <w:szCs w:val="21"/>
        </w:rPr>
        <w:t>2022</w:t>
      </w:r>
      <w:r w:rsidRPr="00194FD5">
        <w:rPr>
          <w:sz w:val="21"/>
          <w:szCs w:val="21"/>
        </w:rPr>
        <w:t>.</w:t>
      </w:r>
    </w:p>
    <w:p w14:paraId="04F18D38" w14:textId="77777777" w:rsidR="00B6163B" w:rsidRPr="00194FD5" w:rsidRDefault="00B6163B" w:rsidP="0070783B">
      <w:pPr>
        <w:pStyle w:val="Heading3"/>
      </w:pPr>
      <w:bookmarkStart w:id="0" w:name="Background:"/>
      <w:bookmarkEnd w:id="0"/>
      <w:r w:rsidRPr="00194FD5">
        <w:t>Background:</w:t>
      </w:r>
    </w:p>
    <w:p w14:paraId="15E49490" w14:textId="75383DA9" w:rsidR="00447ECD" w:rsidRPr="00447ECD" w:rsidRDefault="005C67C8" w:rsidP="00447ECD">
      <w:pPr>
        <w:rPr>
          <w:sz w:val="21"/>
          <w:szCs w:val="21"/>
        </w:rPr>
      </w:pPr>
      <w:proofErr w:type="spellStart"/>
      <w:r>
        <w:rPr>
          <w:sz w:val="21"/>
          <w:szCs w:val="21"/>
        </w:rPr>
        <w:t>Avalglucosidase</w:t>
      </w:r>
      <w:proofErr w:type="spellEnd"/>
      <w:r>
        <w:rPr>
          <w:sz w:val="21"/>
          <w:szCs w:val="21"/>
        </w:rPr>
        <w:t xml:space="preserve"> alfa</w:t>
      </w:r>
      <w:r w:rsidRPr="00194FD5">
        <w:rPr>
          <w:sz w:val="21"/>
          <w:szCs w:val="21"/>
        </w:rPr>
        <w:t xml:space="preserve"> </w:t>
      </w:r>
      <w:r w:rsidR="00B6163B" w:rsidRPr="00194FD5">
        <w:rPr>
          <w:sz w:val="21"/>
          <w:szCs w:val="21"/>
        </w:rPr>
        <w:t xml:space="preserve">is an enzyme-replacement therapy (ERT) approved by the Therapeutic Goods Administration (TGA) for use in patients with </w:t>
      </w:r>
      <w:proofErr w:type="spellStart"/>
      <w:r w:rsidR="00447ECD">
        <w:rPr>
          <w:sz w:val="21"/>
          <w:szCs w:val="21"/>
        </w:rPr>
        <w:t>Pompe</w:t>
      </w:r>
      <w:proofErr w:type="spellEnd"/>
      <w:r w:rsidR="00447ECD">
        <w:rPr>
          <w:sz w:val="21"/>
          <w:szCs w:val="21"/>
        </w:rPr>
        <w:t xml:space="preserve"> disease</w:t>
      </w:r>
      <w:r w:rsidR="00B6163B" w:rsidRPr="00194FD5">
        <w:rPr>
          <w:sz w:val="21"/>
          <w:szCs w:val="21"/>
        </w:rPr>
        <w:t xml:space="preserve">. </w:t>
      </w:r>
      <w:bookmarkStart w:id="1" w:name="Pharmaceutical_Benefits_Advisory_Committ"/>
      <w:bookmarkEnd w:id="1"/>
      <w:proofErr w:type="spellStart"/>
      <w:r w:rsidR="00447ECD" w:rsidRPr="00447ECD">
        <w:rPr>
          <w:sz w:val="21"/>
          <w:szCs w:val="21"/>
        </w:rPr>
        <w:t>Pompe</w:t>
      </w:r>
      <w:proofErr w:type="spellEnd"/>
      <w:r w:rsidR="00447ECD" w:rsidRPr="00447ECD">
        <w:rPr>
          <w:sz w:val="21"/>
          <w:szCs w:val="21"/>
        </w:rPr>
        <w:t xml:space="preserve"> disease is an autosomal recessive disorder caused by acid alpha glucosidase (GAA) deficiency. The GAA enzyme is essential for the degradation of lysosomal glycogen into glucose. A deficiency leads to accumulation of glycogen in multiple tissues. Accumulation of glycogen in lysosomes leads to enlargement and ruptures, which cause skeletal muscle destruction and progressive myopathy.</w:t>
      </w:r>
    </w:p>
    <w:p w14:paraId="717C4228" w14:textId="77777777" w:rsidR="00447ECD" w:rsidRDefault="00447ECD" w:rsidP="00447ECD">
      <w:pPr>
        <w:rPr>
          <w:sz w:val="21"/>
          <w:szCs w:val="21"/>
        </w:rPr>
      </w:pPr>
    </w:p>
    <w:p w14:paraId="7D241CB8" w14:textId="622F13DC" w:rsidR="00447ECD" w:rsidRDefault="00447ECD" w:rsidP="00447ECD">
      <w:pPr>
        <w:rPr>
          <w:sz w:val="21"/>
          <w:szCs w:val="21"/>
        </w:rPr>
      </w:pPr>
      <w:proofErr w:type="spellStart"/>
      <w:r w:rsidRPr="00447ECD">
        <w:rPr>
          <w:sz w:val="21"/>
          <w:szCs w:val="21"/>
        </w:rPr>
        <w:t>Pompe</w:t>
      </w:r>
      <w:proofErr w:type="spellEnd"/>
      <w:r w:rsidRPr="00447ECD">
        <w:rPr>
          <w:sz w:val="21"/>
          <w:szCs w:val="21"/>
        </w:rPr>
        <w:t xml:space="preserve"> disease is classified into different phenotypes based on remaining enzyme level, age at onset of symptoms, extent of organ involvement and rate of progression to death. </w:t>
      </w:r>
      <w:proofErr w:type="spellStart"/>
      <w:r w:rsidRPr="00447ECD">
        <w:rPr>
          <w:sz w:val="21"/>
          <w:szCs w:val="21"/>
        </w:rPr>
        <w:t>Pompe</w:t>
      </w:r>
      <w:proofErr w:type="spellEnd"/>
      <w:r w:rsidRPr="00447ECD">
        <w:rPr>
          <w:sz w:val="21"/>
          <w:szCs w:val="21"/>
        </w:rPr>
        <w:t xml:space="preserve"> disease is classified as infantile</w:t>
      </w:r>
      <w:r>
        <w:rPr>
          <w:sz w:val="21"/>
          <w:szCs w:val="21"/>
        </w:rPr>
        <w:t xml:space="preserve">-onset </w:t>
      </w:r>
      <w:r w:rsidRPr="00447ECD">
        <w:rPr>
          <w:sz w:val="21"/>
          <w:szCs w:val="21"/>
        </w:rPr>
        <w:t xml:space="preserve">(IOPD) when symptoms present before the age of 1 year and </w:t>
      </w:r>
      <w:r>
        <w:rPr>
          <w:sz w:val="21"/>
          <w:szCs w:val="21"/>
        </w:rPr>
        <w:t>late-onset (</w:t>
      </w:r>
      <w:r w:rsidRPr="00447ECD">
        <w:rPr>
          <w:sz w:val="21"/>
          <w:szCs w:val="21"/>
        </w:rPr>
        <w:t>LOPD</w:t>
      </w:r>
      <w:r>
        <w:rPr>
          <w:sz w:val="21"/>
          <w:szCs w:val="21"/>
        </w:rPr>
        <w:t>)</w:t>
      </w:r>
      <w:r w:rsidRPr="00447ECD">
        <w:rPr>
          <w:sz w:val="21"/>
          <w:szCs w:val="21"/>
        </w:rPr>
        <w:t xml:space="preserve"> for presentations from early childhood to adulthood. The most significant clinical manifestations of IOPD include progressive hypertrophic cardiomyopathy and muscle weakness, leading to cardiorespiratory failure. Without treatment, patients with IOPD typically die within the first year of life.</w:t>
      </w:r>
    </w:p>
    <w:p w14:paraId="7BD7C8BD" w14:textId="77777777" w:rsidR="00447ECD" w:rsidRPr="00447ECD" w:rsidRDefault="00447ECD" w:rsidP="00447ECD">
      <w:pPr>
        <w:rPr>
          <w:sz w:val="21"/>
          <w:szCs w:val="21"/>
        </w:rPr>
      </w:pPr>
    </w:p>
    <w:p w14:paraId="35C0091C" w14:textId="36F7F4DF" w:rsidR="00447ECD" w:rsidRDefault="00447ECD" w:rsidP="00447ECD">
      <w:pPr>
        <w:rPr>
          <w:sz w:val="21"/>
          <w:szCs w:val="21"/>
        </w:rPr>
      </w:pPr>
      <w:r w:rsidRPr="00447ECD">
        <w:rPr>
          <w:sz w:val="21"/>
          <w:szCs w:val="21"/>
        </w:rPr>
        <w:t xml:space="preserve">LOPD can be further classified as </w:t>
      </w:r>
      <w:r>
        <w:rPr>
          <w:sz w:val="21"/>
          <w:szCs w:val="21"/>
        </w:rPr>
        <w:t>juvenile-onset (</w:t>
      </w:r>
      <w:r w:rsidRPr="00447ECD">
        <w:rPr>
          <w:sz w:val="21"/>
          <w:szCs w:val="21"/>
        </w:rPr>
        <w:t>JOPD</w:t>
      </w:r>
      <w:r>
        <w:rPr>
          <w:sz w:val="21"/>
          <w:szCs w:val="21"/>
        </w:rPr>
        <w:t>)</w:t>
      </w:r>
      <w:r w:rsidRPr="00447ECD">
        <w:rPr>
          <w:sz w:val="21"/>
          <w:szCs w:val="21"/>
        </w:rPr>
        <w:t xml:space="preserve"> (onset &lt;18 years of age) and </w:t>
      </w:r>
      <w:r>
        <w:rPr>
          <w:sz w:val="21"/>
          <w:szCs w:val="21"/>
        </w:rPr>
        <w:t>adult late</w:t>
      </w:r>
      <w:r w:rsidR="005C67C8">
        <w:rPr>
          <w:sz w:val="21"/>
          <w:szCs w:val="21"/>
        </w:rPr>
        <w:noBreakHyphen/>
      </w:r>
      <w:r>
        <w:rPr>
          <w:sz w:val="21"/>
          <w:szCs w:val="21"/>
        </w:rPr>
        <w:t>onset (</w:t>
      </w:r>
      <w:r w:rsidRPr="00447ECD">
        <w:rPr>
          <w:sz w:val="21"/>
          <w:szCs w:val="21"/>
        </w:rPr>
        <w:t>AOPD</w:t>
      </w:r>
      <w:r>
        <w:rPr>
          <w:sz w:val="21"/>
          <w:szCs w:val="21"/>
        </w:rPr>
        <w:t>)</w:t>
      </w:r>
      <w:r w:rsidRPr="00447ECD">
        <w:rPr>
          <w:sz w:val="21"/>
          <w:szCs w:val="21"/>
        </w:rPr>
        <w:t xml:space="preserve"> (onset ≥18 years of age). </w:t>
      </w:r>
      <w:r w:rsidR="00840958">
        <w:rPr>
          <w:sz w:val="21"/>
          <w:szCs w:val="21"/>
        </w:rPr>
        <w:t xml:space="preserve">Following the </w:t>
      </w:r>
      <w:r w:rsidR="005C67C8">
        <w:rPr>
          <w:sz w:val="21"/>
          <w:szCs w:val="21"/>
        </w:rPr>
        <w:t xml:space="preserve">Panel’s </w:t>
      </w:r>
      <w:r w:rsidR="00840958">
        <w:rPr>
          <w:sz w:val="21"/>
          <w:szCs w:val="21"/>
        </w:rPr>
        <w:t xml:space="preserve">Review of </w:t>
      </w:r>
      <w:proofErr w:type="spellStart"/>
      <w:r w:rsidR="00840958">
        <w:rPr>
          <w:sz w:val="21"/>
          <w:szCs w:val="21"/>
        </w:rPr>
        <w:t>Pompe</w:t>
      </w:r>
      <w:proofErr w:type="spellEnd"/>
      <w:r w:rsidR="00840958">
        <w:rPr>
          <w:sz w:val="21"/>
          <w:szCs w:val="21"/>
        </w:rPr>
        <w:t xml:space="preserve"> disease and in line with international guidelines, the classifications for </w:t>
      </w:r>
      <w:proofErr w:type="spellStart"/>
      <w:r w:rsidR="00840958">
        <w:rPr>
          <w:sz w:val="21"/>
          <w:szCs w:val="21"/>
        </w:rPr>
        <w:t>Pompe</w:t>
      </w:r>
      <w:proofErr w:type="spellEnd"/>
      <w:r w:rsidR="00840958">
        <w:rPr>
          <w:sz w:val="21"/>
          <w:szCs w:val="21"/>
        </w:rPr>
        <w:t xml:space="preserve"> disease</w:t>
      </w:r>
      <w:r w:rsidR="005C67C8">
        <w:rPr>
          <w:sz w:val="21"/>
          <w:szCs w:val="21"/>
        </w:rPr>
        <w:t xml:space="preserve"> used by the LSDP</w:t>
      </w:r>
      <w:r w:rsidR="00840958">
        <w:rPr>
          <w:sz w:val="21"/>
          <w:szCs w:val="21"/>
        </w:rPr>
        <w:t xml:space="preserve"> are now IOPD or LOPD. </w:t>
      </w:r>
      <w:r w:rsidRPr="00447ECD">
        <w:rPr>
          <w:sz w:val="21"/>
          <w:szCs w:val="21"/>
        </w:rPr>
        <w:t>LOPD progresses more slowly than IOPD and is associated with a high burden of disease and significant morbidity resulting in poor quality of life. Patients present with impaired respiratory function and skeletal muscle weakness, especially limb girdle weakness, as the hallmark symptoms. With disease progression, patients often require walking devices or wheelchairs to assist with mobility and mechanical ventilation to help with breathing. Respiratory failure is the most common cause of death.</w:t>
      </w:r>
    </w:p>
    <w:p w14:paraId="39D4C911" w14:textId="6179EB52" w:rsidR="00B6163B" w:rsidRPr="00194FD5" w:rsidRDefault="00B6163B" w:rsidP="0070783B">
      <w:pPr>
        <w:pStyle w:val="Heading3"/>
      </w:pPr>
      <w:r w:rsidRPr="00194FD5">
        <w:t>Pharmaceutical Benefits Advisory Committee (PBAC) Consideration</w:t>
      </w:r>
    </w:p>
    <w:p w14:paraId="3FABCC9D" w14:textId="2761FC18" w:rsidR="00B6163B" w:rsidRPr="00A07A4E" w:rsidRDefault="00B6163B" w:rsidP="00B6163B">
      <w:pPr>
        <w:rPr>
          <w:sz w:val="21"/>
          <w:szCs w:val="21"/>
        </w:rPr>
      </w:pPr>
      <w:r w:rsidRPr="00194FD5">
        <w:rPr>
          <w:sz w:val="21"/>
          <w:szCs w:val="21"/>
        </w:rPr>
        <w:t xml:space="preserve">At its </w:t>
      </w:r>
      <w:r w:rsidR="00447ECD">
        <w:rPr>
          <w:sz w:val="21"/>
          <w:szCs w:val="21"/>
        </w:rPr>
        <w:t>November</w:t>
      </w:r>
      <w:r w:rsidRPr="00194FD5">
        <w:rPr>
          <w:sz w:val="21"/>
          <w:szCs w:val="21"/>
        </w:rPr>
        <w:t xml:space="preserve"> 20</w:t>
      </w:r>
      <w:r w:rsidR="00447ECD">
        <w:rPr>
          <w:sz w:val="21"/>
          <w:szCs w:val="21"/>
        </w:rPr>
        <w:t>21</w:t>
      </w:r>
      <w:r w:rsidRPr="00194FD5">
        <w:rPr>
          <w:sz w:val="21"/>
          <w:szCs w:val="21"/>
        </w:rPr>
        <w:t xml:space="preserve"> meeting, PBAC considered a submission from </w:t>
      </w:r>
      <w:r w:rsidR="00447ECD">
        <w:rPr>
          <w:sz w:val="21"/>
          <w:szCs w:val="21"/>
        </w:rPr>
        <w:t>Sanofi</w:t>
      </w:r>
      <w:r w:rsidRPr="00194FD5">
        <w:rPr>
          <w:sz w:val="21"/>
          <w:szCs w:val="21"/>
        </w:rPr>
        <w:t xml:space="preserve"> requesting the listing of </w:t>
      </w:r>
      <w:proofErr w:type="spellStart"/>
      <w:r w:rsidR="005C67C8">
        <w:rPr>
          <w:sz w:val="21"/>
          <w:szCs w:val="21"/>
        </w:rPr>
        <w:t>avalglucosidase</w:t>
      </w:r>
      <w:proofErr w:type="spellEnd"/>
      <w:r w:rsidR="005C67C8">
        <w:rPr>
          <w:sz w:val="21"/>
          <w:szCs w:val="21"/>
        </w:rPr>
        <w:t xml:space="preserve"> alfa</w:t>
      </w:r>
      <w:r w:rsidR="005C67C8" w:rsidRPr="00194FD5">
        <w:rPr>
          <w:sz w:val="21"/>
          <w:szCs w:val="21"/>
        </w:rPr>
        <w:t xml:space="preserve"> </w:t>
      </w:r>
      <w:r w:rsidRPr="00194FD5">
        <w:rPr>
          <w:sz w:val="21"/>
          <w:szCs w:val="21"/>
        </w:rPr>
        <w:t xml:space="preserve">on the Pharmaceutical Benefits Scheme (PBS) for the treatment of patients with </w:t>
      </w:r>
      <w:proofErr w:type="spellStart"/>
      <w:r w:rsidR="00447ECD">
        <w:rPr>
          <w:sz w:val="21"/>
          <w:szCs w:val="21"/>
        </w:rPr>
        <w:t>Pompe</w:t>
      </w:r>
      <w:proofErr w:type="spellEnd"/>
      <w:r w:rsidR="00447ECD">
        <w:rPr>
          <w:sz w:val="21"/>
          <w:szCs w:val="21"/>
        </w:rPr>
        <w:t xml:space="preserve"> disease</w:t>
      </w:r>
      <w:r w:rsidRPr="00194FD5">
        <w:rPr>
          <w:sz w:val="21"/>
          <w:szCs w:val="21"/>
        </w:rPr>
        <w:t>. PBAC did not</w:t>
      </w:r>
      <w:r w:rsidR="00311D23">
        <w:rPr>
          <w:sz w:val="21"/>
          <w:szCs w:val="21"/>
        </w:rPr>
        <w:t xml:space="preserve"> r</w:t>
      </w:r>
      <w:r w:rsidR="00311D23" w:rsidRPr="00311D23">
        <w:rPr>
          <w:sz w:val="21"/>
          <w:szCs w:val="21"/>
        </w:rPr>
        <w:t xml:space="preserve">ecommend the requested Section 100 (Highly Specialised Drugs Program) listing </w:t>
      </w:r>
      <w:r w:rsidR="00311D23">
        <w:rPr>
          <w:sz w:val="21"/>
          <w:szCs w:val="21"/>
        </w:rPr>
        <w:t xml:space="preserve">of </w:t>
      </w:r>
      <w:proofErr w:type="spellStart"/>
      <w:r w:rsidR="005C67C8">
        <w:rPr>
          <w:sz w:val="21"/>
          <w:szCs w:val="21"/>
        </w:rPr>
        <w:t>avalglucosidase</w:t>
      </w:r>
      <w:proofErr w:type="spellEnd"/>
      <w:r w:rsidR="005C67C8">
        <w:rPr>
          <w:sz w:val="21"/>
          <w:szCs w:val="21"/>
        </w:rPr>
        <w:t xml:space="preserve"> alfa </w:t>
      </w:r>
      <w:r w:rsidR="00311D23" w:rsidRPr="00311D23">
        <w:rPr>
          <w:sz w:val="21"/>
          <w:szCs w:val="21"/>
        </w:rPr>
        <w:t>for the treatment of IOPD, JOPD or AOPD</w:t>
      </w:r>
      <w:r w:rsidRPr="00194FD5">
        <w:rPr>
          <w:sz w:val="21"/>
          <w:szCs w:val="21"/>
        </w:rPr>
        <w:t xml:space="preserve">. PBAC considered that </w:t>
      </w:r>
      <w:proofErr w:type="spellStart"/>
      <w:r w:rsidR="005C67C8">
        <w:rPr>
          <w:sz w:val="21"/>
          <w:szCs w:val="21"/>
        </w:rPr>
        <w:t>avalglucosidase</w:t>
      </w:r>
      <w:proofErr w:type="spellEnd"/>
      <w:r w:rsidR="005C67C8">
        <w:rPr>
          <w:sz w:val="21"/>
          <w:szCs w:val="21"/>
        </w:rPr>
        <w:t xml:space="preserve"> alfa</w:t>
      </w:r>
      <w:r w:rsidR="005C67C8" w:rsidRPr="00194FD5">
        <w:rPr>
          <w:sz w:val="21"/>
          <w:szCs w:val="21"/>
        </w:rPr>
        <w:t xml:space="preserve"> </w:t>
      </w:r>
      <w:r w:rsidRPr="00194FD5">
        <w:rPr>
          <w:sz w:val="21"/>
          <w:szCs w:val="21"/>
        </w:rPr>
        <w:t>was not cost-effective at the proposed price</w:t>
      </w:r>
      <w:r w:rsidR="00311D23">
        <w:rPr>
          <w:sz w:val="21"/>
          <w:szCs w:val="21"/>
        </w:rPr>
        <w:t xml:space="preserve"> and the exten</w:t>
      </w:r>
      <w:r w:rsidR="005C67C8">
        <w:rPr>
          <w:sz w:val="21"/>
          <w:szCs w:val="21"/>
        </w:rPr>
        <w:t>t</w:t>
      </w:r>
      <w:r w:rsidR="00311D23">
        <w:rPr>
          <w:sz w:val="21"/>
          <w:szCs w:val="21"/>
        </w:rPr>
        <w:t xml:space="preserve"> of benefit to AOPD provided in the submission</w:t>
      </w:r>
      <w:r w:rsidR="00674ABA">
        <w:rPr>
          <w:sz w:val="21"/>
          <w:szCs w:val="21"/>
        </w:rPr>
        <w:t xml:space="preserve"> was</w:t>
      </w:r>
      <w:r w:rsidR="00311D23">
        <w:rPr>
          <w:sz w:val="21"/>
          <w:szCs w:val="21"/>
        </w:rPr>
        <w:t xml:space="preserve"> uncertain</w:t>
      </w:r>
      <w:r w:rsidRPr="00194FD5">
        <w:rPr>
          <w:sz w:val="21"/>
          <w:szCs w:val="21"/>
        </w:rPr>
        <w:t xml:space="preserve">. Further information on PBAC’s consideration of </w:t>
      </w:r>
      <w:proofErr w:type="spellStart"/>
      <w:r w:rsidR="005C67C8">
        <w:rPr>
          <w:sz w:val="21"/>
          <w:szCs w:val="21"/>
        </w:rPr>
        <w:t>avalglucosidase</w:t>
      </w:r>
      <w:proofErr w:type="spellEnd"/>
      <w:r w:rsidR="005C67C8">
        <w:rPr>
          <w:sz w:val="21"/>
          <w:szCs w:val="21"/>
        </w:rPr>
        <w:t xml:space="preserve"> alfa,</w:t>
      </w:r>
      <w:r w:rsidR="005C67C8" w:rsidRPr="00194FD5">
        <w:rPr>
          <w:sz w:val="21"/>
          <w:szCs w:val="21"/>
        </w:rPr>
        <w:t xml:space="preserve"> </w:t>
      </w:r>
      <w:r w:rsidRPr="00194FD5">
        <w:rPr>
          <w:sz w:val="21"/>
          <w:szCs w:val="21"/>
        </w:rPr>
        <w:t>including reasons for rejection</w:t>
      </w:r>
      <w:r w:rsidR="005C67C8">
        <w:rPr>
          <w:sz w:val="21"/>
          <w:szCs w:val="21"/>
        </w:rPr>
        <w:t>,</w:t>
      </w:r>
      <w:r w:rsidRPr="00194FD5">
        <w:rPr>
          <w:sz w:val="21"/>
          <w:szCs w:val="21"/>
        </w:rPr>
        <w:t xml:space="preserve"> is available in </w:t>
      </w:r>
      <w:r w:rsidRPr="00194FD5">
        <w:rPr>
          <w:sz w:val="21"/>
          <w:szCs w:val="21"/>
        </w:rPr>
        <w:lastRenderedPageBreak/>
        <w:t>the PBAC Public Summary Document</w:t>
      </w:r>
      <w:r w:rsidR="005C67C8">
        <w:rPr>
          <w:sz w:val="21"/>
          <w:szCs w:val="21"/>
        </w:rPr>
        <w:t xml:space="preserve"> (</w:t>
      </w:r>
      <w:hyperlink r:id="rId10" w:history="1">
        <w:r w:rsidR="005C67C8" w:rsidRPr="00C45FFD">
          <w:rPr>
            <w:rStyle w:val="Hyperlink"/>
            <w:sz w:val="21"/>
            <w:szCs w:val="21"/>
          </w:rPr>
          <w:t>www.pbs.gov.au/pbs/industry/listing/elements/pbac-meetings/psd/2021-11/avalglucosidase-alfa-powder-for-injection-100-mg-in-10-ml%3B</w:t>
        </w:r>
      </w:hyperlink>
      <w:r w:rsidR="005C67C8" w:rsidRPr="00284BA2">
        <w:rPr>
          <w:rStyle w:val="BodyTextChar"/>
        </w:rPr>
        <w:t>).</w:t>
      </w:r>
      <w:r w:rsidR="005C67C8">
        <w:rPr>
          <w:rStyle w:val="Hyperlink"/>
          <w:sz w:val="21"/>
          <w:szCs w:val="21"/>
        </w:rPr>
        <w:t xml:space="preserve"> </w:t>
      </w:r>
      <w:bookmarkStart w:id="2" w:name="Consumer_Input:"/>
      <w:bookmarkEnd w:id="2"/>
    </w:p>
    <w:p w14:paraId="3CD5820B" w14:textId="1C2DE347" w:rsidR="00B6163B" w:rsidRPr="00194FD5" w:rsidRDefault="001528A8" w:rsidP="0070783B">
      <w:pPr>
        <w:pStyle w:val="Heading3"/>
      </w:pPr>
      <w:r>
        <w:t xml:space="preserve">LSDP Expert </w:t>
      </w:r>
      <w:r w:rsidR="00B6163B" w:rsidRPr="00194FD5">
        <w:t>Panel Consideration</w:t>
      </w:r>
    </w:p>
    <w:p w14:paraId="65EAC61F" w14:textId="77777777" w:rsidR="00B6163B" w:rsidRPr="00194FD5" w:rsidRDefault="00B6163B" w:rsidP="00B6163B">
      <w:pPr>
        <w:pStyle w:val="Heading3"/>
      </w:pPr>
      <w:bookmarkStart w:id="3" w:name="Funding_Criteria"/>
      <w:bookmarkEnd w:id="3"/>
      <w:r w:rsidRPr="00194FD5">
        <w:t>Funding Criteria</w:t>
      </w:r>
    </w:p>
    <w:p w14:paraId="7ABF8334" w14:textId="47F1950A" w:rsidR="00B6163B" w:rsidRPr="00194FD5" w:rsidRDefault="00B6163B" w:rsidP="00B6163B">
      <w:pPr>
        <w:rPr>
          <w:sz w:val="21"/>
          <w:szCs w:val="21"/>
        </w:rPr>
      </w:pPr>
      <w:proofErr w:type="gramStart"/>
      <w:r w:rsidRPr="00194FD5">
        <w:rPr>
          <w:sz w:val="21"/>
          <w:szCs w:val="21"/>
        </w:rPr>
        <w:t>In order to</w:t>
      </w:r>
      <w:proofErr w:type="gramEnd"/>
      <w:r w:rsidRPr="00194FD5">
        <w:rPr>
          <w:sz w:val="21"/>
          <w:szCs w:val="21"/>
        </w:rPr>
        <w:t xml:space="preserve"> be included in the LSDP, a medicine must be considered to meet each of the LSDP funding criteria A1-A8. A summary of the claims for </w:t>
      </w:r>
      <w:proofErr w:type="spellStart"/>
      <w:r w:rsidR="005C67C8">
        <w:rPr>
          <w:sz w:val="21"/>
          <w:szCs w:val="21"/>
        </w:rPr>
        <w:t>avalglucosidase</w:t>
      </w:r>
      <w:proofErr w:type="spellEnd"/>
      <w:r w:rsidR="005C67C8">
        <w:rPr>
          <w:sz w:val="21"/>
          <w:szCs w:val="21"/>
        </w:rPr>
        <w:t xml:space="preserve"> alfa</w:t>
      </w:r>
      <w:r w:rsidR="005C67C8" w:rsidRPr="00194FD5">
        <w:rPr>
          <w:sz w:val="21"/>
          <w:szCs w:val="21"/>
        </w:rPr>
        <w:t xml:space="preserve"> </w:t>
      </w:r>
      <w:r w:rsidRPr="00194FD5">
        <w:rPr>
          <w:sz w:val="21"/>
          <w:szCs w:val="21"/>
        </w:rPr>
        <w:t>against each criterion is presented below.</w:t>
      </w:r>
    </w:p>
    <w:p w14:paraId="201949F8" w14:textId="77777777" w:rsidR="00B6163B" w:rsidRDefault="00B6163B" w:rsidP="00B6163B"/>
    <w:tbl>
      <w:tblPr>
        <w:tblW w:w="91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573"/>
        <w:gridCol w:w="2820"/>
        <w:gridCol w:w="5758"/>
      </w:tblGrid>
      <w:tr w:rsidR="00B6163B" w14:paraId="0D606EAC" w14:textId="77777777" w:rsidTr="00284BA2">
        <w:trPr>
          <w:trHeight w:val="484"/>
        </w:trPr>
        <w:tc>
          <w:tcPr>
            <w:tcW w:w="3393" w:type="dxa"/>
            <w:gridSpan w:val="2"/>
            <w:shd w:val="clear" w:color="auto" w:fill="1F3864" w:themeFill="accent1" w:themeFillShade="80"/>
          </w:tcPr>
          <w:p w14:paraId="05376E1D" w14:textId="77777777" w:rsidR="00B6163B" w:rsidRPr="00576C4B" w:rsidRDefault="00B6163B" w:rsidP="00CF5979">
            <w:pPr>
              <w:pStyle w:val="TableHeaderWhite"/>
              <w:jc w:val="center"/>
            </w:pPr>
            <w:bookmarkStart w:id="4" w:name="_Hlk103176423"/>
            <w:r w:rsidRPr="00576C4B">
              <w:t>LSDP criteria</w:t>
            </w:r>
          </w:p>
        </w:tc>
        <w:tc>
          <w:tcPr>
            <w:tcW w:w="5758" w:type="dxa"/>
            <w:shd w:val="clear" w:color="auto" w:fill="1F3864" w:themeFill="accent1" w:themeFillShade="80"/>
          </w:tcPr>
          <w:p w14:paraId="3A87F8CC" w14:textId="40BFDBBE" w:rsidR="00B6163B" w:rsidRPr="00576C4B" w:rsidRDefault="00B6163B" w:rsidP="00CF5979">
            <w:pPr>
              <w:pStyle w:val="TableHeaderWhite"/>
              <w:jc w:val="center"/>
            </w:pPr>
            <w:r w:rsidRPr="00576C4B">
              <w:t xml:space="preserve">How </w:t>
            </w:r>
            <w:proofErr w:type="spellStart"/>
            <w:r w:rsidRPr="00576C4B">
              <w:t>a</w:t>
            </w:r>
            <w:r w:rsidR="007D19DF">
              <w:t>valglucosidase</w:t>
            </w:r>
            <w:proofErr w:type="spellEnd"/>
            <w:r w:rsidRPr="00576C4B">
              <w:t xml:space="preserve"> alfa meets the criteria</w:t>
            </w:r>
          </w:p>
        </w:tc>
      </w:tr>
      <w:tr w:rsidR="00B6163B" w14:paraId="0BB20EFC" w14:textId="77777777" w:rsidTr="00284BA2">
        <w:trPr>
          <w:trHeight w:val="2193"/>
        </w:trPr>
        <w:tc>
          <w:tcPr>
            <w:tcW w:w="573" w:type="dxa"/>
          </w:tcPr>
          <w:p w14:paraId="478277AD" w14:textId="77777777" w:rsidR="00B6163B" w:rsidRPr="00576C4B" w:rsidRDefault="00B6163B" w:rsidP="00CF5979">
            <w:pPr>
              <w:pStyle w:val="TableParagraph"/>
              <w:rPr>
                <w:rFonts w:ascii="Arial" w:hAnsi="Arial" w:cs="Arial"/>
                <w:b/>
                <w:sz w:val="21"/>
                <w:szCs w:val="21"/>
              </w:rPr>
            </w:pPr>
            <w:r w:rsidRPr="00576C4B">
              <w:rPr>
                <w:rFonts w:ascii="Arial" w:hAnsi="Arial" w:cs="Arial"/>
                <w:b/>
                <w:spacing w:val="-5"/>
                <w:sz w:val="21"/>
                <w:szCs w:val="21"/>
              </w:rPr>
              <w:t>A1</w:t>
            </w:r>
          </w:p>
        </w:tc>
        <w:tc>
          <w:tcPr>
            <w:tcW w:w="2820" w:type="dxa"/>
          </w:tcPr>
          <w:p w14:paraId="733614B7" w14:textId="77777777" w:rsidR="00B6163B" w:rsidRPr="00576C4B" w:rsidRDefault="00B6163B" w:rsidP="00CF5979">
            <w:pPr>
              <w:pStyle w:val="TableParagraph"/>
              <w:rPr>
                <w:rFonts w:ascii="Arial" w:hAnsi="Arial" w:cs="Arial"/>
                <w:b/>
                <w:sz w:val="21"/>
                <w:szCs w:val="21"/>
              </w:rPr>
            </w:pPr>
            <w:r w:rsidRPr="00576C4B">
              <w:rPr>
                <w:rFonts w:ascii="Arial" w:hAnsi="Arial" w:cs="Arial"/>
                <w:b/>
                <w:sz w:val="21"/>
                <w:szCs w:val="21"/>
              </w:rPr>
              <w:t>There is a rare but clinically definable</w:t>
            </w:r>
            <w:r w:rsidRPr="00576C4B">
              <w:rPr>
                <w:rFonts w:ascii="Arial" w:hAnsi="Arial" w:cs="Arial"/>
                <w:b/>
                <w:spacing w:val="-10"/>
                <w:sz w:val="21"/>
                <w:szCs w:val="21"/>
              </w:rPr>
              <w:t xml:space="preserve"> </w:t>
            </w:r>
            <w:r w:rsidRPr="00576C4B">
              <w:rPr>
                <w:rFonts w:ascii="Arial" w:hAnsi="Arial" w:cs="Arial"/>
                <w:b/>
                <w:sz w:val="21"/>
                <w:szCs w:val="21"/>
              </w:rPr>
              <w:t>disease</w:t>
            </w:r>
            <w:r w:rsidRPr="00576C4B">
              <w:rPr>
                <w:rFonts w:ascii="Arial" w:hAnsi="Arial" w:cs="Arial"/>
                <w:b/>
                <w:spacing w:val="-10"/>
                <w:sz w:val="21"/>
                <w:szCs w:val="21"/>
              </w:rPr>
              <w:t xml:space="preserve"> </w:t>
            </w:r>
            <w:r w:rsidRPr="00576C4B">
              <w:rPr>
                <w:rFonts w:ascii="Arial" w:hAnsi="Arial" w:cs="Arial"/>
                <w:b/>
                <w:sz w:val="21"/>
                <w:szCs w:val="21"/>
              </w:rPr>
              <w:t>for</w:t>
            </w:r>
            <w:r w:rsidRPr="00576C4B">
              <w:rPr>
                <w:rFonts w:ascii="Arial" w:hAnsi="Arial" w:cs="Arial"/>
                <w:b/>
                <w:spacing w:val="-9"/>
                <w:sz w:val="21"/>
                <w:szCs w:val="21"/>
              </w:rPr>
              <w:t xml:space="preserve"> </w:t>
            </w:r>
            <w:r w:rsidRPr="00576C4B">
              <w:rPr>
                <w:rFonts w:ascii="Arial" w:hAnsi="Arial" w:cs="Arial"/>
                <w:b/>
                <w:sz w:val="21"/>
                <w:szCs w:val="21"/>
              </w:rPr>
              <w:t>which</w:t>
            </w:r>
            <w:r w:rsidRPr="00576C4B">
              <w:rPr>
                <w:rFonts w:ascii="Arial" w:hAnsi="Arial" w:cs="Arial"/>
                <w:b/>
                <w:spacing w:val="-9"/>
                <w:sz w:val="21"/>
                <w:szCs w:val="21"/>
              </w:rPr>
              <w:t xml:space="preserve"> </w:t>
            </w:r>
            <w:r w:rsidRPr="00576C4B">
              <w:rPr>
                <w:rFonts w:ascii="Arial" w:hAnsi="Arial" w:cs="Arial"/>
                <w:b/>
                <w:sz w:val="21"/>
                <w:szCs w:val="21"/>
              </w:rPr>
              <w:t xml:space="preserve">the drug is regarded as a proven therapeutic modality, </w:t>
            </w:r>
            <w:proofErr w:type="gramStart"/>
            <w:r w:rsidRPr="00576C4B">
              <w:rPr>
                <w:rFonts w:ascii="Arial" w:hAnsi="Arial" w:cs="Arial"/>
                <w:b/>
                <w:sz w:val="21"/>
                <w:szCs w:val="21"/>
              </w:rPr>
              <w:t>i.e.</w:t>
            </w:r>
            <w:proofErr w:type="gramEnd"/>
            <w:r w:rsidRPr="00576C4B">
              <w:rPr>
                <w:rFonts w:ascii="Arial" w:hAnsi="Arial" w:cs="Arial"/>
                <w:b/>
                <w:sz w:val="21"/>
                <w:szCs w:val="21"/>
              </w:rPr>
              <w:t xml:space="preserve"> approved</w:t>
            </w:r>
            <w:r w:rsidRPr="00576C4B">
              <w:rPr>
                <w:rFonts w:ascii="Arial" w:hAnsi="Arial" w:cs="Arial"/>
                <w:b/>
                <w:spacing w:val="-8"/>
                <w:sz w:val="21"/>
                <w:szCs w:val="21"/>
              </w:rPr>
              <w:t xml:space="preserve"> </w:t>
            </w:r>
            <w:r w:rsidRPr="00576C4B">
              <w:rPr>
                <w:rFonts w:ascii="Arial" w:hAnsi="Arial" w:cs="Arial"/>
                <w:b/>
                <w:sz w:val="21"/>
                <w:szCs w:val="21"/>
              </w:rPr>
              <w:t>for</w:t>
            </w:r>
            <w:r w:rsidRPr="00576C4B">
              <w:rPr>
                <w:rFonts w:ascii="Arial" w:hAnsi="Arial" w:cs="Arial"/>
                <w:b/>
                <w:spacing w:val="-10"/>
                <w:sz w:val="21"/>
                <w:szCs w:val="21"/>
              </w:rPr>
              <w:t xml:space="preserve"> </w:t>
            </w:r>
            <w:r w:rsidRPr="00576C4B">
              <w:rPr>
                <w:rFonts w:ascii="Arial" w:hAnsi="Arial" w:cs="Arial"/>
                <w:b/>
                <w:sz w:val="21"/>
                <w:szCs w:val="21"/>
              </w:rPr>
              <w:t>that</w:t>
            </w:r>
            <w:r w:rsidRPr="00576C4B">
              <w:rPr>
                <w:rFonts w:ascii="Arial" w:hAnsi="Arial" w:cs="Arial"/>
                <w:b/>
                <w:spacing w:val="-9"/>
                <w:sz w:val="21"/>
                <w:szCs w:val="21"/>
              </w:rPr>
              <w:t xml:space="preserve"> </w:t>
            </w:r>
            <w:r w:rsidRPr="00576C4B">
              <w:rPr>
                <w:rFonts w:ascii="Arial" w:hAnsi="Arial" w:cs="Arial"/>
                <w:b/>
                <w:sz w:val="21"/>
                <w:szCs w:val="21"/>
              </w:rPr>
              <w:t>indication</w:t>
            </w:r>
            <w:r w:rsidRPr="00576C4B">
              <w:rPr>
                <w:rFonts w:ascii="Arial" w:hAnsi="Arial" w:cs="Arial"/>
                <w:b/>
                <w:spacing w:val="-10"/>
                <w:sz w:val="21"/>
                <w:szCs w:val="21"/>
              </w:rPr>
              <w:t xml:space="preserve"> </w:t>
            </w:r>
            <w:r w:rsidRPr="00576C4B">
              <w:rPr>
                <w:rFonts w:ascii="Arial" w:hAnsi="Arial" w:cs="Arial"/>
                <w:b/>
                <w:sz w:val="21"/>
                <w:szCs w:val="21"/>
              </w:rPr>
              <w:t>by the Therapeutic Goods Administration (prevalence of</w:t>
            </w:r>
          </w:p>
          <w:p w14:paraId="7CC5ADC2" w14:textId="77777777" w:rsidR="00B6163B" w:rsidRPr="00576C4B" w:rsidRDefault="00B6163B" w:rsidP="00CF5979">
            <w:pPr>
              <w:pStyle w:val="TableParagraph"/>
              <w:spacing w:before="0"/>
              <w:rPr>
                <w:rFonts w:ascii="Arial" w:hAnsi="Arial" w:cs="Arial"/>
                <w:b/>
                <w:sz w:val="21"/>
                <w:szCs w:val="21"/>
              </w:rPr>
            </w:pPr>
            <w:r w:rsidRPr="00576C4B">
              <w:rPr>
                <w:rFonts w:ascii="Arial" w:hAnsi="Arial" w:cs="Arial"/>
                <w:b/>
                <w:sz w:val="21"/>
                <w:szCs w:val="21"/>
              </w:rPr>
              <w:t>≤1</w:t>
            </w:r>
            <w:r w:rsidRPr="00576C4B">
              <w:rPr>
                <w:rFonts w:ascii="Arial" w:hAnsi="Arial" w:cs="Arial"/>
                <w:b/>
                <w:spacing w:val="-6"/>
                <w:sz w:val="21"/>
                <w:szCs w:val="21"/>
              </w:rPr>
              <w:t xml:space="preserve"> </w:t>
            </w:r>
            <w:r w:rsidRPr="00576C4B">
              <w:rPr>
                <w:rFonts w:ascii="Arial" w:hAnsi="Arial" w:cs="Arial"/>
                <w:b/>
                <w:sz w:val="21"/>
                <w:szCs w:val="21"/>
              </w:rPr>
              <w:t>per</w:t>
            </w:r>
            <w:r w:rsidRPr="00576C4B">
              <w:rPr>
                <w:rFonts w:ascii="Arial" w:hAnsi="Arial" w:cs="Arial"/>
                <w:b/>
                <w:spacing w:val="-4"/>
                <w:sz w:val="21"/>
                <w:szCs w:val="21"/>
              </w:rPr>
              <w:t xml:space="preserve"> </w:t>
            </w:r>
            <w:r w:rsidRPr="00576C4B">
              <w:rPr>
                <w:rFonts w:ascii="Arial" w:hAnsi="Arial" w:cs="Arial"/>
                <w:b/>
                <w:sz w:val="21"/>
                <w:szCs w:val="21"/>
              </w:rPr>
              <w:t>50,000</w:t>
            </w:r>
            <w:r w:rsidRPr="00576C4B">
              <w:rPr>
                <w:rFonts w:ascii="Arial" w:hAnsi="Arial" w:cs="Arial"/>
                <w:b/>
                <w:spacing w:val="-5"/>
                <w:sz w:val="21"/>
                <w:szCs w:val="21"/>
              </w:rPr>
              <w:t xml:space="preserve"> </w:t>
            </w:r>
            <w:r w:rsidRPr="00576C4B">
              <w:rPr>
                <w:rFonts w:ascii="Arial" w:hAnsi="Arial" w:cs="Arial"/>
                <w:b/>
                <w:spacing w:val="-2"/>
                <w:sz w:val="21"/>
                <w:szCs w:val="21"/>
              </w:rPr>
              <w:t>people).</w:t>
            </w:r>
          </w:p>
        </w:tc>
        <w:tc>
          <w:tcPr>
            <w:tcW w:w="5758" w:type="dxa"/>
          </w:tcPr>
          <w:p w14:paraId="34AFCF7C" w14:textId="19D530DF" w:rsidR="005C67C8" w:rsidRPr="007D19DF" w:rsidRDefault="007D19DF" w:rsidP="007D19DF">
            <w:pPr>
              <w:pStyle w:val="TableParagraph"/>
              <w:ind w:right="160"/>
              <w:rPr>
                <w:rFonts w:ascii="Arial" w:hAnsi="Arial" w:cs="Arial"/>
                <w:sz w:val="21"/>
                <w:szCs w:val="21"/>
              </w:rPr>
            </w:pPr>
            <w:r w:rsidRPr="007D19DF">
              <w:rPr>
                <w:rFonts w:ascii="Arial" w:hAnsi="Arial" w:cs="Arial"/>
                <w:sz w:val="21"/>
                <w:szCs w:val="21"/>
              </w:rPr>
              <w:t xml:space="preserve">The Panel concluded that </w:t>
            </w:r>
            <w:proofErr w:type="spellStart"/>
            <w:r w:rsidRPr="007D19DF">
              <w:rPr>
                <w:rFonts w:ascii="Arial" w:hAnsi="Arial" w:cs="Arial"/>
                <w:sz w:val="21"/>
                <w:szCs w:val="21"/>
              </w:rPr>
              <w:t>Pompe</w:t>
            </w:r>
            <w:proofErr w:type="spellEnd"/>
            <w:r w:rsidRPr="007D19DF">
              <w:rPr>
                <w:rFonts w:ascii="Arial" w:hAnsi="Arial" w:cs="Arial"/>
                <w:sz w:val="21"/>
                <w:szCs w:val="21"/>
              </w:rPr>
              <w:t xml:space="preserve"> disease </w:t>
            </w:r>
            <w:r w:rsidR="005C67C8">
              <w:rPr>
                <w:rFonts w:ascii="Arial" w:hAnsi="Arial" w:cs="Arial"/>
                <w:sz w:val="21"/>
                <w:szCs w:val="21"/>
              </w:rPr>
              <w:t xml:space="preserve">meets prevalence criteria and </w:t>
            </w:r>
            <w:r w:rsidRPr="007D19DF">
              <w:rPr>
                <w:rFonts w:ascii="Arial" w:hAnsi="Arial" w:cs="Arial"/>
                <w:sz w:val="21"/>
                <w:szCs w:val="21"/>
              </w:rPr>
              <w:t xml:space="preserve">remains suitable for inclusion on the LSDP </w:t>
            </w:r>
            <w:r w:rsidR="005C67C8">
              <w:rPr>
                <w:rFonts w:ascii="Arial" w:hAnsi="Arial" w:cs="Arial"/>
                <w:sz w:val="21"/>
                <w:szCs w:val="21"/>
              </w:rPr>
              <w:t>through its</w:t>
            </w:r>
            <w:r w:rsidRPr="007D19DF">
              <w:rPr>
                <w:rFonts w:ascii="Arial" w:hAnsi="Arial" w:cs="Arial"/>
                <w:sz w:val="21"/>
                <w:szCs w:val="21"/>
              </w:rPr>
              <w:t xml:space="preserve"> Review of </w:t>
            </w:r>
            <w:proofErr w:type="spellStart"/>
            <w:r w:rsidRPr="007D19DF">
              <w:rPr>
                <w:rFonts w:ascii="Arial" w:hAnsi="Arial" w:cs="Arial"/>
                <w:sz w:val="21"/>
                <w:szCs w:val="21"/>
              </w:rPr>
              <w:t>Pompe</w:t>
            </w:r>
            <w:proofErr w:type="spellEnd"/>
            <w:r w:rsidRPr="007D19DF">
              <w:rPr>
                <w:rFonts w:ascii="Arial" w:hAnsi="Arial" w:cs="Arial"/>
                <w:sz w:val="21"/>
                <w:szCs w:val="21"/>
              </w:rPr>
              <w:t xml:space="preserve"> Disease.</w:t>
            </w:r>
          </w:p>
          <w:p w14:paraId="3154579E" w14:textId="22C08892" w:rsidR="00B6163B" w:rsidRPr="00576C4B" w:rsidRDefault="005C67C8" w:rsidP="00284BA2">
            <w:pPr>
              <w:pStyle w:val="TableParagraph"/>
              <w:ind w:right="160"/>
              <w:rPr>
                <w:rFonts w:ascii="Arial" w:hAnsi="Arial" w:cs="Arial"/>
                <w:sz w:val="21"/>
                <w:szCs w:val="21"/>
              </w:rPr>
            </w:pPr>
            <w:proofErr w:type="spellStart"/>
            <w:r>
              <w:rPr>
                <w:rFonts w:ascii="Arial" w:hAnsi="Arial" w:cs="Arial"/>
                <w:sz w:val="21"/>
                <w:szCs w:val="21"/>
              </w:rPr>
              <w:t>Avalglucosidase</w:t>
            </w:r>
            <w:proofErr w:type="spellEnd"/>
            <w:r>
              <w:rPr>
                <w:rFonts w:ascii="Arial" w:hAnsi="Arial" w:cs="Arial"/>
                <w:sz w:val="21"/>
                <w:szCs w:val="21"/>
              </w:rPr>
              <w:t xml:space="preserve"> alfa</w:t>
            </w:r>
            <w:r w:rsidRPr="007D19DF">
              <w:rPr>
                <w:rFonts w:ascii="Arial" w:hAnsi="Arial" w:cs="Arial"/>
                <w:sz w:val="21"/>
                <w:szCs w:val="21"/>
              </w:rPr>
              <w:t xml:space="preserve"> </w:t>
            </w:r>
            <w:r w:rsidR="007D19DF" w:rsidRPr="007D19DF">
              <w:rPr>
                <w:rFonts w:ascii="Arial" w:hAnsi="Arial" w:cs="Arial"/>
                <w:sz w:val="21"/>
                <w:szCs w:val="21"/>
              </w:rPr>
              <w:t xml:space="preserve">is TGA approved for long term ERT for the treatment of patients 1 year of age and older with </w:t>
            </w:r>
            <w:proofErr w:type="spellStart"/>
            <w:r w:rsidR="007D19DF" w:rsidRPr="007D19DF">
              <w:rPr>
                <w:rFonts w:ascii="Arial" w:hAnsi="Arial" w:cs="Arial"/>
                <w:sz w:val="21"/>
                <w:szCs w:val="21"/>
              </w:rPr>
              <w:t>Pompe</w:t>
            </w:r>
            <w:proofErr w:type="spellEnd"/>
            <w:r w:rsidR="007D19DF" w:rsidRPr="007D19DF">
              <w:rPr>
                <w:rFonts w:ascii="Arial" w:hAnsi="Arial" w:cs="Arial"/>
                <w:sz w:val="21"/>
                <w:szCs w:val="21"/>
              </w:rPr>
              <w:t xml:space="preserve"> disease (acid α glucosidase deficiency).</w:t>
            </w:r>
          </w:p>
        </w:tc>
      </w:tr>
      <w:tr w:rsidR="00B6163B" w14:paraId="61E61624" w14:textId="77777777" w:rsidTr="00284BA2">
        <w:trPr>
          <w:trHeight w:val="2098"/>
        </w:trPr>
        <w:tc>
          <w:tcPr>
            <w:tcW w:w="573" w:type="dxa"/>
          </w:tcPr>
          <w:p w14:paraId="48F59112" w14:textId="77777777" w:rsidR="00B6163B" w:rsidRPr="00576C4B" w:rsidRDefault="00B6163B" w:rsidP="00CF5979">
            <w:pPr>
              <w:pStyle w:val="TableParagraph"/>
              <w:rPr>
                <w:rFonts w:ascii="Arial" w:hAnsi="Arial" w:cs="Arial"/>
                <w:b/>
                <w:sz w:val="21"/>
                <w:szCs w:val="21"/>
              </w:rPr>
            </w:pPr>
            <w:r w:rsidRPr="00576C4B">
              <w:rPr>
                <w:rFonts w:ascii="Arial" w:hAnsi="Arial" w:cs="Arial"/>
                <w:b/>
                <w:spacing w:val="-5"/>
                <w:sz w:val="21"/>
                <w:szCs w:val="21"/>
              </w:rPr>
              <w:t>A2</w:t>
            </w:r>
          </w:p>
        </w:tc>
        <w:tc>
          <w:tcPr>
            <w:tcW w:w="2820" w:type="dxa"/>
          </w:tcPr>
          <w:p w14:paraId="0FCB29DF" w14:textId="77777777" w:rsidR="00B6163B" w:rsidRPr="00576C4B" w:rsidRDefault="00B6163B" w:rsidP="00CF5979">
            <w:pPr>
              <w:pStyle w:val="TableParagraph"/>
              <w:ind w:right="143"/>
              <w:rPr>
                <w:rFonts w:ascii="Arial" w:hAnsi="Arial" w:cs="Arial"/>
                <w:b/>
                <w:sz w:val="21"/>
                <w:szCs w:val="21"/>
              </w:rPr>
            </w:pPr>
            <w:r w:rsidRPr="00576C4B">
              <w:rPr>
                <w:rFonts w:ascii="Arial" w:hAnsi="Arial" w:cs="Arial"/>
                <w:b/>
                <w:sz w:val="21"/>
                <w:szCs w:val="21"/>
              </w:rPr>
              <w:t>The</w:t>
            </w:r>
            <w:r w:rsidRPr="00576C4B">
              <w:rPr>
                <w:rFonts w:ascii="Arial" w:hAnsi="Arial" w:cs="Arial"/>
                <w:b/>
                <w:spacing w:val="-10"/>
                <w:sz w:val="21"/>
                <w:szCs w:val="21"/>
              </w:rPr>
              <w:t xml:space="preserve"> </w:t>
            </w:r>
            <w:r w:rsidRPr="00576C4B">
              <w:rPr>
                <w:rFonts w:ascii="Arial" w:hAnsi="Arial" w:cs="Arial"/>
                <w:b/>
                <w:sz w:val="21"/>
                <w:szCs w:val="21"/>
              </w:rPr>
              <w:t>disease</w:t>
            </w:r>
            <w:r w:rsidRPr="00576C4B">
              <w:rPr>
                <w:rFonts w:ascii="Arial" w:hAnsi="Arial" w:cs="Arial"/>
                <w:b/>
                <w:spacing w:val="-10"/>
                <w:sz w:val="21"/>
                <w:szCs w:val="21"/>
              </w:rPr>
              <w:t xml:space="preserve"> </w:t>
            </w:r>
            <w:r w:rsidRPr="00576C4B">
              <w:rPr>
                <w:rFonts w:ascii="Arial" w:hAnsi="Arial" w:cs="Arial"/>
                <w:b/>
                <w:sz w:val="21"/>
                <w:szCs w:val="21"/>
              </w:rPr>
              <w:t>is</w:t>
            </w:r>
            <w:r w:rsidRPr="00576C4B">
              <w:rPr>
                <w:rFonts w:ascii="Arial" w:hAnsi="Arial" w:cs="Arial"/>
                <w:b/>
                <w:spacing w:val="-10"/>
                <w:sz w:val="21"/>
                <w:szCs w:val="21"/>
              </w:rPr>
              <w:t xml:space="preserve"> </w:t>
            </w:r>
            <w:r w:rsidRPr="00576C4B">
              <w:rPr>
                <w:rFonts w:ascii="Arial" w:hAnsi="Arial" w:cs="Arial"/>
                <w:b/>
                <w:sz w:val="21"/>
                <w:szCs w:val="21"/>
              </w:rPr>
              <w:t>identifiable</w:t>
            </w:r>
            <w:r w:rsidRPr="00576C4B">
              <w:rPr>
                <w:rFonts w:ascii="Arial" w:hAnsi="Arial" w:cs="Arial"/>
                <w:b/>
                <w:spacing w:val="-9"/>
                <w:sz w:val="21"/>
                <w:szCs w:val="21"/>
              </w:rPr>
              <w:t xml:space="preserve"> </w:t>
            </w:r>
            <w:r w:rsidRPr="00576C4B">
              <w:rPr>
                <w:rFonts w:ascii="Arial" w:hAnsi="Arial" w:cs="Arial"/>
                <w:b/>
                <w:sz w:val="21"/>
                <w:szCs w:val="21"/>
              </w:rPr>
              <w:t>with reasonable diagnostic</w:t>
            </w:r>
            <w:r w:rsidRPr="00576C4B">
              <w:rPr>
                <w:rFonts w:ascii="Arial" w:hAnsi="Arial" w:cs="Arial"/>
                <w:b/>
                <w:spacing w:val="40"/>
                <w:sz w:val="21"/>
                <w:szCs w:val="21"/>
              </w:rPr>
              <w:t xml:space="preserve"> </w:t>
            </w:r>
            <w:r w:rsidRPr="00576C4B">
              <w:rPr>
                <w:rFonts w:ascii="Arial" w:hAnsi="Arial" w:cs="Arial"/>
                <w:b/>
                <w:spacing w:val="-2"/>
                <w:sz w:val="21"/>
                <w:szCs w:val="21"/>
              </w:rPr>
              <w:t>precision</w:t>
            </w:r>
          </w:p>
        </w:tc>
        <w:tc>
          <w:tcPr>
            <w:tcW w:w="5758" w:type="dxa"/>
          </w:tcPr>
          <w:p w14:paraId="16374887" w14:textId="426E25E1" w:rsidR="00B6163B" w:rsidRPr="00576C4B" w:rsidRDefault="007D19DF" w:rsidP="00CF5979">
            <w:pPr>
              <w:pStyle w:val="TableParagraph"/>
              <w:spacing w:before="120"/>
              <w:ind w:right="160"/>
              <w:rPr>
                <w:rFonts w:ascii="Arial" w:hAnsi="Arial" w:cs="Arial"/>
                <w:sz w:val="21"/>
                <w:szCs w:val="21"/>
              </w:rPr>
            </w:pPr>
            <w:proofErr w:type="spellStart"/>
            <w:r w:rsidRPr="007D19DF">
              <w:rPr>
                <w:rFonts w:ascii="Arial" w:hAnsi="Arial" w:cs="Arial"/>
                <w:sz w:val="21"/>
                <w:szCs w:val="21"/>
              </w:rPr>
              <w:t>Pompe</w:t>
            </w:r>
            <w:proofErr w:type="spellEnd"/>
            <w:r w:rsidRPr="007D19DF">
              <w:rPr>
                <w:rFonts w:ascii="Arial" w:hAnsi="Arial" w:cs="Arial"/>
                <w:sz w:val="21"/>
                <w:szCs w:val="21"/>
              </w:rPr>
              <w:t xml:space="preserve"> disease is identifiable through demonstration of a deficiency of acid alpha glucosidase (in dried blood spot, lymphocytes, or mixed leukocytes, or skin fibroblasts, or skeletal muscle), elevation of glucose </w:t>
            </w:r>
            <w:proofErr w:type="spellStart"/>
            <w:r w:rsidRPr="007D19DF">
              <w:rPr>
                <w:rFonts w:ascii="Arial" w:hAnsi="Arial" w:cs="Arial"/>
                <w:sz w:val="21"/>
                <w:szCs w:val="21"/>
              </w:rPr>
              <w:t>tetrasaccharides</w:t>
            </w:r>
            <w:proofErr w:type="spellEnd"/>
            <w:r w:rsidRPr="007D19DF">
              <w:rPr>
                <w:rFonts w:ascii="Arial" w:hAnsi="Arial" w:cs="Arial"/>
                <w:sz w:val="21"/>
                <w:szCs w:val="21"/>
              </w:rPr>
              <w:t xml:space="preserve"> in urinary testing and molecular genetic testing indicating a </w:t>
            </w:r>
            <w:proofErr w:type="gramStart"/>
            <w:r w:rsidRPr="007D19DF">
              <w:rPr>
                <w:rFonts w:ascii="Arial" w:hAnsi="Arial" w:cs="Arial"/>
                <w:sz w:val="21"/>
                <w:szCs w:val="21"/>
              </w:rPr>
              <w:t>disease causing</w:t>
            </w:r>
            <w:proofErr w:type="gramEnd"/>
            <w:r w:rsidRPr="007D19DF">
              <w:rPr>
                <w:rFonts w:ascii="Arial" w:hAnsi="Arial" w:cs="Arial"/>
                <w:sz w:val="21"/>
                <w:szCs w:val="21"/>
              </w:rPr>
              <w:t xml:space="preserve"> mutation in the acid alpha glucosidase gene (GAA gene), with two of three tests required for confirmation of diagnosis under the LSDP criteria.</w:t>
            </w:r>
          </w:p>
        </w:tc>
      </w:tr>
      <w:tr w:rsidR="00B6163B" w14:paraId="75488A75" w14:textId="77777777" w:rsidTr="00284BA2">
        <w:trPr>
          <w:trHeight w:val="2682"/>
        </w:trPr>
        <w:tc>
          <w:tcPr>
            <w:tcW w:w="573" w:type="dxa"/>
          </w:tcPr>
          <w:p w14:paraId="52EC5EA2" w14:textId="77777777" w:rsidR="00B6163B" w:rsidRPr="00576C4B" w:rsidRDefault="00B6163B" w:rsidP="00CF5979">
            <w:pPr>
              <w:pStyle w:val="TableParagraph"/>
              <w:spacing w:before="123"/>
              <w:rPr>
                <w:rFonts w:ascii="Arial" w:hAnsi="Arial" w:cs="Arial"/>
                <w:b/>
                <w:sz w:val="21"/>
                <w:szCs w:val="21"/>
              </w:rPr>
            </w:pPr>
            <w:r w:rsidRPr="00576C4B">
              <w:rPr>
                <w:rFonts w:ascii="Arial" w:hAnsi="Arial" w:cs="Arial"/>
                <w:b/>
                <w:spacing w:val="-5"/>
                <w:sz w:val="21"/>
                <w:szCs w:val="21"/>
              </w:rPr>
              <w:t>A3</w:t>
            </w:r>
          </w:p>
        </w:tc>
        <w:tc>
          <w:tcPr>
            <w:tcW w:w="2820" w:type="dxa"/>
          </w:tcPr>
          <w:p w14:paraId="50F75AD8" w14:textId="77777777" w:rsidR="00B6163B" w:rsidRPr="00576C4B" w:rsidRDefault="00B6163B" w:rsidP="00CF5979">
            <w:pPr>
              <w:pStyle w:val="TableParagraph"/>
              <w:rPr>
                <w:rFonts w:ascii="Arial" w:hAnsi="Arial" w:cs="Arial"/>
                <w:b/>
                <w:sz w:val="21"/>
                <w:szCs w:val="21"/>
              </w:rPr>
            </w:pPr>
            <w:r w:rsidRPr="00576C4B">
              <w:rPr>
                <w:rFonts w:ascii="Arial" w:hAnsi="Arial" w:cs="Arial"/>
                <w:b/>
                <w:sz w:val="21"/>
                <w:szCs w:val="21"/>
              </w:rPr>
              <w:t>Epidemiological and other studies provide evidence that the</w:t>
            </w:r>
            <w:r w:rsidRPr="00576C4B">
              <w:rPr>
                <w:rFonts w:ascii="Arial" w:hAnsi="Arial" w:cs="Arial"/>
                <w:b/>
                <w:spacing w:val="-10"/>
                <w:sz w:val="21"/>
                <w:szCs w:val="21"/>
              </w:rPr>
              <w:t xml:space="preserve"> </w:t>
            </w:r>
            <w:r w:rsidRPr="00576C4B">
              <w:rPr>
                <w:rFonts w:ascii="Arial" w:hAnsi="Arial" w:cs="Arial"/>
                <w:b/>
                <w:sz w:val="21"/>
                <w:szCs w:val="21"/>
              </w:rPr>
              <w:t>disease</w:t>
            </w:r>
            <w:r w:rsidRPr="00576C4B">
              <w:rPr>
                <w:rFonts w:ascii="Arial" w:hAnsi="Arial" w:cs="Arial"/>
                <w:b/>
                <w:spacing w:val="-10"/>
                <w:sz w:val="21"/>
                <w:szCs w:val="21"/>
              </w:rPr>
              <w:t xml:space="preserve"> </w:t>
            </w:r>
            <w:r w:rsidRPr="00576C4B">
              <w:rPr>
                <w:rFonts w:ascii="Arial" w:hAnsi="Arial" w:cs="Arial"/>
                <w:b/>
                <w:sz w:val="21"/>
                <w:szCs w:val="21"/>
              </w:rPr>
              <w:t>causes</w:t>
            </w:r>
            <w:r w:rsidRPr="00576C4B">
              <w:rPr>
                <w:rFonts w:ascii="Arial" w:hAnsi="Arial" w:cs="Arial"/>
                <w:b/>
                <w:spacing w:val="-10"/>
                <w:sz w:val="21"/>
                <w:szCs w:val="21"/>
              </w:rPr>
              <w:t xml:space="preserve"> </w:t>
            </w:r>
            <w:r w:rsidRPr="00576C4B">
              <w:rPr>
                <w:rFonts w:ascii="Arial" w:hAnsi="Arial" w:cs="Arial"/>
                <w:b/>
                <w:sz w:val="21"/>
                <w:szCs w:val="21"/>
              </w:rPr>
              <w:t>a</w:t>
            </w:r>
            <w:r w:rsidRPr="00576C4B">
              <w:rPr>
                <w:rFonts w:ascii="Arial" w:hAnsi="Arial" w:cs="Arial"/>
                <w:b/>
                <w:spacing w:val="-10"/>
                <w:sz w:val="21"/>
                <w:szCs w:val="21"/>
              </w:rPr>
              <w:t xml:space="preserve"> </w:t>
            </w:r>
            <w:r w:rsidRPr="00576C4B">
              <w:rPr>
                <w:rFonts w:ascii="Arial" w:hAnsi="Arial" w:cs="Arial"/>
                <w:b/>
                <w:sz w:val="21"/>
                <w:szCs w:val="21"/>
              </w:rPr>
              <w:t>significant reduction in age-specific life expectancy for those suffering from the disease</w:t>
            </w:r>
          </w:p>
        </w:tc>
        <w:tc>
          <w:tcPr>
            <w:tcW w:w="5758" w:type="dxa"/>
          </w:tcPr>
          <w:p w14:paraId="34F9E195" w14:textId="065BE84F" w:rsidR="007D19DF" w:rsidRPr="007D19DF" w:rsidRDefault="007D19DF" w:rsidP="007D19DF">
            <w:pPr>
              <w:pStyle w:val="TableParagraph"/>
              <w:ind w:right="160"/>
              <w:rPr>
                <w:rFonts w:ascii="Arial" w:hAnsi="Arial" w:cs="Arial"/>
                <w:sz w:val="21"/>
                <w:szCs w:val="21"/>
              </w:rPr>
            </w:pPr>
            <w:r w:rsidRPr="007D19DF">
              <w:rPr>
                <w:rFonts w:ascii="Arial" w:hAnsi="Arial" w:cs="Arial"/>
                <w:sz w:val="21"/>
                <w:szCs w:val="21"/>
              </w:rPr>
              <w:t xml:space="preserve">Untreated patients </w:t>
            </w:r>
            <w:r w:rsidRPr="00A05258">
              <w:rPr>
                <w:rFonts w:ascii="Arial" w:hAnsi="Arial" w:cs="Arial"/>
                <w:sz w:val="21"/>
                <w:szCs w:val="21"/>
              </w:rPr>
              <w:t>with IOPD typically</w:t>
            </w:r>
            <w:r w:rsidRPr="007D19DF">
              <w:rPr>
                <w:rFonts w:ascii="Arial" w:hAnsi="Arial" w:cs="Arial"/>
                <w:sz w:val="21"/>
                <w:szCs w:val="21"/>
              </w:rPr>
              <w:t xml:space="preserve"> experience devastating symptoms affecting the cardiovascular, </w:t>
            </w:r>
            <w:proofErr w:type="gramStart"/>
            <w:r w:rsidRPr="007D19DF">
              <w:rPr>
                <w:rFonts w:ascii="Arial" w:hAnsi="Arial" w:cs="Arial"/>
                <w:sz w:val="21"/>
                <w:szCs w:val="21"/>
              </w:rPr>
              <w:t>respiratory</w:t>
            </w:r>
            <w:proofErr w:type="gramEnd"/>
            <w:r w:rsidRPr="007D19DF">
              <w:rPr>
                <w:rFonts w:ascii="Arial" w:hAnsi="Arial" w:cs="Arial"/>
                <w:sz w:val="21"/>
                <w:szCs w:val="21"/>
              </w:rPr>
              <w:t xml:space="preserve"> and musculoskeletal systems. Without treatment, patients generally die from cardiorespiratory complications within the first 2 years of life.</w:t>
            </w:r>
          </w:p>
          <w:p w14:paraId="714FF18F" w14:textId="0A495EBC" w:rsidR="007D19DF" w:rsidRPr="007D19DF" w:rsidRDefault="007D19DF" w:rsidP="007D19DF">
            <w:pPr>
              <w:pStyle w:val="TableParagraph"/>
              <w:ind w:right="160"/>
              <w:rPr>
                <w:rFonts w:ascii="Arial" w:hAnsi="Arial" w:cs="Arial"/>
                <w:sz w:val="21"/>
                <w:szCs w:val="21"/>
              </w:rPr>
            </w:pPr>
            <w:r w:rsidRPr="007D19DF">
              <w:rPr>
                <w:rFonts w:ascii="Arial" w:hAnsi="Arial" w:cs="Arial"/>
                <w:sz w:val="21"/>
                <w:szCs w:val="21"/>
              </w:rPr>
              <w:t xml:space="preserve">The course of JOPD is more slowly progressive. In younger children, it can present as delayed motor milestones, followed by progressive proximal muscle weakness with involvement of respiratory muscles. Death usually occurs because of respiratory failure before the end of the third decade. </w:t>
            </w:r>
          </w:p>
          <w:p w14:paraId="214F2B9B" w14:textId="5F1CA8A7" w:rsidR="00B6163B" w:rsidRPr="00576C4B" w:rsidRDefault="007D19DF" w:rsidP="00284BA2">
            <w:pPr>
              <w:pStyle w:val="TableParagraph"/>
              <w:ind w:right="160"/>
              <w:rPr>
                <w:rFonts w:ascii="Arial" w:hAnsi="Arial" w:cs="Arial"/>
                <w:sz w:val="21"/>
                <w:szCs w:val="21"/>
              </w:rPr>
            </w:pPr>
            <w:r w:rsidRPr="007D19DF">
              <w:rPr>
                <w:rFonts w:ascii="Arial" w:hAnsi="Arial" w:cs="Arial"/>
                <w:sz w:val="21"/>
                <w:szCs w:val="21"/>
              </w:rPr>
              <w:t>AOPD can present in the second to sixth decade of life as a slowly progressive proximal myopathy or, in approximately one third of cases, with symptoms dominated by respiratory insufficiency. Death in patients with either presentation usually results from respiratory failure</w:t>
            </w:r>
            <w:r w:rsidR="005C67C8">
              <w:rPr>
                <w:rFonts w:ascii="Arial" w:hAnsi="Arial" w:cs="Arial"/>
                <w:sz w:val="21"/>
                <w:szCs w:val="21"/>
              </w:rPr>
              <w:t xml:space="preserve">. </w:t>
            </w:r>
          </w:p>
        </w:tc>
      </w:tr>
      <w:tr w:rsidR="009678F9" w14:paraId="654B8067" w14:textId="77777777" w:rsidTr="00284BA2">
        <w:trPr>
          <w:trHeight w:val="2682"/>
        </w:trPr>
        <w:tc>
          <w:tcPr>
            <w:tcW w:w="573" w:type="dxa"/>
          </w:tcPr>
          <w:p w14:paraId="10FE5B2E" w14:textId="50488684" w:rsidR="009678F9" w:rsidRPr="00576C4B" w:rsidRDefault="009678F9" w:rsidP="009678F9">
            <w:pPr>
              <w:pStyle w:val="TableParagraph"/>
              <w:spacing w:before="123"/>
              <w:rPr>
                <w:rFonts w:ascii="Arial" w:hAnsi="Arial" w:cs="Arial"/>
                <w:b/>
                <w:spacing w:val="-5"/>
                <w:sz w:val="21"/>
                <w:szCs w:val="21"/>
              </w:rPr>
            </w:pPr>
            <w:r w:rsidRPr="009678F9">
              <w:rPr>
                <w:rFonts w:ascii="Arial" w:hAnsi="Arial" w:cs="Arial"/>
                <w:b/>
                <w:spacing w:val="-5"/>
                <w:sz w:val="21"/>
                <w:szCs w:val="21"/>
              </w:rPr>
              <w:lastRenderedPageBreak/>
              <w:t>A4 </w:t>
            </w:r>
          </w:p>
        </w:tc>
        <w:tc>
          <w:tcPr>
            <w:tcW w:w="2820" w:type="dxa"/>
          </w:tcPr>
          <w:p w14:paraId="08FCA53E" w14:textId="095D4B13" w:rsidR="009678F9" w:rsidRPr="009678F9" w:rsidRDefault="009678F9" w:rsidP="009678F9">
            <w:pPr>
              <w:pStyle w:val="TableParagraph"/>
              <w:rPr>
                <w:rFonts w:ascii="Arial" w:hAnsi="Arial" w:cs="Arial"/>
                <w:b/>
                <w:spacing w:val="-5"/>
                <w:sz w:val="21"/>
                <w:szCs w:val="21"/>
              </w:rPr>
            </w:pPr>
            <w:r w:rsidRPr="009678F9">
              <w:rPr>
                <w:rFonts w:ascii="Arial" w:hAnsi="Arial" w:cs="Arial"/>
                <w:b/>
                <w:spacing w:val="-5"/>
                <w:sz w:val="21"/>
                <w:szCs w:val="21"/>
              </w:rPr>
              <w:t>There is evidence to predict that a patient’s lifespan will be substantially extended as a direct consequence of the use of the drug </w:t>
            </w:r>
          </w:p>
        </w:tc>
        <w:tc>
          <w:tcPr>
            <w:tcW w:w="5758" w:type="dxa"/>
          </w:tcPr>
          <w:p w14:paraId="1902289F" w14:textId="7D19011B" w:rsidR="009678F9" w:rsidRPr="009678F9" w:rsidRDefault="009678F9" w:rsidP="009678F9">
            <w:pPr>
              <w:pStyle w:val="TableParagraph"/>
              <w:ind w:right="160"/>
              <w:rPr>
                <w:rFonts w:ascii="Arial" w:hAnsi="Arial" w:cs="Arial"/>
                <w:sz w:val="21"/>
                <w:szCs w:val="21"/>
              </w:rPr>
            </w:pPr>
            <w:r w:rsidRPr="009678F9">
              <w:rPr>
                <w:rFonts w:ascii="Arial" w:hAnsi="Arial" w:cs="Arial"/>
                <w:sz w:val="21"/>
                <w:szCs w:val="21"/>
              </w:rPr>
              <w:t xml:space="preserve">The survival gain from treatment with </w:t>
            </w:r>
            <w:r w:rsidR="00C45FFD">
              <w:rPr>
                <w:rFonts w:ascii="Arial" w:hAnsi="Arial" w:cs="Arial"/>
                <w:sz w:val="21"/>
                <w:szCs w:val="21"/>
              </w:rPr>
              <w:t xml:space="preserve">the existing LSDP treatment for </w:t>
            </w:r>
            <w:proofErr w:type="spellStart"/>
            <w:r w:rsidR="00C45FFD">
              <w:rPr>
                <w:rFonts w:ascii="Arial" w:hAnsi="Arial" w:cs="Arial"/>
                <w:sz w:val="21"/>
                <w:szCs w:val="21"/>
              </w:rPr>
              <w:t>Pompe</w:t>
            </w:r>
            <w:proofErr w:type="spellEnd"/>
            <w:r w:rsidR="00C45FFD">
              <w:rPr>
                <w:rFonts w:ascii="Arial" w:hAnsi="Arial" w:cs="Arial"/>
                <w:sz w:val="21"/>
                <w:szCs w:val="21"/>
              </w:rPr>
              <w:t xml:space="preserve"> disease, </w:t>
            </w:r>
            <w:proofErr w:type="spellStart"/>
            <w:r w:rsidR="00C45FFD">
              <w:rPr>
                <w:rFonts w:ascii="Arial" w:hAnsi="Arial" w:cs="Arial"/>
                <w:sz w:val="21"/>
                <w:szCs w:val="21"/>
              </w:rPr>
              <w:t>alglucosidase</w:t>
            </w:r>
            <w:proofErr w:type="spellEnd"/>
            <w:r w:rsidR="00C45FFD">
              <w:rPr>
                <w:rFonts w:ascii="Arial" w:hAnsi="Arial" w:cs="Arial"/>
                <w:sz w:val="21"/>
                <w:szCs w:val="21"/>
              </w:rPr>
              <w:t xml:space="preserve"> alfa (</w:t>
            </w:r>
            <w:proofErr w:type="spellStart"/>
            <w:r w:rsidR="00C45FFD">
              <w:rPr>
                <w:rFonts w:ascii="Arial" w:hAnsi="Arial" w:cs="Arial"/>
                <w:sz w:val="21"/>
                <w:szCs w:val="21"/>
              </w:rPr>
              <w:t>Myozyme</w:t>
            </w:r>
            <w:proofErr w:type="spellEnd"/>
            <w:r w:rsidR="00C45FFD" w:rsidRPr="0070783B">
              <w:rPr>
                <w:rFonts w:ascii="Arial" w:hAnsi="Arial" w:cs="Arial"/>
                <w:sz w:val="21"/>
                <w:szCs w:val="21"/>
                <w:vertAlign w:val="superscript"/>
              </w:rPr>
              <w:t>®</w:t>
            </w:r>
            <w:r w:rsidR="00C45FFD">
              <w:rPr>
                <w:rFonts w:ascii="Arial" w:hAnsi="Arial" w:cs="Arial"/>
                <w:sz w:val="21"/>
                <w:szCs w:val="21"/>
              </w:rPr>
              <w:t>)</w:t>
            </w:r>
            <w:r w:rsidR="00C45FFD" w:rsidRPr="009678F9">
              <w:rPr>
                <w:rFonts w:ascii="Arial" w:hAnsi="Arial" w:cs="Arial"/>
                <w:sz w:val="21"/>
                <w:szCs w:val="21"/>
              </w:rPr>
              <w:t xml:space="preserve"> </w:t>
            </w:r>
            <w:r w:rsidRPr="009678F9">
              <w:rPr>
                <w:rFonts w:ascii="Arial" w:hAnsi="Arial" w:cs="Arial"/>
                <w:sz w:val="21"/>
                <w:szCs w:val="21"/>
              </w:rPr>
              <w:t xml:space="preserve">was accepted prior to </w:t>
            </w:r>
            <w:r w:rsidR="00C45FFD">
              <w:rPr>
                <w:rFonts w:ascii="Arial" w:hAnsi="Arial" w:cs="Arial"/>
                <w:sz w:val="21"/>
                <w:szCs w:val="21"/>
              </w:rPr>
              <w:t xml:space="preserve">its </w:t>
            </w:r>
            <w:r w:rsidRPr="009678F9">
              <w:rPr>
                <w:rFonts w:ascii="Arial" w:hAnsi="Arial" w:cs="Arial"/>
                <w:sz w:val="21"/>
                <w:szCs w:val="21"/>
              </w:rPr>
              <w:t xml:space="preserve">initial LSDP listing </w:t>
            </w:r>
            <w:r w:rsidR="00C45FFD">
              <w:rPr>
                <w:rFonts w:ascii="Arial" w:hAnsi="Arial" w:cs="Arial"/>
                <w:sz w:val="21"/>
                <w:szCs w:val="21"/>
              </w:rPr>
              <w:t xml:space="preserve">for treatment </w:t>
            </w:r>
            <w:r w:rsidRPr="009678F9">
              <w:rPr>
                <w:rFonts w:ascii="Arial" w:hAnsi="Arial" w:cs="Arial"/>
                <w:sz w:val="21"/>
                <w:szCs w:val="21"/>
              </w:rPr>
              <w:t xml:space="preserve">of IOPD. </w:t>
            </w:r>
            <w:r w:rsidR="00C45FFD">
              <w:rPr>
                <w:rFonts w:ascii="Arial" w:hAnsi="Arial" w:cs="Arial"/>
                <w:sz w:val="21"/>
                <w:szCs w:val="21"/>
              </w:rPr>
              <w:t>M</w:t>
            </w:r>
            <w:r w:rsidRPr="009678F9">
              <w:rPr>
                <w:rFonts w:ascii="Arial" w:hAnsi="Arial" w:cs="Arial"/>
                <w:sz w:val="21"/>
                <w:szCs w:val="21"/>
              </w:rPr>
              <w:t>ore recently published studies and the LSDP data ha</w:t>
            </w:r>
            <w:r w:rsidR="00C45FFD">
              <w:rPr>
                <w:rFonts w:ascii="Arial" w:hAnsi="Arial" w:cs="Arial"/>
                <w:sz w:val="21"/>
                <w:szCs w:val="21"/>
              </w:rPr>
              <w:t>ve</w:t>
            </w:r>
            <w:r w:rsidRPr="009678F9">
              <w:rPr>
                <w:rFonts w:ascii="Arial" w:hAnsi="Arial" w:cs="Arial"/>
                <w:sz w:val="21"/>
                <w:szCs w:val="21"/>
              </w:rPr>
              <w:t xml:space="preserve"> shown survival exceeding historical data for untreated patients.</w:t>
            </w:r>
          </w:p>
          <w:p w14:paraId="02DD2725" w14:textId="434C52E8" w:rsidR="009678F9" w:rsidRPr="009678F9" w:rsidRDefault="009678F9" w:rsidP="009678F9">
            <w:pPr>
              <w:pStyle w:val="TableParagraph"/>
              <w:ind w:right="160"/>
              <w:rPr>
                <w:rFonts w:ascii="Arial" w:hAnsi="Arial" w:cs="Arial"/>
                <w:sz w:val="21"/>
                <w:szCs w:val="21"/>
              </w:rPr>
            </w:pPr>
            <w:r w:rsidRPr="009678F9">
              <w:rPr>
                <w:rFonts w:ascii="Arial" w:hAnsi="Arial" w:cs="Arial"/>
                <w:sz w:val="21"/>
                <w:szCs w:val="21"/>
              </w:rPr>
              <w:t xml:space="preserve">A similar benefit in overall survival can be expected with </w:t>
            </w:r>
            <w:proofErr w:type="spellStart"/>
            <w:r w:rsidR="00C45FFD">
              <w:rPr>
                <w:rFonts w:ascii="Arial" w:hAnsi="Arial" w:cs="Arial"/>
                <w:sz w:val="21"/>
                <w:szCs w:val="21"/>
              </w:rPr>
              <w:t>avalglucosidase</w:t>
            </w:r>
            <w:proofErr w:type="spellEnd"/>
            <w:r w:rsidR="00C45FFD">
              <w:rPr>
                <w:rFonts w:ascii="Arial" w:hAnsi="Arial" w:cs="Arial"/>
                <w:sz w:val="21"/>
                <w:szCs w:val="21"/>
              </w:rPr>
              <w:t xml:space="preserve"> alfa</w:t>
            </w:r>
            <w:r w:rsidRPr="009678F9">
              <w:rPr>
                <w:rFonts w:ascii="Arial" w:hAnsi="Arial" w:cs="Arial"/>
                <w:sz w:val="21"/>
                <w:szCs w:val="21"/>
              </w:rPr>
              <w:t>, given that:</w:t>
            </w:r>
          </w:p>
          <w:p w14:paraId="79335F93" w14:textId="6B73317B" w:rsidR="009678F9" w:rsidRPr="009678F9" w:rsidRDefault="00C45FFD" w:rsidP="00284BA2">
            <w:pPr>
              <w:pStyle w:val="TableParagraph"/>
              <w:numPr>
                <w:ilvl w:val="0"/>
                <w:numId w:val="4"/>
              </w:numPr>
              <w:ind w:left="360" w:right="160"/>
              <w:rPr>
                <w:rFonts w:ascii="Arial" w:hAnsi="Arial" w:cs="Arial"/>
                <w:sz w:val="21"/>
                <w:szCs w:val="21"/>
              </w:rPr>
            </w:pPr>
            <w:proofErr w:type="spellStart"/>
            <w:r>
              <w:rPr>
                <w:rFonts w:ascii="Arial" w:hAnsi="Arial" w:cs="Arial"/>
                <w:sz w:val="21"/>
                <w:szCs w:val="21"/>
              </w:rPr>
              <w:t>Avalglucosidase</w:t>
            </w:r>
            <w:proofErr w:type="spellEnd"/>
            <w:r>
              <w:rPr>
                <w:rFonts w:ascii="Arial" w:hAnsi="Arial" w:cs="Arial"/>
                <w:sz w:val="21"/>
                <w:szCs w:val="21"/>
              </w:rPr>
              <w:t xml:space="preserve"> alfa</w:t>
            </w:r>
            <w:r w:rsidRPr="009678F9">
              <w:rPr>
                <w:rFonts w:ascii="Arial" w:hAnsi="Arial" w:cs="Arial"/>
                <w:sz w:val="21"/>
                <w:szCs w:val="21"/>
              </w:rPr>
              <w:t xml:space="preserve"> </w:t>
            </w:r>
            <w:r w:rsidR="009678F9" w:rsidRPr="009678F9">
              <w:rPr>
                <w:rFonts w:ascii="Arial" w:hAnsi="Arial" w:cs="Arial"/>
                <w:sz w:val="21"/>
                <w:szCs w:val="21"/>
              </w:rPr>
              <w:t xml:space="preserve">is non-inferior to </w:t>
            </w:r>
            <w:proofErr w:type="spellStart"/>
            <w:r>
              <w:rPr>
                <w:rFonts w:ascii="Arial" w:hAnsi="Arial" w:cs="Arial"/>
                <w:sz w:val="21"/>
                <w:szCs w:val="21"/>
              </w:rPr>
              <w:t>alglucosidase</w:t>
            </w:r>
            <w:proofErr w:type="spellEnd"/>
            <w:r>
              <w:rPr>
                <w:rFonts w:ascii="Arial" w:hAnsi="Arial" w:cs="Arial"/>
                <w:sz w:val="21"/>
                <w:szCs w:val="21"/>
              </w:rPr>
              <w:t xml:space="preserve"> alfa</w:t>
            </w:r>
            <w:r w:rsidRPr="009678F9">
              <w:rPr>
                <w:rFonts w:ascii="Arial" w:hAnsi="Arial" w:cs="Arial"/>
                <w:sz w:val="21"/>
                <w:szCs w:val="21"/>
              </w:rPr>
              <w:t xml:space="preserve"> </w:t>
            </w:r>
            <w:r w:rsidR="009678F9" w:rsidRPr="009678F9">
              <w:rPr>
                <w:rFonts w:ascii="Arial" w:hAnsi="Arial" w:cs="Arial"/>
                <w:sz w:val="21"/>
                <w:szCs w:val="21"/>
              </w:rPr>
              <w:t>based on efficacy measures of functional endurance, cardiac parameters, and pulmonary function tests, and has a similar safety profile.</w:t>
            </w:r>
          </w:p>
          <w:p w14:paraId="42E67FE4" w14:textId="3D3E34D8" w:rsidR="009678F9" w:rsidRPr="009678F9" w:rsidRDefault="009678F9" w:rsidP="00284BA2">
            <w:pPr>
              <w:pStyle w:val="TableParagraph"/>
              <w:numPr>
                <w:ilvl w:val="0"/>
                <w:numId w:val="4"/>
              </w:numPr>
              <w:ind w:left="360" w:right="160"/>
              <w:rPr>
                <w:rFonts w:ascii="Arial" w:hAnsi="Arial" w:cs="Arial"/>
                <w:sz w:val="21"/>
                <w:szCs w:val="21"/>
              </w:rPr>
            </w:pPr>
            <w:r w:rsidRPr="009678F9">
              <w:rPr>
                <w:rFonts w:ascii="Arial" w:hAnsi="Arial" w:cs="Arial"/>
                <w:sz w:val="21"/>
                <w:szCs w:val="21"/>
              </w:rPr>
              <w:t>As a rare disease, it is necessary to use surrogate outcomes relative to current treatment options.</w:t>
            </w:r>
          </w:p>
          <w:p w14:paraId="1FC5378E" w14:textId="167E115F" w:rsidR="009678F9" w:rsidRPr="009678F9" w:rsidRDefault="009678F9" w:rsidP="00284BA2">
            <w:pPr>
              <w:pStyle w:val="TableParagraph"/>
              <w:numPr>
                <w:ilvl w:val="0"/>
                <w:numId w:val="4"/>
              </w:numPr>
              <w:ind w:left="360" w:right="160"/>
              <w:rPr>
                <w:rFonts w:ascii="Arial" w:hAnsi="Arial" w:cs="Arial"/>
                <w:sz w:val="21"/>
                <w:szCs w:val="21"/>
              </w:rPr>
            </w:pPr>
            <w:r w:rsidRPr="009678F9">
              <w:rPr>
                <w:rFonts w:ascii="Arial" w:hAnsi="Arial" w:cs="Arial"/>
                <w:sz w:val="21"/>
                <w:szCs w:val="21"/>
              </w:rPr>
              <w:t xml:space="preserve">It would be unethical to conduct a </w:t>
            </w:r>
            <w:proofErr w:type="gramStart"/>
            <w:r w:rsidRPr="009678F9">
              <w:rPr>
                <w:rFonts w:ascii="Arial" w:hAnsi="Arial" w:cs="Arial"/>
                <w:sz w:val="21"/>
                <w:szCs w:val="21"/>
              </w:rPr>
              <w:t>placebo controlled</w:t>
            </w:r>
            <w:proofErr w:type="gramEnd"/>
            <w:r w:rsidRPr="009678F9">
              <w:rPr>
                <w:rFonts w:ascii="Arial" w:hAnsi="Arial" w:cs="Arial"/>
                <w:sz w:val="21"/>
                <w:szCs w:val="21"/>
              </w:rPr>
              <w:t xml:space="preserve"> study.</w:t>
            </w:r>
          </w:p>
          <w:p w14:paraId="0C9C69A8" w14:textId="5F87B5DD" w:rsidR="00C45FFD" w:rsidRPr="009678F9" w:rsidRDefault="009678F9" w:rsidP="00284BA2">
            <w:pPr>
              <w:pStyle w:val="TableParagraph"/>
              <w:numPr>
                <w:ilvl w:val="0"/>
                <w:numId w:val="4"/>
              </w:numPr>
              <w:ind w:left="360" w:right="160"/>
              <w:rPr>
                <w:rFonts w:ascii="Arial" w:hAnsi="Arial" w:cs="Arial"/>
                <w:sz w:val="21"/>
                <w:szCs w:val="21"/>
              </w:rPr>
            </w:pPr>
            <w:r w:rsidRPr="009678F9">
              <w:rPr>
                <w:rFonts w:ascii="Arial" w:hAnsi="Arial" w:cs="Arial"/>
                <w:sz w:val="21"/>
                <w:szCs w:val="21"/>
              </w:rPr>
              <w:t>Patients receiving ERT in a clinical trial setting are expected to survive duration of trial.</w:t>
            </w:r>
          </w:p>
          <w:p w14:paraId="5F5BF178" w14:textId="4FAB755A" w:rsidR="009678F9" w:rsidRPr="00C45FFD" w:rsidRDefault="009678F9" w:rsidP="00284BA2">
            <w:pPr>
              <w:pStyle w:val="TableParagraph"/>
              <w:numPr>
                <w:ilvl w:val="0"/>
                <w:numId w:val="4"/>
              </w:numPr>
              <w:ind w:left="360" w:right="160"/>
              <w:rPr>
                <w:rFonts w:ascii="Arial" w:hAnsi="Arial" w:cs="Arial"/>
                <w:sz w:val="21"/>
                <w:szCs w:val="21"/>
              </w:rPr>
            </w:pPr>
            <w:r w:rsidRPr="00C45FFD">
              <w:rPr>
                <w:rFonts w:ascii="Arial" w:hAnsi="Arial" w:cs="Arial"/>
                <w:sz w:val="21"/>
                <w:szCs w:val="21"/>
              </w:rPr>
              <w:t xml:space="preserve">There is biological plausibility for at least similar effectiveness of </w:t>
            </w:r>
            <w:proofErr w:type="spellStart"/>
            <w:r w:rsidR="00C45FFD">
              <w:rPr>
                <w:rFonts w:ascii="Arial" w:hAnsi="Arial" w:cs="Arial"/>
                <w:sz w:val="21"/>
                <w:szCs w:val="21"/>
              </w:rPr>
              <w:t>avalglucosidase</w:t>
            </w:r>
            <w:proofErr w:type="spellEnd"/>
            <w:r w:rsidR="00C45FFD">
              <w:rPr>
                <w:rFonts w:ascii="Arial" w:hAnsi="Arial" w:cs="Arial"/>
                <w:sz w:val="21"/>
                <w:szCs w:val="21"/>
              </w:rPr>
              <w:t xml:space="preserve"> alfa</w:t>
            </w:r>
            <w:r w:rsidR="00C45FFD" w:rsidRPr="00C45FFD">
              <w:rPr>
                <w:rFonts w:ascii="Arial" w:hAnsi="Arial" w:cs="Arial"/>
                <w:sz w:val="21"/>
                <w:szCs w:val="21"/>
              </w:rPr>
              <w:t xml:space="preserve"> </w:t>
            </w:r>
            <w:r w:rsidRPr="00C45FFD">
              <w:rPr>
                <w:rFonts w:ascii="Arial" w:hAnsi="Arial" w:cs="Arial"/>
                <w:sz w:val="21"/>
                <w:szCs w:val="21"/>
              </w:rPr>
              <w:t xml:space="preserve">and </w:t>
            </w:r>
            <w:proofErr w:type="spellStart"/>
            <w:r w:rsidR="00C45FFD">
              <w:rPr>
                <w:rFonts w:ascii="Arial" w:hAnsi="Arial" w:cs="Arial"/>
                <w:sz w:val="21"/>
                <w:szCs w:val="21"/>
              </w:rPr>
              <w:t>alglucosidase</w:t>
            </w:r>
            <w:proofErr w:type="spellEnd"/>
            <w:r w:rsidR="00C45FFD">
              <w:rPr>
                <w:rFonts w:ascii="Arial" w:hAnsi="Arial" w:cs="Arial"/>
                <w:sz w:val="21"/>
                <w:szCs w:val="21"/>
              </w:rPr>
              <w:t xml:space="preserve"> alfa</w:t>
            </w:r>
            <w:r w:rsidRPr="00C45FFD">
              <w:rPr>
                <w:rFonts w:ascii="Arial" w:hAnsi="Arial" w:cs="Arial"/>
                <w:sz w:val="21"/>
                <w:szCs w:val="21"/>
              </w:rPr>
              <w:t xml:space="preserve">; </w:t>
            </w:r>
            <w:proofErr w:type="spellStart"/>
            <w:r w:rsidR="00C45FFD">
              <w:rPr>
                <w:rFonts w:ascii="Arial" w:hAnsi="Arial" w:cs="Arial"/>
                <w:sz w:val="21"/>
                <w:szCs w:val="21"/>
              </w:rPr>
              <w:t>avalglucosidase</w:t>
            </w:r>
            <w:proofErr w:type="spellEnd"/>
            <w:r w:rsidR="00C45FFD">
              <w:rPr>
                <w:rFonts w:ascii="Arial" w:hAnsi="Arial" w:cs="Arial"/>
                <w:sz w:val="21"/>
                <w:szCs w:val="21"/>
              </w:rPr>
              <w:t xml:space="preserve"> alfa</w:t>
            </w:r>
            <w:r w:rsidR="00C45FFD" w:rsidRPr="00C45FFD">
              <w:rPr>
                <w:rFonts w:ascii="Arial" w:hAnsi="Arial" w:cs="Arial"/>
                <w:sz w:val="21"/>
                <w:szCs w:val="21"/>
              </w:rPr>
              <w:t xml:space="preserve"> </w:t>
            </w:r>
            <w:r w:rsidRPr="00C45FFD">
              <w:rPr>
                <w:rFonts w:ascii="Arial" w:hAnsi="Arial" w:cs="Arial"/>
                <w:sz w:val="21"/>
                <w:szCs w:val="21"/>
              </w:rPr>
              <w:t>being modified to improve cellular uptake.</w:t>
            </w:r>
          </w:p>
        </w:tc>
      </w:tr>
      <w:tr w:rsidR="009678F9" w14:paraId="3383727F" w14:textId="77777777" w:rsidTr="00284BA2">
        <w:trPr>
          <w:trHeight w:val="2682"/>
        </w:trPr>
        <w:tc>
          <w:tcPr>
            <w:tcW w:w="573" w:type="dxa"/>
          </w:tcPr>
          <w:p w14:paraId="702AD7EA" w14:textId="180D464C" w:rsidR="009678F9" w:rsidRPr="00576C4B" w:rsidRDefault="009678F9" w:rsidP="009678F9">
            <w:pPr>
              <w:pStyle w:val="TableParagraph"/>
              <w:spacing w:before="123"/>
              <w:rPr>
                <w:rFonts w:ascii="Arial" w:hAnsi="Arial" w:cs="Arial"/>
                <w:b/>
                <w:spacing w:val="-5"/>
                <w:sz w:val="21"/>
                <w:szCs w:val="21"/>
              </w:rPr>
            </w:pPr>
            <w:r w:rsidRPr="009678F9">
              <w:rPr>
                <w:rFonts w:ascii="Arial" w:hAnsi="Arial" w:cs="Arial"/>
                <w:b/>
                <w:spacing w:val="-5"/>
                <w:sz w:val="21"/>
                <w:szCs w:val="21"/>
              </w:rPr>
              <w:t>A</w:t>
            </w:r>
            <w:r>
              <w:rPr>
                <w:rFonts w:ascii="Arial" w:hAnsi="Arial" w:cs="Arial"/>
                <w:b/>
                <w:spacing w:val="-5"/>
                <w:sz w:val="21"/>
                <w:szCs w:val="21"/>
              </w:rPr>
              <w:t>5</w:t>
            </w:r>
          </w:p>
        </w:tc>
        <w:tc>
          <w:tcPr>
            <w:tcW w:w="2820" w:type="dxa"/>
          </w:tcPr>
          <w:p w14:paraId="36AA2458" w14:textId="4DB80EF0" w:rsidR="009678F9" w:rsidRPr="009678F9" w:rsidRDefault="009678F9" w:rsidP="009678F9">
            <w:pPr>
              <w:pStyle w:val="TableParagraph"/>
              <w:rPr>
                <w:rFonts w:ascii="Arial" w:hAnsi="Arial" w:cs="Arial"/>
                <w:b/>
                <w:spacing w:val="-5"/>
                <w:sz w:val="21"/>
                <w:szCs w:val="21"/>
              </w:rPr>
            </w:pPr>
            <w:r w:rsidRPr="009678F9">
              <w:rPr>
                <w:rFonts w:ascii="Arial" w:hAnsi="Arial" w:cs="Arial"/>
                <w:b/>
                <w:spacing w:val="-5"/>
                <w:sz w:val="21"/>
                <w:szCs w:val="21"/>
              </w:rPr>
              <w:t>The drug must be accepted as clinically effective but rejected for PBS listing because it fails to meet the required cost effectiveness criteria. </w:t>
            </w:r>
          </w:p>
        </w:tc>
        <w:tc>
          <w:tcPr>
            <w:tcW w:w="5758" w:type="dxa"/>
          </w:tcPr>
          <w:p w14:paraId="38411305" w14:textId="4A0B3347" w:rsidR="009678F9" w:rsidRPr="007D19DF" w:rsidRDefault="009678F9" w:rsidP="009678F9">
            <w:pPr>
              <w:pStyle w:val="TableParagraph"/>
              <w:ind w:right="160"/>
              <w:rPr>
                <w:rFonts w:ascii="Arial" w:hAnsi="Arial" w:cs="Arial"/>
                <w:sz w:val="21"/>
                <w:szCs w:val="21"/>
              </w:rPr>
            </w:pPr>
            <w:r w:rsidRPr="009678F9">
              <w:rPr>
                <w:rFonts w:ascii="Arial" w:hAnsi="Arial" w:cs="Arial"/>
                <w:sz w:val="21"/>
                <w:szCs w:val="21"/>
              </w:rPr>
              <w:t xml:space="preserve">The PBAC considered </w:t>
            </w:r>
            <w:proofErr w:type="spellStart"/>
            <w:r w:rsidR="00C45FFD">
              <w:rPr>
                <w:rFonts w:ascii="Arial" w:hAnsi="Arial" w:cs="Arial"/>
                <w:sz w:val="21"/>
                <w:szCs w:val="21"/>
              </w:rPr>
              <w:t>avaglucosidase</w:t>
            </w:r>
            <w:proofErr w:type="spellEnd"/>
            <w:r w:rsidR="00C45FFD">
              <w:rPr>
                <w:rFonts w:ascii="Arial" w:hAnsi="Arial" w:cs="Arial"/>
                <w:sz w:val="21"/>
                <w:szCs w:val="21"/>
              </w:rPr>
              <w:t xml:space="preserve"> alfa</w:t>
            </w:r>
            <w:r w:rsidR="00C45FFD" w:rsidRPr="009678F9">
              <w:rPr>
                <w:rFonts w:ascii="Arial" w:hAnsi="Arial" w:cs="Arial"/>
                <w:sz w:val="21"/>
                <w:szCs w:val="21"/>
              </w:rPr>
              <w:t xml:space="preserve"> </w:t>
            </w:r>
            <w:r w:rsidRPr="009678F9">
              <w:rPr>
                <w:rFonts w:ascii="Arial" w:hAnsi="Arial" w:cs="Arial"/>
                <w:sz w:val="21"/>
                <w:szCs w:val="21"/>
              </w:rPr>
              <w:t xml:space="preserve">at the November 2021 meeting. The PBAC considered </w:t>
            </w:r>
            <w:proofErr w:type="spellStart"/>
            <w:r w:rsidR="00C45FFD">
              <w:rPr>
                <w:rFonts w:ascii="Arial" w:hAnsi="Arial" w:cs="Arial"/>
                <w:sz w:val="21"/>
                <w:szCs w:val="21"/>
              </w:rPr>
              <w:t>avalglucosidase</w:t>
            </w:r>
            <w:proofErr w:type="spellEnd"/>
            <w:r w:rsidR="00C45FFD">
              <w:rPr>
                <w:rFonts w:ascii="Arial" w:hAnsi="Arial" w:cs="Arial"/>
                <w:sz w:val="21"/>
                <w:szCs w:val="21"/>
              </w:rPr>
              <w:t xml:space="preserve"> alfa</w:t>
            </w:r>
            <w:r w:rsidR="00C45FFD" w:rsidRPr="009678F9">
              <w:rPr>
                <w:rFonts w:ascii="Arial" w:hAnsi="Arial" w:cs="Arial"/>
                <w:sz w:val="21"/>
                <w:szCs w:val="21"/>
              </w:rPr>
              <w:t xml:space="preserve"> </w:t>
            </w:r>
            <w:r w:rsidRPr="009678F9">
              <w:rPr>
                <w:rFonts w:ascii="Arial" w:hAnsi="Arial" w:cs="Arial"/>
                <w:sz w:val="21"/>
                <w:szCs w:val="21"/>
              </w:rPr>
              <w:t xml:space="preserve">for LOPD, including the AOPD and JOPD populations, was likely non-inferior to </w:t>
            </w:r>
            <w:proofErr w:type="spellStart"/>
            <w:r w:rsidR="00C45FFD">
              <w:rPr>
                <w:rFonts w:ascii="Arial" w:hAnsi="Arial" w:cs="Arial"/>
                <w:sz w:val="21"/>
                <w:szCs w:val="21"/>
              </w:rPr>
              <w:t>alglucosidase</w:t>
            </w:r>
            <w:proofErr w:type="spellEnd"/>
            <w:r w:rsidR="00C45FFD">
              <w:rPr>
                <w:rFonts w:ascii="Arial" w:hAnsi="Arial" w:cs="Arial"/>
                <w:sz w:val="21"/>
                <w:szCs w:val="21"/>
              </w:rPr>
              <w:t xml:space="preserve"> alfa</w:t>
            </w:r>
            <w:r w:rsidRPr="009678F9">
              <w:rPr>
                <w:rFonts w:ascii="Arial" w:hAnsi="Arial" w:cs="Arial"/>
                <w:sz w:val="21"/>
                <w:szCs w:val="21"/>
              </w:rPr>
              <w:t xml:space="preserve">. The PBAC considered the lack of evidence for the IOPD population made the clinical claim of </w:t>
            </w:r>
            <w:proofErr w:type="spellStart"/>
            <w:r w:rsidRPr="009678F9">
              <w:rPr>
                <w:rFonts w:ascii="Arial" w:hAnsi="Arial" w:cs="Arial"/>
                <w:sz w:val="21"/>
                <w:szCs w:val="21"/>
              </w:rPr>
              <w:t>non inferiority</w:t>
            </w:r>
            <w:proofErr w:type="spellEnd"/>
            <w:r w:rsidRPr="009678F9">
              <w:rPr>
                <w:rFonts w:ascii="Arial" w:hAnsi="Arial" w:cs="Arial"/>
                <w:sz w:val="21"/>
                <w:szCs w:val="21"/>
              </w:rPr>
              <w:t xml:space="preserve"> for that population highly uncertain but that, overall, </w:t>
            </w:r>
            <w:proofErr w:type="spellStart"/>
            <w:r w:rsidR="00C45FFD">
              <w:rPr>
                <w:rFonts w:ascii="Arial" w:hAnsi="Arial" w:cs="Arial"/>
                <w:sz w:val="21"/>
                <w:szCs w:val="21"/>
              </w:rPr>
              <w:t>avalglucosidase</w:t>
            </w:r>
            <w:proofErr w:type="spellEnd"/>
            <w:r w:rsidR="00C45FFD">
              <w:rPr>
                <w:rFonts w:ascii="Arial" w:hAnsi="Arial" w:cs="Arial"/>
                <w:sz w:val="21"/>
                <w:szCs w:val="21"/>
              </w:rPr>
              <w:t xml:space="preserve"> alfa</w:t>
            </w:r>
            <w:r w:rsidR="00C45FFD" w:rsidRPr="009678F9">
              <w:rPr>
                <w:rFonts w:ascii="Arial" w:hAnsi="Arial" w:cs="Arial"/>
                <w:sz w:val="21"/>
                <w:szCs w:val="21"/>
              </w:rPr>
              <w:t xml:space="preserve"> </w:t>
            </w:r>
            <w:r w:rsidRPr="009678F9">
              <w:rPr>
                <w:rFonts w:ascii="Arial" w:hAnsi="Arial" w:cs="Arial"/>
                <w:sz w:val="21"/>
                <w:szCs w:val="21"/>
              </w:rPr>
              <w:t xml:space="preserve">was likely to provide similar health outcomes to </w:t>
            </w:r>
            <w:proofErr w:type="spellStart"/>
            <w:r w:rsidR="00C45FFD">
              <w:rPr>
                <w:rFonts w:ascii="Arial" w:hAnsi="Arial" w:cs="Arial"/>
                <w:sz w:val="21"/>
                <w:szCs w:val="21"/>
              </w:rPr>
              <w:t>alglucosidase</w:t>
            </w:r>
            <w:proofErr w:type="spellEnd"/>
            <w:r w:rsidR="00C45FFD">
              <w:rPr>
                <w:rFonts w:ascii="Arial" w:hAnsi="Arial" w:cs="Arial"/>
                <w:sz w:val="21"/>
                <w:szCs w:val="21"/>
              </w:rPr>
              <w:t xml:space="preserve"> alfa</w:t>
            </w:r>
            <w:r w:rsidRPr="009678F9">
              <w:rPr>
                <w:rFonts w:ascii="Arial" w:hAnsi="Arial" w:cs="Arial"/>
                <w:sz w:val="21"/>
                <w:szCs w:val="21"/>
              </w:rPr>
              <w:t xml:space="preserve">. The PBAC considered </w:t>
            </w:r>
            <w:proofErr w:type="spellStart"/>
            <w:r w:rsidR="00C45FFD">
              <w:rPr>
                <w:rFonts w:ascii="Arial" w:hAnsi="Arial" w:cs="Arial"/>
                <w:sz w:val="21"/>
                <w:szCs w:val="21"/>
              </w:rPr>
              <w:t>avalglucosidase</w:t>
            </w:r>
            <w:proofErr w:type="spellEnd"/>
            <w:r w:rsidR="00C45FFD">
              <w:rPr>
                <w:rFonts w:ascii="Arial" w:hAnsi="Arial" w:cs="Arial"/>
                <w:sz w:val="21"/>
                <w:szCs w:val="21"/>
              </w:rPr>
              <w:t xml:space="preserve"> alfa</w:t>
            </w:r>
            <w:r w:rsidR="00C45FFD" w:rsidRPr="009678F9">
              <w:rPr>
                <w:rFonts w:ascii="Arial" w:hAnsi="Arial" w:cs="Arial"/>
                <w:sz w:val="21"/>
                <w:szCs w:val="21"/>
              </w:rPr>
              <w:t xml:space="preserve"> </w:t>
            </w:r>
            <w:r w:rsidRPr="009678F9">
              <w:rPr>
                <w:rFonts w:ascii="Arial" w:hAnsi="Arial" w:cs="Arial"/>
                <w:sz w:val="21"/>
                <w:szCs w:val="21"/>
              </w:rPr>
              <w:t xml:space="preserve">was an effective treatment for IOPD and LOPD (compared to no treatment) but the extent of benefit was uncertain. </w:t>
            </w:r>
          </w:p>
        </w:tc>
      </w:tr>
      <w:tr w:rsidR="009678F9" w14:paraId="79DAE8B8" w14:textId="77777777" w:rsidTr="00284BA2">
        <w:trPr>
          <w:trHeight w:val="2682"/>
        </w:trPr>
        <w:tc>
          <w:tcPr>
            <w:tcW w:w="573" w:type="dxa"/>
          </w:tcPr>
          <w:p w14:paraId="5BB4EF1D" w14:textId="30454E86" w:rsidR="009678F9" w:rsidRPr="00576C4B" w:rsidRDefault="009678F9" w:rsidP="009678F9">
            <w:pPr>
              <w:pStyle w:val="TableParagraph"/>
              <w:spacing w:before="123"/>
              <w:rPr>
                <w:rFonts w:ascii="Arial" w:hAnsi="Arial" w:cs="Arial"/>
                <w:b/>
                <w:spacing w:val="-5"/>
                <w:sz w:val="21"/>
                <w:szCs w:val="21"/>
              </w:rPr>
            </w:pPr>
            <w:r w:rsidRPr="009678F9">
              <w:rPr>
                <w:rFonts w:ascii="Arial" w:hAnsi="Arial" w:cs="Arial"/>
                <w:b/>
                <w:spacing w:val="-5"/>
                <w:sz w:val="21"/>
                <w:szCs w:val="21"/>
              </w:rPr>
              <w:t>A</w:t>
            </w:r>
            <w:r>
              <w:rPr>
                <w:rFonts w:ascii="Arial" w:hAnsi="Arial" w:cs="Arial"/>
                <w:b/>
                <w:spacing w:val="-5"/>
                <w:sz w:val="21"/>
                <w:szCs w:val="21"/>
              </w:rPr>
              <w:t>6</w:t>
            </w:r>
          </w:p>
        </w:tc>
        <w:tc>
          <w:tcPr>
            <w:tcW w:w="2820" w:type="dxa"/>
          </w:tcPr>
          <w:p w14:paraId="47460B38" w14:textId="34105F62" w:rsidR="009678F9" w:rsidRPr="009678F9" w:rsidRDefault="009678F9" w:rsidP="009678F9">
            <w:pPr>
              <w:pStyle w:val="TableParagraph"/>
              <w:rPr>
                <w:rFonts w:ascii="Arial" w:hAnsi="Arial" w:cs="Arial"/>
                <w:b/>
                <w:spacing w:val="-5"/>
                <w:sz w:val="21"/>
                <w:szCs w:val="21"/>
              </w:rPr>
            </w:pPr>
            <w:r w:rsidRPr="009678F9">
              <w:rPr>
                <w:rFonts w:ascii="Arial" w:hAnsi="Arial" w:cs="Arial"/>
                <w:b/>
                <w:spacing w:val="-5"/>
                <w:sz w:val="21"/>
                <w:szCs w:val="21"/>
              </w:rPr>
              <w:t xml:space="preserve">There is no alternative drug listed on the PBS or available for public hospital in-patients which can be used as </w:t>
            </w:r>
            <w:proofErr w:type="spellStart"/>
            <w:r w:rsidRPr="009678F9">
              <w:rPr>
                <w:rFonts w:ascii="Arial" w:hAnsi="Arial" w:cs="Arial"/>
                <w:b/>
                <w:spacing w:val="-5"/>
                <w:sz w:val="21"/>
                <w:szCs w:val="21"/>
              </w:rPr>
              <w:t>life</w:t>
            </w:r>
            <w:r w:rsidR="00C45FFD">
              <w:rPr>
                <w:rFonts w:ascii="Arial" w:hAnsi="Arial" w:cs="Arial"/>
                <w:b/>
                <w:spacing w:val="-5"/>
                <w:sz w:val="21"/>
                <w:szCs w:val="21"/>
              </w:rPr>
              <w:t xml:space="preserve"> </w:t>
            </w:r>
            <w:r w:rsidRPr="009678F9">
              <w:rPr>
                <w:rFonts w:ascii="Arial" w:hAnsi="Arial" w:cs="Arial"/>
                <w:b/>
                <w:spacing w:val="-5"/>
                <w:sz w:val="21"/>
                <w:szCs w:val="21"/>
              </w:rPr>
              <w:t>saving</w:t>
            </w:r>
            <w:proofErr w:type="spellEnd"/>
            <w:r w:rsidRPr="009678F9">
              <w:rPr>
                <w:rFonts w:ascii="Arial" w:hAnsi="Arial" w:cs="Arial"/>
                <w:b/>
                <w:spacing w:val="-5"/>
                <w:sz w:val="21"/>
                <w:szCs w:val="21"/>
              </w:rPr>
              <w:t xml:space="preserve"> treatment for the disease. However, the availability of an alternative drug under the LSDP does not disqualify the proposed drug from consideration for inclusion on the LSDP. </w:t>
            </w:r>
          </w:p>
        </w:tc>
        <w:tc>
          <w:tcPr>
            <w:tcW w:w="5758" w:type="dxa"/>
          </w:tcPr>
          <w:p w14:paraId="65293B75" w14:textId="550AD977" w:rsidR="009678F9" w:rsidRPr="007D19DF" w:rsidRDefault="009678F9" w:rsidP="009678F9">
            <w:pPr>
              <w:pStyle w:val="TableParagraph"/>
              <w:ind w:right="160"/>
              <w:rPr>
                <w:rFonts w:ascii="Arial" w:hAnsi="Arial" w:cs="Arial"/>
                <w:sz w:val="21"/>
                <w:szCs w:val="21"/>
              </w:rPr>
            </w:pPr>
            <w:r w:rsidRPr="009678F9">
              <w:rPr>
                <w:rFonts w:ascii="Arial" w:hAnsi="Arial" w:cs="Arial"/>
                <w:sz w:val="21"/>
                <w:szCs w:val="21"/>
              </w:rPr>
              <w:t xml:space="preserve">There are no available alternative drugs on the PBS or non-drug therapeutic modalities which can be used as </w:t>
            </w:r>
            <w:proofErr w:type="spellStart"/>
            <w:r w:rsidRPr="009678F9">
              <w:rPr>
                <w:rFonts w:ascii="Arial" w:hAnsi="Arial" w:cs="Arial"/>
                <w:sz w:val="21"/>
                <w:szCs w:val="21"/>
              </w:rPr>
              <w:t>life</w:t>
            </w:r>
            <w:r w:rsidR="00C45FFD">
              <w:rPr>
                <w:rFonts w:ascii="Arial" w:hAnsi="Arial" w:cs="Arial"/>
                <w:sz w:val="21"/>
                <w:szCs w:val="21"/>
              </w:rPr>
              <w:t xml:space="preserve"> </w:t>
            </w:r>
            <w:r w:rsidRPr="009678F9">
              <w:rPr>
                <w:rFonts w:ascii="Arial" w:hAnsi="Arial" w:cs="Arial"/>
                <w:sz w:val="21"/>
                <w:szCs w:val="21"/>
              </w:rPr>
              <w:t>saving</w:t>
            </w:r>
            <w:proofErr w:type="spellEnd"/>
            <w:r w:rsidRPr="009678F9">
              <w:rPr>
                <w:rFonts w:ascii="Arial" w:hAnsi="Arial" w:cs="Arial"/>
                <w:sz w:val="21"/>
                <w:szCs w:val="21"/>
              </w:rPr>
              <w:t xml:space="preserve"> treatment for </w:t>
            </w:r>
            <w:proofErr w:type="spellStart"/>
            <w:r w:rsidRPr="009678F9">
              <w:rPr>
                <w:rFonts w:ascii="Arial" w:hAnsi="Arial" w:cs="Arial"/>
                <w:sz w:val="21"/>
                <w:szCs w:val="21"/>
              </w:rPr>
              <w:t>Pompe</w:t>
            </w:r>
            <w:proofErr w:type="spellEnd"/>
            <w:r w:rsidRPr="009678F9">
              <w:rPr>
                <w:rFonts w:ascii="Arial" w:hAnsi="Arial" w:cs="Arial"/>
                <w:sz w:val="21"/>
                <w:szCs w:val="21"/>
              </w:rPr>
              <w:t xml:space="preserve"> disease.</w:t>
            </w:r>
          </w:p>
        </w:tc>
      </w:tr>
      <w:tr w:rsidR="009678F9" w14:paraId="2F64C772" w14:textId="77777777" w:rsidTr="00A07A4E">
        <w:trPr>
          <w:trHeight w:val="2372"/>
        </w:trPr>
        <w:tc>
          <w:tcPr>
            <w:tcW w:w="573" w:type="dxa"/>
          </w:tcPr>
          <w:p w14:paraId="2DC6EE73" w14:textId="78835073" w:rsidR="009678F9" w:rsidRPr="00576C4B" w:rsidRDefault="009678F9" w:rsidP="009678F9">
            <w:pPr>
              <w:pStyle w:val="TableParagraph"/>
              <w:spacing w:before="123"/>
              <w:rPr>
                <w:rFonts w:ascii="Arial" w:hAnsi="Arial" w:cs="Arial"/>
                <w:b/>
                <w:spacing w:val="-5"/>
                <w:sz w:val="21"/>
                <w:szCs w:val="21"/>
              </w:rPr>
            </w:pPr>
            <w:r w:rsidRPr="009678F9">
              <w:rPr>
                <w:rFonts w:ascii="Arial" w:hAnsi="Arial" w:cs="Arial"/>
                <w:b/>
                <w:spacing w:val="-5"/>
                <w:sz w:val="21"/>
                <w:szCs w:val="21"/>
              </w:rPr>
              <w:lastRenderedPageBreak/>
              <w:t>A</w:t>
            </w:r>
            <w:r>
              <w:rPr>
                <w:rFonts w:ascii="Arial" w:hAnsi="Arial" w:cs="Arial"/>
                <w:b/>
                <w:spacing w:val="-5"/>
                <w:sz w:val="21"/>
                <w:szCs w:val="21"/>
              </w:rPr>
              <w:t>7</w:t>
            </w:r>
          </w:p>
        </w:tc>
        <w:tc>
          <w:tcPr>
            <w:tcW w:w="2820" w:type="dxa"/>
          </w:tcPr>
          <w:p w14:paraId="43B68EB0" w14:textId="6E541B84" w:rsidR="009678F9" w:rsidRPr="009678F9" w:rsidRDefault="009678F9" w:rsidP="009678F9">
            <w:pPr>
              <w:pStyle w:val="TableParagraph"/>
              <w:rPr>
                <w:rFonts w:ascii="Arial" w:hAnsi="Arial" w:cs="Arial"/>
                <w:b/>
                <w:spacing w:val="-5"/>
                <w:sz w:val="21"/>
                <w:szCs w:val="21"/>
              </w:rPr>
            </w:pPr>
            <w:r w:rsidRPr="009678F9">
              <w:rPr>
                <w:rFonts w:ascii="Arial" w:hAnsi="Arial" w:cs="Arial"/>
                <w:b/>
                <w:spacing w:val="-5"/>
                <w:sz w:val="21"/>
                <w:szCs w:val="21"/>
              </w:rPr>
              <w:t>There is no alternative nondrug therapeutic modality (</w:t>
            </w:r>
            <w:proofErr w:type="spellStart"/>
            <w:proofErr w:type="gramStart"/>
            <w:r w:rsidRPr="009678F9">
              <w:rPr>
                <w:rFonts w:ascii="Arial" w:hAnsi="Arial" w:cs="Arial"/>
                <w:b/>
                <w:spacing w:val="-5"/>
                <w:sz w:val="21"/>
                <w:szCs w:val="21"/>
              </w:rPr>
              <w:t>eg</w:t>
            </w:r>
            <w:proofErr w:type="spellEnd"/>
            <w:proofErr w:type="gramEnd"/>
            <w:r w:rsidRPr="009678F9">
              <w:rPr>
                <w:rFonts w:ascii="Arial" w:hAnsi="Arial" w:cs="Arial"/>
                <w:b/>
                <w:spacing w:val="-5"/>
                <w:sz w:val="21"/>
                <w:szCs w:val="21"/>
              </w:rPr>
              <w:t> surgery, radiotherapy) which is recognised by medical authorities as a suitable and cost-effective treatment for this condition. </w:t>
            </w:r>
          </w:p>
        </w:tc>
        <w:tc>
          <w:tcPr>
            <w:tcW w:w="5758" w:type="dxa"/>
          </w:tcPr>
          <w:p w14:paraId="4D8CD8C4" w14:textId="1C459275" w:rsidR="009678F9" w:rsidRPr="007D19DF" w:rsidRDefault="009678F9" w:rsidP="009678F9">
            <w:pPr>
              <w:pStyle w:val="TableParagraph"/>
              <w:ind w:right="160"/>
              <w:rPr>
                <w:rFonts w:ascii="Arial" w:hAnsi="Arial" w:cs="Arial"/>
                <w:sz w:val="21"/>
                <w:szCs w:val="21"/>
              </w:rPr>
            </w:pPr>
            <w:r w:rsidRPr="009678F9">
              <w:rPr>
                <w:rFonts w:ascii="Arial" w:hAnsi="Arial" w:cs="Arial"/>
                <w:sz w:val="21"/>
                <w:szCs w:val="21"/>
              </w:rPr>
              <w:t xml:space="preserve">There are no available alternative drugs on the PBS or non-drug therapeutic modalities which can be used as </w:t>
            </w:r>
            <w:proofErr w:type="spellStart"/>
            <w:r w:rsidRPr="009678F9">
              <w:rPr>
                <w:rFonts w:ascii="Arial" w:hAnsi="Arial" w:cs="Arial"/>
                <w:sz w:val="21"/>
                <w:szCs w:val="21"/>
              </w:rPr>
              <w:t>life</w:t>
            </w:r>
            <w:r w:rsidR="00C45FFD">
              <w:rPr>
                <w:rFonts w:ascii="Arial" w:hAnsi="Arial" w:cs="Arial"/>
                <w:sz w:val="21"/>
                <w:szCs w:val="21"/>
              </w:rPr>
              <w:t xml:space="preserve"> </w:t>
            </w:r>
            <w:r w:rsidRPr="009678F9">
              <w:rPr>
                <w:rFonts w:ascii="Arial" w:hAnsi="Arial" w:cs="Arial"/>
                <w:sz w:val="21"/>
                <w:szCs w:val="21"/>
              </w:rPr>
              <w:t>saving</w:t>
            </w:r>
            <w:proofErr w:type="spellEnd"/>
            <w:r w:rsidRPr="009678F9">
              <w:rPr>
                <w:rFonts w:ascii="Arial" w:hAnsi="Arial" w:cs="Arial"/>
                <w:sz w:val="21"/>
                <w:szCs w:val="21"/>
              </w:rPr>
              <w:t xml:space="preserve"> treatment for </w:t>
            </w:r>
            <w:proofErr w:type="spellStart"/>
            <w:r w:rsidRPr="009678F9">
              <w:rPr>
                <w:rFonts w:ascii="Arial" w:hAnsi="Arial" w:cs="Arial"/>
                <w:sz w:val="21"/>
                <w:szCs w:val="21"/>
              </w:rPr>
              <w:t>Pompe</w:t>
            </w:r>
            <w:proofErr w:type="spellEnd"/>
            <w:r w:rsidRPr="009678F9">
              <w:rPr>
                <w:rFonts w:ascii="Arial" w:hAnsi="Arial" w:cs="Arial"/>
                <w:sz w:val="21"/>
                <w:szCs w:val="21"/>
              </w:rPr>
              <w:t xml:space="preserve"> disease.</w:t>
            </w:r>
          </w:p>
        </w:tc>
      </w:tr>
      <w:tr w:rsidR="009678F9" w14:paraId="46F06085" w14:textId="77777777" w:rsidTr="00A07A4E">
        <w:trPr>
          <w:trHeight w:val="2477"/>
        </w:trPr>
        <w:tc>
          <w:tcPr>
            <w:tcW w:w="573" w:type="dxa"/>
          </w:tcPr>
          <w:p w14:paraId="417FD115" w14:textId="2C364727" w:rsidR="009678F9" w:rsidRPr="00576C4B" w:rsidRDefault="009678F9" w:rsidP="009678F9">
            <w:pPr>
              <w:pStyle w:val="TableParagraph"/>
              <w:spacing w:before="123"/>
              <w:rPr>
                <w:rFonts w:ascii="Arial" w:hAnsi="Arial" w:cs="Arial"/>
                <w:b/>
                <w:spacing w:val="-5"/>
                <w:sz w:val="21"/>
                <w:szCs w:val="21"/>
              </w:rPr>
            </w:pPr>
            <w:r w:rsidRPr="009678F9">
              <w:rPr>
                <w:rFonts w:ascii="Arial" w:hAnsi="Arial" w:cs="Arial"/>
                <w:b/>
                <w:spacing w:val="-5"/>
                <w:sz w:val="21"/>
                <w:szCs w:val="21"/>
              </w:rPr>
              <w:t>A</w:t>
            </w:r>
            <w:r>
              <w:rPr>
                <w:rFonts w:ascii="Arial" w:hAnsi="Arial" w:cs="Arial"/>
                <w:b/>
                <w:spacing w:val="-5"/>
                <w:sz w:val="21"/>
                <w:szCs w:val="21"/>
              </w:rPr>
              <w:t>8</w:t>
            </w:r>
          </w:p>
        </w:tc>
        <w:tc>
          <w:tcPr>
            <w:tcW w:w="2820" w:type="dxa"/>
          </w:tcPr>
          <w:p w14:paraId="5F84F515" w14:textId="2BB09A4E" w:rsidR="009678F9" w:rsidRPr="009678F9" w:rsidRDefault="009678F9" w:rsidP="009678F9">
            <w:pPr>
              <w:pStyle w:val="TableParagraph"/>
              <w:rPr>
                <w:rFonts w:ascii="Arial" w:hAnsi="Arial" w:cs="Arial"/>
                <w:b/>
                <w:spacing w:val="-5"/>
                <w:sz w:val="21"/>
                <w:szCs w:val="21"/>
              </w:rPr>
            </w:pPr>
            <w:r w:rsidRPr="009678F9">
              <w:rPr>
                <w:rFonts w:ascii="Arial" w:hAnsi="Arial" w:cs="Arial"/>
                <w:b/>
                <w:spacing w:val="-5"/>
                <w:sz w:val="21"/>
                <w:szCs w:val="21"/>
              </w:rPr>
              <w:t>The cost of the drug, defined as the cost per dose multiplied by the expected number of doses in a one-year period for the patient, would constitute an unreasonable financial burden on the patient or his/her guardian. </w:t>
            </w:r>
          </w:p>
        </w:tc>
        <w:tc>
          <w:tcPr>
            <w:tcW w:w="5758" w:type="dxa"/>
          </w:tcPr>
          <w:p w14:paraId="05CC7E74" w14:textId="77777777" w:rsidR="00F2301E" w:rsidRDefault="00F2301E" w:rsidP="00F2301E">
            <w:pPr>
              <w:pStyle w:val="TableParagraph"/>
              <w:ind w:right="160"/>
              <w:rPr>
                <w:rFonts w:ascii="Arial" w:hAnsi="Arial" w:cs="Arial"/>
                <w:sz w:val="21"/>
                <w:szCs w:val="21"/>
              </w:rPr>
            </w:pPr>
            <w:r w:rsidRPr="0070783B">
              <w:rPr>
                <w:rFonts w:ascii="Arial" w:hAnsi="Arial" w:cs="Arial"/>
                <w:sz w:val="21"/>
                <w:szCs w:val="21"/>
              </w:rPr>
              <w:t xml:space="preserve">The </w:t>
            </w:r>
            <w:r>
              <w:rPr>
                <w:rFonts w:ascii="Arial" w:hAnsi="Arial" w:cs="Arial"/>
                <w:sz w:val="21"/>
                <w:szCs w:val="21"/>
              </w:rPr>
              <w:t xml:space="preserve">TGA recommended </w:t>
            </w:r>
            <w:r w:rsidRPr="0070783B">
              <w:rPr>
                <w:rFonts w:ascii="Arial" w:hAnsi="Arial" w:cs="Arial"/>
                <w:sz w:val="21"/>
                <w:szCs w:val="21"/>
              </w:rPr>
              <w:t xml:space="preserve">dosage of </w:t>
            </w:r>
            <w:proofErr w:type="spellStart"/>
            <w:r w:rsidRPr="0070783B">
              <w:rPr>
                <w:rFonts w:ascii="Arial" w:hAnsi="Arial" w:cs="Arial"/>
                <w:sz w:val="21"/>
                <w:szCs w:val="21"/>
              </w:rPr>
              <w:t>avalglucosidase</w:t>
            </w:r>
            <w:proofErr w:type="spellEnd"/>
            <w:r w:rsidRPr="0070783B">
              <w:rPr>
                <w:rFonts w:ascii="Arial" w:hAnsi="Arial" w:cs="Arial"/>
                <w:sz w:val="21"/>
                <w:szCs w:val="21"/>
              </w:rPr>
              <w:t xml:space="preserve"> alfa is 20 mg/kg per fortnight.</w:t>
            </w:r>
            <w:r>
              <w:rPr>
                <w:rFonts w:ascii="Arial" w:hAnsi="Arial" w:cs="Arial"/>
                <w:sz w:val="21"/>
                <w:szCs w:val="21"/>
              </w:rPr>
              <w:t xml:space="preserve"> D</w:t>
            </w:r>
            <w:r w:rsidRPr="0070783B">
              <w:rPr>
                <w:rFonts w:ascii="Arial" w:hAnsi="Arial" w:cs="Arial"/>
                <w:sz w:val="21"/>
                <w:szCs w:val="21"/>
              </w:rPr>
              <w:t xml:space="preserve">ose escalation to 40 mg/kg every other week may be considered for patients with </w:t>
            </w:r>
            <w:r>
              <w:rPr>
                <w:rFonts w:ascii="Arial" w:hAnsi="Arial" w:cs="Arial"/>
                <w:sz w:val="21"/>
                <w:szCs w:val="21"/>
              </w:rPr>
              <w:t>IOPD</w:t>
            </w:r>
            <w:r w:rsidRPr="0070783B">
              <w:rPr>
                <w:rFonts w:ascii="Arial" w:hAnsi="Arial" w:cs="Arial"/>
                <w:sz w:val="21"/>
                <w:szCs w:val="21"/>
              </w:rPr>
              <w:t xml:space="preserve"> who experience insufficient control or declining response at the lower dose.</w:t>
            </w:r>
            <w:r>
              <w:rPr>
                <w:rFonts w:ascii="Arial" w:hAnsi="Arial" w:cs="Arial"/>
                <w:sz w:val="21"/>
                <w:szCs w:val="21"/>
              </w:rPr>
              <w:t xml:space="preserve"> </w:t>
            </w:r>
          </w:p>
          <w:p w14:paraId="0ABB1A66" w14:textId="111BD613" w:rsidR="0070783B" w:rsidRPr="007D19DF" w:rsidRDefault="00F2301E" w:rsidP="00F2301E">
            <w:pPr>
              <w:pStyle w:val="TableParagraph"/>
              <w:ind w:right="160"/>
              <w:rPr>
                <w:rFonts w:ascii="Arial" w:hAnsi="Arial" w:cs="Arial"/>
                <w:sz w:val="21"/>
                <w:szCs w:val="21"/>
              </w:rPr>
            </w:pPr>
            <w:r>
              <w:rPr>
                <w:rFonts w:ascii="Arial" w:hAnsi="Arial" w:cs="Arial"/>
                <w:sz w:val="21"/>
                <w:szCs w:val="21"/>
              </w:rPr>
              <w:t xml:space="preserve">At the proposed </w:t>
            </w:r>
            <w:proofErr w:type="spellStart"/>
            <w:r>
              <w:rPr>
                <w:rFonts w:ascii="Arial" w:hAnsi="Arial" w:cs="Arial"/>
                <w:sz w:val="21"/>
                <w:szCs w:val="21"/>
              </w:rPr>
              <w:t>avalglucosidase</w:t>
            </w:r>
            <w:proofErr w:type="spellEnd"/>
            <w:r>
              <w:rPr>
                <w:rFonts w:ascii="Arial" w:hAnsi="Arial" w:cs="Arial"/>
                <w:sz w:val="21"/>
                <w:szCs w:val="21"/>
              </w:rPr>
              <w:t xml:space="preserve"> alfa price of $</w:t>
            </w:r>
            <w:r w:rsidRPr="00F2301E">
              <w:rPr>
                <w:rFonts w:ascii="Arial" w:hAnsi="Arial" w:cs="Arial"/>
                <w:sz w:val="21"/>
                <w:szCs w:val="21"/>
                <w:highlight w:val="black"/>
              </w:rPr>
              <w:t>XXXXX</w:t>
            </w:r>
            <w:r>
              <w:rPr>
                <w:rFonts w:ascii="Arial" w:hAnsi="Arial" w:cs="Arial"/>
                <w:sz w:val="21"/>
                <w:szCs w:val="21"/>
              </w:rPr>
              <w:t xml:space="preserve"> per vial, the annual average treatment cost would be $</w:t>
            </w:r>
            <w:r w:rsidRPr="00F2301E">
              <w:rPr>
                <w:rFonts w:ascii="Arial" w:hAnsi="Arial" w:cs="Arial"/>
                <w:sz w:val="21"/>
                <w:szCs w:val="21"/>
                <w:highlight w:val="black"/>
              </w:rPr>
              <w:t>XXXXXXX</w:t>
            </w:r>
            <w:r>
              <w:rPr>
                <w:rFonts w:ascii="Arial" w:hAnsi="Arial" w:cs="Arial"/>
                <w:sz w:val="21"/>
                <w:szCs w:val="21"/>
              </w:rPr>
              <w:t xml:space="preserve">, representing an unreasonable financial burden on the patient or guardian.  </w:t>
            </w:r>
          </w:p>
        </w:tc>
      </w:tr>
      <w:bookmarkEnd w:id="4"/>
    </w:tbl>
    <w:p w14:paraId="6057EFC7" w14:textId="207C1DCE" w:rsidR="00B6163B" w:rsidRDefault="00B6163B" w:rsidP="00B6163B"/>
    <w:p w14:paraId="28968B93" w14:textId="77777777" w:rsidR="00B6163B" w:rsidRDefault="00B6163B" w:rsidP="00284BA2">
      <w:pPr>
        <w:pStyle w:val="Heading3"/>
        <w:keepNext w:val="0"/>
      </w:pPr>
      <w:bookmarkStart w:id="5" w:name="Pricing_issues"/>
      <w:bookmarkEnd w:id="5"/>
      <w:r>
        <w:t>Pricing</w:t>
      </w:r>
      <w:r>
        <w:rPr>
          <w:spacing w:val="-2"/>
        </w:rPr>
        <w:t xml:space="preserve"> issues</w:t>
      </w:r>
    </w:p>
    <w:p w14:paraId="5798EEA2" w14:textId="77777777" w:rsidR="00B6163B" w:rsidRPr="00D72438" w:rsidRDefault="00B6163B" w:rsidP="00C45FFD">
      <w:pPr>
        <w:pStyle w:val="PolicyStatement"/>
        <w:rPr>
          <w:szCs w:val="21"/>
        </w:rPr>
      </w:pPr>
      <w:r w:rsidRPr="00D72438">
        <w:rPr>
          <w:szCs w:val="21"/>
        </w:rPr>
        <w:t>Note</w:t>
      </w:r>
      <w:r w:rsidRPr="00D72438">
        <w:rPr>
          <w:spacing w:val="-2"/>
          <w:szCs w:val="21"/>
        </w:rPr>
        <w:t xml:space="preserve"> </w:t>
      </w:r>
      <w:r w:rsidRPr="00D72438">
        <w:rPr>
          <w:szCs w:val="21"/>
        </w:rPr>
        <w:t>that</w:t>
      </w:r>
      <w:r w:rsidRPr="00D72438">
        <w:rPr>
          <w:spacing w:val="-1"/>
          <w:szCs w:val="21"/>
        </w:rPr>
        <w:t xml:space="preserve"> </w:t>
      </w:r>
      <w:r w:rsidRPr="00D72438">
        <w:rPr>
          <w:szCs w:val="21"/>
        </w:rPr>
        <w:t>the</w:t>
      </w:r>
      <w:r w:rsidRPr="00D72438">
        <w:rPr>
          <w:spacing w:val="-5"/>
          <w:szCs w:val="21"/>
        </w:rPr>
        <w:t xml:space="preserve"> </w:t>
      </w:r>
      <w:r w:rsidRPr="00D72438">
        <w:rPr>
          <w:szCs w:val="21"/>
        </w:rPr>
        <w:t>price</w:t>
      </w:r>
      <w:r w:rsidRPr="00D72438">
        <w:rPr>
          <w:spacing w:val="-2"/>
          <w:szCs w:val="21"/>
        </w:rPr>
        <w:t xml:space="preserve"> </w:t>
      </w:r>
      <w:r w:rsidRPr="00D72438">
        <w:rPr>
          <w:szCs w:val="21"/>
        </w:rPr>
        <w:t>of</w:t>
      </w:r>
      <w:r w:rsidRPr="00D72438">
        <w:rPr>
          <w:spacing w:val="-4"/>
          <w:szCs w:val="21"/>
        </w:rPr>
        <w:t xml:space="preserve"> </w:t>
      </w:r>
      <w:r w:rsidRPr="00D72438">
        <w:rPr>
          <w:szCs w:val="21"/>
        </w:rPr>
        <w:t>all</w:t>
      </w:r>
      <w:r w:rsidRPr="00D72438">
        <w:rPr>
          <w:spacing w:val="-5"/>
          <w:szCs w:val="21"/>
        </w:rPr>
        <w:t xml:space="preserve"> </w:t>
      </w:r>
      <w:r w:rsidRPr="00D72438">
        <w:rPr>
          <w:szCs w:val="21"/>
        </w:rPr>
        <w:t>LSDP</w:t>
      </w:r>
      <w:r w:rsidRPr="00D72438">
        <w:rPr>
          <w:spacing w:val="-2"/>
          <w:szCs w:val="21"/>
        </w:rPr>
        <w:t xml:space="preserve"> </w:t>
      </w:r>
      <w:r w:rsidRPr="00D72438">
        <w:rPr>
          <w:szCs w:val="21"/>
        </w:rPr>
        <w:t>medicines</w:t>
      </w:r>
      <w:r w:rsidRPr="00D72438">
        <w:rPr>
          <w:spacing w:val="-2"/>
          <w:szCs w:val="21"/>
        </w:rPr>
        <w:t xml:space="preserve"> </w:t>
      </w:r>
      <w:proofErr w:type="gramStart"/>
      <w:r w:rsidRPr="00D72438">
        <w:rPr>
          <w:szCs w:val="21"/>
        </w:rPr>
        <w:t>are</w:t>
      </w:r>
      <w:proofErr w:type="gramEnd"/>
      <w:r w:rsidRPr="00D72438">
        <w:rPr>
          <w:spacing w:val="-2"/>
          <w:szCs w:val="21"/>
        </w:rPr>
        <w:t xml:space="preserve"> </w:t>
      </w:r>
      <w:r w:rsidRPr="00D72438">
        <w:rPr>
          <w:szCs w:val="21"/>
        </w:rPr>
        <w:t>subject</w:t>
      </w:r>
      <w:r w:rsidRPr="00D72438">
        <w:rPr>
          <w:spacing w:val="-4"/>
          <w:szCs w:val="21"/>
        </w:rPr>
        <w:t xml:space="preserve"> </w:t>
      </w:r>
      <w:r w:rsidRPr="00D72438">
        <w:rPr>
          <w:szCs w:val="21"/>
        </w:rPr>
        <w:t>to</w:t>
      </w:r>
      <w:r w:rsidRPr="00D72438">
        <w:rPr>
          <w:spacing w:val="-3"/>
          <w:szCs w:val="21"/>
        </w:rPr>
        <w:t xml:space="preserve"> </w:t>
      </w:r>
      <w:r w:rsidRPr="00D72438">
        <w:rPr>
          <w:szCs w:val="21"/>
        </w:rPr>
        <w:t>commercial</w:t>
      </w:r>
      <w:r w:rsidRPr="00D72438">
        <w:rPr>
          <w:spacing w:val="-2"/>
          <w:szCs w:val="21"/>
        </w:rPr>
        <w:t xml:space="preserve"> </w:t>
      </w:r>
      <w:r w:rsidRPr="00D72438">
        <w:rPr>
          <w:szCs w:val="21"/>
        </w:rPr>
        <w:t>in</w:t>
      </w:r>
      <w:r w:rsidRPr="00D72438">
        <w:rPr>
          <w:spacing w:val="-6"/>
          <w:szCs w:val="21"/>
        </w:rPr>
        <w:t xml:space="preserve"> </w:t>
      </w:r>
      <w:r w:rsidRPr="00D72438">
        <w:rPr>
          <w:szCs w:val="21"/>
        </w:rPr>
        <w:t xml:space="preserve">confidence </w:t>
      </w:r>
      <w:r w:rsidRPr="00D72438">
        <w:rPr>
          <w:spacing w:val="-2"/>
          <w:szCs w:val="21"/>
        </w:rPr>
        <w:t>arrangements.</w:t>
      </w:r>
    </w:p>
    <w:p w14:paraId="56E0B475" w14:textId="77777777" w:rsidR="005C67C8" w:rsidRPr="00194FD5" w:rsidRDefault="005C67C8" w:rsidP="0070783B">
      <w:pPr>
        <w:pStyle w:val="Heading3"/>
      </w:pPr>
      <w:r w:rsidRPr="00194FD5">
        <w:t>Consumer Input</w:t>
      </w:r>
    </w:p>
    <w:p w14:paraId="163DAB48" w14:textId="0577DB67" w:rsidR="005C67C8" w:rsidRPr="00284BA2" w:rsidRDefault="005C67C8" w:rsidP="005C67C8">
      <w:pPr>
        <w:pStyle w:val="Heading2"/>
        <w:rPr>
          <w:rFonts w:cs="Times New Roman"/>
          <w:bCs w:val="0"/>
          <w:iCs w:val="0"/>
          <w:color w:val="auto"/>
          <w:sz w:val="21"/>
          <w:szCs w:val="21"/>
        </w:rPr>
      </w:pPr>
      <w:r w:rsidRPr="00284BA2">
        <w:rPr>
          <w:rFonts w:cs="Times New Roman"/>
          <w:bCs w:val="0"/>
          <w:iCs w:val="0"/>
          <w:color w:val="auto"/>
          <w:sz w:val="21"/>
          <w:szCs w:val="21"/>
        </w:rPr>
        <w:t>The Panel noted the consumer input from PBAC and the LSDP applications. The Panel found the insight provided by the stakeholders was informative and contributed to its deliberations.</w:t>
      </w:r>
    </w:p>
    <w:p w14:paraId="21079232" w14:textId="4B1AAE4C" w:rsidR="00B6163B" w:rsidRPr="00C5425E" w:rsidRDefault="00B6163B" w:rsidP="0070783B">
      <w:pPr>
        <w:pStyle w:val="Heading3"/>
      </w:pPr>
      <w:r w:rsidRPr="00C5425E">
        <w:t>Treatment</w:t>
      </w:r>
      <w:r w:rsidRPr="00C5425E">
        <w:rPr>
          <w:spacing w:val="-1"/>
        </w:rPr>
        <w:t xml:space="preserve"> </w:t>
      </w:r>
      <w:r w:rsidRPr="00C5425E">
        <w:t>Guidelines</w:t>
      </w:r>
    </w:p>
    <w:p w14:paraId="6998B968" w14:textId="599D728C" w:rsidR="00B6163B" w:rsidRDefault="00B6163B" w:rsidP="00A106B4">
      <w:pPr>
        <w:pStyle w:val="BodyText"/>
        <w:ind w:left="0"/>
        <w:rPr>
          <w:rFonts w:ascii="Arial" w:eastAsia="Times New Roman" w:hAnsi="Arial" w:cs="Times New Roman"/>
          <w:sz w:val="21"/>
          <w:szCs w:val="21"/>
        </w:rPr>
      </w:pPr>
      <w:r w:rsidRPr="00D72438">
        <w:rPr>
          <w:rFonts w:ascii="Arial" w:eastAsia="Times New Roman" w:hAnsi="Arial" w:cs="Times New Roman"/>
          <w:sz w:val="21"/>
          <w:szCs w:val="21"/>
        </w:rPr>
        <w:t xml:space="preserve">The application included draft Guidelines for the treatment of </w:t>
      </w:r>
      <w:proofErr w:type="spellStart"/>
      <w:r w:rsidR="00A106B4">
        <w:rPr>
          <w:rFonts w:ascii="Arial" w:eastAsia="Times New Roman" w:hAnsi="Arial" w:cs="Times New Roman"/>
          <w:sz w:val="21"/>
          <w:szCs w:val="21"/>
        </w:rPr>
        <w:t>Pompe</w:t>
      </w:r>
      <w:proofErr w:type="spellEnd"/>
      <w:r w:rsidR="00A106B4">
        <w:rPr>
          <w:rFonts w:ascii="Arial" w:eastAsia="Times New Roman" w:hAnsi="Arial" w:cs="Times New Roman"/>
          <w:sz w:val="21"/>
          <w:szCs w:val="21"/>
        </w:rPr>
        <w:t xml:space="preserve"> Disease</w:t>
      </w:r>
      <w:r w:rsidRPr="00D72438">
        <w:rPr>
          <w:rFonts w:ascii="Arial" w:eastAsia="Times New Roman" w:hAnsi="Arial" w:cs="Times New Roman"/>
          <w:sz w:val="21"/>
          <w:szCs w:val="21"/>
        </w:rPr>
        <w:t xml:space="preserve"> through the LSDP, which proposed initial and ongoing eligibility requirements. The Guidelines proposed that</w:t>
      </w:r>
      <w:r w:rsidR="00A106B4">
        <w:rPr>
          <w:rFonts w:ascii="Arial" w:eastAsia="Times New Roman" w:hAnsi="Arial" w:cs="Times New Roman"/>
          <w:sz w:val="21"/>
          <w:szCs w:val="21"/>
        </w:rPr>
        <w:t xml:space="preserve"> d</w:t>
      </w:r>
      <w:r w:rsidR="00A106B4" w:rsidRPr="00A106B4">
        <w:rPr>
          <w:rFonts w:ascii="Arial" w:eastAsia="Times New Roman" w:hAnsi="Arial" w:cs="Times New Roman"/>
          <w:sz w:val="21"/>
          <w:szCs w:val="21"/>
        </w:rPr>
        <w:t>iagnosis of infantile-onset</w:t>
      </w:r>
      <w:r w:rsidR="00C45FFD">
        <w:rPr>
          <w:rFonts w:ascii="Arial" w:eastAsia="Times New Roman" w:hAnsi="Arial" w:cs="Times New Roman"/>
          <w:sz w:val="21"/>
          <w:szCs w:val="21"/>
        </w:rPr>
        <w:t xml:space="preserve"> or</w:t>
      </w:r>
      <w:r w:rsidR="00A106B4" w:rsidRPr="00A106B4">
        <w:rPr>
          <w:rFonts w:ascii="Arial" w:eastAsia="Times New Roman" w:hAnsi="Arial" w:cs="Times New Roman"/>
          <w:sz w:val="21"/>
          <w:szCs w:val="21"/>
        </w:rPr>
        <w:t xml:space="preserve"> late-onset </w:t>
      </w:r>
      <w:proofErr w:type="spellStart"/>
      <w:r w:rsidR="00A106B4" w:rsidRPr="00A106B4">
        <w:rPr>
          <w:rFonts w:ascii="Arial" w:eastAsia="Times New Roman" w:hAnsi="Arial" w:cs="Times New Roman"/>
          <w:sz w:val="21"/>
          <w:szCs w:val="21"/>
        </w:rPr>
        <w:t>Pompe</w:t>
      </w:r>
      <w:proofErr w:type="spellEnd"/>
      <w:r w:rsidR="00A106B4" w:rsidRPr="00A106B4">
        <w:rPr>
          <w:rFonts w:ascii="Arial" w:eastAsia="Times New Roman" w:hAnsi="Arial" w:cs="Times New Roman"/>
          <w:sz w:val="21"/>
          <w:szCs w:val="21"/>
        </w:rPr>
        <w:t xml:space="preserve"> disease must have been made using one of the following methods</w:t>
      </w:r>
      <w:r w:rsidRPr="00A106B4">
        <w:rPr>
          <w:rFonts w:ascii="Arial" w:eastAsia="Times New Roman" w:hAnsi="Arial" w:cs="Times New Roman"/>
          <w:sz w:val="21"/>
          <w:szCs w:val="21"/>
        </w:rPr>
        <w:t>:</w:t>
      </w:r>
    </w:p>
    <w:p w14:paraId="6BE91B00" w14:textId="77777777" w:rsidR="004C06AA" w:rsidRDefault="004C06AA" w:rsidP="00A106B4">
      <w:pPr>
        <w:pStyle w:val="BodyText"/>
        <w:ind w:left="0"/>
        <w:rPr>
          <w:rFonts w:ascii="Arial" w:eastAsia="Times New Roman" w:hAnsi="Arial" w:cs="Times New Roman"/>
          <w:sz w:val="21"/>
          <w:szCs w:val="21"/>
        </w:rPr>
      </w:pPr>
    </w:p>
    <w:p w14:paraId="267087C2" w14:textId="339F338A" w:rsidR="004C06AA" w:rsidRPr="004C06AA" w:rsidRDefault="004C06AA" w:rsidP="004C06AA">
      <w:pPr>
        <w:pStyle w:val="BodyText"/>
        <w:numPr>
          <w:ilvl w:val="0"/>
          <w:numId w:val="2"/>
        </w:numPr>
        <w:rPr>
          <w:rFonts w:ascii="Arial" w:hAnsi="Arial" w:cs="Arial"/>
          <w:sz w:val="21"/>
          <w:szCs w:val="21"/>
        </w:rPr>
      </w:pPr>
      <w:r w:rsidRPr="004C06AA">
        <w:rPr>
          <w:rFonts w:ascii="Arial" w:hAnsi="Arial" w:cs="Arial"/>
          <w:sz w:val="21"/>
          <w:szCs w:val="21"/>
        </w:rPr>
        <w:t>Documented deficiency of acid alpha-glucosidase by prenatal diagnosis using chorionic villus biopsies and/or cultured amniotic cells</w:t>
      </w:r>
      <w:r>
        <w:rPr>
          <w:rFonts w:ascii="Arial" w:hAnsi="Arial" w:cs="Arial"/>
          <w:sz w:val="21"/>
          <w:szCs w:val="21"/>
        </w:rPr>
        <w:t>;</w:t>
      </w:r>
      <w:r w:rsidRPr="004C06AA">
        <w:rPr>
          <w:rFonts w:ascii="Arial" w:hAnsi="Arial" w:cs="Arial"/>
          <w:sz w:val="21"/>
          <w:szCs w:val="21"/>
        </w:rPr>
        <w:t xml:space="preserve"> or</w:t>
      </w:r>
    </w:p>
    <w:p w14:paraId="4614E110" w14:textId="389ECAB2" w:rsidR="004C06AA" w:rsidRPr="004C06AA" w:rsidRDefault="004C06AA" w:rsidP="004C06AA">
      <w:pPr>
        <w:pStyle w:val="BodyText"/>
        <w:numPr>
          <w:ilvl w:val="0"/>
          <w:numId w:val="2"/>
        </w:numPr>
        <w:rPr>
          <w:rFonts w:ascii="Arial" w:hAnsi="Arial" w:cs="Arial"/>
          <w:sz w:val="21"/>
          <w:szCs w:val="21"/>
        </w:rPr>
      </w:pPr>
      <w:r w:rsidRPr="004C06AA">
        <w:rPr>
          <w:rFonts w:ascii="Arial" w:hAnsi="Arial" w:cs="Arial"/>
          <w:sz w:val="21"/>
          <w:szCs w:val="21"/>
        </w:rPr>
        <w:t>At least 2 of the following confirmatory diagnostic tests from a N</w:t>
      </w:r>
      <w:r>
        <w:rPr>
          <w:rFonts w:ascii="Arial" w:hAnsi="Arial" w:cs="Arial"/>
          <w:sz w:val="21"/>
          <w:szCs w:val="21"/>
        </w:rPr>
        <w:t>ational Association of Testing Authorities (NATA)</w:t>
      </w:r>
      <w:r w:rsidRPr="004C06AA">
        <w:rPr>
          <w:rFonts w:ascii="Arial" w:hAnsi="Arial" w:cs="Arial"/>
          <w:sz w:val="21"/>
          <w:szCs w:val="21"/>
        </w:rPr>
        <w:t>-accredited laboratory:</w:t>
      </w:r>
    </w:p>
    <w:p w14:paraId="2A0AF682" w14:textId="77777777" w:rsidR="004C06AA" w:rsidRPr="004C06AA" w:rsidRDefault="004C06AA" w:rsidP="004C06AA">
      <w:pPr>
        <w:pStyle w:val="BodyText"/>
        <w:numPr>
          <w:ilvl w:val="1"/>
          <w:numId w:val="2"/>
        </w:numPr>
        <w:rPr>
          <w:rFonts w:ascii="Arial" w:hAnsi="Arial" w:cs="Arial"/>
          <w:sz w:val="21"/>
          <w:szCs w:val="21"/>
        </w:rPr>
      </w:pPr>
      <w:r w:rsidRPr="004C06AA">
        <w:rPr>
          <w:rFonts w:ascii="Arial" w:hAnsi="Arial" w:cs="Arial"/>
          <w:sz w:val="21"/>
          <w:szCs w:val="21"/>
        </w:rPr>
        <w:t>Documented deficiency of acid alpha-glucosidase in dried blood spot or lymphocytes or mixed leukocytes or skin fibroblasts or skeletal muscle.</w:t>
      </w:r>
    </w:p>
    <w:p w14:paraId="019FAEF3" w14:textId="77777777" w:rsidR="004C06AA" w:rsidRPr="004C06AA" w:rsidRDefault="004C06AA" w:rsidP="004C06AA">
      <w:pPr>
        <w:pStyle w:val="BodyText"/>
        <w:numPr>
          <w:ilvl w:val="1"/>
          <w:numId w:val="2"/>
        </w:numPr>
        <w:rPr>
          <w:rFonts w:ascii="Arial" w:hAnsi="Arial" w:cs="Arial"/>
          <w:sz w:val="21"/>
          <w:szCs w:val="21"/>
        </w:rPr>
      </w:pPr>
      <w:r w:rsidRPr="004C06AA">
        <w:rPr>
          <w:rFonts w:ascii="Arial" w:hAnsi="Arial" w:cs="Arial"/>
          <w:sz w:val="21"/>
          <w:szCs w:val="21"/>
        </w:rPr>
        <w:t xml:space="preserve">Documented urinary </w:t>
      </w:r>
      <w:proofErr w:type="spellStart"/>
      <w:r w:rsidRPr="004C06AA">
        <w:rPr>
          <w:rFonts w:ascii="Arial" w:hAnsi="Arial" w:cs="Arial"/>
          <w:sz w:val="21"/>
          <w:szCs w:val="21"/>
        </w:rPr>
        <w:t>tetrasaccharide</w:t>
      </w:r>
      <w:proofErr w:type="spellEnd"/>
      <w:r w:rsidRPr="004C06AA">
        <w:rPr>
          <w:rFonts w:ascii="Arial" w:hAnsi="Arial" w:cs="Arial"/>
          <w:sz w:val="21"/>
          <w:szCs w:val="21"/>
        </w:rPr>
        <w:t xml:space="preserve"> testing indicating a diagnostic elevation of glucose </w:t>
      </w:r>
      <w:proofErr w:type="spellStart"/>
      <w:r w:rsidRPr="004C06AA">
        <w:rPr>
          <w:rFonts w:ascii="Arial" w:hAnsi="Arial" w:cs="Arial"/>
          <w:sz w:val="21"/>
          <w:szCs w:val="21"/>
        </w:rPr>
        <w:t>tetrasaccharides</w:t>
      </w:r>
      <w:proofErr w:type="spellEnd"/>
      <w:r w:rsidRPr="004C06AA">
        <w:rPr>
          <w:rFonts w:ascii="Arial" w:hAnsi="Arial" w:cs="Arial"/>
          <w:sz w:val="21"/>
          <w:szCs w:val="21"/>
        </w:rPr>
        <w:t>.</w:t>
      </w:r>
    </w:p>
    <w:p w14:paraId="541340F6" w14:textId="443A3388" w:rsidR="004C06AA" w:rsidRPr="00A07A4E" w:rsidRDefault="004C06AA" w:rsidP="00A07A4E">
      <w:pPr>
        <w:pStyle w:val="BodyText"/>
        <w:numPr>
          <w:ilvl w:val="1"/>
          <w:numId w:val="2"/>
        </w:numPr>
        <w:rPr>
          <w:rFonts w:ascii="Arial" w:hAnsi="Arial" w:cs="Arial"/>
          <w:sz w:val="21"/>
          <w:szCs w:val="21"/>
        </w:rPr>
      </w:pPr>
      <w:r w:rsidRPr="004C06AA">
        <w:rPr>
          <w:rFonts w:ascii="Arial" w:hAnsi="Arial" w:cs="Arial"/>
          <w:sz w:val="21"/>
          <w:szCs w:val="21"/>
        </w:rPr>
        <w:t>Documented molecular genetic testing indicating a disease-causing mutation in the acid alpha-glucosidase gene (GAA gene).</w:t>
      </w:r>
    </w:p>
    <w:p w14:paraId="00E3A18B" w14:textId="08405601" w:rsidR="00B6163B" w:rsidRPr="00D72438" w:rsidRDefault="00B6163B" w:rsidP="00B6163B">
      <w:pPr>
        <w:pStyle w:val="ListParagraph"/>
        <w:widowControl w:val="0"/>
        <w:numPr>
          <w:ilvl w:val="0"/>
          <w:numId w:val="1"/>
        </w:numPr>
        <w:tabs>
          <w:tab w:val="left" w:pos="839"/>
          <w:tab w:val="left" w:pos="840"/>
        </w:tabs>
        <w:autoSpaceDE w:val="0"/>
        <w:autoSpaceDN w:val="0"/>
        <w:spacing w:before="2"/>
        <w:ind w:right="116"/>
        <w:contextualSpacing w:val="0"/>
        <w:rPr>
          <w:sz w:val="21"/>
          <w:szCs w:val="21"/>
        </w:rPr>
      </w:pPr>
      <w:r w:rsidRPr="00D72438">
        <w:rPr>
          <w:sz w:val="21"/>
          <w:szCs w:val="21"/>
        </w:rPr>
        <w:t>The patient must satisfy</w:t>
      </w:r>
      <w:r w:rsidR="004C06AA">
        <w:rPr>
          <w:sz w:val="21"/>
          <w:szCs w:val="21"/>
        </w:rPr>
        <w:t>, at the time of initial application,</w:t>
      </w:r>
      <w:r w:rsidRPr="00D72438">
        <w:rPr>
          <w:sz w:val="21"/>
          <w:szCs w:val="21"/>
        </w:rPr>
        <w:t xml:space="preserve"> the following criteria to be eligible for treatment with </w:t>
      </w:r>
      <w:proofErr w:type="spellStart"/>
      <w:r w:rsidR="00C45FFD">
        <w:rPr>
          <w:sz w:val="21"/>
          <w:szCs w:val="21"/>
        </w:rPr>
        <w:t>avalglucosidase</w:t>
      </w:r>
      <w:proofErr w:type="spellEnd"/>
      <w:r w:rsidR="00C45FFD">
        <w:rPr>
          <w:sz w:val="21"/>
          <w:szCs w:val="21"/>
        </w:rPr>
        <w:t xml:space="preserve"> alfa</w:t>
      </w:r>
      <w:r w:rsidRPr="00D72438">
        <w:rPr>
          <w:sz w:val="21"/>
          <w:szCs w:val="21"/>
        </w:rPr>
        <w:t>:</w:t>
      </w:r>
    </w:p>
    <w:p w14:paraId="37B905DF" w14:textId="43A8BC28" w:rsidR="00B6163B" w:rsidRDefault="004C06AA" w:rsidP="00B6163B">
      <w:pPr>
        <w:pStyle w:val="ListParagraph"/>
        <w:widowControl w:val="0"/>
        <w:numPr>
          <w:ilvl w:val="1"/>
          <w:numId w:val="1"/>
        </w:numPr>
        <w:tabs>
          <w:tab w:val="left" w:pos="1616"/>
        </w:tabs>
        <w:autoSpaceDE w:val="0"/>
        <w:autoSpaceDN w:val="0"/>
        <w:spacing w:before="6" w:line="232" w:lineRule="auto"/>
        <w:ind w:right="116"/>
        <w:contextualSpacing w:val="0"/>
        <w:rPr>
          <w:sz w:val="21"/>
          <w:szCs w:val="21"/>
        </w:rPr>
      </w:pPr>
      <w:r w:rsidRPr="004C06AA">
        <w:rPr>
          <w:sz w:val="21"/>
          <w:szCs w:val="21"/>
        </w:rPr>
        <w:t xml:space="preserve">the patient has a documented diagnosis of </w:t>
      </w:r>
      <w:r>
        <w:rPr>
          <w:sz w:val="21"/>
          <w:szCs w:val="21"/>
        </w:rPr>
        <w:t>IOPD;</w:t>
      </w:r>
      <w:r w:rsidRPr="004C06AA">
        <w:rPr>
          <w:sz w:val="21"/>
          <w:szCs w:val="21"/>
        </w:rPr>
        <w:t xml:space="preserve"> or</w:t>
      </w:r>
    </w:p>
    <w:p w14:paraId="020F076B" w14:textId="6BE61210" w:rsidR="004C06AA" w:rsidRPr="004C06AA" w:rsidRDefault="004C06AA" w:rsidP="004C06AA">
      <w:pPr>
        <w:pStyle w:val="ListParagraph"/>
        <w:widowControl w:val="0"/>
        <w:numPr>
          <w:ilvl w:val="1"/>
          <w:numId w:val="1"/>
        </w:numPr>
        <w:tabs>
          <w:tab w:val="left" w:pos="1616"/>
        </w:tabs>
        <w:autoSpaceDE w:val="0"/>
        <w:autoSpaceDN w:val="0"/>
        <w:spacing w:before="6" w:line="232" w:lineRule="auto"/>
        <w:ind w:right="116"/>
        <w:rPr>
          <w:sz w:val="21"/>
          <w:szCs w:val="21"/>
        </w:rPr>
      </w:pPr>
      <w:r w:rsidRPr="004C06AA">
        <w:rPr>
          <w:sz w:val="21"/>
          <w:szCs w:val="21"/>
        </w:rPr>
        <w:t xml:space="preserve">the patient has a documented diagnosis of </w:t>
      </w:r>
      <w:r w:rsidR="00840958">
        <w:rPr>
          <w:sz w:val="21"/>
          <w:szCs w:val="21"/>
        </w:rPr>
        <w:t>L</w:t>
      </w:r>
      <w:r>
        <w:rPr>
          <w:sz w:val="21"/>
          <w:szCs w:val="21"/>
        </w:rPr>
        <w:t>OPD</w:t>
      </w:r>
      <w:r w:rsidR="00786922">
        <w:rPr>
          <w:sz w:val="21"/>
          <w:szCs w:val="21"/>
        </w:rPr>
        <w:t xml:space="preserve">. </w:t>
      </w:r>
      <w:r w:rsidR="00786922" w:rsidRPr="00012943">
        <w:t xml:space="preserve">Patients aged 18 years and over must also present with at least one of the following treatment </w:t>
      </w:r>
      <w:r w:rsidR="00786922" w:rsidRPr="00012943">
        <w:lastRenderedPageBreak/>
        <w:t>criteria</w:t>
      </w:r>
      <w:r w:rsidR="00DA3765">
        <w:t>:</w:t>
      </w:r>
      <w:r w:rsidRPr="004C06AA">
        <w:rPr>
          <w:sz w:val="21"/>
          <w:szCs w:val="21"/>
        </w:rPr>
        <w:t xml:space="preserve"> </w:t>
      </w:r>
    </w:p>
    <w:p w14:paraId="159C4F38" w14:textId="77777777" w:rsidR="004C06AA" w:rsidRPr="004C06AA" w:rsidRDefault="004C06AA" w:rsidP="004C06AA">
      <w:pPr>
        <w:pStyle w:val="ListParagraph"/>
        <w:widowControl w:val="0"/>
        <w:numPr>
          <w:ilvl w:val="2"/>
          <w:numId w:val="1"/>
        </w:numPr>
        <w:tabs>
          <w:tab w:val="left" w:pos="1616"/>
        </w:tabs>
        <w:autoSpaceDE w:val="0"/>
        <w:autoSpaceDN w:val="0"/>
        <w:spacing w:before="6" w:line="232" w:lineRule="auto"/>
        <w:ind w:right="116"/>
        <w:rPr>
          <w:sz w:val="21"/>
          <w:szCs w:val="21"/>
        </w:rPr>
      </w:pPr>
      <w:r w:rsidRPr="004C06AA">
        <w:rPr>
          <w:b/>
          <w:bCs/>
          <w:sz w:val="21"/>
          <w:szCs w:val="21"/>
        </w:rPr>
        <w:t>Respiratory function test</w:t>
      </w:r>
      <w:r w:rsidRPr="004C06AA">
        <w:rPr>
          <w:sz w:val="21"/>
          <w:szCs w:val="21"/>
        </w:rPr>
        <w:t>: Patients with Forced Vital Capacity (FVC), either supine or erect, less than 80% of predicted value. Both supine and erect FVC should be performed.</w:t>
      </w:r>
    </w:p>
    <w:p w14:paraId="2897C56E" w14:textId="77777777" w:rsidR="004C06AA" w:rsidRPr="004C06AA" w:rsidRDefault="004C06AA" w:rsidP="004C06AA">
      <w:pPr>
        <w:pStyle w:val="ListParagraph"/>
        <w:widowControl w:val="0"/>
        <w:numPr>
          <w:ilvl w:val="2"/>
          <w:numId w:val="1"/>
        </w:numPr>
        <w:tabs>
          <w:tab w:val="left" w:pos="1616"/>
        </w:tabs>
        <w:autoSpaceDE w:val="0"/>
        <w:autoSpaceDN w:val="0"/>
        <w:spacing w:before="6" w:line="232" w:lineRule="auto"/>
        <w:ind w:right="116"/>
        <w:rPr>
          <w:sz w:val="21"/>
          <w:szCs w:val="21"/>
        </w:rPr>
      </w:pPr>
      <w:r w:rsidRPr="004C06AA">
        <w:rPr>
          <w:b/>
          <w:bCs/>
          <w:sz w:val="21"/>
          <w:szCs w:val="21"/>
        </w:rPr>
        <w:t>Sleep disordered breathing</w:t>
      </w:r>
      <w:r w:rsidRPr="004C06AA">
        <w:rPr>
          <w:sz w:val="21"/>
          <w:szCs w:val="21"/>
        </w:rPr>
        <w:t>: Patients with an apnoea / hypopnoea incidence of &gt;five events / hour of total sleep time or more than two severe episodes of desaturation (oxygen saturation &lt;80%) in an overnight sleep study.</w:t>
      </w:r>
    </w:p>
    <w:p w14:paraId="70AA3FB4" w14:textId="4E88A3AB" w:rsidR="004C06AA" w:rsidRPr="004C06AA" w:rsidRDefault="004C06AA" w:rsidP="004C06AA">
      <w:pPr>
        <w:pStyle w:val="ListParagraph"/>
        <w:widowControl w:val="0"/>
        <w:numPr>
          <w:ilvl w:val="2"/>
          <w:numId w:val="1"/>
        </w:numPr>
        <w:tabs>
          <w:tab w:val="left" w:pos="1616"/>
        </w:tabs>
        <w:autoSpaceDE w:val="0"/>
        <w:autoSpaceDN w:val="0"/>
        <w:spacing w:before="6" w:line="232" w:lineRule="auto"/>
        <w:ind w:right="116"/>
        <w:rPr>
          <w:sz w:val="21"/>
          <w:szCs w:val="21"/>
        </w:rPr>
      </w:pPr>
      <w:r w:rsidRPr="004C06AA">
        <w:rPr>
          <w:b/>
          <w:bCs/>
          <w:sz w:val="21"/>
          <w:szCs w:val="21"/>
        </w:rPr>
        <w:t>Significant muscular weakness</w:t>
      </w:r>
      <w:r w:rsidRPr="004C06AA">
        <w:rPr>
          <w:sz w:val="21"/>
          <w:szCs w:val="21"/>
        </w:rPr>
        <w:t>: Patients with significant muscular weakness as evidenced by Manual Muscle Testing (MMT) (employing the MRC score) of four or less in either limb girdle accompanied by a 6 Minute Walk Test (6MWT).</w:t>
      </w:r>
    </w:p>
    <w:p w14:paraId="3AA0EEC2" w14:textId="77777777" w:rsidR="00B6163B" w:rsidRPr="00D72438" w:rsidRDefault="00B6163B" w:rsidP="00B6163B">
      <w:pPr>
        <w:rPr>
          <w:sz w:val="21"/>
          <w:szCs w:val="21"/>
        </w:rPr>
      </w:pPr>
    </w:p>
    <w:p w14:paraId="4AF45D4C" w14:textId="77777777" w:rsidR="00B6163B" w:rsidRDefault="00B6163B" w:rsidP="00B6163B">
      <w:pPr>
        <w:pStyle w:val="Heading3"/>
        <w:rPr>
          <w:rFonts w:eastAsia="Calibri"/>
        </w:rPr>
      </w:pPr>
      <w:r w:rsidRPr="00EF18E8">
        <w:rPr>
          <w:rFonts w:eastAsia="Calibri"/>
        </w:rPr>
        <w:t>Management of</w:t>
      </w:r>
      <w:r w:rsidRPr="00EF18E8">
        <w:rPr>
          <w:rFonts w:eastAsia="Calibri"/>
          <w:spacing w:val="-1"/>
        </w:rPr>
        <w:t xml:space="preserve"> </w:t>
      </w:r>
      <w:r w:rsidRPr="00EF18E8">
        <w:rPr>
          <w:rFonts w:eastAsia="Calibri"/>
        </w:rPr>
        <w:t>Uncertainties</w:t>
      </w:r>
    </w:p>
    <w:p w14:paraId="1BABF7C4" w14:textId="4257859E" w:rsidR="00B6163B" w:rsidRPr="00D72438" w:rsidRDefault="00B6163B" w:rsidP="00B6163B">
      <w:pPr>
        <w:widowControl w:val="0"/>
        <w:autoSpaceDE w:val="0"/>
        <w:autoSpaceDN w:val="0"/>
        <w:rPr>
          <w:rFonts w:eastAsia="Calibri" w:cs="Arial"/>
          <w:sz w:val="21"/>
          <w:szCs w:val="21"/>
        </w:rPr>
      </w:pPr>
      <w:r w:rsidRPr="00EF18E8">
        <w:rPr>
          <w:rFonts w:eastAsia="Calibri" w:cs="Arial"/>
          <w:sz w:val="21"/>
          <w:szCs w:val="21"/>
        </w:rPr>
        <w:t xml:space="preserve">To address uncertainties, clinical data will be collected through initial and ongoing applications to the LSDP. In line with LSDP policy and to manage uncertainties, a review of </w:t>
      </w:r>
      <w:proofErr w:type="spellStart"/>
      <w:r w:rsidR="004C36C5">
        <w:rPr>
          <w:sz w:val="21"/>
          <w:szCs w:val="21"/>
        </w:rPr>
        <w:t>avalglucosidase</w:t>
      </w:r>
      <w:proofErr w:type="spellEnd"/>
      <w:r w:rsidR="004C36C5">
        <w:rPr>
          <w:sz w:val="21"/>
          <w:szCs w:val="21"/>
        </w:rPr>
        <w:t xml:space="preserve"> </w:t>
      </w:r>
      <w:proofErr w:type="gramStart"/>
      <w:r w:rsidR="004C36C5">
        <w:rPr>
          <w:sz w:val="21"/>
          <w:szCs w:val="21"/>
        </w:rPr>
        <w:t xml:space="preserve">alfa </w:t>
      </w:r>
      <w:r w:rsidRPr="00EF18E8">
        <w:rPr>
          <w:rFonts w:eastAsia="Calibri" w:cs="Arial"/>
          <w:spacing w:val="-1"/>
          <w:sz w:val="21"/>
          <w:szCs w:val="21"/>
        </w:rPr>
        <w:t xml:space="preserve"> </w:t>
      </w:r>
      <w:r w:rsidRPr="00EF18E8">
        <w:rPr>
          <w:rFonts w:eastAsia="Calibri" w:cs="Arial"/>
          <w:sz w:val="21"/>
          <w:szCs w:val="21"/>
        </w:rPr>
        <w:t>24</w:t>
      </w:r>
      <w:proofErr w:type="gramEnd"/>
      <w:r w:rsidRPr="00EF18E8">
        <w:rPr>
          <w:rFonts w:eastAsia="Calibri" w:cs="Arial"/>
          <w:spacing w:val="-1"/>
          <w:sz w:val="21"/>
          <w:szCs w:val="21"/>
        </w:rPr>
        <w:t xml:space="preserve"> </w:t>
      </w:r>
      <w:r w:rsidRPr="00EF18E8">
        <w:rPr>
          <w:rFonts w:eastAsia="Calibri" w:cs="Arial"/>
          <w:sz w:val="21"/>
          <w:szCs w:val="21"/>
        </w:rPr>
        <w:t>months</w:t>
      </w:r>
      <w:r w:rsidRPr="00EF18E8">
        <w:rPr>
          <w:rFonts w:eastAsia="Calibri" w:cs="Arial"/>
          <w:spacing w:val="-4"/>
          <w:sz w:val="21"/>
          <w:szCs w:val="21"/>
        </w:rPr>
        <w:t xml:space="preserve"> </w:t>
      </w:r>
      <w:r w:rsidRPr="00EF18E8">
        <w:rPr>
          <w:rFonts w:eastAsia="Calibri" w:cs="Arial"/>
          <w:sz w:val="21"/>
          <w:szCs w:val="21"/>
        </w:rPr>
        <w:t>after</w:t>
      </w:r>
      <w:r w:rsidRPr="00EF18E8">
        <w:rPr>
          <w:rFonts w:eastAsia="Calibri" w:cs="Arial"/>
          <w:spacing w:val="-4"/>
          <w:sz w:val="21"/>
          <w:szCs w:val="21"/>
        </w:rPr>
        <w:t xml:space="preserve"> </w:t>
      </w:r>
      <w:r w:rsidRPr="00EF18E8">
        <w:rPr>
          <w:rFonts w:eastAsia="Calibri" w:cs="Arial"/>
          <w:sz w:val="21"/>
          <w:szCs w:val="21"/>
        </w:rPr>
        <w:t>listing</w:t>
      </w:r>
      <w:r w:rsidRPr="00EF18E8">
        <w:rPr>
          <w:rFonts w:eastAsia="Calibri" w:cs="Arial"/>
          <w:spacing w:val="-4"/>
          <w:sz w:val="21"/>
          <w:szCs w:val="21"/>
        </w:rPr>
        <w:t xml:space="preserve"> </w:t>
      </w:r>
      <w:r w:rsidR="00A07A4E">
        <w:rPr>
          <w:rFonts w:eastAsia="Calibri" w:cs="Arial"/>
          <w:sz w:val="21"/>
          <w:szCs w:val="21"/>
        </w:rPr>
        <w:t>will</w:t>
      </w:r>
      <w:r w:rsidRPr="00EF18E8">
        <w:rPr>
          <w:rFonts w:eastAsia="Calibri" w:cs="Arial"/>
          <w:spacing w:val="-3"/>
          <w:sz w:val="21"/>
          <w:szCs w:val="21"/>
        </w:rPr>
        <w:t xml:space="preserve"> </w:t>
      </w:r>
      <w:r w:rsidRPr="00EF18E8">
        <w:rPr>
          <w:rFonts w:eastAsia="Calibri" w:cs="Arial"/>
          <w:sz w:val="21"/>
          <w:szCs w:val="21"/>
        </w:rPr>
        <w:t>be</w:t>
      </w:r>
      <w:r w:rsidRPr="00EF18E8">
        <w:rPr>
          <w:rFonts w:eastAsia="Calibri" w:cs="Arial"/>
          <w:spacing w:val="-1"/>
          <w:sz w:val="21"/>
          <w:szCs w:val="21"/>
        </w:rPr>
        <w:t xml:space="preserve"> </w:t>
      </w:r>
      <w:r w:rsidRPr="00EF18E8">
        <w:rPr>
          <w:rFonts w:eastAsia="Calibri" w:cs="Arial"/>
          <w:sz w:val="21"/>
          <w:szCs w:val="21"/>
        </w:rPr>
        <w:t>conducted</w:t>
      </w:r>
      <w:r w:rsidRPr="00EF18E8">
        <w:rPr>
          <w:rFonts w:eastAsia="Calibri" w:cs="Arial"/>
          <w:spacing w:val="-3"/>
          <w:sz w:val="21"/>
          <w:szCs w:val="21"/>
        </w:rPr>
        <w:t xml:space="preserve"> </w:t>
      </w:r>
      <w:r w:rsidRPr="00EF18E8">
        <w:rPr>
          <w:rFonts w:eastAsia="Calibri" w:cs="Arial"/>
          <w:sz w:val="21"/>
          <w:szCs w:val="21"/>
        </w:rPr>
        <w:t>to</w:t>
      </w:r>
      <w:r w:rsidRPr="00EF18E8">
        <w:rPr>
          <w:rFonts w:eastAsia="Calibri" w:cs="Arial"/>
          <w:spacing w:val="-3"/>
          <w:sz w:val="21"/>
          <w:szCs w:val="21"/>
        </w:rPr>
        <w:t xml:space="preserve"> </w:t>
      </w:r>
      <w:r w:rsidRPr="00EF18E8">
        <w:rPr>
          <w:rFonts w:eastAsia="Calibri" w:cs="Arial"/>
          <w:sz w:val="21"/>
          <w:szCs w:val="21"/>
        </w:rPr>
        <w:t>ensure</w:t>
      </w:r>
      <w:r w:rsidRPr="00EF18E8">
        <w:rPr>
          <w:rFonts w:eastAsia="Calibri" w:cs="Arial"/>
          <w:spacing w:val="-3"/>
          <w:sz w:val="21"/>
          <w:szCs w:val="21"/>
        </w:rPr>
        <w:t xml:space="preserve"> </w:t>
      </w:r>
      <w:r w:rsidRPr="00EF18E8">
        <w:rPr>
          <w:rFonts w:eastAsia="Calibri" w:cs="Arial"/>
          <w:sz w:val="21"/>
          <w:szCs w:val="21"/>
        </w:rPr>
        <w:t>use</w:t>
      </w:r>
      <w:r w:rsidRPr="00EF18E8">
        <w:rPr>
          <w:rFonts w:eastAsia="Calibri" w:cs="Arial"/>
          <w:spacing w:val="-3"/>
          <w:sz w:val="21"/>
          <w:szCs w:val="21"/>
        </w:rPr>
        <w:t xml:space="preserve"> </w:t>
      </w:r>
      <w:r w:rsidRPr="00EF18E8">
        <w:rPr>
          <w:rFonts w:eastAsia="Calibri" w:cs="Arial"/>
          <w:sz w:val="21"/>
          <w:szCs w:val="21"/>
        </w:rPr>
        <w:t>and</w:t>
      </w:r>
      <w:r w:rsidRPr="00EF18E8">
        <w:rPr>
          <w:rFonts w:eastAsia="Calibri" w:cs="Arial"/>
          <w:spacing w:val="-3"/>
          <w:sz w:val="21"/>
          <w:szCs w:val="21"/>
        </w:rPr>
        <w:t xml:space="preserve"> </w:t>
      </w:r>
      <w:r w:rsidRPr="00EF18E8">
        <w:rPr>
          <w:rFonts w:eastAsia="Calibri" w:cs="Arial"/>
          <w:sz w:val="21"/>
          <w:szCs w:val="21"/>
        </w:rPr>
        <w:t>performance</w:t>
      </w:r>
      <w:r w:rsidRPr="00EF18E8">
        <w:rPr>
          <w:rFonts w:eastAsia="Calibri" w:cs="Arial"/>
          <w:spacing w:val="-1"/>
          <w:sz w:val="21"/>
          <w:szCs w:val="21"/>
        </w:rPr>
        <w:t xml:space="preserve"> </w:t>
      </w:r>
      <w:r w:rsidRPr="00EF18E8">
        <w:rPr>
          <w:rFonts w:eastAsia="Calibri" w:cs="Arial"/>
          <w:sz w:val="21"/>
          <w:szCs w:val="21"/>
        </w:rPr>
        <w:t>of the medicine is in line with the expectations at the time of listing.</w:t>
      </w:r>
    </w:p>
    <w:p w14:paraId="2F4CD4CC" w14:textId="77777777" w:rsidR="00B6163B" w:rsidRPr="00EF18E8" w:rsidRDefault="00B6163B" w:rsidP="0070783B">
      <w:pPr>
        <w:pStyle w:val="Heading3"/>
      </w:pPr>
      <w:r w:rsidRPr="00EF18E8">
        <w:t>Context:</w:t>
      </w:r>
    </w:p>
    <w:p w14:paraId="318C7199" w14:textId="77777777" w:rsidR="00B6163B" w:rsidRPr="00EF18E8" w:rsidRDefault="00B6163B" w:rsidP="00B6163B">
      <w:pPr>
        <w:rPr>
          <w:sz w:val="21"/>
          <w:szCs w:val="21"/>
        </w:rPr>
      </w:pPr>
      <w:r w:rsidRPr="00EF18E8">
        <w:rPr>
          <w:sz w:val="21"/>
          <w:szCs w:val="21"/>
        </w:rPr>
        <w:t>The LSDP provides access for eligible patients with rare and life-threatening diseases to essential and very expensive medicines. The LSDP provides eligible patients with access to these life-saving medicines at no expense to the patients or their families.</w:t>
      </w:r>
    </w:p>
    <w:p w14:paraId="73EECC1A" w14:textId="77777777" w:rsidR="00B6163B" w:rsidRPr="00EF18E8" w:rsidRDefault="00B6163B" w:rsidP="00B6163B">
      <w:pPr>
        <w:rPr>
          <w:sz w:val="21"/>
          <w:szCs w:val="21"/>
        </w:rPr>
      </w:pPr>
    </w:p>
    <w:p w14:paraId="2B18F343" w14:textId="77777777" w:rsidR="00B6163B" w:rsidRPr="00EF18E8" w:rsidRDefault="00B6163B" w:rsidP="00B6163B">
      <w:pPr>
        <w:rPr>
          <w:sz w:val="21"/>
          <w:szCs w:val="21"/>
        </w:rPr>
      </w:pPr>
      <w:r w:rsidRPr="00EF18E8">
        <w:rPr>
          <w:sz w:val="21"/>
          <w:szCs w:val="21"/>
        </w:rPr>
        <w:t>Before being considered for inclusion on the LSDP, a drug must first be considered by PBAC and accepted as clinically effective but rejected for PBS listing because it fails to meet the required cost effectiveness criteria.</w:t>
      </w:r>
    </w:p>
    <w:p w14:paraId="773927E1" w14:textId="77777777" w:rsidR="00B6163B" w:rsidRPr="00EF18E8" w:rsidRDefault="00B6163B" w:rsidP="00B6163B">
      <w:pPr>
        <w:rPr>
          <w:sz w:val="21"/>
          <w:szCs w:val="21"/>
        </w:rPr>
      </w:pPr>
    </w:p>
    <w:p w14:paraId="66BBDB12" w14:textId="69464998" w:rsidR="00B6163B" w:rsidRPr="00EF18E8" w:rsidRDefault="00B6163B" w:rsidP="00B6163B">
      <w:pPr>
        <w:rPr>
          <w:sz w:val="21"/>
          <w:szCs w:val="21"/>
        </w:rPr>
      </w:pPr>
      <w:r w:rsidRPr="00EF18E8">
        <w:rPr>
          <w:sz w:val="21"/>
          <w:szCs w:val="21"/>
        </w:rPr>
        <w:t xml:space="preserve">All applications for new medicines seeking funding through the LSDP are considered by the LSDP Expert Panel. The role of the panel is to provide advice and assistance to the </w:t>
      </w:r>
      <w:r w:rsidR="00C45FFD">
        <w:rPr>
          <w:sz w:val="21"/>
          <w:szCs w:val="21"/>
        </w:rPr>
        <w:t>Chief Medical Officer (</w:t>
      </w:r>
      <w:r w:rsidRPr="00EF18E8">
        <w:rPr>
          <w:sz w:val="21"/>
          <w:szCs w:val="21"/>
        </w:rPr>
        <w:t>CMO</w:t>
      </w:r>
      <w:r w:rsidR="00C45FFD">
        <w:rPr>
          <w:sz w:val="21"/>
          <w:szCs w:val="21"/>
        </w:rPr>
        <w:t>)</w:t>
      </w:r>
      <w:r w:rsidRPr="00EF18E8">
        <w:rPr>
          <w:sz w:val="21"/>
          <w:szCs w:val="21"/>
        </w:rPr>
        <w:t xml:space="preserve"> on a range of matters relating to new medicines seeking funding, including assessment of how the medicine addresses the LSDP criteria, guidelines for medicine use and testing requirements, suitable pricing arrangements, and data collection required for future reviews.</w:t>
      </w:r>
    </w:p>
    <w:p w14:paraId="4FD036F3" w14:textId="77777777" w:rsidR="00B6163B" w:rsidRPr="00EF18E8" w:rsidRDefault="00B6163B" w:rsidP="00B6163B">
      <w:pPr>
        <w:rPr>
          <w:sz w:val="21"/>
          <w:szCs w:val="21"/>
        </w:rPr>
      </w:pPr>
    </w:p>
    <w:p w14:paraId="01D8FA53" w14:textId="08B88FF9" w:rsidR="00B6163B" w:rsidRPr="00D72438" w:rsidRDefault="00B6163B" w:rsidP="00B6163B">
      <w:pPr>
        <w:rPr>
          <w:sz w:val="21"/>
          <w:szCs w:val="21"/>
        </w:rPr>
      </w:pPr>
      <w:r w:rsidRPr="00EF18E8">
        <w:rPr>
          <w:sz w:val="21"/>
          <w:szCs w:val="21"/>
        </w:rPr>
        <w:t>After receiving advice from the Panel, the CMO advises the Minister for Health</w:t>
      </w:r>
      <w:r w:rsidR="00C45FFD">
        <w:rPr>
          <w:sz w:val="21"/>
          <w:szCs w:val="21"/>
        </w:rPr>
        <w:t xml:space="preserve"> and Aged Care</w:t>
      </w:r>
      <w:r w:rsidRPr="00EF18E8">
        <w:rPr>
          <w:sz w:val="21"/>
          <w:szCs w:val="21"/>
        </w:rPr>
        <w:t xml:space="preserve"> on medicines proposed to be included on the LSDP.</w:t>
      </w:r>
    </w:p>
    <w:p w14:paraId="7C07E0CB" w14:textId="77777777" w:rsidR="00B6163B" w:rsidRPr="00D72438" w:rsidRDefault="00B6163B" w:rsidP="00B6163B">
      <w:pPr>
        <w:rPr>
          <w:sz w:val="21"/>
          <w:szCs w:val="21"/>
        </w:rPr>
      </w:pPr>
    </w:p>
    <w:p w14:paraId="5547D71D" w14:textId="77777777" w:rsidR="00B6163B" w:rsidRPr="00EF18E8" w:rsidRDefault="00B6163B" w:rsidP="00B6163B">
      <w:pPr>
        <w:rPr>
          <w:sz w:val="21"/>
          <w:szCs w:val="21"/>
        </w:rPr>
      </w:pPr>
      <w:r w:rsidRPr="00D72438">
        <w:rPr>
          <w:sz w:val="21"/>
          <w:szCs w:val="21"/>
        </w:rPr>
        <w:t>T</w:t>
      </w:r>
      <w:r w:rsidRPr="00EF18E8">
        <w:rPr>
          <w:sz w:val="21"/>
          <w:szCs w:val="21"/>
        </w:rPr>
        <w:t>his document aims to provide an overview of the evidence considered by the Panel and CMO during their assessment of medicines.</w:t>
      </w:r>
    </w:p>
    <w:p w14:paraId="40145EC2" w14:textId="77777777" w:rsidR="00B6163B" w:rsidRPr="00EF18E8" w:rsidRDefault="00B6163B" w:rsidP="00B6163B">
      <w:pPr>
        <w:rPr>
          <w:sz w:val="21"/>
          <w:szCs w:val="21"/>
        </w:rPr>
      </w:pPr>
    </w:p>
    <w:p w14:paraId="68840F8B" w14:textId="77777777" w:rsidR="00B6163B" w:rsidRPr="00535293" w:rsidRDefault="00B6163B" w:rsidP="00B6163B">
      <w:pPr>
        <w:rPr>
          <w:sz w:val="21"/>
          <w:szCs w:val="21"/>
        </w:rPr>
      </w:pPr>
      <w:r w:rsidRPr="00EF18E8">
        <w:rPr>
          <w:sz w:val="21"/>
          <w:szCs w:val="21"/>
        </w:rPr>
        <w:t xml:space="preserve">For more information on the process for new medicines seeking funding through the LSDP, refer to the LSDP Procedure guidance: </w:t>
      </w:r>
      <w:hyperlink r:id="rId11" w:history="1">
        <w:r w:rsidRPr="00535293">
          <w:rPr>
            <w:rStyle w:val="Hyperlink"/>
            <w:sz w:val="21"/>
            <w:szCs w:val="21"/>
          </w:rPr>
          <w:t>https://www.health.gov.au/resources/publications/procedure-guidance-for-medicines-funded-through-the-life-saving-drugs-program-lsdp</w:t>
        </w:r>
      </w:hyperlink>
    </w:p>
    <w:p w14:paraId="2D5523E2" w14:textId="77777777" w:rsidR="00B6163B" w:rsidRPr="00EF18E8" w:rsidRDefault="00B6163B" w:rsidP="0070783B">
      <w:pPr>
        <w:pStyle w:val="Heading3"/>
      </w:pPr>
      <w:r w:rsidRPr="00EF18E8">
        <w:t>Sponsor’s Comment:</w:t>
      </w:r>
    </w:p>
    <w:p w14:paraId="55989963" w14:textId="2F4A4A84" w:rsidR="00B4039E" w:rsidRPr="00211C8E" w:rsidRDefault="00B4039E" w:rsidP="00B4039E">
      <w:pPr>
        <w:pStyle w:val="PlainText"/>
        <w:rPr>
          <w:rFonts w:ascii="Arial" w:hAnsi="Arial" w:cs="Arial"/>
          <w:sz w:val="21"/>
        </w:rPr>
      </w:pPr>
      <w:r w:rsidRPr="00211C8E">
        <w:rPr>
          <w:rFonts w:ascii="Arial" w:hAnsi="Arial" w:cs="Arial"/>
          <w:sz w:val="21"/>
        </w:rPr>
        <w:t xml:space="preserve">Sanofi welcomes the Government’s decision to list </w:t>
      </w:r>
      <w:proofErr w:type="spellStart"/>
      <w:r w:rsidRPr="00211C8E">
        <w:rPr>
          <w:rFonts w:ascii="Arial" w:hAnsi="Arial" w:cs="Arial"/>
          <w:sz w:val="21"/>
        </w:rPr>
        <w:t>Nexviazyme</w:t>
      </w:r>
      <w:proofErr w:type="spellEnd"/>
      <w:r w:rsidRPr="00211C8E">
        <w:rPr>
          <w:rFonts w:ascii="Arial" w:hAnsi="Arial" w:cs="Arial"/>
          <w:sz w:val="21"/>
        </w:rPr>
        <w:t xml:space="preserve"> (</w:t>
      </w:r>
      <w:proofErr w:type="spellStart"/>
      <w:r w:rsidRPr="00211C8E">
        <w:rPr>
          <w:rFonts w:ascii="Arial" w:hAnsi="Arial" w:cs="Arial"/>
          <w:sz w:val="21"/>
        </w:rPr>
        <w:t>avalglucosidase</w:t>
      </w:r>
      <w:proofErr w:type="spellEnd"/>
      <w:r w:rsidRPr="00211C8E">
        <w:rPr>
          <w:rFonts w:ascii="Arial" w:hAnsi="Arial" w:cs="Arial"/>
          <w:sz w:val="21"/>
        </w:rPr>
        <w:t xml:space="preserve"> alfa) on the LSDP. This is a significant decision for </w:t>
      </w:r>
      <w:proofErr w:type="spellStart"/>
      <w:r w:rsidR="004B679A">
        <w:rPr>
          <w:rFonts w:ascii="Arial" w:hAnsi="Arial" w:cs="Arial"/>
          <w:sz w:val="21"/>
        </w:rPr>
        <w:t>Pompe</w:t>
      </w:r>
      <w:proofErr w:type="spellEnd"/>
      <w:r w:rsidR="004B679A">
        <w:rPr>
          <w:rFonts w:ascii="Arial" w:hAnsi="Arial" w:cs="Arial"/>
          <w:sz w:val="21"/>
        </w:rPr>
        <w:t xml:space="preserve"> disease patients in </w:t>
      </w:r>
      <w:r w:rsidRPr="00211C8E">
        <w:rPr>
          <w:rFonts w:ascii="Arial" w:hAnsi="Arial" w:cs="Arial"/>
          <w:sz w:val="21"/>
        </w:rPr>
        <w:t>Australia affected by this devastating disorder</w:t>
      </w:r>
      <w:r w:rsidR="004B679A">
        <w:rPr>
          <w:rFonts w:ascii="Arial" w:hAnsi="Arial" w:cs="Arial"/>
          <w:sz w:val="21"/>
        </w:rPr>
        <w:t>.</w:t>
      </w:r>
    </w:p>
    <w:p w14:paraId="5D93C215" w14:textId="77777777" w:rsidR="00B4039E" w:rsidRPr="00211C8E" w:rsidRDefault="00B4039E" w:rsidP="00B6163B">
      <w:pPr>
        <w:rPr>
          <w:rFonts w:cs="Arial"/>
          <w:sz w:val="21"/>
          <w:szCs w:val="21"/>
        </w:rPr>
      </w:pPr>
    </w:p>
    <w:sectPr w:rsidR="00B4039E" w:rsidRPr="00211C8E" w:rsidSect="0070783B">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B8673" w14:textId="77777777" w:rsidR="00124F98" w:rsidRDefault="00124F98" w:rsidP="00B6163B">
      <w:r>
        <w:separator/>
      </w:r>
    </w:p>
  </w:endnote>
  <w:endnote w:type="continuationSeparator" w:id="0">
    <w:p w14:paraId="0FDDA7EC" w14:textId="77777777" w:rsidR="00124F98" w:rsidRDefault="00124F98" w:rsidP="00B6163B">
      <w:r>
        <w:continuationSeparator/>
      </w:r>
    </w:p>
  </w:endnote>
  <w:endnote w:type="continuationNotice" w:id="1">
    <w:p w14:paraId="4F5041B4" w14:textId="77777777" w:rsidR="00124F98" w:rsidRDefault="00124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3CE8E" w14:textId="46412532" w:rsidR="00B6163B" w:rsidRPr="00594AB3" w:rsidRDefault="00B6163B" w:rsidP="00B6163B">
    <w:pPr>
      <w:pStyle w:val="Footer"/>
      <w:rPr>
        <w:sz w:val="20"/>
        <w:szCs w:val="20"/>
      </w:rPr>
    </w:pPr>
    <w:r w:rsidRPr="00594AB3">
      <w:rPr>
        <w:sz w:val="20"/>
        <w:szCs w:val="20"/>
      </w:rPr>
      <w:t>Life Saving Drugs Program –</w:t>
    </w:r>
    <w:r w:rsidR="00594AB3">
      <w:rPr>
        <w:sz w:val="20"/>
        <w:szCs w:val="20"/>
      </w:rPr>
      <w:t xml:space="preserve"> </w:t>
    </w:r>
    <w:proofErr w:type="spellStart"/>
    <w:r w:rsidR="007062FE">
      <w:rPr>
        <w:sz w:val="20"/>
        <w:szCs w:val="20"/>
      </w:rPr>
      <w:t>A</w:t>
    </w:r>
    <w:r w:rsidR="007062FE" w:rsidRPr="007062FE">
      <w:rPr>
        <w:sz w:val="20"/>
        <w:szCs w:val="20"/>
      </w:rPr>
      <w:t>valglucosidase</w:t>
    </w:r>
    <w:proofErr w:type="spellEnd"/>
    <w:r w:rsidR="007062FE" w:rsidRPr="007062FE">
      <w:rPr>
        <w:sz w:val="20"/>
        <w:szCs w:val="20"/>
      </w:rPr>
      <w:t xml:space="preserve"> alfa (</w:t>
    </w:r>
    <w:proofErr w:type="spellStart"/>
    <w:r w:rsidR="007062FE" w:rsidRPr="007062FE">
      <w:rPr>
        <w:sz w:val="20"/>
        <w:szCs w:val="20"/>
      </w:rPr>
      <w:t>Nexviazyme</w:t>
    </w:r>
    <w:proofErr w:type="spellEnd"/>
    <w:r w:rsidR="007062FE" w:rsidRPr="0097387F">
      <w:rPr>
        <w:sz w:val="20"/>
        <w:szCs w:val="20"/>
        <w:vertAlign w:val="superscript"/>
      </w:rPr>
      <w:t>®</w:t>
    </w:r>
    <w:r w:rsidR="007062FE" w:rsidRPr="007062FE">
      <w:rPr>
        <w:sz w:val="20"/>
        <w:szCs w:val="20"/>
      </w:rPr>
      <w:t>)</w:t>
    </w:r>
    <w:r w:rsidR="007062FE">
      <w:rPr>
        <w:sz w:val="20"/>
        <w:szCs w:val="20"/>
      </w:rPr>
      <w:t xml:space="preserve"> </w:t>
    </w:r>
    <w:r w:rsidR="00594AB3" w:rsidRPr="00594AB3">
      <w:rPr>
        <w:sz w:val="20"/>
        <w:szCs w:val="20"/>
      </w:rPr>
      <w:t>o</w:t>
    </w:r>
    <w:r w:rsidRPr="00594AB3">
      <w:rPr>
        <w:sz w:val="20"/>
        <w:szCs w:val="20"/>
      </w:rPr>
      <w:t xml:space="preserve">utcome </w:t>
    </w:r>
    <w:r w:rsidR="00594AB3" w:rsidRPr="00594AB3">
      <w:rPr>
        <w:sz w:val="20"/>
        <w:szCs w:val="20"/>
      </w:rPr>
      <w:t>s</w:t>
    </w:r>
    <w:r w:rsidRPr="00594AB3">
      <w:rPr>
        <w:sz w:val="20"/>
        <w:szCs w:val="20"/>
      </w:rPr>
      <w:t>tatement</w:t>
    </w:r>
    <w:sdt>
      <w:sdtPr>
        <w:rPr>
          <w:sz w:val="20"/>
          <w:szCs w:val="20"/>
        </w:rPr>
        <w:id w:val="-443848716"/>
        <w:docPartObj>
          <w:docPartGallery w:val="Page Numbers (Bottom of Page)"/>
          <w:docPartUnique/>
        </w:docPartObj>
      </w:sdtPr>
      <w:sdtEndPr/>
      <w:sdtContent>
        <w:r w:rsidRPr="00594AB3">
          <w:rPr>
            <w:sz w:val="20"/>
            <w:szCs w:val="20"/>
          </w:rPr>
          <w:tab/>
        </w:r>
        <w:r w:rsidRPr="00594AB3">
          <w:rPr>
            <w:sz w:val="20"/>
            <w:szCs w:val="20"/>
          </w:rPr>
          <w:fldChar w:fldCharType="begin"/>
        </w:r>
        <w:r w:rsidRPr="00594AB3">
          <w:rPr>
            <w:sz w:val="20"/>
            <w:szCs w:val="20"/>
          </w:rPr>
          <w:instrText xml:space="preserve"> PAGE   \* MERGEFORMAT </w:instrText>
        </w:r>
        <w:r w:rsidRPr="00594AB3">
          <w:rPr>
            <w:sz w:val="20"/>
            <w:szCs w:val="20"/>
          </w:rPr>
          <w:fldChar w:fldCharType="separate"/>
        </w:r>
        <w:r w:rsidRPr="00594AB3">
          <w:rPr>
            <w:sz w:val="20"/>
            <w:szCs w:val="20"/>
          </w:rPr>
          <w:t>2</w:t>
        </w:r>
        <w:r w:rsidRPr="00594AB3">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F496D" w14:textId="77777777" w:rsidR="00124F98" w:rsidRDefault="00124F98" w:rsidP="00B6163B">
      <w:r>
        <w:separator/>
      </w:r>
    </w:p>
  </w:footnote>
  <w:footnote w:type="continuationSeparator" w:id="0">
    <w:p w14:paraId="676BFB41" w14:textId="77777777" w:rsidR="00124F98" w:rsidRDefault="00124F98" w:rsidP="00B6163B">
      <w:r>
        <w:continuationSeparator/>
      </w:r>
    </w:p>
  </w:footnote>
  <w:footnote w:type="continuationNotice" w:id="1">
    <w:p w14:paraId="002FC6A9" w14:textId="77777777" w:rsidR="00124F98" w:rsidRDefault="00124F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AEABA" w14:textId="24B950BC" w:rsidR="0070783B" w:rsidRDefault="0070783B" w:rsidP="0070783B">
    <w:pPr>
      <w:pStyle w:val="Header"/>
      <w:tabs>
        <w:tab w:val="clear" w:pos="4513"/>
        <w:tab w:val="clear" w:pos="9026"/>
        <w:tab w:val="left" w:pos="265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8796C" w14:textId="325C149E" w:rsidR="00B6163B" w:rsidRDefault="0070783B" w:rsidP="0070783B">
    <w:pPr>
      <w:pStyle w:val="Header"/>
      <w:tabs>
        <w:tab w:val="clear" w:pos="4513"/>
        <w:tab w:val="clear" w:pos="9026"/>
        <w:tab w:val="left" w:pos="1530"/>
      </w:tabs>
    </w:pPr>
    <w:r>
      <w:tab/>
    </w:r>
    <w:r>
      <w:rPr>
        <w:noProof/>
      </w:rPr>
      <w:drawing>
        <wp:inline distT="0" distB="0" distL="0" distR="0" wp14:anchorId="118FB510" wp14:editId="1AB2437C">
          <wp:extent cx="5759450" cy="9388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3885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4D10"/>
    <w:multiLevelType w:val="hybridMultilevel"/>
    <w:tmpl w:val="550C3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9F684C"/>
    <w:multiLevelType w:val="hybridMultilevel"/>
    <w:tmpl w:val="D7D0E89C"/>
    <w:lvl w:ilvl="0" w:tplc="60BEBE14">
      <w:numFmt w:val="bullet"/>
      <w:lvlText w:val=""/>
      <w:lvlJc w:val="left"/>
      <w:pPr>
        <w:ind w:left="840" w:hanging="360"/>
      </w:pPr>
      <w:rPr>
        <w:rFonts w:ascii="Symbol" w:eastAsia="Symbol" w:hAnsi="Symbol" w:cs="Symbol" w:hint="default"/>
        <w:b w:val="0"/>
        <w:bCs w:val="0"/>
        <w:i w:val="0"/>
        <w:iCs w:val="0"/>
        <w:w w:val="100"/>
        <w:sz w:val="24"/>
        <w:szCs w:val="24"/>
        <w:lang w:val="en-AU" w:eastAsia="en-US" w:bidi="ar-SA"/>
      </w:rPr>
    </w:lvl>
    <w:lvl w:ilvl="1" w:tplc="A6AC94C6">
      <w:numFmt w:val="bullet"/>
      <w:lvlText w:val="o"/>
      <w:lvlJc w:val="left"/>
      <w:pPr>
        <w:ind w:left="1560" w:hanging="360"/>
      </w:pPr>
      <w:rPr>
        <w:rFonts w:ascii="Courier New" w:eastAsia="Courier New" w:hAnsi="Courier New" w:cs="Courier New" w:hint="default"/>
        <w:b w:val="0"/>
        <w:bCs w:val="0"/>
        <w:i w:val="0"/>
        <w:iCs w:val="0"/>
        <w:w w:val="100"/>
        <w:sz w:val="24"/>
        <w:szCs w:val="24"/>
        <w:lang w:val="en-AU" w:eastAsia="en-US" w:bidi="ar-SA"/>
      </w:rPr>
    </w:lvl>
    <w:lvl w:ilvl="2" w:tplc="F4866558">
      <w:numFmt w:val="bullet"/>
      <w:lvlText w:val=""/>
      <w:lvlJc w:val="left"/>
      <w:pPr>
        <w:ind w:left="2280" w:hanging="360"/>
      </w:pPr>
      <w:rPr>
        <w:rFonts w:ascii="Wingdings" w:eastAsia="Wingdings" w:hAnsi="Wingdings" w:cs="Wingdings" w:hint="default"/>
        <w:b w:val="0"/>
        <w:bCs w:val="0"/>
        <w:i w:val="0"/>
        <w:iCs w:val="0"/>
        <w:w w:val="100"/>
        <w:sz w:val="24"/>
        <w:szCs w:val="24"/>
        <w:lang w:val="en-AU" w:eastAsia="en-US" w:bidi="ar-SA"/>
      </w:rPr>
    </w:lvl>
    <w:lvl w:ilvl="3" w:tplc="76A2BB7E">
      <w:numFmt w:val="bullet"/>
      <w:lvlText w:val="•"/>
      <w:lvlJc w:val="left"/>
      <w:pPr>
        <w:ind w:left="3153" w:hanging="360"/>
      </w:pPr>
      <w:rPr>
        <w:rFonts w:hint="default"/>
        <w:lang w:val="en-AU" w:eastAsia="en-US" w:bidi="ar-SA"/>
      </w:rPr>
    </w:lvl>
    <w:lvl w:ilvl="4" w:tplc="58AEA300">
      <w:numFmt w:val="bullet"/>
      <w:lvlText w:val="•"/>
      <w:lvlJc w:val="left"/>
      <w:pPr>
        <w:ind w:left="4026" w:hanging="360"/>
      </w:pPr>
      <w:rPr>
        <w:rFonts w:hint="default"/>
        <w:lang w:val="en-AU" w:eastAsia="en-US" w:bidi="ar-SA"/>
      </w:rPr>
    </w:lvl>
    <w:lvl w:ilvl="5" w:tplc="CE669E50">
      <w:numFmt w:val="bullet"/>
      <w:lvlText w:val="•"/>
      <w:lvlJc w:val="left"/>
      <w:pPr>
        <w:ind w:left="4899" w:hanging="360"/>
      </w:pPr>
      <w:rPr>
        <w:rFonts w:hint="default"/>
        <w:lang w:val="en-AU" w:eastAsia="en-US" w:bidi="ar-SA"/>
      </w:rPr>
    </w:lvl>
    <w:lvl w:ilvl="6" w:tplc="DFDA2B74">
      <w:numFmt w:val="bullet"/>
      <w:lvlText w:val="•"/>
      <w:lvlJc w:val="left"/>
      <w:pPr>
        <w:ind w:left="5773" w:hanging="360"/>
      </w:pPr>
      <w:rPr>
        <w:rFonts w:hint="default"/>
        <w:lang w:val="en-AU" w:eastAsia="en-US" w:bidi="ar-SA"/>
      </w:rPr>
    </w:lvl>
    <w:lvl w:ilvl="7" w:tplc="5A42327A">
      <w:numFmt w:val="bullet"/>
      <w:lvlText w:val="•"/>
      <w:lvlJc w:val="left"/>
      <w:pPr>
        <w:ind w:left="6646" w:hanging="360"/>
      </w:pPr>
      <w:rPr>
        <w:rFonts w:hint="default"/>
        <w:lang w:val="en-AU" w:eastAsia="en-US" w:bidi="ar-SA"/>
      </w:rPr>
    </w:lvl>
    <w:lvl w:ilvl="8" w:tplc="C6FAE240">
      <w:numFmt w:val="bullet"/>
      <w:lvlText w:val="•"/>
      <w:lvlJc w:val="left"/>
      <w:pPr>
        <w:ind w:left="7519" w:hanging="360"/>
      </w:pPr>
      <w:rPr>
        <w:rFonts w:hint="default"/>
        <w:lang w:val="en-AU" w:eastAsia="en-US" w:bidi="ar-SA"/>
      </w:rPr>
    </w:lvl>
  </w:abstractNum>
  <w:abstractNum w:abstractNumId="2" w15:restartNumberingAfterBreak="0">
    <w:nsid w:val="2DF97583"/>
    <w:multiLevelType w:val="hybridMultilevel"/>
    <w:tmpl w:val="C9F2DD86"/>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 w15:restartNumberingAfterBreak="0">
    <w:nsid w:val="60BE1D8E"/>
    <w:multiLevelType w:val="hybridMultilevel"/>
    <w:tmpl w:val="8542B84E"/>
    <w:lvl w:ilvl="0" w:tplc="3F1810BE">
      <w:numFmt w:val="bullet"/>
      <w:lvlText w:val="•"/>
      <w:lvlJc w:val="left"/>
      <w:pPr>
        <w:ind w:left="467" w:hanging="360"/>
      </w:pPr>
      <w:rPr>
        <w:rFonts w:ascii="Arial" w:eastAsia="Calibri" w:hAnsi="Arial" w:cs="Arial"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3B"/>
    <w:rsid w:val="000614F2"/>
    <w:rsid w:val="00062D6B"/>
    <w:rsid w:val="00075EAF"/>
    <w:rsid w:val="000F5C6C"/>
    <w:rsid w:val="00124F98"/>
    <w:rsid w:val="001528A8"/>
    <w:rsid w:val="0015563B"/>
    <w:rsid w:val="001A2CE7"/>
    <w:rsid w:val="001C0637"/>
    <w:rsid w:val="001E60F5"/>
    <w:rsid w:val="00211C8E"/>
    <w:rsid w:val="002522DD"/>
    <w:rsid w:val="002776B4"/>
    <w:rsid w:val="00280050"/>
    <w:rsid w:val="00284BA2"/>
    <w:rsid w:val="002D5901"/>
    <w:rsid w:val="002F11BA"/>
    <w:rsid w:val="002F5CA1"/>
    <w:rsid w:val="00311D23"/>
    <w:rsid w:val="0033177D"/>
    <w:rsid w:val="00341A46"/>
    <w:rsid w:val="003A1D51"/>
    <w:rsid w:val="003B62E0"/>
    <w:rsid w:val="003E77C3"/>
    <w:rsid w:val="004177F0"/>
    <w:rsid w:val="00422A11"/>
    <w:rsid w:val="004459BF"/>
    <w:rsid w:val="00447ECD"/>
    <w:rsid w:val="004B679A"/>
    <w:rsid w:val="004C06AA"/>
    <w:rsid w:val="004C36C5"/>
    <w:rsid w:val="004D0CB1"/>
    <w:rsid w:val="004E64C0"/>
    <w:rsid w:val="00541F07"/>
    <w:rsid w:val="00594AB3"/>
    <w:rsid w:val="005C2FDB"/>
    <w:rsid w:val="005C67C8"/>
    <w:rsid w:val="005F68AF"/>
    <w:rsid w:val="00635BCD"/>
    <w:rsid w:val="0065352D"/>
    <w:rsid w:val="00673110"/>
    <w:rsid w:val="00674ABA"/>
    <w:rsid w:val="006A2EC0"/>
    <w:rsid w:val="007062FE"/>
    <w:rsid w:val="0070783B"/>
    <w:rsid w:val="0071446A"/>
    <w:rsid w:val="00786922"/>
    <w:rsid w:val="007B6717"/>
    <w:rsid w:val="007D19DF"/>
    <w:rsid w:val="00840958"/>
    <w:rsid w:val="00874B1F"/>
    <w:rsid w:val="008A76A2"/>
    <w:rsid w:val="008E5CCB"/>
    <w:rsid w:val="008E7310"/>
    <w:rsid w:val="0094354F"/>
    <w:rsid w:val="009678F9"/>
    <w:rsid w:val="00967E7D"/>
    <w:rsid w:val="0097387F"/>
    <w:rsid w:val="009863AC"/>
    <w:rsid w:val="00A05258"/>
    <w:rsid w:val="00A07A4E"/>
    <w:rsid w:val="00A106B4"/>
    <w:rsid w:val="00A230A7"/>
    <w:rsid w:val="00A43B0A"/>
    <w:rsid w:val="00AB4AF3"/>
    <w:rsid w:val="00B01A9A"/>
    <w:rsid w:val="00B4039E"/>
    <w:rsid w:val="00B6163B"/>
    <w:rsid w:val="00B72580"/>
    <w:rsid w:val="00B92D1B"/>
    <w:rsid w:val="00BB0F8E"/>
    <w:rsid w:val="00C45FFD"/>
    <w:rsid w:val="00C844EF"/>
    <w:rsid w:val="00CD0D6D"/>
    <w:rsid w:val="00D04837"/>
    <w:rsid w:val="00D71335"/>
    <w:rsid w:val="00D85582"/>
    <w:rsid w:val="00DA3765"/>
    <w:rsid w:val="00F11801"/>
    <w:rsid w:val="00F14D6C"/>
    <w:rsid w:val="00F2301E"/>
    <w:rsid w:val="00F3205E"/>
    <w:rsid w:val="00F513BF"/>
    <w:rsid w:val="00F95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ECB05"/>
  <w15:chartTrackingRefBased/>
  <w15:docId w15:val="{886D6111-8B87-47AD-A4C7-7B1A1679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163B"/>
    <w:pPr>
      <w:spacing w:after="0" w:line="240" w:lineRule="auto"/>
    </w:pPr>
    <w:rPr>
      <w:rFonts w:ascii="Arial" w:eastAsia="Times New Roman" w:hAnsi="Arial"/>
      <w:sz w:val="22"/>
    </w:rPr>
  </w:style>
  <w:style w:type="paragraph" w:styleId="Heading1">
    <w:name w:val="heading 1"/>
    <w:basedOn w:val="Normal"/>
    <w:next w:val="Normal"/>
    <w:link w:val="Heading1Char"/>
    <w:qFormat/>
    <w:rsid w:val="00B6163B"/>
    <w:pPr>
      <w:keepNext/>
      <w:spacing w:before="240" w:after="60"/>
      <w:outlineLvl w:val="0"/>
    </w:pPr>
    <w:rPr>
      <w:rFonts w:cs="Arial"/>
      <w:bCs/>
      <w:color w:val="3F4A75"/>
      <w:kern w:val="28"/>
      <w:sz w:val="36"/>
      <w:szCs w:val="36"/>
    </w:rPr>
  </w:style>
  <w:style w:type="paragraph" w:styleId="Heading2">
    <w:name w:val="heading 2"/>
    <w:next w:val="Normal"/>
    <w:link w:val="Heading2Char"/>
    <w:qFormat/>
    <w:rsid w:val="00B6163B"/>
    <w:pPr>
      <w:keepNext/>
      <w:spacing w:before="240" w:after="60" w:line="240" w:lineRule="auto"/>
      <w:outlineLvl w:val="1"/>
    </w:pPr>
    <w:rPr>
      <w:rFonts w:ascii="Arial" w:eastAsia="Times New Roman" w:hAnsi="Arial" w:cs="Arial"/>
      <w:bCs/>
      <w:iCs/>
      <w:color w:val="358189"/>
      <w:sz w:val="32"/>
      <w:szCs w:val="28"/>
    </w:rPr>
  </w:style>
  <w:style w:type="paragraph" w:styleId="Heading3">
    <w:name w:val="heading 3"/>
    <w:next w:val="Normal"/>
    <w:link w:val="Heading3Char"/>
    <w:qFormat/>
    <w:rsid w:val="00B6163B"/>
    <w:pPr>
      <w:keepNext/>
      <w:spacing w:before="180" w:after="60" w:line="240" w:lineRule="auto"/>
      <w:outlineLvl w:val="2"/>
    </w:pPr>
    <w:rPr>
      <w:rFonts w:ascii="Arial" w:eastAsia="Times New Roman" w:hAnsi="Arial" w:cs="Arial"/>
      <w:bCs/>
      <w:color w:val="35818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B6163B"/>
    <w:pPr>
      <w:tabs>
        <w:tab w:val="center" w:pos="4513"/>
        <w:tab w:val="right" w:pos="9026"/>
      </w:tabs>
    </w:pPr>
  </w:style>
  <w:style w:type="character" w:customStyle="1" w:styleId="HeaderChar">
    <w:name w:val="Header Char"/>
    <w:basedOn w:val="DefaultParagraphFont"/>
    <w:link w:val="Header"/>
    <w:rsid w:val="00B6163B"/>
  </w:style>
  <w:style w:type="paragraph" w:styleId="Footer">
    <w:name w:val="footer"/>
    <w:basedOn w:val="Normal"/>
    <w:link w:val="FooterChar"/>
    <w:uiPriority w:val="99"/>
    <w:unhideWhenUsed/>
    <w:rsid w:val="00B6163B"/>
    <w:pPr>
      <w:tabs>
        <w:tab w:val="center" w:pos="4513"/>
        <w:tab w:val="right" w:pos="9026"/>
      </w:tabs>
    </w:pPr>
  </w:style>
  <w:style w:type="character" w:customStyle="1" w:styleId="FooterChar">
    <w:name w:val="Footer Char"/>
    <w:basedOn w:val="DefaultParagraphFont"/>
    <w:link w:val="Footer"/>
    <w:uiPriority w:val="99"/>
    <w:rsid w:val="00B6163B"/>
  </w:style>
  <w:style w:type="paragraph" w:styleId="Title">
    <w:name w:val="Title"/>
    <w:basedOn w:val="Normal"/>
    <w:next w:val="Normal"/>
    <w:link w:val="TitleChar"/>
    <w:qFormat/>
    <w:rsid w:val="00B6163B"/>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B6163B"/>
    <w:rPr>
      <w:rFonts w:ascii="Arial" w:eastAsiaTheme="majorEastAsia" w:hAnsi="Arial" w:cstheme="majorBidi"/>
      <w:b/>
      <w:color w:val="3F4A75"/>
      <w:kern w:val="28"/>
      <w:sz w:val="48"/>
      <w:szCs w:val="52"/>
    </w:rPr>
  </w:style>
  <w:style w:type="character" w:customStyle="1" w:styleId="Heading1Char">
    <w:name w:val="Heading 1 Char"/>
    <w:basedOn w:val="DefaultParagraphFont"/>
    <w:link w:val="Heading1"/>
    <w:rsid w:val="00B6163B"/>
    <w:rPr>
      <w:rFonts w:ascii="Arial" w:eastAsia="Times New Roman" w:hAnsi="Arial" w:cs="Arial"/>
      <w:bCs/>
      <w:color w:val="3F4A75"/>
      <w:kern w:val="28"/>
      <w:sz w:val="36"/>
      <w:szCs w:val="36"/>
    </w:rPr>
  </w:style>
  <w:style w:type="character" w:customStyle="1" w:styleId="Heading2Char">
    <w:name w:val="Heading 2 Char"/>
    <w:basedOn w:val="DefaultParagraphFont"/>
    <w:link w:val="Heading2"/>
    <w:rsid w:val="00B6163B"/>
    <w:rPr>
      <w:rFonts w:ascii="Arial" w:eastAsia="Times New Roman" w:hAnsi="Arial" w:cs="Arial"/>
      <w:bCs/>
      <w:iCs/>
      <w:color w:val="358189"/>
      <w:sz w:val="32"/>
      <w:szCs w:val="28"/>
    </w:rPr>
  </w:style>
  <w:style w:type="character" w:customStyle="1" w:styleId="Heading3Char">
    <w:name w:val="Heading 3 Char"/>
    <w:basedOn w:val="DefaultParagraphFont"/>
    <w:link w:val="Heading3"/>
    <w:rsid w:val="00B6163B"/>
    <w:rPr>
      <w:rFonts w:ascii="Arial" w:eastAsia="Times New Roman" w:hAnsi="Arial" w:cs="Arial"/>
      <w:bCs/>
      <w:color w:val="358189"/>
      <w:sz w:val="28"/>
      <w:szCs w:val="26"/>
    </w:rPr>
  </w:style>
  <w:style w:type="paragraph" w:styleId="ListParagraph">
    <w:name w:val="List Paragraph"/>
    <w:basedOn w:val="Normal"/>
    <w:uiPriority w:val="1"/>
    <w:qFormat/>
    <w:rsid w:val="00B6163B"/>
    <w:pPr>
      <w:ind w:left="720"/>
      <w:contextualSpacing/>
    </w:pPr>
  </w:style>
  <w:style w:type="paragraph" w:customStyle="1" w:styleId="TableHeaderWhite">
    <w:name w:val="Table Header White"/>
    <w:basedOn w:val="Normal"/>
    <w:next w:val="Normal"/>
    <w:qFormat/>
    <w:rsid w:val="00B6163B"/>
    <w:pPr>
      <w:spacing w:before="80" w:after="80"/>
    </w:pPr>
    <w:rPr>
      <w:rFonts w:eastAsia="Cambria"/>
      <w:b/>
      <w:color w:val="FFFFFF" w:themeColor="background1"/>
      <w:szCs w:val="22"/>
      <w:lang w:val="en-US"/>
    </w:rPr>
  </w:style>
  <w:style w:type="character" w:styleId="Hyperlink">
    <w:name w:val="Hyperlink"/>
    <w:basedOn w:val="DefaultParagraphFont"/>
    <w:uiPriority w:val="99"/>
    <w:qFormat/>
    <w:rsid w:val="00B6163B"/>
    <w:rPr>
      <w:color w:val="0563C1" w:themeColor="hyperlink"/>
      <w:u w:val="single"/>
    </w:rPr>
  </w:style>
  <w:style w:type="paragraph" w:customStyle="1" w:styleId="PolicyStatement">
    <w:name w:val="PolicyStatement"/>
    <w:basedOn w:val="Normal"/>
    <w:qFormat/>
    <w:rsid w:val="00B6163B"/>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TableParagraph">
    <w:name w:val="Table Paragraph"/>
    <w:basedOn w:val="Normal"/>
    <w:uiPriority w:val="1"/>
    <w:qFormat/>
    <w:rsid w:val="00B6163B"/>
    <w:pPr>
      <w:widowControl w:val="0"/>
      <w:autoSpaceDE w:val="0"/>
      <w:autoSpaceDN w:val="0"/>
      <w:spacing w:before="121"/>
      <w:ind w:left="107"/>
    </w:pPr>
    <w:rPr>
      <w:rFonts w:ascii="Calibri" w:eastAsia="Calibri" w:hAnsi="Calibri" w:cs="Calibri"/>
      <w:szCs w:val="22"/>
    </w:rPr>
  </w:style>
  <w:style w:type="paragraph" w:styleId="BodyText">
    <w:name w:val="Body Text"/>
    <w:basedOn w:val="Normal"/>
    <w:link w:val="BodyTextChar"/>
    <w:uiPriority w:val="1"/>
    <w:qFormat/>
    <w:rsid w:val="00B6163B"/>
    <w:pPr>
      <w:widowControl w:val="0"/>
      <w:autoSpaceDE w:val="0"/>
      <w:autoSpaceDN w:val="0"/>
      <w:ind w:left="120"/>
    </w:pPr>
    <w:rPr>
      <w:rFonts w:ascii="Calibri" w:eastAsia="Calibri" w:hAnsi="Calibri" w:cs="Calibri"/>
      <w:sz w:val="24"/>
    </w:rPr>
  </w:style>
  <w:style w:type="character" w:customStyle="1" w:styleId="BodyTextChar">
    <w:name w:val="Body Text Char"/>
    <w:basedOn w:val="DefaultParagraphFont"/>
    <w:link w:val="BodyText"/>
    <w:uiPriority w:val="1"/>
    <w:rsid w:val="00B6163B"/>
    <w:rPr>
      <w:rFonts w:ascii="Calibri" w:eastAsia="Calibri" w:hAnsi="Calibri" w:cs="Calibri"/>
    </w:rPr>
  </w:style>
  <w:style w:type="paragraph" w:styleId="Quote">
    <w:name w:val="Quote"/>
    <w:next w:val="Normal"/>
    <w:link w:val="QuoteChar"/>
    <w:uiPriority w:val="29"/>
    <w:qFormat/>
    <w:rsid w:val="00B6163B"/>
    <w:pPr>
      <w:spacing w:after="0" w:line="240" w:lineRule="auto"/>
      <w:ind w:left="720"/>
    </w:pPr>
    <w:rPr>
      <w:rFonts w:ascii="Arial" w:eastAsia="Times New Roman" w:hAnsi="Arial"/>
      <w:i/>
      <w:iCs/>
      <w:color w:val="000000" w:themeColor="text1"/>
      <w:sz w:val="22"/>
    </w:rPr>
  </w:style>
  <w:style w:type="character" w:customStyle="1" w:styleId="QuoteChar">
    <w:name w:val="Quote Char"/>
    <w:basedOn w:val="DefaultParagraphFont"/>
    <w:link w:val="Quote"/>
    <w:uiPriority w:val="29"/>
    <w:rsid w:val="00B6163B"/>
    <w:rPr>
      <w:rFonts w:ascii="Arial" w:eastAsia="Times New Roman" w:hAnsi="Arial"/>
      <w:i/>
      <w:iCs/>
      <w:color w:val="000000" w:themeColor="text1"/>
      <w:sz w:val="22"/>
    </w:rPr>
  </w:style>
  <w:style w:type="character" w:styleId="FollowedHyperlink">
    <w:name w:val="FollowedHyperlink"/>
    <w:basedOn w:val="DefaultParagraphFont"/>
    <w:uiPriority w:val="99"/>
    <w:semiHidden/>
    <w:unhideWhenUsed/>
    <w:rsid w:val="00447ECD"/>
    <w:rPr>
      <w:color w:val="954F72" w:themeColor="followedHyperlink"/>
      <w:u w:val="single"/>
    </w:rPr>
  </w:style>
  <w:style w:type="character" w:styleId="UnresolvedMention">
    <w:name w:val="Unresolved Mention"/>
    <w:basedOn w:val="DefaultParagraphFont"/>
    <w:uiPriority w:val="99"/>
    <w:semiHidden/>
    <w:unhideWhenUsed/>
    <w:rsid w:val="00311D23"/>
    <w:rPr>
      <w:color w:val="605E5C"/>
      <w:shd w:val="clear" w:color="auto" w:fill="E1DFDD"/>
    </w:rPr>
  </w:style>
  <w:style w:type="character" w:customStyle="1" w:styleId="normaltextrun">
    <w:name w:val="normaltextrun"/>
    <w:basedOn w:val="DefaultParagraphFont"/>
    <w:rsid w:val="00674ABA"/>
  </w:style>
  <w:style w:type="character" w:styleId="CommentReference">
    <w:name w:val="annotation reference"/>
    <w:basedOn w:val="DefaultParagraphFont"/>
    <w:uiPriority w:val="99"/>
    <w:semiHidden/>
    <w:unhideWhenUsed/>
    <w:rsid w:val="004C06AA"/>
    <w:rPr>
      <w:sz w:val="16"/>
      <w:szCs w:val="16"/>
    </w:rPr>
  </w:style>
  <w:style w:type="paragraph" w:styleId="CommentText">
    <w:name w:val="annotation text"/>
    <w:basedOn w:val="Normal"/>
    <w:link w:val="CommentTextChar"/>
    <w:uiPriority w:val="99"/>
    <w:semiHidden/>
    <w:unhideWhenUsed/>
    <w:rsid w:val="004C06AA"/>
    <w:rPr>
      <w:sz w:val="20"/>
      <w:szCs w:val="20"/>
    </w:rPr>
  </w:style>
  <w:style w:type="character" w:customStyle="1" w:styleId="CommentTextChar">
    <w:name w:val="Comment Text Char"/>
    <w:basedOn w:val="DefaultParagraphFont"/>
    <w:link w:val="CommentText"/>
    <w:uiPriority w:val="99"/>
    <w:semiHidden/>
    <w:rsid w:val="004C06AA"/>
    <w:rPr>
      <w:rFonts w:ascii="Arial" w:eastAsia="Times New Roman" w:hAnsi="Arial"/>
      <w:sz w:val="20"/>
      <w:szCs w:val="20"/>
    </w:rPr>
  </w:style>
  <w:style w:type="paragraph" w:styleId="CommentSubject">
    <w:name w:val="annotation subject"/>
    <w:basedOn w:val="CommentText"/>
    <w:next w:val="CommentText"/>
    <w:link w:val="CommentSubjectChar"/>
    <w:uiPriority w:val="99"/>
    <w:semiHidden/>
    <w:unhideWhenUsed/>
    <w:rsid w:val="004C06AA"/>
    <w:rPr>
      <w:b/>
      <w:bCs/>
    </w:rPr>
  </w:style>
  <w:style w:type="character" w:customStyle="1" w:styleId="CommentSubjectChar">
    <w:name w:val="Comment Subject Char"/>
    <w:basedOn w:val="CommentTextChar"/>
    <w:link w:val="CommentSubject"/>
    <w:uiPriority w:val="99"/>
    <w:semiHidden/>
    <w:rsid w:val="004C06AA"/>
    <w:rPr>
      <w:rFonts w:ascii="Arial" w:eastAsia="Times New Roman" w:hAnsi="Arial"/>
      <w:b/>
      <w:bCs/>
      <w:sz w:val="20"/>
      <w:szCs w:val="20"/>
    </w:rPr>
  </w:style>
  <w:style w:type="paragraph" w:styleId="Revision">
    <w:name w:val="Revision"/>
    <w:hidden/>
    <w:uiPriority w:val="99"/>
    <w:semiHidden/>
    <w:rsid w:val="00C45FFD"/>
    <w:pPr>
      <w:spacing w:after="0" w:line="240" w:lineRule="auto"/>
    </w:pPr>
    <w:rPr>
      <w:rFonts w:ascii="Arial" w:eastAsia="Times New Roman" w:hAnsi="Arial"/>
      <w:sz w:val="22"/>
    </w:rPr>
  </w:style>
  <w:style w:type="paragraph" w:styleId="PlainText">
    <w:name w:val="Plain Text"/>
    <w:basedOn w:val="Normal"/>
    <w:link w:val="PlainTextChar"/>
    <w:uiPriority w:val="99"/>
    <w:semiHidden/>
    <w:unhideWhenUsed/>
    <w:rsid w:val="00B4039E"/>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4039E"/>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103878">
      <w:bodyDiv w:val="1"/>
      <w:marLeft w:val="0"/>
      <w:marRight w:val="0"/>
      <w:marTop w:val="0"/>
      <w:marBottom w:val="0"/>
      <w:divBdr>
        <w:top w:val="none" w:sz="0" w:space="0" w:color="auto"/>
        <w:left w:val="none" w:sz="0" w:space="0" w:color="auto"/>
        <w:bottom w:val="none" w:sz="0" w:space="0" w:color="auto"/>
        <w:right w:val="none" w:sz="0" w:space="0" w:color="auto"/>
      </w:divBdr>
    </w:div>
    <w:div w:id="185422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publications/procedure-guidance-for-medicines-funded-through-the-life-saving-drugs-program-lsd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www.pbs.gov.au/pbs/industry/listing/elements/pbac-meetings/psd/2021-11/avalglucosidase-alfa-powder-for-injection-100-mg-in-10-ml%3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AB544C3CB3BF4DB1AF6B4C2A0BA70A" ma:contentTypeVersion="10" ma:contentTypeDescription="Create a new document." ma:contentTypeScope="" ma:versionID="1f4d7a6e36dfa5a273021c07b1a1e1db">
  <xsd:schema xmlns:xsd="http://www.w3.org/2001/XMLSchema" xmlns:xs="http://www.w3.org/2001/XMLSchema" xmlns:p="http://schemas.microsoft.com/office/2006/metadata/properties" xmlns:ns2="72d25319-0ad8-460c-a4f3-52ec8614a275" xmlns:ns3="5b939172-3612-46e7-84b4-3cc34094c717" targetNamespace="http://schemas.microsoft.com/office/2006/metadata/properties" ma:root="true" ma:fieldsID="d2fb20cc8f87fb25faa938298b46c0cb" ns2:_="" ns3:_="">
    <xsd:import namespace="72d25319-0ad8-460c-a4f3-52ec8614a275"/>
    <xsd:import namespace="5b939172-3612-46e7-84b4-3cc34094c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25319-0ad8-460c-a4f3-52ec8614a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39172-3612-46e7-84b4-3cc34094c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CADE3-18C1-4B38-9215-AABC394730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9997CD-2014-4823-954C-93A56130E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25319-0ad8-460c-a4f3-52ec8614a275"/>
    <ds:schemaRef ds:uri="5b939172-3612-46e7-84b4-3cc34094c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01751D-9843-441A-B4C1-2333ACC49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13782</CharactersWithSpaces>
  <SharedDoc>false</SharedDoc>
  <HLinks>
    <vt:vector size="12" baseType="variant">
      <vt:variant>
        <vt:i4>3080242</vt:i4>
      </vt:variant>
      <vt:variant>
        <vt:i4>3</vt:i4>
      </vt:variant>
      <vt:variant>
        <vt:i4>0</vt:i4>
      </vt:variant>
      <vt:variant>
        <vt:i4>5</vt:i4>
      </vt:variant>
      <vt:variant>
        <vt:lpwstr>https://www.health.gov.au/resources/publications/procedure-guidance-for-medicines-funded-through-the-life-saving-drugs-program-lsdp</vt:lpwstr>
      </vt:variant>
      <vt:variant>
        <vt:lpwstr/>
      </vt:variant>
      <vt:variant>
        <vt:i4>2424932</vt:i4>
      </vt:variant>
      <vt:variant>
        <vt:i4>0</vt:i4>
      </vt:variant>
      <vt:variant>
        <vt:i4>0</vt:i4>
      </vt:variant>
      <vt:variant>
        <vt:i4>5</vt:i4>
      </vt:variant>
      <vt:variant>
        <vt:lpwstr>www.pbs.gov.au/pbs/industry/listing/elements/pbac-meetings/psd/2021-11/avalglucosidase-alfa-powder-for-injection-100-mg-in-10-ml%3B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COLGRAVE, Lachlan</dc:creator>
  <cp:keywords/>
  <dc:description/>
  <cp:lastModifiedBy>WILKES, Anne-Marie</cp:lastModifiedBy>
  <cp:revision>39</cp:revision>
  <dcterms:created xsi:type="dcterms:W3CDTF">2022-05-23T00:35:00Z</dcterms:created>
  <dcterms:modified xsi:type="dcterms:W3CDTF">2022-08-29T03:12:00Z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0x0101008FAB544C3CB3BF4DB1AF6B4C2A0BA70A</vt:lpwstr>
  </property>
</Properties>
</file>